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1EE69" w14:textId="4F6ABC5F" w:rsidR="00E067A8" w:rsidRPr="00467CA1" w:rsidRDefault="00ED5964">
      <w:pPr>
        <w:rPr>
          <w:rFonts w:ascii="Arial" w:hAnsi="Arial" w:cs="Arial"/>
        </w:rPr>
      </w:pPr>
      <w:r w:rsidRPr="00467CA1">
        <w:rPr>
          <w:rFonts w:ascii="Arial" w:hAnsi="Arial" w:cs="Arial"/>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467CA1" w:rsidRDefault="00ED5964">
      <w:pPr>
        <w:rPr>
          <w:rFonts w:ascii="Arial" w:hAnsi="Arial" w:cs="Arial"/>
        </w:rPr>
      </w:pPr>
    </w:p>
    <w:p w14:paraId="478C11A1" w14:textId="77777777" w:rsidR="00ED5964" w:rsidRPr="00467CA1" w:rsidRDefault="00ED5964">
      <w:pPr>
        <w:rPr>
          <w:rFonts w:ascii="Arial" w:hAnsi="Arial" w:cs="Arial"/>
        </w:rPr>
      </w:pPr>
    </w:p>
    <w:p w14:paraId="6B8ADB81" w14:textId="77777777" w:rsidR="006A5CFC" w:rsidRPr="00467CA1" w:rsidRDefault="006A5CFC">
      <w:pPr>
        <w:rPr>
          <w:rFonts w:ascii="Arial" w:hAnsi="Arial" w:cs="Arial"/>
        </w:rPr>
      </w:pPr>
    </w:p>
    <w:p w14:paraId="168F467C" w14:textId="77777777" w:rsidR="006A5CFC" w:rsidRPr="00467CA1" w:rsidRDefault="006A5CFC">
      <w:pPr>
        <w:rPr>
          <w:rFonts w:ascii="Arial" w:hAnsi="Arial" w:cs="Arial"/>
        </w:rPr>
      </w:pPr>
    </w:p>
    <w:p w14:paraId="3BEDB360" w14:textId="77777777" w:rsidR="00ED5964" w:rsidRPr="00467CA1" w:rsidRDefault="00ED5964">
      <w:pPr>
        <w:rPr>
          <w:rFonts w:ascii="Arial" w:hAnsi="Arial" w:cs="Arial"/>
        </w:rPr>
      </w:pPr>
    </w:p>
    <w:p w14:paraId="2EF804A0" w14:textId="5DB026EE" w:rsidR="00ED5964" w:rsidRPr="00467CA1" w:rsidRDefault="00ED5964" w:rsidP="00ED5964">
      <w:pPr>
        <w:jc w:val="both"/>
        <w:rPr>
          <w:rFonts w:ascii="Arial" w:hAnsi="Arial" w:cs="Arial"/>
          <w:sz w:val="28"/>
          <w:szCs w:val="28"/>
        </w:rPr>
      </w:pPr>
      <w:r w:rsidRPr="00467CA1">
        <w:rPr>
          <w:rFonts w:ascii="Arial" w:hAnsi="Arial" w:cs="Arial"/>
          <w:sz w:val="28"/>
          <w:szCs w:val="28"/>
        </w:rPr>
        <w:t xml:space="preserve">Name: </w:t>
      </w:r>
      <w:r w:rsidR="00C65859" w:rsidRPr="00467CA1">
        <w:rPr>
          <w:rFonts w:ascii="Arial" w:hAnsi="Arial" w:cs="Arial"/>
          <w:sz w:val="28"/>
          <w:szCs w:val="28"/>
        </w:rPr>
        <w:t>Irina Anosova</w:t>
      </w:r>
    </w:p>
    <w:p w14:paraId="485B6F49" w14:textId="1ABAE292" w:rsidR="00ED5964" w:rsidRPr="00467CA1" w:rsidRDefault="00ED5964" w:rsidP="00ED5964">
      <w:pPr>
        <w:jc w:val="both"/>
        <w:rPr>
          <w:rFonts w:ascii="Arial" w:hAnsi="Arial" w:cs="Arial"/>
          <w:sz w:val="28"/>
          <w:szCs w:val="28"/>
        </w:rPr>
      </w:pPr>
      <w:r w:rsidRPr="00467CA1">
        <w:rPr>
          <w:rFonts w:ascii="Arial" w:hAnsi="Arial" w:cs="Arial"/>
          <w:sz w:val="28"/>
          <w:szCs w:val="28"/>
        </w:rPr>
        <w:t xml:space="preserve">Student ID: </w:t>
      </w:r>
      <w:r w:rsidR="00C65859" w:rsidRPr="00467CA1">
        <w:rPr>
          <w:rFonts w:ascii="Arial" w:hAnsi="Arial" w:cs="Arial"/>
          <w:sz w:val="28"/>
          <w:szCs w:val="28"/>
        </w:rPr>
        <w:t>2530668</w:t>
      </w:r>
    </w:p>
    <w:p w14:paraId="3C1E7A20" w14:textId="01274CB0" w:rsidR="00ED5964" w:rsidRPr="00467CA1" w:rsidRDefault="00ED5964" w:rsidP="00ED5964">
      <w:pPr>
        <w:jc w:val="both"/>
        <w:rPr>
          <w:rFonts w:ascii="Arial" w:hAnsi="Arial" w:cs="Arial"/>
          <w:sz w:val="28"/>
          <w:szCs w:val="28"/>
        </w:rPr>
      </w:pPr>
      <w:r w:rsidRPr="00467CA1">
        <w:rPr>
          <w:rFonts w:ascii="Arial" w:hAnsi="Arial" w:cs="Arial"/>
          <w:sz w:val="28"/>
          <w:szCs w:val="28"/>
        </w:rPr>
        <w:t xml:space="preserve">Module Code: </w:t>
      </w:r>
      <w:r w:rsidR="00D30A74" w:rsidRPr="00467CA1">
        <w:rPr>
          <w:rFonts w:ascii="Arial" w:hAnsi="Arial" w:cs="Arial"/>
          <w:sz w:val="28"/>
          <w:szCs w:val="28"/>
        </w:rPr>
        <w:t>LCHS400</w:t>
      </w:r>
      <w:r w:rsidR="00DE56A5">
        <w:rPr>
          <w:rFonts w:ascii="Arial" w:hAnsi="Arial" w:cs="Arial"/>
          <w:sz w:val="28"/>
          <w:szCs w:val="28"/>
        </w:rPr>
        <w:t>3</w:t>
      </w:r>
    </w:p>
    <w:p w14:paraId="4EEB2DA3" w14:textId="355C457F" w:rsidR="00ED5964" w:rsidRPr="00467CA1" w:rsidRDefault="00ED5964" w:rsidP="00ED5964">
      <w:pPr>
        <w:jc w:val="both"/>
        <w:rPr>
          <w:rFonts w:ascii="Arial" w:hAnsi="Arial" w:cs="Arial"/>
          <w:sz w:val="28"/>
          <w:szCs w:val="28"/>
        </w:rPr>
      </w:pPr>
      <w:r w:rsidRPr="00467CA1">
        <w:rPr>
          <w:rFonts w:ascii="Arial" w:hAnsi="Arial" w:cs="Arial"/>
          <w:sz w:val="28"/>
          <w:szCs w:val="28"/>
        </w:rPr>
        <w:t xml:space="preserve">Module: </w:t>
      </w:r>
      <w:r w:rsidR="00DE56A5" w:rsidRPr="00DE56A5">
        <w:rPr>
          <w:rFonts w:ascii="Arial" w:hAnsi="Arial" w:cs="Arial"/>
          <w:sz w:val="28"/>
          <w:szCs w:val="28"/>
        </w:rPr>
        <w:t>Introduction to Health and Social Care</w:t>
      </w:r>
    </w:p>
    <w:p w14:paraId="112342CB" w14:textId="33EB3CC9" w:rsidR="00ED5964" w:rsidRPr="00467CA1" w:rsidRDefault="00ED5964" w:rsidP="00ED5964">
      <w:pPr>
        <w:jc w:val="both"/>
        <w:rPr>
          <w:rFonts w:ascii="Arial" w:hAnsi="Arial" w:cs="Arial"/>
          <w:sz w:val="28"/>
          <w:szCs w:val="28"/>
        </w:rPr>
      </w:pPr>
      <w:r w:rsidRPr="00467CA1">
        <w:rPr>
          <w:rFonts w:ascii="Arial" w:hAnsi="Arial" w:cs="Arial"/>
          <w:sz w:val="28"/>
          <w:szCs w:val="28"/>
        </w:rPr>
        <w:t xml:space="preserve">Lecturer: </w:t>
      </w:r>
      <w:r w:rsidR="00DE56A5" w:rsidRPr="00DE56A5">
        <w:rPr>
          <w:rFonts w:ascii="Arial" w:hAnsi="Arial" w:cs="Arial"/>
          <w:sz w:val="28"/>
          <w:szCs w:val="28"/>
        </w:rPr>
        <w:t xml:space="preserve">Caroline </w:t>
      </w:r>
      <w:r w:rsidR="00DE56A5">
        <w:rPr>
          <w:rFonts w:ascii="Arial" w:hAnsi="Arial" w:cs="Arial"/>
          <w:sz w:val="28"/>
          <w:szCs w:val="28"/>
        </w:rPr>
        <w:t>S</w:t>
      </w:r>
      <w:r w:rsidR="00DE56A5" w:rsidRPr="00DE56A5">
        <w:rPr>
          <w:rFonts w:ascii="Arial" w:hAnsi="Arial" w:cs="Arial"/>
          <w:sz w:val="28"/>
          <w:szCs w:val="28"/>
        </w:rPr>
        <w:t>alami</w:t>
      </w:r>
    </w:p>
    <w:p w14:paraId="78C0B80E" w14:textId="30CEDDD7" w:rsidR="00ED5964" w:rsidRPr="00467CA1" w:rsidRDefault="00C20C5F" w:rsidP="00C20C5F">
      <w:pPr>
        <w:jc w:val="both"/>
        <w:rPr>
          <w:rFonts w:ascii="Arial" w:hAnsi="Arial" w:cs="Arial"/>
          <w:sz w:val="28"/>
          <w:szCs w:val="28"/>
        </w:rPr>
      </w:pPr>
      <w:r w:rsidRPr="00467CA1">
        <w:rPr>
          <w:rFonts w:ascii="Arial" w:hAnsi="Arial" w:cs="Arial"/>
          <w:sz w:val="28"/>
          <w:szCs w:val="28"/>
        </w:rPr>
        <w:t xml:space="preserve">Assignment title: </w:t>
      </w:r>
      <w:r w:rsidR="00DE56A5" w:rsidRPr="00DE56A5">
        <w:rPr>
          <w:rFonts w:ascii="Arial" w:hAnsi="Arial" w:cs="Arial"/>
          <w:sz w:val="28"/>
          <w:szCs w:val="28"/>
        </w:rPr>
        <w:t xml:space="preserve">Component 2 Written Assignment  </w:t>
      </w:r>
    </w:p>
    <w:p w14:paraId="0C6F95D6" w14:textId="77777777" w:rsidR="00ED5964" w:rsidRPr="00467CA1" w:rsidRDefault="00ED5964" w:rsidP="00ED5964">
      <w:pPr>
        <w:jc w:val="both"/>
        <w:rPr>
          <w:rFonts w:ascii="Arial" w:hAnsi="Arial" w:cs="Arial"/>
          <w:sz w:val="28"/>
          <w:szCs w:val="28"/>
        </w:rPr>
      </w:pPr>
    </w:p>
    <w:p w14:paraId="38621A58" w14:textId="171609A4" w:rsidR="00ED5964" w:rsidRPr="00467CA1" w:rsidRDefault="00ED5964" w:rsidP="00ED5964">
      <w:pPr>
        <w:jc w:val="both"/>
        <w:rPr>
          <w:rFonts w:ascii="Arial" w:hAnsi="Arial" w:cs="Arial"/>
          <w:sz w:val="28"/>
          <w:szCs w:val="28"/>
        </w:rPr>
      </w:pPr>
    </w:p>
    <w:p w14:paraId="437C8CE1" w14:textId="1C356556" w:rsidR="003B7D1A" w:rsidRPr="00467CA1" w:rsidRDefault="003B7D1A" w:rsidP="00ED5964">
      <w:pPr>
        <w:jc w:val="both"/>
        <w:rPr>
          <w:rFonts w:ascii="Arial" w:hAnsi="Arial" w:cs="Arial"/>
          <w:sz w:val="28"/>
          <w:szCs w:val="28"/>
        </w:rPr>
      </w:pPr>
    </w:p>
    <w:p w14:paraId="477D66AA" w14:textId="30D85A1B" w:rsidR="003B7D1A" w:rsidRPr="00467CA1" w:rsidRDefault="003B7D1A" w:rsidP="00ED5964">
      <w:pPr>
        <w:jc w:val="both"/>
        <w:rPr>
          <w:rFonts w:ascii="Arial" w:hAnsi="Arial" w:cs="Arial"/>
          <w:sz w:val="28"/>
          <w:szCs w:val="28"/>
        </w:rPr>
      </w:pPr>
    </w:p>
    <w:p w14:paraId="7705892F" w14:textId="2A6CC5F0" w:rsidR="003B7D1A" w:rsidRPr="00467CA1" w:rsidRDefault="003B7D1A" w:rsidP="00ED5964">
      <w:pPr>
        <w:jc w:val="both"/>
        <w:rPr>
          <w:rFonts w:ascii="Arial" w:hAnsi="Arial" w:cs="Arial"/>
          <w:sz w:val="28"/>
          <w:szCs w:val="28"/>
        </w:rPr>
      </w:pPr>
    </w:p>
    <w:p w14:paraId="29F25763" w14:textId="510F4A94" w:rsidR="003B7D1A" w:rsidRPr="00467CA1" w:rsidRDefault="003B7D1A" w:rsidP="00ED5964">
      <w:pPr>
        <w:jc w:val="both"/>
        <w:rPr>
          <w:rFonts w:ascii="Arial" w:hAnsi="Arial" w:cs="Arial"/>
          <w:sz w:val="28"/>
          <w:szCs w:val="28"/>
        </w:rPr>
      </w:pPr>
    </w:p>
    <w:p w14:paraId="52ACF2E5" w14:textId="4FEF20F2" w:rsidR="003B7D1A" w:rsidRPr="00467CA1" w:rsidRDefault="003B7D1A" w:rsidP="00ED5964">
      <w:pPr>
        <w:jc w:val="both"/>
        <w:rPr>
          <w:rFonts w:ascii="Arial" w:hAnsi="Arial" w:cs="Arial"/>
          <w:sz w:val="28"/>
          <w:szCs w:val="28"/>
        </w:rPr>
      </w:pPr>
    </w:p>
    <w:p w14:paraId="23CFB104" w14:textId="71C6BCC5" w:rsidR="003B7D1A" w:rsidRPr="00467CA1" w:rsidRDefault="003B7D1A" w:rsidP="00ED5964">
      <w:pPr>
        <w:jc w:val="both"/>
        <w:rPr>
          <w:rFonts w:ascii="Arial" w:hAnsi="Arial" w:cs="Arial"/>
          <w:sz w:val="28"/>
          <w:szCs w:val="28"/>
        </w:rPr>
      </w:pPr>
    </w:p>
    <w:p w14:paraId="7044B4FE" w14:textId="16E075FA" w:rsidR="003B7D1A" w:rsidRPr="00467CA1" w:rsidRDefault="003B7D1A" w:rsidP="00ED5964">
      <w:pPr>
        <w:jc w:val="both"/>
        <w:rPr>
          <w:rFonts w:ascii="Arial" w:hAnsi="Arial" w:cs="Arial"/>
          <w:sz w:val="28"/>
          <w:szCs w:val="28"/>
        </w:rPr>
      </w:pPr>
    </w:p>
    <w:p w14:paraId="3C1ABB7B" w14:textId="68973858" w:rsidR="003B7D1A" w:rsidRPr="00467CA1" w:rsidRDefault="003B7D1A" w:rsidP="00ED5964">
      <w:pPr>
        <w:jc w:val="both"/>
        <w:rPr>
          <w:rFonts w:ascii="Arial" w:hAnsi="Arial" w:cs="Arial"/>
          <w:sz w:val="28"/>
          <w:szCs w:val="28"/>
        </w:rPr>
      </w:pPr>
    </w:p>
    <w:p w14:paraId="0C597FEF" w14:textId="608D9FE1" w:rsidR="003B7D1A" w:rsidRPr="00467CA1" w:rsidRDefault="003B7D1A" w:rsidP="00ED5964">
      <w:pPr>
        <w:jc w:val="both"/>
        <w:rPr>
          <w:rFonts w:ascii="Arial" w:hAnsi="Arial" w:cs="Arial"/>
          <w:sz w:val="28"/>
          <w:szCs w:val="28"/>
        </w:rPr>
      </w:pPr>
    </w:p>
    <w:p w14:paraId="343B7373" w14:textId="77777777" w:rsidR="003B7D1A" w:rsidRPr="00467CA1" w:rsidRDefault="003B7D1A" w:rsidP="00ED5964">
      <w:pPr>
        <w:jc w:val="both"/>
        <w:rPr>
          <w:rFonts w:ascii="Arial" w:hAnsi="Arial" w:cs="Arial"/>
          <w:sz w:val="28"/>
          <w:szCs w:val="28"/>
        </w:rPr>
      </w:pPr>
    </w:p>
    <w:p w14:paraId="6988A1DC" w14:textId="77777777" w:rsidR="00ED5964" w:rsidRPr="00467CA1" w:rsidRDefault="00ED5964" w:rsidP="00ED5964">
      <w:pPr>
        <w:jc w:val="both"/>
        <w:rPr>
          <w:rFonts w:ascii="Arial" w:hAnsi="Arial" w:cs="Arial"/>
          <w:sz w:val="28"/>
          <w:szCs w:val="28"/>
        </w:rPr>
      </w:pPr>
    </w:p>
    <w:p w14:paraId="25C114EE" w14:textId="77777777" w:rsidR="00ED5964" w:rsidRPr="00467CA1" w:rsidRDefault="00ED5964" w:rsidP="00ED5964">
      <w:pPr>
        <w:jc w:val="both"/>
        <w:rPr>
          <w:rFonts w:ascii="Arial" w:hAnsi="Arial" w:cs="Arial"/>
          <w:sz w:val="28"/>
          <w:szCs w:val="28"/>
        </w:rPr>
      </w:pPr>
    </w:p>
    <w:p w14:paraId="4A73B1BE" w14:textId="77777777" w:rsidR="00ED5964" w:rsidRPr="00467CA1" w:rsidRDefault="00ED5964" w:rsidP="00ED5964">
      <w:pPr>
        <w:jc w:val="both"/>
        <w:rPr>
          <w:rFonts w:ascii="Arial" w:hAnsi="Arial" w:cs="Arial"/>
          <w:sz w:val="28"/>
          <w:szCs w:val="28"/>
        </w:rPr>
      </w:pPr>
    </w:p>
    <w:p w14:paraId="072506E1" w14:textId="32922620" w:rsidR="00ED5964" w:rsidRPr="00467CA1" w:rsidRDefault="00ED5964" w:rsidP="00ED5964">
      <w:pPr>
        <w:jc w:val="both"/>
        <w:rPr>
          <w:rFonts w:ascii="Arial" w:hAnsi="Arial" w:cs="Arial"/>
          <w:sz w:val="28"/>
          <w:szCs w:val="28"/>
        </w:rPr>
      </w:pPr>
      <w:r w:rsidRPr="00467CA1">
        <w:rPr>
          <w:rFonts w:ascii="Arial" w:hAnsi="Arial" w:cs="Arial"/>
          <w:sz w:val="28"/>
          <w:szCs w:val="28"/>
        </w:rPr>
        <w:tab/>
      </w:r>
      <w:r w:rsidRPr="00467CA1">
        <w:rPr>
          <w:rFonts w:ascii="Arial" w:hAnsi="Arial" w:cs="Arial"/>
          <w:sz w:val="28"/>
          <w:szCs w:val="28"/>
        </w:rPr>
        <w:tab/>
      </w:r>
      <w:r w:rsidRPr="00467CA1">
        <w:rPr>
          <w:rFonts w:ascii="Arial" w:hAnsi="Arial" w:cs="Arial"/>
          <w:sz w:val="28"/>
          <w:szCs w:val="28"/>
        </w:rPr>
        <w:tab/>
      </w:r>
      <w:r w:rsidR="006A5CFC" w:rsidRPr="00467CA1">
        <w:rPr>
          <w:rFonts w:ascii="Arial" w:hAnsi="Arial" w:cs="Arial"/>
          <w:sz w:val="28"/>
          <w:szCs w:val="28"/>
        </w:rPr>
        <w:tab/>
      </w:r>
      <w:r w:rsidRPr="00467CA1">
        <w:rPr>
          <w:rFonts w:ascii="Arial" w:hAnsi="Arial" w:cs="Arial"/>
          <w:sz w:val="28"/>
          <w:szCs w:val="28"/>
        </w:rPr>
        <w:t xml:space="preserve">Submitted on:    </w:t>
      </w:r>
      <w:r w:rsidR="00DE56A5">
        <w:rPr>
          <w:rFonts w:ascii="Arial" w:hAnsi="Arial" w:cs="Arial"/>
          <w:sz w:val="28"/>
          <w:szCs w:val="28"/>
        </w:rPr>
        <w:t>20</w:t>
      </w:r>
      <w:r w:rsidR="00C65859" w:rsidRPr="00467CA1">
        <w:rPr>
          <w:rFonts w:ascii="Arial" w:hAnsi="Arial" w:cs="Arial"/>
          <w:sz w:val="28"/>
          <w:szCs w:val="28"/>
        </w:rPr>
        <w:t>.0</w:t>
      </w:r>
      <w:r w:rsidR="00C20C5F" w:rsidRPr="00467CA1">
        <w:rPr>
          <w:rFonts w:ascii="Arial" w:hAnsi="Arial" w:cs="Arial"/>
          <w:sz w:val="28"/>
          <w:szCs w:val="28"/>
        </w:rPr>
        <w:t>8</w:t>
      </w:r>
      <w:r w:rsidR="00C65859" w:rsidRPr="00467CA1">
        <w:rPr>
          <w:rFonts w:ascii="Arial" w:hAnsi="Arial" w:cs="Arial"/>
          <w:sz w:val="28"/>
          <w:szCs w:val="28"/>
        </w:rPr>
        <w:t>.26</w:t>
      </w:r>
    </w:p>
    <w:p w14:paraId="3C6FB008" w14:textId="77777777" w:rsidR="00ED5964" w:rsidRPr="00467CA1" w:rsidRDefault="00ED5964" w:rsidP="00ED5964">
      <w:pPr>
        <w:jc w:val="both"/>
        <w:rPr>
          <w:rFonts w:ascii="Arial" w:hAnsi="Arial" w:cs="Arial"/>
          <w:sz w:val="28"/>
          <w:szCs w:val="28"/>
        </w:rPr>
      </w:pPr>
    </w:p>
    <w:p w14:paraId="3EA711CF" w14:textId="77777777" w:rsidR="00ED5964" w:rsidRPr="00467CA1" w:rsidRDefault="00ED5964" w:rsidP="00ED5964">
      <w:pPr>
        <w:jc w:val="both"/>
        <w:rPr>
          <w:rFonts w:ascii="Arial" w:hAnsi="Arial" w:cs="Arial"/>
          <w:sz w:val="28"/>
          <w:szCs w:val="28"/>
        </w:rPr>
      </w:pPr>
    </w:p>
    <w:sdt>
      <w:sdtPr>
        <w:rPr>
          <w:rFonts w:ascii="Arial" w:eastAsiaTheme="minorEastAsia" w:hAnsi="Arial" w:cs="Arial"/>
          <w:bCs w:val="0"/>
          <w:color w:val="auto"/>
          <w:kern w:val="2"/>
          <w:sz w:val="22"/>
          <w:szCs w:val="22"/>
          <w:lang w:val="en-GB" w:eastAsia="zh-CN"/>
          <w14:ligatures w14:val="standardContextual"/>
        </w:rPr>
        <w:id w:val="371965395"/>
        <w:docPartObj>
          <w:docPartGallery w:val="Table of Contents"/>
          <w:docPartUnique/>
        </w:docPartObj>
      </w:sdtPr>
      <w:sdtEndPr>
        <w:rPr>
          <w:b/>
          <w:noProof/>
        </w:rPr>
      </w:sdtEndPr>
      <w:sdtContent>
        <w:p w14:paraId="57CD2425" w14:textId="5C92E987" w:rsidR="00B330F2" w:rsidRPr="00DE56A5" w:rsidRDefault="00B330F2">
          <w:pPr>
            <w:pStyle w:val="TOCHeading"/>
            <w:rPr>
              <w:rFonts w:ascii="Arial" w:hAnsi="Arial" w:cs="Arial"/>
              <w:sz w:val="22"/>
              <w:szCs w:val="22"/>
            </w:rPr>
          </w:pPr>
          <w:r w:rsidRPr="00DE56A5">
            <w:rPr>
              <w:rFonts w:ascii="Arial" w:hAnsi="Arial" w:cs="Arial"/>
              <w:sz w:val="22"/>
              <w:szCs w:val="22"/>
            </w:rPr>
            <w:t>Contents</w:t>
          </w:r>
        </w:p>
        <w:p w14:paraId="7909C407" w14:textId="51458FAE" w:rsidR="00DE56A5" w:rsidRPr="00DE56A5" w:rsidRDefault="00B330F2">
          <w:pPr>
            <w:pStyle w:val="TOC1"/>
            <w:tabs>
              <w:tab w:val="right" w:leader="dot" w:pos="10592"/>
            </w:tabs>
            <w:rPr>
              <w:rFonts w:ascii="Arial" w:hAnsi="Arial" w:cs="Arial"/>
              <w:b w:val="0"/>
              <w:bCs w:val="0"/>
              <w:i w:val="0"/>
              <w:iCs w:val="0"/>
              <w:noProof/>
              <w:kern w:val="0"/>
              <w:sz w:val="22"/>
              <w:szCs w:val="22"/>
              <w:lang w:eastAsia="en-GB"/>
              <w14:ligatures w14:val="none"/>
            </w:rPr>
          </w:pPr>
          <w:r w:rsidRPr="00DE56A5">
            <w:rPr>
              <w:rFonts w:ascii="Arial" w:hAnsi="Arial" w:cs="Arial"/>
              <w:sz w:val="22"/>
              <w:szCs w:val="22"/>
            </w:rPr>
            <w:fldChar w:fldCharType="begin"/>
          </w:r>
          <w:r w:rsidRPr="00DE56A5">
            <w:rPr>
              <w:rFonts w:ascii="Arial" w:hAnsi="Arial" w:cs="Arial"/>
              <w:sz w:val="22"/>
              <w:szCs w:val="22"/>
            </w:rPr>
            <w:instrText xml:space="preserve"> TOC \o "1-3" \h \z \u </w:instrText>
          </w:r>
          <w:r w:rsidRPr="00DE56A5">
            <w:rPr>
              <w:rFonts w:ascii="Arial" w:hAnsi="Arial" w:cs="Arial"/>
              <w:sz w:val="22"/>
              <w:szCs w:val="22"/>
            </w:rPr>
            <w:fldChar w:fldCharType="separate"/>
          </w:r>
          <w:hyperlink w:anchor="_Toc238162350" w:history="1">
            <w:r w:rsidR="00DE56A5" w:rsidRPr="00DE56A5">
              <w:rPr>
                <w:rStyle w:val="Hyperlink"/>
                <w:rFonts w:ascii="Arial" w:hAnsi="Arial" w:cs="Arial"/>
                <w:noProof/>
                <w:sz w:val="22"/>
                <w:szCs w:val="22"/>
              </w:rPr>
              <w:t>1. Introduction</w:t>
            </w:r>
            <w:r w:rsidR="00DE56A5" w:rsidRPr="00DE56A5">
              <w:rPr>
                <w:rFonts w:ascii="Arial" w:hAnsi="Arial" w:cs="Arial"/>
                <w:noProof/>
                <w:webHidden/>
                <w:sz w:val="22"/>
                <w:szCs w:val="22"/>
              </w:rPr>
              <w:tab/>
            </w:r>
            <w:r w:rsidR="00DE56A5" w:rsidRPr="00DE56A5">
              <w:rPr>
                <w:rFonts w:ascii="Arial" w:hAnsi="Arial" w:cs="Arial"/>
                <w:noProof/>
                <w:webHidden/>
                <w:sz w:val="22"/>
                <w:szCs w:val="22"/>
              </w:rPr>
              <w:fldChar w:fldCharType="begin"/>
            </w:r>
            <w:r w:rsidR="00DE56A5" w:rsidRPr="00DE56A5">
              <w:rPr>
                <w:rFonts w:ascii="Arial" w:hAnsi="Arial" w:cs="Arial"/>
                <w:noProof/>
                <w:webHidden/>
                <w:sz w:val="22"/>
                <w:szCs w:val="22"/>
              </w:rPr>
              <w:instrText xml:space="preserve"> PAGEREF _Toc238162350 \h </w:instrText>
            </w:r>
            <w:r w:rsidR="00DE56A5" w:rsidRPr="00DE56A5">
              <w:rPr>
                <w:rFonts w:ascii="Arial" w:hAnsi="Arial" w:cs="Arial"/>
                <w:noProof/>
                <w:webHidden/>
                <w:sz w:val="22"/>
                <w:szCs w:val="22"/>
              </w:rPr>
            </w:r>
            <w:r w:rsidR="00DE56A5" w:rsidRPr="00DE56A5">
              <w:rPr>
                <w:rFonts w:ascii="Arial" w:hAnsi="Arial" w:cs="Arial"/>
                <w:noProof/>
                <w:webHidden/>
                <w:sz w:val="22"/>
                <w:szCs w:val="22"/>
              </w:rPr>
              <w:fldChar w:fldCharType="separate"/>
            </w:r>
            <w:r w:rsidR="00DE56A5">
              <w:rPr>
                <w:rFonts w:ascii="Arial" w:hAnsi="Arial" w:cs="Arial"/>
                <w:noProof/>
                <w:webHidden/>
                <w:sz w:val="22"/>
                <w:szCs w:val="22"/>
              </w:rPr>
              <w:t>3</w:t>
            </w:r>
            <w:r w:rsidR="00DE56A5" w:rsidRPr="00DE56A5">
              <w:rPr>
                <w:rFonts w:ascii="Arial" w:hAnsi="Arial" w:cs="Arial"/>
                <w:noProof/>
                <w:webHidden/>
                <w:sz w:val="22"/>
                <w:szCs w:val="22"/>
              </w:rPr>
              <w:fldChar w:fldCharType="end"/>
            </w:r>
          </w:hyperlink>
        </w:p>
        <w:p w14:paraId="06B22720" w14:textId="1A044ABC" w:rsidR="00DE56A5" w:rsidRPr="00DE56A5" w:rsidRDefault="00DE56A5">
          <w:pPr>
            <w:pStyle w:val="TOC1"/>
            <w:tabs>
              <w:tab w:val="right" w:leader="dot" w:pos="10592"/>
            </w:tabs>
            <w:rPr>
              <w:rFonts w:ascii="Arial" w:hAnsi="Arial" w:cs="Arial"/>
              <w:b w:val="0"/>
              <w:bCs w:val="0"/>
              <w:i w:val="0"/>
              <w:iCs w:val="0"/>
              <w:noProof/>
              <w:kern w:val="0"/>
              <w:sz w:val="22"/>
              <w:szCs w:val="22"/>
              <w:lang w:eastAsia="en-GB"/>
              <w14:ligatures w14:val="none"/>
            </w:rPr>
          </w:pPr>
          <w:hyperlink w:anchor="_Toc238162351" w:history="1">
            <w:r w:rsidRPr="00DE56A5">
              <w:rPr>
                <w:rStyle w:val="Hyperlink"/>
                <w:rFonts w:ascii="Arial" w:hAnsi="Arial" w:cs="Arial"/>
                <w:noProof/>
                <w:sz w:val="22"/>
                <w:szCs w:val="22"/>
              </w:rPr>
              <w:t>2. Effective Communication</w:t>
            </w:r>
            <w:r w:rsidRPr="00DE56A5">
              <w:rPr>
                <w:rFonts w:ascii="Arial" w:hAnsi="Arial" w:cs="Arial"/>
                <w:noProof/>
                <w:webHidden/>
                <w:sz w:val="22"/>
                <w:szCs w:val="22"/>
              </w:rPr>
              <w:tab/>
            </w:r>
            <w:r w:rsidRPr="00DE56A5">
              <w:rPr>
                <w:rFonts w:ascii="Arial" w:hAnsi="Arial" w:cs="Arial"/>
                <w:noProof/>
                <w:webHidden/>
                <w:sz w:val="22"/>
                <w:szCs w:val="22"/>
              </w:rPr>
              <w:fldChar w:fldCharType="begin"/>
            </w:r>
            <w:r w:rsidRPr="00DE56A5">
              <w:rPr>
                <w:rFonts w:ascii="Arial" w:hAnsi="Arial" w:cs="Arial"/>
                <w:noProof/>
                <w:webHidden/>
                <w:sz w:val="22"/>
                <w:szCs w:val="22"/>
              </w:rPr>
              <w:instrText xml:space="preserve"> PAGEREF _Toc238162351 \h </w:instrText>
            </w:r>
            <w:r w:rsidRPr="00DE56A5">
              <w:rPr>
                <w:rFonts w:ascii="Arial" w:hAnsi="Arial" w:cs="Arial"/>
                <w:noProof/>
                <w:webHidden/>
                <w:sz w:val="22"/>
                <w:szCs w:val="22"/>
              </w:rPr>
            </w:r>
            <w:r w:rsidRPr="00DE56A5">
              <w:rPr>
                <w:rFonts w:ascii="Arial" w:hAnsi="Arial" w:cs="Arial"/>
                <w:noProof/>
                <w:webHidden/>
                <w:sz w:val="22"/>
                <w:szCs w:val="22"/>
              </w:rPr>
              <w:fldChar w:fldCharType="separate"/>
            </w:r>
            <w:r>
              <w:rPr>
                <w:rFonts w:ascii="Arial" w:hAnsi="Arial" w:cs="Arial"/>
                <w:noProof/>
                <w:webHidden/>
                <w:sz w:val="22"/>
                <w:szCs w:val="22"/>
              </w:rPr>
              <w:t>3</w:t>
            </w:r>
            <w:r w:rsidRPr="00DE56A5">
              <w:rPr>
                <w:rFonts w:ascii="Arial" w:hAnsi="Arial" w:cs="Arial"/>
                <w:noProof/>
                <w:webHidden/>
                <w:sz w:val="22"/>
                <w:szCs w:val="22"/>
              </w:rPr>
              <w:fldChar w:fldCharType="end"/>
            </w:r>
          </w:hyperlink>
        </w:p>
        <w:p w14:paraId="7B93ABBF" w14:textId="599349CA" w:rsidR="00DE56A5" w:rsidRPr="00DE56A5" w:rsidRDefault="00DE56A5">
          <w:pPr>
            <w:pStyle w:val="TOC1"/>
            <w:tabs>
              <w:tab w:val="right" w:leader="dot" w:pos="10592"/>
            </w:tabs>
            <w:rPr>
              <w:rFonts w:ascii="Arial" w:hAnsi="Arial" w:cs="Arial"/>
              <w:b w:val="0"/>
              <w:bCs w:val="0"/>
              <w:i w:val="0"/>
              <w:iCs w:val="0"/>
              <w:noProof/>
              <w:kern w:val="0"/>
              <w:sz w:val="22"/>
              <w:szCs w:val="22"/>
              <w:lang w:eastAsia="en-GB"/>
              <w14:ligatures w14:val="none"/>
            </w:rPr>
          </w:pPr>
          <w:hyperlink w:anchor="_Toc238162352" w:history="1">
            <w:r w:rsidRPr="00DE56A5">
              <w:rPr>
                <w:rStyle w:val="Hyperlink"/>
                <w:rFonts w:ascii="Arial" w:hAnsi="Arial" w:cs="Arial"/>
                <w:noProof/>
                <w:sz w:val="22"/>
                <w:szCs w:val="22"/>
                <w:lang w:eastAsia="en-GB"/>
              </w:rPr>
              <w:t>3. Administrative Skills and Record Keeping</w:t>
            </w:r>
            <w:r w:rsidRPr="00DE56A5">
              <w:rPr>
                <w:rFonts w:ascii="Arial" w:hAnsi="Arial" w:cs="Arial"/>
                <w:noProof/>
                <w:webHidden/>
                <w:sz w:val="22"/>
                <w:szCs w:val="22"/>
              </w:rPr>
              <w:tab/>
            </w:r>
            <w:r w:rsidRPr="00DE56A5">
              <w:rPr>
                <w:rFonts w:ascii="Arial" w:hAnsi="Arial" w:cs="Arial"/>
                <w:noProof/>
                <w:webHidden/>
                <w:sz w:val="22"/>
                <w:szCs w:val="22"/>
              </w:rPr>
              <w:fldChar w:fldCharType="begin"/>
            </w:r>
            <w:r w:rsidRPr="00DE56A5">
              <w:rPr>
                <w:rFonts w:ascii="Arial" w:hAnsi="Arial" w:cs="Arial"/>
                <w:noProof/>
                <w:webHidden/>
                <w:sz w:val="22"/>
                <w:szCs w:val="22"/>
              </w:rPr>
              <w:instrText xml:space="preserve"> PAGEREF _Toc238162352 \h </w:instrText>
            </w:r>
            <w:r w:rsidRPr="00DE56A5">
              <w:rPr>
                <w:rFonts w:ascii="Arial" w:hAnsi="Arial" w:cs="Arial"/>
                <w:noProof/>
                <w:webHidden/>
                <w:sz w:val="22"/>
                <w:szCs w:val="22"/>
              </w:rPr>
            </w:r>
            <w:r w:rsidRPr="00DE56A5">
              <w:rPr>
                <w:rFonts w:ascii="Arial" w:hAnsi="Arial" w:cs="Arial"/>
                <w:noProof/>
                <w:webHidden/>
                <w:sz w:val="22"/>
                <w:szCs w:val="22"/>
              </w:rPr>
              <w:fldChar w:fldCharType="separate"/>
            </w:r>
            <w:r>
              <w:rPr>
                <w:rFonts w:ascii="Arial" w:hAnsi="Arial" w:cs="Arial"/>
                <w:noProof/>
                <w:webHidden/>
                <w:sz w:val="22"/>
                <w:szCs w:val="22"/>
              </w:rPr>
              <w:t>4</w:t>
            </w:r>
            <w:r w:rsidRPr="00DE56A5">
              <w:rPr>
                <w:rFonts w:ascii="Arial" w:hAnsi="Arial" w:cs="Arial"/>
                <w:noProof/>
                <w:webHidden/>
                <w:sz w:val="22"/>
                <w:szCs w:val="22"/>
              </w:rPr>
              <w:fldChar w:fldCharType="end"/>
            </w:r>
          </w:hyperlink>
        </w:p>
        <w:p w14:paraId="6B30B645" w14:textId="69056ED3" w:rsidR="00DE56A5" w:rsidRPr="00DE56A5" w:rsidRDefault="00DE56A5">
          <w:pPr>
            <w:pStyle w:val="TOC1"/>
            <w:tabs>
              <w:tab w:val="right" w:leader="dot" w:pos="10592"/>
            </w:tabs>
            <w:rPr>
              <w:rFonts w:ascii="Arial" w:hAnsi="Arial" w:cs="Arial"/>
              <w:b w:val="0"/>
              <w:bCs w:val="0"/>
              <w:i w:val="0"/>
              <w:iCs w:val="0"/>
              <w:noProof/>
              <w:kern w:val="0"/>
              <w:sz w:val="22"/>
              <w:szCs w:val="22"/>
              <w:lang w:eastAsia="en-GB"/>
              <w14:ligatures w14:val="none"/>
            </w:rPr>
          </w:pPr>
          <w:hyperlink w:anchor="_Toc238162353" w:history="1">
            <w:r w:rsidRPr="00DE56A5">
              <w:rPr>
                <w:rStyle w:val="Hyperlink"/>
                <w:rFonts w:ascii="Arial" w:hAnsi="Arial" w:cs="Arial"/>
                <w:noProof/>
                <w:sz w:val="22"/>
                <w:szCs w:val="22"/>
              </w:rPr>
              <w:t>4. Collaborative Working</w:t>
            </w:r>
            <w:r w:rsidRPr="00DE56A5">
              <w:rPr>
                <w:rFonts w:ascii="Arial" w:hAnsi="Arial" w:cs="Arial"/>
                <w:noProof/>
                <w:webHidden/>
                <w:sz w:val="22"/>
                <w:szCs w:val="22"/>
              </w:rPr>
              <w:tab/>
            </w:r>
            <w:r w:rsidRPr="00DE56A5">
              <w:rPr>
                <w:rFonts w:ascii="Arial" w:hAnsi="Arial" w:cs="Arial"/>
                <w:noProof/>
                <w:webHidden/>
                <w:sz w:val="22"/>
                <w:szCs w:val="22"/>
              </w:rPr>
              <w:fldChar w:fldCharType="begin"/>
            </w:r>
            <w:r w:rsidRPr="00DE56A5">
              <w:rPr>
                <w:rFonts w:ascii="Arial" w:hAnsi="Arial" w:cs="Arial"/>
                <w:noProof/>
                <w:webHidden/>
                <w:sz w:val="22"/>
                <w:szCs w:val="22"/>
              </w:rPr>
              <w:instrText xml:space="preserve"> PAGEREF _Toc238162353 \h </w:instrText>
            </w:r>
            <w:r w:rsidRPr="00DE56A5">
              <w:rPr>
                <w:rFonts w:ascii="Arial" w:hAnsi="Arial" w:cs="Arial"/>
                <w:noProof/>
                <w:webHidden/>
                <w:sz w:val="22"/>
                <w:szCs w:val="22"/>
              </w:rPr>
            </w:r>
            <w:r w:rsidRPr="00DE56A5">
              <w:rPr>
                <w:rFonts w:ascii="Arial" w:hAnsi="Arial" w:cs="Arial"/>
                <w:noProof/>
                <w:webHidden/>
                <w:sz w:val="22"/>
                <w:szCs w:val="22"/>
              </w:rPr>
              <w:fldChar w:fldCharType="separate"/>
            </w:r>
            <w:r>
              <w:rPr>
                <w:rFonts w:ascii="Arial" w:hAnsi="Arial" w:cs="Arial"/>
                <w:noProof/>
                <w:webHidden/>
                <w:sz w:val="22"/>
                <w:szCs w:val="22"/>
              </w:rPr>
              <w:t>4</w:t>
            </w:r>
            <w:r w:rsidRPr="00DE56A5">
              <w:rPr>
                <w:rFonts w:ascii="Arial" w:hAnsi="Arial" w:cs="Arial"/>
                <w:noProof/>
                <w:webHidden/>
                <w:sz w:val="22"/>
                <w:szCs w:val="22"/>
              </w:rPr>
              <w:fldChar w:fldCharType="end"/>
            </w:r>
          </w:hyperlink>
        </w:p>
        <w:p w14:paraId="46CD66E2" w14:textId="2195D227" w:rsidR="00DE56A5" w:rsidRPr="00DE56A5" w:rsidRDefault="00DE56A5">
          <w:pPr>
            <w:pStyle w:val="TOC1"/>
            <w:tabs>
              <w:tab w:val="right" w:leader="dot" w:pos="10592"/>
            </w:tabs>
            <w:rPr>
              <w:rFonts w:ascii="Arial" w:hAnsi="Arial" w:cs="Arial"/>
              <w:b w:val="0"/>
              <w:bCs w:val="0"/>
              <w:i w:val="0"/>
              <w:iCs w:val="0"/>
              <w:noProof/>
              <w:kern w:val="0"/>
              <w:sz w:val="22"/>
              <w:szCs w:val="22"/>
              <w:lang w:eastAsia="en-GB"/>
              <w14:ligatures w14:val="none"/>
            </w:rPr>
          </w:pPr>
          <w:hyperlink w:anchor="_Toc238162354" w:history="1">
            <w:r w:rsidRPr="00DE56A5">
              <w:rPr>
                <w:rStyle w:val="Hyperlink"/>
                <w:rFonts w:ascii="Arial" w:hAnsi="Arial" w:cs="Arial"/>
                <w:noProof/>
                <w:sz w:val="22"/>
                <w:szCs w:val="22"/>
              </w:rPr>
              <w:t>5. Conclusion</w:t>
            </w:r>
            <w:r w:rsidRPr="00DE56A5">
              <w:rPr>
                <w:rFonts w:ascii="Arial" w:hAnsi="Arial" w:cs="Arial"/>
                <w:noProof/>
                <w:webHidden/>
                <w:sz w:val="22"/>
                <w:szCs w:val="22"/>
              </w:rPr>
              <w:tab/>
            </w:r>
            <w:r w:rsidRPr="00DE56A5">
              <w:rPr>
                <w:rFonts w:ascii="Arial" w:hAnsi="Arial" w:cs="Arial"/>
                <w:noProof/>
                <w:webHidden/>
                <w:sz w:val="22"/>
                <w:szCs w:val="22"/>
              </w:rPr>
              <w:fldChar w:fldCharType="begin"/>
            </w:r>
            <w:r w:rsidRPr="00DE56A5">
              <w:rPr>
                <w:rFonts w:ascii="Arial" w:hAnsi="Arial" w:cs="Arial"/>
                <w:noProof/>
                <w:webHidden/>
                <w:sz w:val="22"/>
                <w:szCs w:val="22"/>
              </w:rPr>
              <w:instrText xml:space="preserve"> PAGEREF _Toc238162354 \h </w:instrText>
            </w:r>
            <w:r w:rsidRPr="00DE56A5">
              <w:rPr>
                <w:rFonts w:ascii="Arial" w:hAnsi="Arial" w:cs="Arial"/>
                <w:noProof/>
                <w:webHidden/>
                <w:sz w:val="22"/>
                <w:szCs w:val="22"/>
              </w:rPr>
            </w:r>
            <w:r w:rsidRPr="00DE56A5">
              <w:rPr>
                <w:rFonts w:ascii="Arial" w:hAnsi="Arial" w:cs="Arial"/>
                <w:noProof/>
                <w:webHidden/>
                <w:sz w:val="22"/>
                <w:szCs w:val="22"/>
              </w:rPr>
              <w:fldChar w:fldCharType="separate"/>
            </w:r>
            <w:r>
              <w:rPr>
                <w:rFonts w:ascii="Arial" w:hAnsi="Arial" w:cs="Arial"/>
                <w:noProof/>
                <w:webHidden/>
                <w:sz w:val="22"/>
                <w:szCs w:val="22"/>
              </w:rPr>
              <w:t>5</w:t>
            </w:r>
            <w:r w:rsidRPr="00DE56A5">
              <w:rPr>
                <w:rFonts w:ascii="Arial" w:hAnsi="Arial" w:cs="Arial"/>
                <w:noProof/>
                <w:webHidden/>
                <w:sz w:val="22"/>
                <w:szCs w:val="22"/>
              </w:rPr>
              <w:fldChar w:fldCharType="end"/>
            </w:r>
          </w:hyperlink>
        </w:p>
        <w:p w14:paraId="50F0C2A5" w14:textId="5BE1F915" w:rsidR="00DE56A5" w:rsidRPr="00DE56A5" w:rsidRDefault="00DE56A5">
          <w:pPr>
            <w:pStyle w:val="TOC1"/>
            <w:tabs>
              <w:tab w:val="right" w:leader="dot" w:pos="10592"/>
            </w:tabs>
            <w:rPr>
              <w:rFonts w:ascii="Arial" w:hAnsi="Arial" w:cs="Arial"/>
              <w:b w:val="0"/>
              <w:bCs w:val="0"/>
              <w:i w:val="0"/>
              <w:iCs w:val="0"/>
              <w:noProof/>
              <w:kern w:val="0"/>
              <w:sz w:val="22"/>
              <w:szCs w:val="22"/>
              <w:lang w:eastAsia="en-GB"/>
              <w14:ligatures w14:val="none"/>
            </w:rPr>
          </w:pPr>
          <w:hyperlink w:anchor="_Toc238162355" w:history="1">
            <w:r w:rsidRPr="00DE56A5">
              <w:rPr>
                <w:rStyle w:val="Hyperlink"/>
                <w:rFonts w:ascii="Arial" w:hAnsi="Arial" w:cs="Arial"/>
                <w:noProof/>
                <w:sz w:val="22"/>
                <w:szCs w:val="22"/>
              </w:rPr>
              <w:t>6. References</w:t>
            </w:r>
            <w:r w:rsidRPr="00DE56A5">
              <w:rPr>
                <w:rFonts w:ascii="Arial" w:hAnsi="Arial" w:cs="Arial"/>
                <w:noProof/>
                <w:webHidden/>
                <w:sz w:val="22"/>
                <w:szCs w:val="22"/>
              </w:rPr>
              <w:tab/>
            </w:r>
            <w:r w:rsidRPr="00DE56A5">
              <w:rPr>
                <w:rFonts w:ascii="Arial" w:hAnsi="Arial" w:cs="Arial"/>
                <w:noProof/>
                <w:webHidden/>
                <w:sz w:val="22"/>
                <w:szCs w:val="22"/>
              </w:rPr>
              <w:fldChar w:fldCharType="begin"/>
            </w:r>
            <w:r w:rsidRPr="00DE56A5">
              <w:rPr>
                <w:rFonts w:ascii="Arial" w:hAnsi="Arial" w:cs="Arial"/>
                <w:noProof/>
                <w:webHidden/>
                <w:sz w:val="22"/>
                <w:szCs w:val="22"/>
              </w:rPr>
              <w:instrText xml:space="preserve"> PAGEREF _Toc238162355 \h </w:instrText>
            </w:r>
            <w:r w:rsidRPr="00DE56A5">
              <w:rPr>
                <w:rFonts w:ascii="Arial" w:hAnsi="Arial" w:cs="Arial"/>
                <w:noProof/>
                <w:webHidden/>
                <w:sz w:val="22"/>
                <w:szCs w:val="22"/>
              </w:rPr>
            </w:r>
            <w:r w:rsidRPr="00DE56A5">
              <w:rPr>
                <w:rFonts w:ascii="Arial" w:hAnsi="Arial" w:cs="Arial"/>
                <w:noProof/>
                <w:webHidden/>
                <w:sz w:val="22"/>
                <w:szCs w:val="22"/>
              </w:rPr>
              <w:fldChar w:fldCharType="separate"/>
            </w:r>
            <w:r>
              <w:rPr>
                <w:rFonts w:ascii="Arial" w:hAnsi="Arial" w:cs="Arial"/>
                <w:noProof/>
                <w:webHidden/>
                <w:sz w:val="22"/>
                <w:szCs w:val="22"/>
              </w:rPr>
              <w:t>6</w:t>
            </w:r>
            <w:r w:rsidRPr="00DE56A5">
              <w:rPr>
                <w:rFonts w:ascii="Arial" w:hAnsi="Arial" w:cs="Arial"/>
                <w:noProof/>
                <w:webHidden/>
                <w:sz w:val="22"/>
                <w:szCs w:val="22"/>
              </w:rPr>
              <w:fldChar w:fldCharType="end"/>
            </w:r>
          </w:hyperlink>
        </w:p>
        <w:p w14:paraId="73F09108" w14:textId="3F6805EA" w:rsidR="00B330F2" w:rsidRPr="00DE56A5" w:rsidRDefault="00B330F2">
          <w:pPr>
            <w:rPr>
              <w:rFonts w:ascii="Arial" w:hAnsi="Arial" w:cs="Arial"/>
              <w:sz w:val="22"/>
            </w:rPr>
          </w:pPr>
          <w:r w:rsidRPr="00DE56A5">
            <w:rPr>
              <w:rFonts w:ascii="Arial" w:hAnsi="Arial" w:cs="Arial"/>
              <w:b/>
              <w:bCs/>
              <w:noProof/>
              <w:sz w:val="22"/>
            </w:rPr>
            <w:fldChar w:fldCharType="end"/>
          </w:r>
        </w:p>
      </w:sdtContent>
    </w:sdt>
    <w:p w14:paraId="41A63835" w14:textId="77777777" w:rsidR="00ED5964" w:rsidRPr="00DE56A5" w:rsidRDefault="00ED5964" w:rsidP="00ED5964">
      <w:pPr>
        <w:jc w:val="both"/>
        <w:rPr>
          <w:rFonts w:ascii="Arial" w:hAnsi="Arial" w:cs="Arial"/>
          <w:b/>
          <w:bCs/>
          <w:sz w:val="22"/>
        </w:rPr>
      </w:pPr>
    </w:p>
    <w:p w14:paraId="123865CA" w14:textId="77777777" w:rsidR="00ED5964" w:rsidRPr="00DE56A5" w:rsidRDefault="00ED5964" w:rsidP="00ED5964">
      <w:pPr>
        <w:jc w:val="both"/>
        <w:rPr>
          <w:rFonts w:ascii="Arial" w:hAnsi="Arial" w:cs="Arial"/>
          <w:b/>
          <w:bCs/>
          <w:sz w:val="22"/>
        </w:rPr>
      </w:pPr>
    </w:p>
    <w:p w14:paraId="2A21042D" w14:textId="77777777" w:rsidR="00ED5964" w:rsidRPr="00DE56A5" w:rsidRDefault="00ED5964" w:rsidP="00ED5964">
      <w:pPr>
        <w:jc w:val="both"/>
        <w:rPr>
          <w:rFonts w:ascii="Arial" w:hAnsi="Arial" w:cs="Arial"/>
          <w:b/>
          <w:bCs/>
          <w:sz w:val="22"/>
        </w:rPr>
      </w:pPr>
    </w:p>
    <w:p w14:paraId="48382F67" w14:textId="77777777" w:rsidR="00ED5964" w:rsidRPr="00DE56A5" w:rsidRDefault="00ED5964" w:rsidP="00ED5964">
      <w:pPr>
        <w:jc w:val="both"/>
        <w:rPr>
          <w:rFonts w:ascii="Arial" w:hAnsi="Arial" w:cs="Arial"/>
          <w:b/>
          <w:bCs/>
          <w:sz w:val="22"/>
        </w:rPr>
      </w:pPr>
    </w:p>
    <w:p w14:paraId="6A057EFD" w14:textId="77777777" w:rsidR="00ED5964" w:rsidRPr="00DE56A5" w:rsidRDefault="00ED5964" w:rsidP="00ED5964">
      <w:pPr>
        <w:jc w:val="both"/>
        <w:rPr>
          <w:rFonts w:ascii="Arial" w:hAnsi="Arial" w:cs="Arial"/>
          <w:b/>
          <w:bCs/>
          <w:sz w:val="22"/>
        </w:rPr>
      </w:pPr>
    </w:p>
    <w:p w14:paraId="55078F3B" w14:textId="77777777" w:rsidR="00ED5964" w:rsidRPr="00DE56A5" w:rsidRDefault="00ED5964" w:rsidP="00ED5964">
      <w:pPr>
        <w:jc w:val="both"/>
        <w:rPr>
          <w:rFonts w:ascii="Arial" w:hAnsi="Arial" w:cs="Arial"/>
          <w:b/>
          <w:bCs/>
          <w:sz w:val="22"/>
        </w:rPr>
      </w:pPr>
    </w:p>
    <w:p w14:paraId="4CEF6B46" w14:textId="77777777" w:rsidR="005709B1" w:rsidRPr="00DE56A5" w:rsidRDefault="005709B1" w:rsidP="005709B1">
      <w:pPr>
        <w:rPr>
          <w:rFonts w:ascii="Arial" w:hAnsi="Arial" w:cs="Arial"/>
          <w:sz w:val="22"/>
        </w:rPr>
      </w:pPr>
    </w:p>
    <w:p w14:paraId="49780187" w14:textId="6A4BCABF" w:rsidR="005054F8" w:rsidRPr="00DE56A5" w:rsidRDefault="005054F8" w:rsidP="00C20C5F">
      <w:pPr>
        <w:rPr>
          <w:rFonts w:ascii="Arial" w:hAnsi="Arial" w:cs="Arial"/>
          <w:b/>
          <w:bCs/>
          <w:sz w:val="22"/>
        </w:rPr>
      </w:pPr>
    </w:p>
    <w:p w14:paraId="78ADE590" w14:textId="424CBFE5" w:rsidR="00C20C5F" w:rsidRPr="00DE56A5" w:rsidRDefault="00C20C5F" w:rsidP="00C20C5F">
      <w:pPr>
        <w:rPr>
          <w:rFonts w:ascii="Arial" w:hAnsi="Arial" w:cs="Arial"/>
          <w:b/>
          <w:bCs/>
          <w:sz w:val="22"/>
        </w:rPr>
      </w:pPr>
    </w:p>
    <w:p w14:paraId="156A9454" w14:textId="34C90FB7" w:rsidR="00C20C5F" w:rsidRPr="00DE56A5" w:rsidRDefault="00C20C5F" w:rsidP="00C20C5F">
      <w:pPr>
        <w:rPr>
          <w:rFonts w:ascii="Arial" w:hAnsi="Arial" w:cs="Arial"/>
          <w:b/>
          <w:bCs/>
          <w:sz w:val="22"/>
        </w:rPr>
      </w:pPr>
    </w:p>
    <w:p w14:paraId="206CB7F9" w14:textId="05DA92CB" w:rsidR="00C20C5F" w:rsidRPr="00DE56A5" w:rsidRDefault="00C20C5F" w:rsidP="00C20C5F">
      <w:pPr>
        <w:rPr>
          <w:rFonts w:ascii="Arial" w:hAnsi="Arial" w:cs="Arial"/>
          <w:b/>
          <w:bCs/>
          <w:sz w:val="22"/>
        </w:rPr>
      </w:pPr>
    </w:p>
    <w:p w14:paraId="2D3E263A" w14:textId="444D468D" w:rsidR="00C20C5F" w:rsidRPr="00DE56A5" w:rsidRDefault="00C20C5F" w:rsidP="00C20C5F">
      <w:pPr>
        <w:rPr>
          <w:rFonts w:ascii="Arial" w:hAnsi="Arial" w:cs="Arial"/>
          <w:b/>
          <w:bCs/>
          <w:sz w:val="22"/>
        </w:rPr>
      </w:pPr>
    </w:p>
    <w:p w14:paraId="63987400" w14:textId="6AA7099A" w:rsidR="00C20C5F" w:rsidRPr="00DE56A5" w:rsidRDefault="00C20C5F" w:rsidP="00C20C5F">
      <w:pPr>
        <w:rPr>
          <w:rFonts w:ascii="Arial" w:hAnsi="Arial" w:cs="Arial"/>
          <w:b/>
          <w:bCs/>
          <w:sz w:val="22"/>
        </w:rPr>
      </w:pPr>
    </w:p>
    <w:p w14:paraId="25283E7A" w14:textId="13F18685" w:rsidR="00C20C5F" w:rsidRPr="00DE56A5" w:rsidRDefault="00C20C5F" w:rsidP="00C20C5F">
      <w:pPr>
        <w:rPr>
          <w:rFonts w:ascii="Arial" w:hAnsi="Arial" w:cs="Arial"/>
          <w:b/>
          <w:bCs/>
          <w:sz w:val="22"/>
        </w:rPr>
      </w:pPr>
    </w:p>
    <w:p w14:paraId="33C258A2" w14:textId="3BC707F2" w:rsidR="00C20C5F" w:rsidRPr="00DE56A5" w:rsidRDefault="00C20C5F" w:rsidP="00C20C5F">
      <w:pPr>
        <w:rPr>
          <w:rFonts w:ascii="Arial" w:hAnsi="Arial" w:cs="Arial"/>
          <w:b/>
          <w:bCs/>
          <w:sz w:val="22"/>
        </w:rPr>
      </w:pPr>
    </w:p>
    <w:p w14:paraId="5D88A2AF" w14:textId="77777777" w:rsidR="00282B4C" w:rsidRPr="00DE56A5" w:rsidRDefault="00282B4C" w:rsidP="00C20C5F">
      <w:pPr>
        <w:rPr>
          <w:rFonts w:ascii="Arial" w:hAnsi="Arial" w:cs="Arial"/>
          <w:b/>
          <w:bCs/>
          <w:sz w:val="22"/>
        </w:rPr>
      </w:pPr>
    </w:p>
    <w:p w14:paraId="4237E15C" w14:textId="74CD5A7D" w:rsidR="00C20C5F" w:rsidRPr="00DE56A5" w:rsidRDefault="00C20C5F" w:rsidP="00C20C5F">
      <w:pPr>
        <w:rPr>
          <w:rFonts w:ascii="Arial" w:hAnsi="Arial" w:cs="Arial"/>
          <w:b/>
          <w:bCs/>
          <w:sz w:val="22"/>
        </w:rPr>
      </w:pPr>
    </w:p>
    <w:p w14:paraId="051565F9" w14:textId="7DEA36B7" w:rsidR="00C20C5F" w:rsidRPr="00DE56A5" w:rsidRDefault="00C20C5F" w:rsidP="00C20C5F">
      <w:pPr>
        <w:rPr>
          <w:rFonts w:ascii="Arial" w:hAnsi="Arial" w:cs="Arial"/>
          <w:b/>
          <w:bCs/>
          <w:sz w:val="22"/>
        </w:rPr>
      </w:pPr>
    </w:p>
    <w:p w14:paraId="1D41FE06" w14:textId="77777777" w:rsidR="00282B4C" w:rsidRPr="00DE56A5" w:rsidRDefault="00282B4C" w:rsidP="00C20C5F">
      <w:pPr>
        <w:rPr>
          <w:rFonts w:ascii="Arial" w:hAnsi="Arial" w:cs="Arial"/>
          <w:b/>
          <w:bCs/>
          <w:sz w:val="22"/>
        </w:rPr>
      </w:pPr>
    </w:p>
    <w:p w14:paraId="09F54457" w14:textId="77777777" w:rsidR="00467CA1" w:rsidRPr="00DE56A5" w:rsidRDefault="00467CA1" w:rsidP="00C20C5F">
      <w:pPr>
        <w:rPr>
          <w:rFonts w:ascii="Arial" w:hAnsi="Arial" w:cs="Arial"/>
          <w:b/>
          <w:bCs/>
          <w:sz w:val="22"/>
        </w:rPr>
      </w:pPr>
    </w:p>
    <w:p w14:paraId="0EAC352B" w14:textId="7F807CDF" w:rsidR="00C20C5F" w:rsidRPr="00DE56A5" w:rsidRDefault="00C20C5F" w:rsidP="00C20C5F">
      <w:pPr>
        <w:rPr>
          <w:rFonts w:ascii="Arial" w:hAnsi="Arial" w:cs="Arial"/>
          <w:b/>
          <w:bCs/>
          <w:sz w:val="22"/>
        </w:rPr>
      </w:pPr>
    </w:p>
    <w:p w14:paraId="7F43776F" w14:textId="5A49EA6A" w:rsidR="00C20C5F" w:rsidRPr="00DE56A5" w:rsidRDefault="00C20C5F" w:rsidP="00C20C5F">
      <w:pPr>
        <w:rPr>
          <w:rFonts w:ascii="Arial" w:hAnsi="Arial" w:cs="Arial"/>
          <w:b/>
          <w:bCs/>
          <w:sz w:val="22"/>
        </w:rPr>
      </w:pPr>
    </w:p>
    <w:p w14:paraId="60B2BF8B" w14:textId="49CA00E6" w:rsidR="00C20C5F" w:rsidRDefault="00C20C5F" w:rsidP="00C20C5F">
      <w:pPr>
        <w:rPr>
          <w:rFonts w:ascii="Arial" w:hAnsi="Arial" w:cs="Arial"/>
          <w:b/>
          <w:bCs/>
          <w:sz w:val="22"/>
        </w:rPr>
      </w:pPr>
    </w:p>
    <w:p w14:paraId="65915224" w14:textId="77777777" w:rsidR="00DE56A5" w:rsidRPr="00DE56A5" w:rsidRDefault="00DE56A5" w:rsidP="00C20C5F">
      <w:pPr>
        <w:rPr>
          <w:rFonts w:ascii="Arial" w:hAnsi="Arial" w:cs="Arial"/>
          <w:b/>
          <w:bCs/>
          <w:sz w:val="22"/>
        </w:rPr>
      </w:pPr>
    </w:p>
    <w:p w14:paraId="5E815400" w14:textId="22807E96" w:rsidR="00C20C5F" w:rsidRPr="00DE56A5" w:rsidRDefault="00C20C5F" w:rsidP="00C20C5F">
      <w:pPr>
        <w:rPr>
          <w:rFonts w:ascii="Arial" w:hAnsi="Arial" w:cs="Arial"/>
          <w:b/>
          <w:bCs/>
          <w:sz w:val="22"/>
        </w:rPr>
      </w:pPr>
    </w:p>
    <w:p w14:paraId="0097269E" w14:textId="77777777" w:rsidR="00CD799A" w:rsidRPr="00DE56A5" w:rsidRDefault="00CD799A" w:rsidP="00CD799A">
      <w:pPr>
        <w:pStyle w:val="isselectedend"/>
        <w:rPr>
          <w:rFonts w:ascii="Arial" w:hAnsi="Arial" w:cs="Arial"/>
          <w:sz w:val="22"/>
          <w:szCs w:val="22"/>
        </w:rPr>
      </w:pPr>
    </w:p>
    <w:p w14:paraId="5275BBF0" w14:textId="4E4CFF9D" w:rsidR="00CD799A" w:rsidRPr="00DE56A5" w:rsidRDefault="00CD799A" w:rsidP="00CD799A">
      <w:pPr>
        <w:pStyle w:val="Heading1"/>
        <w:rPr>
          <w:rFonts w:ascii="Arial" w:hAnsi="Arial" w:cs="Arial"/>
          <w:sz w:val="22"/>
          <w:szCs w:val="22"/>
        </w:rPr>
      </w:pPr>
      <w:bookmarkStart w:id="0" w:name="_Toc238162350"/>
      <w:r w:rsidRPr="00DE56A5">
        <w:rPr>
          <w:rFonts w:ascii="Arial" w:hAnsi="Arial" w:cs="Arial"/>
          <w:sz w:val="22"/>
          <w:szCs w:val="22"/>
        </w:rPr>
        <w:lastRenderedPageBreak/>
        <w:t xml:space="preserve">1. </w:t>
      </w:r>
      <w:r w:rsidRPr="00DE56A5">
        <w:rPr>
          <w:rFonts w:ascii="Arial" w:hAnsi="Arial" w:cs="Arial"/>
          <w:sz w:val="22"/>
          <w:szCs w:val="22"/>
        </w:rPr>
        <w:t>Introduction</w:t>
      </w:r>
      <w:bookmarkEnd w:id="0"/>
    </w:p>
    <w:p w14:paraId="7C39CD9C" w14:textId="479C4E54" w:rsidR="00CD799A" w:rsidRPr="00DE56A5" w:rsidRDefault="00CD799A" w:rsidP="00CD799A">
      <w:pPr>
        <w:pStyle w:val="isselectedend"/>
        <w:rPr>
          <w:rFonts w:ascii="Arial" w:hAnsi="Arial" w:cs="Arial"/>
          <w:sz w:val="22"/>
          <w:szCs w:val="22"/>
        </w:rPr>
      </w:pPr>
      <w:r w:rsidRPr="00DE56A5">
        <w:rPr>
          <w:rFonts w:ascii="Arial" w:hAnsi="Arial" w:cs="Arial"/>
          <w:sz w:val="22"/>
          <w:szCs w:val="22"/>
        </w:rPr>
        <w:t>Mrs Thompson is an 84-year-old woman who has recently returned home after being treated in hospital for pneumonia. She lives alone in sheltered housing and receives domiciliary care twice each day. She has mild dementia and sometimes forgets to take her medication. This became a concern because she missed two days of medication and became more confused. An incident has been recorded and a medication review has been requested. She was also found outside without suitable clothing in cold weather, so the local council is reviewing the case.</w:t>
      </w:r>
    </w:p>
    <w:p w14:paraId="5091D6E0" w14:textId="77777777" w:rsidR="00CD799A" w:rsidRPr="00DE56A5" w:rsidRDefault="00CD799A" w:rsidP="00CD799A">
      <w:pPr>
        <w:pStyle w:val="NormalWeb"/>
        <w:rPr>
          <w:rFonts w:ascii="Arial" w:hAnsi="Arial" w:cs="Arial"/>
          <w:sz w:val="22"/>
          <w:szCs w:val="22"/>
        </w:rPr>
      </w:pPr>
      <w:r w:rsidRPr="00DE56A5">
        <w:rPr>
          <w:rFonts w:ascii="Arial" w:hAnsi="Arial" w:cs="Arial"/>
          <w:sz w:val="22"/>
          <w:szCs w:val="22"/>
        </w:rPr>
        <w:t>Mrs Thompson’s situation shows why good communication, accurate records and teamwork are important in health and social care. Staff need to understand her needs, share relevant information and make sure she is safe while still respecting her choices. This report will discuss communication with Mrs Thompson, record keeping and administrative practice, and collaborative working between the professionals involved in her care.</w:t>
      </w:r>
    </w:p>
    <w:p w14:paraId="4FB617E1" w14:textId="77777777" w:rsidR="00CD799A" w:rsidRPr="00DE56A5" w:rsidRDefault="00CD799A" w:rsidP="00CD799A">
      <w:pPr>
        <w:rPr>
          <w:rFonts w:ascii="Arial" w:hAnsi="Arial" w:cs="Arial"/>
          <w:sz w:val="22"/>
        </w:rPr>
      </w:pPr>
    </w:p>
    <w:p w14:paraId="13523027" w14:textId="3C3720EB" w:rsidR="00CD799A" w:rsidRPr="00DE56A5" w:rsidRDefault="00CD799A" w:rsidP="00CD799A">
      <w:pPr>
        <w:pStyle w:val="Heading1"/>
        <w:rPr>
          <w:rFonts w:ascii="Arial" w:hAnsi="Arial" w:cs="Arial"/>
          <w:sz w:val="22"/>
          <w:szCs w:val="22"/>
        </w:rPr>
      </w:pPr>
      <w:bookmarkStart w:id="1" w:name="_Toc238162351"/>
      <w:r w:rsidRPr="00DE56A5">
        <w:rPr>
          <w:rFonts w:ascii="Arial" w:hAnsi="Arial" w:cs="Arial"/>
          <w:sz w:val="22"/>
          <w:szCs w:val="22"/>
        </w:rPr>
        <w:t xml:space="preserve">2. </w:t>
      </w:r>
      <w:r w:rsidRPr="00DE56A5">
        <w:rPr>
          <w:rFonts w:ascii="Arial" w:hAnsi="Arial" w:cs="Arial"/>
          <w:sz w:val="22"/>
          <w:szCs w:val="22"/>
        </w:rPr>
        <w:t>Effective Communication</w:t>
      </w:r>
      <w:bookmarkEnd w:id="1"/>
    </w:p>
    <w:p w14:paraId="5616ECAF"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Good communication is important in Mrs Thompson’s care because several people are involved in supporting her. She has mild dementia, so she may forget information or become confused. Staff should speak clearly, use simple language and give her enough time to respond. They should not assume that she cannot understand or make decisions just because she has dementia. Her hearing, eyesight and communication needs should also be considered.</w:t>
      </w:r>
    </w:p>
    <w:p w14:paraId="4882E1FF"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The Shannon and Weaver communication model can be used in this situation. The model describes communication as a message being sent from one person to another through a channel. Noise can interfere with the message (Shannon and Weaver, 1949). In Mrs Thompson’s case, a care worker may need to explain when her medication should be taken. Background noise, confusion, hearing problems or using complicated words could affect the message. Staff should reduce these problems by choosing a quiet place, speaking clearly and checking that Mrs Thompson has understood. Asking her to explain the information back in her own words can provide useful feedback.</w:t>
      </w:r>
    </w:p>
    <w:p w14:paraId="6024C71B"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Communication with Mrs Thompson’s family is also important, but staff must respect her rights and confidentiality. Information should not automatically be shared with relatives just because they are family. Staff should check Mrs Thompson’s wishes and whether there is a lawful reason to share information. If she lacks capacity for a particular decision, the Mental Capacity Act 2005 requires decisions to be made in her best interests. Her wishes and feelings should still be considered when decisions are made (Office of the Public Guardian, 2020).</w:t>
      </w:r>
    </w:p>
    <w:p w14:paraId="7DF73DFB"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The Equality Act 2010 is also important. It protects people from discrimination and requires reasonable adjustments where appropriate. For Mrs Thompson, this could mean giving information in a way she can understand, allowing extra time for conversations or using clear and simple explanations. Staff should treat her with dignity and should not make decisions simply because of her age or dementia. Reasonable adjustments can include changes to communication and the way services are provided (GOV.UK, 2020).</w:t>
      </w:r>
    </w:p>
    <w:p w14:paraId="1111CAF6"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Good communication also means listening to Mrs Thompson. Staff should ask what she wants, what worries her and what support she feels would help. Family members can provide useful information about changes in her behaviour, but Mrs Thompson should remain involved as much as possible. Clear communication between care workers, the GP, community nurse and family can help identify changes early and reduce the risk of missed medication or other harm.</w:t>
      </w:r>
    </w:p>
    <w:p w14:paraId="6DC76044" w14:textId="13092013" w:rsid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Staff should also check that important information has been understood. This is especially important when medication instructions are involved. If Mrs Thompson is confused, the worker can repeat the information, ask her to explain it back, and use written reminders when these are suitable. This gives the worker feedback and may show that further support is needed. This can support safe care and reduce mistakes between staff members during handovers.</w:t>
      </w:r>
    </w:p>
    <w:p w14:paraId="60202914" w14:textId="77777777" w:rsidR="00DE56A5" w:rsidRPr="00DE56A5" w:rsidRDefault="00DE56A5" w:rsidP="00CD799A">
      <w:pPr>
        <w:spacing w:before="100" w:beforeAutospacing="1" w:after="100" w:afterAutospacing="1" w:line="240" w:lineRule="auto"/>
        <w:rPr>
          <w:rFonts w:ascii="Arial" w:eastAsia="Times New Roman" w:hAnsi="Arial" w:cs="Arial"/>
          <w:kern w:val="0"/>
          <w:sz w:val="22"/>
          <w:lang w:eastAsia="en-GB"/>
          <w14:ligatures w14:val="none"/>
        </w:rPr>
      </w:pPr>
    </w:p>
    <w:p w14:paraId="34201243" w14:textId="026E749F" w:rsidR="00CD799A" w:rsidRPr="00DE56A5" w:rsidRDefault="00CD799A" w:rsidP="00CD799A">
      <w:pPr>
        <w:pStyle w:val="Heading1"/>
        <w:rPr>
          <w:rFonts w:ascii="Arial" w:hAnsi="Arial" w:cs="Arial"/>
          <w:sz w:val="22"/>
          <w:szCs w:val="22"/>
          <w:lang w:eastAsia="en-GB"/>
        </w:rPr>
      </w:pPr>
      <w:bookmarkStart w:id="2" w:name="_Toc238162352"/>
      <w:r w:rsidRPr="00DE56A5">
        <w:rPr>
          <w:rFonts w:ascii="Arial" w:hAnsi="Arial" w:cs="Arial"/>
          <w:sz w:val="22"/>
          <w:szCs w:val="22"/>
          <w:lang w:eastAsia="en-GB"/>
        </w:rPr>
        <w:lastRenderedPageBreak/>
        <w:t xml:space="preserve">3. </w:t>
      </w:r>
      <w:r w:rsidRPr="00DE56A5">
        <w:rPr>
          <w:rFonts w:ascii="Arial" w:hAnsi="Arial" w:cs="Arial"/>
          <w:sz w:val="22"/>
          <w:szCs w:val="22"/>
          <w:lang w:eastAsia="en-GB"/>
        </w:rPr>
        <w:t>Administrative Skills and Record Keeping</w:t>
      </w:r>
      <w:bookmarkEnd w:id="2"/>
    </w:p>
    <w:p w14:paraId="3A1879B8" w14:textId="77777777" w:rsidR="00CD799A" w:rsidRPr="00DE56A5" w:rsidRDefault="00CD799A" w:rsidP="00CD799A">
      <w:pPr>
        <w:rPr>
          <w:rFonts w:ascii="Arial" w:hAnsi="Arial" w:cs="Arial"/>
          <w:sz w:val="22"/>
          <w:lang w:eastAsia="en-GB"/>
        </w:rPr>
      </w:pPr>
    </w:p>
    <w:p w14:paraId="43E790CC" w14:textId="5516C6EC" w:rsidR="00CD799A" w:rsidRPr="00DE56A5" w:rsidRDefault="00CD799A" w:rsidP="00CD799A">
      <w:pPr>
        <w:rPr>
          <w:rFonts w:ascii="Arial" w:hAnsi="Arial" w:cs="Arial"/>
          <w:sz w:val="22"/>
        </w:rPr>
      </w:pPr>
      <w:r w:rsidRPr="00DE56A5">
        <w:rPr>
          <w:rFonts w:ascii="Arial" w:hAnsi="Arial" w:cs="Arial"/>
          <w:sz w:val="22"/>
        </w:rPr>
        <w:t>Good administrative skills are important because health and social care staff need to keep clear, accurate and up-to-date information. In Mrs Thompson’s case, the missed medication and increased confusion have already been recorded through the service’s incident process. This record is important because it gives other professionals information about what happened and what action has been taken.</w:t>
      </w:r>
    </w:p>
    <w:p w14:paraId="2107B5D1" w14:textId="65DA26EC" w:rsidR="00CD799A" w:rsidRPr="00DE56A5" w:rsidRDefault="00CD799A" w:rsidP="00CD799A">
      <w:pPr>
        <w:rPr>
          <w:rFonts w:ascii="Arial" w:hAnsi="Arial" w:cs="Arial"/>
          <w:sz w:val="22"/>
        </w:rPr>
      </w:pPr>
      <w:r w:rsidRPr="00DE56A5">
        <w:rPr>
          <w:rFonts w:ascii="Arial" w:hAnsi="Arial" w:cs="Arial"/>
          <w:sz w:val="22"/>
        </w:rPr>
        <w:t>Care workers should record information as soon as possible and keep it factual. They should record what they saw, what Mrs Thompson said, what medication was missed, what action was taken and who was informed. Staff should avoid personal opinions or unclear statements. For example, writing that “Mrs Thompson seemed more confused than usual and missed her medication for two days” is more useful than simply writing that she was “not herself”. Records should be dated, timed and signed or linked to the staff member who made the entry.</w:t>
      </w:r>
    </w:p>
    <w:p w14:paraId="2D976E51" w14:textId="7D1407BE" w:rsidR="00CD799A" w:rsidRPr="00DE56A5" w:rsidRDefault="00CD799A" w:rsidP="00CD799A">
      <w:pPr>
        <w:rPr>
          <w:rFonts w:ascii="Arial" w:hAnsi="Arial" w:cs="Arial"/>
          <w:sz w:val="22"/>
        </w:rPr>
      </w:pPr>
      <w:r w:rsidRPr="00DE56A5">
        <w:rPr>
          <w:rFonts w:ascii="Arial" w:hAnsi="Arial" w:cs="Arial"/>
          <w:sz w:val="22"/>
        </w:rPr>
        <w:t>The Data Protection Act 2018 and UK General Data Protection Regulation (UK GDPR) are important when handling Mrs Thompson’s information. Health and care information is sensitive, so staff must have a lawful reason for using or sharing it. Information should only be shared with people who need it for their work, and only the necessary information should be shared. Passwords, secure systems and private conversations should be used to protect confidential information. Health information is classed as special category data and has additional protection under the UK GDPR and Data Protection Act 2018 (ICO, 2026).</w:t>
      </w:r>
    </w:p>
    <w:p w14:paraId="4F0E74D4" w14:textId="047A0654" w:rsidR="00CD799A" w:rsidRPr="00DE56A5" w:rsidRDefault="00CD799A" w:rsidP="00CD799A">
      <w:pPr>
        <w:rPr>
          <w:rFonts w:ascii="Arial" w:hAnsi="Arial" w:cs="Arial"/>
          <w:sz w:val="22"/>
        </w:rPr>
      </w:pPr>
      <w:r w:rsidRPr="00DE56A5">
        <w:rPr>
          <w:rFonts w:ascii="Arial" w:hAnsi="Arial" w:cs="Arial"/>
          <w:sz w:val="22"/>
        </w:rPr>
        <w:t>The Caldicott Principles also support safe information sharing. They say that confidential information should only be used when necessary, the minimum amount should be shared and access should be limited to people who need to know. At the same time, information should be shared when this is necessary for safe and effective care. Therefore, staff should not keep important information to themselves if another professional needs it to protect Mrs Thompson (National Data Guardian, 2020).</w:t>
      </w:r>
    </w:p>
    <w:p w14:paraId="644CD7CC" w14:textId="58517332" w:rsidR="00CD799A" w:rsidRPr="00DE56A5" w:rsidRDefault="00CD799A" w:rsidP="00CD799A">
      <w:pPr>
        <w:rPr>
          <w:rFonts w:ascii="Arial" w:hAnsi="Arial" w:cs="Arial"/>
          <w:sz w:val="22"/>
        </w:rPr>
      </w:pPr>
      <w:r w:rsidRPr="00DE56A5">
        <w:rPr>
          <w:rFonts w:ascii="Arial" w:hAnsi="Arial" w:cs="Arial"/>
          <w:sz w:val="22"/>
        </w:rPr>
        <w:t>Good record keeping is also important when different organisations are involved. NHS England’s Records Management Code of Practice provides guidance on creating, storing, retaining and disposing of health and care records. If Mrs Thompson’s care worker notices another medication problem, the information should be added to her care record and passed to the appropriate professional. The record should allow the GP, community nurse and care team to understand what has happened and what action is needed. NHS England states that records should be complete, accurate and fit for purpose and that staff have responsibilities for managing records correctly (NHS England, 2026).</w:t>
      </w:r>
    </w:p>
    <w:p w14:paraId="7364C2A3" w14:textId="4CD4DC9A" w:rsidR="00CD799A" w:rsidRDefault="00CD799A" w:rsidP="00CD799A">
      <w:pPr>
        <w:rPr>
          <w:rFonts w:ascii="Arial" w:hAnsi="Arial" w:cs="Arial"/>
          <w:sz w:val="22"/>
        </w:rPr>
      </w:pPr>
      <w:r w:rsidRPr="00DE56A5">
        <w:rPr>
          <w:rFonts w:ascii="Arial" w:hAnsi="Arial" w:cs="Arial"/>
          <w:sz w:val="22"/>
        </w:rPr>
        <w:t>Accurate administration also includes following workplace policies. Staff should know how to report incidents, raise safeguarding concerns, record medication errors and escalate changes in a service user’s condition. In Mrs Thompson’s case, the missed medication and the incident of being outside without suitable clothing should not be treated as isolated events. Together they may show that her needs have changed and that her care plan needs reviewing. Clear records help with accountability and continuity of care. Staff should make sure records are available when required.</w:t>
      </w:r>
    </w:p>
    <w:p w14:paraId="1D1FCED9" w14:textId="77777777" w:rsidR="00DE56A5" w:rsidRPr="00DE56A5" w:rsidRDefault="00DE56A5" w:rsidP="00CD799A">
      <w:pPr>
        <w:rPr>
          <w:rFonts w:ascii="Arial" w:hAnsi="Arial" w:cs="Arial"/>
          <w:sz w:val="22"/>
        </w:rPr>
      </w:pPr>
    </w:p>
    <w:p w14:paraId="00B7B3B0" w14:textId="006F329A" w:rsidR="00CD799A" w:rsidRPr="00DE56A5" w:rsidRDefault="00CD799A" w:rsidP="00CD799A">
      <w:pPr>
        <w:pStyle w:val="Heading1"/>
        <w:rPr>
          <w:rFonts w:ascii="Arial" w:hAnsi="Arial" w:cs="Arial"/>
          <w:sz w:val="22"/>
          <w:szCs w:val="22"/>
        </w:rPr>
      </w:pPr>
      <w:bookmarkStart w:id="3" w:name="_Toc238162353"/>
      <w:r w:rsidRPr="00DE56A5">
        <w:rPr>
          <w:rFonts w:ascii="Arial" w:hAnsi="Arial" w:cs="Arial"/>
          <w:sz w:val="22"/>
          <w:szCs w:val="22"/>
        </w:rPr>
        <w:t>4</w:t>
      </w:r>
      <w:r w:rsidRPr="00DE56A5">
        <w:rPr>
          <w:rFonts w:ascii="Arial" w:hAnsi="Arial" w:cs="Arial"/>
          <w:sz w:val="22"/>
          <w:szCs w:val="22"/>
        </w:rPr>
        <w:t>. Collaborative Working</w:t>
      </w:r>
      <w:bookmarkEnd w:id="3"/>
    </w:p>
    <w:p w14:paraId="2BF9BC20" w14:textId="6F613EEB"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Mrs Thompson’s care involves more than one professional, so good collaboration is needed to keep her safe. The GP may review her medication and health, while the community nurse can monitor her recovery from pneumonia and changes in her condition. Domiciliary care workers see her regularly and may notice changes in her behaviour, medication use or ability to manage at home. The local council also has a role because her care and safeguarding needs are being reviewed.</w:t>
      </w:r>
    </w:p>
    <w:p w14:paraId="26B2E733"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One useful approach is regular information sharing between the professionals. This can happen through care records, telephone calls, referrals, review meetings and multidisciplinary team discussions. Each professional should understand their own role and know when a concern needs to be passed to someone else. Shared care planning can also help everyone work towards the same goals. Partnership working is important because health and social care professionals often have different knowledge and skills that can be brought together to improve support (Glasby, 2017).</w:t>
      </w:r>
    </w:p>
    <w:p w14:paraId="385C659F"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lastRenderedPageBreak/>
        <w:t>There can be challenges in multi-agency working. Different organisations may use different systems, have different procedures or have limited time to communicate. Staff may also be unsure about whether they are allowed to share information. These problems can be reduced through clear policies, staff training, secure communication systems and regular meetings. The Caldicott Principles support sharing information when it is needed for safe care while still protecting confidentiality.</w:t>
      </w:r>
    </w:p>
    <w:p w14:paraId="4BB35349" w14:textId="77777777" w:rsidR="00CD799A" w:rsidRP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The concerns in Mrs Thompson’s case should be considered together. Missing medication, increased confusion and being outside in cold weather could suggest that she is struggling to manage safely on her own. Professionals should discuss these concerns rather than dealing with each event separately. A joint review could consider whether she needs more care visits, medication support, a medication dispenser, a community alarm or an assessment of her mental capacity and home environment.</w:t>
      </w:r>
    </w:p>
    <w:p w14:paraId="398EFF25" w14:textId="47BD2539" w:rsidR="00CD799A" w:rsidRDefault="00CD799A" w:rsidP="00CD799A">
      <w:pPr>
        <w:spacing w:before="100" w:beforeAutospacing="1" w:after="100" w:afterAutospacing="1" w:line="240" w:lineRule="auto"/>
        <w:rPr>
          <w:rFonts w:ascii="Arial" w:eastAsia="Times New Roman" w:hAnsi="Arial" w:cs="Arial"/>
          <w:kern w:val="0"/>
          <w:sz w:val="22"/>
          <w:lang w:eastAsia="en-GB"/>
          <w14:ligatures w14:val="none"/>
        </w:rPr>
      </w:pPr>
      <w:r w:rsidRPr="00CD799A">
        <w:rPr>
          <w:rFonts w:ascii="Arial" w:eastAsia="Times New Roman" w:hAnsi="Arial" w:cs="Arial"/>
          <w:kern w:val="0"/>
          <w:sz w:val="22"/>
          <w:lang w:eastAsia="en-GB"/>
          <w14:ligatures w14:val="none"/>
        </w:rPr>
        <w:t>Mrs Thompson should also be included in decisions wherever possible. Collaborative working is not only about professionals working together; it should include the service user and, where appropriate, family members. This can help create a care plan that is safe but also respects her independence, wishes and dignity. The Care Act 2014 places importance on wellbeing, individual needs, participation and protection from abuse and neglect. It also expects organisations to work together when safeguarding concerns arise (GOV.UK, 2025).</w:t>
      </w:r>
    </w:p>
    <w:p w14:paraId="3E49D04D" w14:textId="77777777" w:rsidR="00DE56A5" w:rsidRPr="00CD799A" w:rsidRDefault="00DE56A5" w:rsidP="00CD799A">
      <w:pPr>
        <w:spacing w:before="100" w:beforeAutospacing="1" w:after="100" w:afterAutospacing="1" w:line="240" w:lineRule="auto"/>
        <w:rPr>
          <w:rFonts w:ascii="Arial" w:eastAsia="Times New Roman" w:hAnsi="Arial" w:cs="Arial"/>
          <w:kern w:val="0"/>
          <w:sz w:val="22"/>
          <w:lang w:eastAsia="en-GB"/>
          <w14:ligatures w14:val="none"/>
        </w:rPr>
      </w:pPr>
    </w:p>
    <w:p w14:paraId="1B4D76C7" w14:textId="5C355E87" w:rsidR="00DE56A5" w:rsidRPr="00DE56A5" w:rsidRDefault="00DE56A5" w:rsidP="00DE56A5">
      <w:pPr>
        <w:pStyle w:val="Heading1"/>
        <w:rPr>
          <w:rFonts w:ascii="Arial" w:hAnsi="Arial" w:cs="Arial"/>
          <w:sz w:val="22"/>
          <w:szCs w:val="22"/>
        </w:rPr>
      </w:pPr>
      <w:bookmarkStart w:id="4" w:name="_Toc238162354"/>
      <w:r w:rsidRPr="00DE56A5">
        <w:rPr>
          <w:rFonts w:ascii="Arial" w:hAnsi="Arial" w:cs="Arial"/>
          <w:sz w:val="22"/>
          <w:szCs w:val="22"/>
        </w:rPr>
        <w:t xml:space="preserve">5. </w:t>
      </w:r>
      <w:r w:rsidRPr="00DE56A5">
        <w:rPr>
          <w:rFonts w:ascii="Arial" w:hAnsi="Arial" w:cs="Arial"/>
          <w:sz w:val="22"/>
          <w:szCs w:val="22"/>
        </w:rPr>
        <w:t>Conclusion</w:t>
      </w:r>
      <w:bookmarkEnd w:id="4"/>
    </w:p>
    <w:p w14:paraId="0E8AE315" w14:textId="77777777"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Mrs Thompson’s case shows how communication, administration and partnership working are connected in health and social care. Staff need to communicate clearly with her, listen to her views and make reasonable adjustments because of her age and dementia. The Equality Act 2010 and Mental Capacity Act 2005 help protect her rights and support person-centred care.</w:t>
      </w:r>
    </w:p>
    <w:p w14:paraId="01366563" w14:textId="77777777"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Accurate records are also essential. The missed medication and changes in her behaviour need to be recorded clearly and shared with the right professionals. The Data Protection Act 2018, UK GDPR, Caldicott Principles and records management guidance help staff protect her information while still sharing it when needed for safe care.</w:t>
      </w:r>
    </w:p>
    <w:p w14:paraId="1EDC48C1" w14:textId="77777777"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Finally, the GP, community nurse, domiciliary care workers, local council and family need to work together. Looking at all the concerns together may show that Mrs Thompson needs more support. Good teamwork can reduce risks, improve continuity of care and help her remain as independent and safe as possible.</w:t>
      </w:r>
    </w:p>
    <w:p w14:paraId="0678485F" w14:textId="7715F3C4" w:rsidR="00DE56A5" w:rsidRPr="00DE56A5" w:rsidRDefault="00DE56A5" w:rsidP="00282B4C">
      <w:pPr>
        <w:spacing w:after="300" w:line="360" w:lineRule="auto"/>
        <w:rPr>
          <w:rFonts w:ascii="Arial" w:eastAsiaTheme="majorEastAsia" w:hAnsi="Arial" w:cs="Arial"/>
          <w:b/>
          <w:color w:val="2F5496" w:themeColor="accent1" w:themeShade="BF"/>
          <w:sz w:val="22"/>
        </w:rPr>
      </w:pPr>
    </w:p>
    <w:p w14:paraId="2035A223" w14:textId="77777777" w:rsidR="00DE56A5" w:rsidRPr="00DE56A5" w:rsidRDefault="00DE56A5" w:rsidP="00282B4C">
      <w:pPr>
        <w:spacing w:after="300" w:line="360" w:lineRule="auto"/>
        <w:rPr>
          <w:rFonts w:ascii="Arial" w:eastAsiaTheme="majorEastAsia" w:hAnsi="Arial" w:cs="Arial"/>
          <w:b/>
          <w:color w:val="2F5496" w:themeColor="accent1" w:themeShade="BF"/>
          <w:sz w:val="22"/>
        </w:rPr>
      </w:pPr>
    </w:p>
    <w:p w14:paraId="353D5465" w14:textId="30C8F696" w:rsidR="00467CA1" w:rsidRDefault="00467CA1" w:rsidP="00282B4C">
      <w:pPr>
        <w:spacing w:after="300" w:line="360" w:lineRule="auto"/>
        <w:rPr>
          <w:rFonts w:ascii="Arial" w:hAnsi="Arial" w:cs="Arial"/>
          <w:b/>
          <w:bCs/>
          <w:sz w:val="22"/>
        </w:rPr>
      </w:pPr>
    </w:p>
    <w:p w14:paraId="28A89F73" w14:textId="25BB2C2A" w:rsidR="00DE56A5" w:rsidRDefault="00DE56A5" w:rsidP="00282B4C">
      <w:pPr>
        <w:spacing w:after="300" w:line="360" w:lineRule="auto"/>
        <w:rPr>
          <w:rFonts w:ascii="Arial" w:hAnsi="Arial" w:cs="Arial"/>
          <w:b/>
          <w:bCs/>
          <w:sz w:val="22"/>
        </w:rPr>
      </w:pPr>
    </w:p>
    <w:p w14:paraId="189A181C" w14:textId="22E0D0C2" w:rsidR="00DE56A5" w:rsidRDefault="00DE56A5" w:rsidP="00282B4C">
      <w:pPr>
        <w:spacing w:after="300" w:line="360" w:lineRule="auto"/>
        <w:rPr>
          <w:rFonts w:ascii="Arial" w:hAnsi="Arial" w:cs="Arial"/>
          <w:b/>
          <w:bCs/>
          <w:sz w:val="22"/>
        </w:rPr>
      </w:pPr>
    </w:p>
    <w:p w14:paraId="25B56ED5" w14:textId="4CF28CAF" w:rsidR="00DE56A5" w:rsidRDefault="00DE56A5" w:rsidP="00282B4C">
      <w:pPr>
        <w:spacing w:after="300" w:line="360" w:lineRule="auto"/>
        <w:rPr>
          <w:rFonts w:ascii="Arial" w:hAnsi="Arial" w:cs="Arial"/>
          <w:b/>
          <w:bCs/>
          <w:sz w:val="22"/>
        </w:rPr>
      </w:pPr>
    </w:p>
    <w:p w14:paraId="466F95EA" w14:textId="1C3A7EF2" w:rsidR="00DE56A5" w:rsidRDefault="00DE56A5" w:rsidP="00282B4C">
      <w:pPr>
        <w:spacing w:after="300" w:line="360" w:lineRule="auto"/>
        <w:rPr>
          <w:rFonts w:ascii="Arial" w:hAnsi="Arial" w:cs="Arial"/>
          <w:b/>
          <w:bCs/>
          <w:sz w:val="22"/>
        </w:rPr>
      </w:pPr>
    </w:p>
    <w:p w14:paraId="0B24CE54" w14:textId="77777777" w:rsidR="00DE56A5" w:rsidRPr="00DE56A5" w:rsidRDefault="00DE56A5" w:rsidP="00282B4C">
      <w:pPr>
        <w:spacing w:after="300" w:line="360" w:lineRule="auto"/>
        <w:rPr>
          <w:rFonts w:ascii="Arial" w:hAnsi="Arial" w:cs="Arial"/>
          <w:b/>
          <w:bCs/>
          <w:sz w:val="22"/>
        </w:rPr>
      </w:pPr>
    </w:p>
    <w:p w14:paraId="7687810C" w14:textId="1D7CA9B0" w:rsidR="00C20C5F" w:rsidRPr="00DE56A5" w:rsidRDefault="00DE56A5" w:rsidP="00282B4C">
      <w:pPr>
        <w:pStyle w:val="Heading1"/>
        <w:spacing w:after="300" w:line="360" w:lineRule="auto"/>
        <w:rPr>
          <w:rFonts w:ascii="Arial" w:hAnsi="Arial" w:cs="Arial"/>
          <w:sz w:val="22"/>
          <w:szCs w:val="22"/>
        </w:rPr>
      </w:pPr>
      <w:bookmarkStart w:id="5" w:name="_Toc238162355"/>
      <w:r w:rsidRPr="00DE56A5">
        <w:rPr>
          <w:rFonts w:ascii="Arial" w:hAnsi="Arial" w:cs="Arial"/>
          <w:sz w:val="22"/>
          <w:szCs w:val="22"/>
        </w:rPr>
        <w:lastRenderedPageBreak/>
        <w:t>6</w:t>
      </w:r>
      <w:r w:rsidR="00467CA1" w:rsidRPr="00DE56A5">
        <w:rPr>
          <w:rFonts w:ascii="Arial" w:hAnsi="Arial" w:cs="Arial"/>
          <w:sz w:val="22"/>
          <w:szCs w:val="22"/>
        </w:rPr>
        <w:t xml:space="preserve">. </w:t>
      </w:r>
      <w:r w:rsidR="00C20C5F" w:rsidRPr="00DE56A5">
        <w:rPr>
          <w:rFonts w:ascii="Arial" w:hAnsi="Arial" w:cs="Arial"/>
          <w:sz w:val="22"/>
          <w:szCs w:val="22"/>
        </w:rPr>
        <w:t>References</w:t>
      </w:r>
      <w:bookmarkEnd w:id="5"/>
      <w:r w:rsidR="00C20C5F" w:rsidRPr="00DE56A5">
        <w:rPr>
          <w:rFonts w:ascii="Arial" w:hAnsi="Arial" w:cs="Arial"/>
          <w:sz w:val="22"/>
          <w:szCs w:val="22"/>
        </w:rPr>
        <w:t xml:space="preserve"> </w:t>
      </w:r>
    </w:p>
    <w:p w14:paraId="6581222D" w14:textId="79F4EED0"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GOV.UK (2020) </w:t>
      </w:r>
      <w:r w:rsidRPr="00DE56A5">
        <w:rPr>
          <w:rFonts w:ascii="Arial" w:eastAsia="Times New Roman" w:hAnsi="Arial" w:cs="Arial"/>
          <w:i/>
          <w:iCs/>
          <w:kern w:val="0"/>
          <w:sz w:val="22"/>
          <w:lang w:eastAsia="en-GB"/>
          <w14:ligatures w14:val="none"/>
        </w:rPr>
        <w:t>Reasonable adjustments: a legal duty</w:t>
      </w:r>
      <w:r w:rsidRPr="00DE56A5">
        <w:rPr>
          <w:rFonts w:ascii="Arial" w:eastAsia="Times New Roman" w:hAnsi="Arial" w:cs="Arial"/>
          <w:kern w:val="0"/>
          <w:sz w:val="22"/>
          <w:lang w:eastAsia="en-GB"/>
          <w14:ligatures w14:val="none"/>
        </w:rPr>
        <w:t xml:space="preserve">. Available at: </w:t>
      </w:r>
      <w:hyperlink r:id="rId9" w:history="1">
        <w:r w:rsidRPr="00DE56A5">
          <w:rPr>
            <w:rFonts w:ascii="Arial" w:eastAsia="Times New Roman" w:hAnsi="Arial" w:cs="Arial"/>
            <w:color w:val="0000FF"/>
            <w:kern w:val="0"/>
            <w:sz w:val="22"/>
            <w:u w:val="single"/>
            <w:lang w:eastAsia="en-GB"/>
            <w14:ligatures w14:val="none"/>
          </w:rPr>
          <w:t>GOV.UK – Reasonable adjustments</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 xml:space="preserve">12 </w:t>
      </w:r>
      <w:r w:rsidRPr="00DE56A5">
        <w:rPr>
          <w:rFonts w:ascii="Arial" w:eastAsia="Times New Roman" w:hAnsi="Arial" w:cs="Arial"/>
          <w:kern w:val="0"/>
          <w:sz w:val="22"/>
          <w:lang w:eastAsia="en-GB"/>
          <w14:ligatures w14:val="none"/>
        </w:rPr>
        <w:t>August 2026).</w:t>
      </w:r>
    </w:p>
    <w:p w14:paraId="2608FD6E" w14:textId="701229CB"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GOV.UK (2025) </w:t>
      </w:r>
      <w:r w:rsidRPr="00DE56A5">
        <w:rPr>
          <w:rFonts w:ascii="Arial" w:eastAsia="Times New Roman" w:hAnsi="Arial" w:cs="Arial"/>
          <w:i/>
          <w:iCs/>
          <w:kern w:val="0"/>
          <w:sz w:val="22"/>
          <w:lang w:eastAsia="en-GB"/>
          <w14:ligatures w14:val="none"/>
        </w:rPr>
        <w:t>Care and support statutory guidance</w:t>
      </w:r>
      <w:r w:rsidRPr="00DE56A5">
        <w:rPr>
          <w:rFonts w:ascii="Arial" w:eastAsia="Times New Roman" w:hAnsi="Arial" w:cs="Arial"/>
          <w:kern w:val="0"/>
          <w:sz w:val="22"/>
          <w:lang w:eastAsia="en-GB"/>
          <w14:ligatures w14:val="none"/>
        </w:rPr>
        <w:t xml:space="preserve">. Available at: </w:t>
      </w:r>
      <w:hyperlink r:id="rId10" w:history="1">
        <w:r w:rsidRPr="00DE56A5">
          <w:rPr>
            <w:rFonts w:ascii="Arial" w:eastAsia="Times New Roman" w:hAnsi="Arial" w:cs="Arial"/>
            <w:color w:val="0000FF"/>
            <w:kern w:val="0"/>
            <w:sz w:val="22"/>
            <w:u w:val="single"/>
            <w:lang w:eastAsia="en-GB"/>
            <w14:ligatures w14:val="none"/>
          </w:rPr>
          <w:t>GOV.UK – Care and support statutory guidance</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41EF19B6" w14:textId="518B22BC"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Information Commissioner's Office (ICO) (2026) </w:t>
      </w:r>
      <w:r w:rsidRPr="00DE56A5">
        <w:rPr>
          <w:rFonts w:ascii="Arial" w:eastAsia="Times New Roman" w:hAnsi="Arial" w:cs="Arial"/>
          <w:i/>
          <w:iCs/>
          <w:kern w:val="0"/>
          <w:sz w:val="22"/>
          <w:lang w:eastAsia="en-GB"/>
          <w14:ligatures w14:val="none"/>
        </w:rPr>
        <w:t>Special category data</w:t>
      </w:r>
      <w:r w:rsidRPr="00DE56A5">
        <w:rPr>
          <w:rFonts w:ascii="Arial" w:eastAsia="Times New Roman" w:hAnsi="Arial" w:cs="Arial"/>
          <w:kern w:val="0"/>
          <w:sz w:val="22"/>
          <w:lang w:eastAsia="en-GB"/>
          <w14:ligatures w14:val="none"/>
        </w:rPr>
        <w:t xml:space="preserve">. Available at: </w:t>
      </w:r>
      <w:hyperlink r:id="rId11" w:history="1">
        <w:r w:rsidRPr="00DE56A5">
          <w:rPr>
            <w:rFonts w:ascii="Arial" w:eastAsia="Times New Roman" w:hAnsi="Arial" w:cs="Arial"/>
            <w:color w:val="0000FF"/>
            <w:kern w:val="0"/>
            <w:sz w:val="22"/>
            <w:u w:val="single"/>
            <w:lang w:eastAsia="en-GB"/>
            <w14:ligatures w14:val="none"/>
          </w:rPr>
          <w:t>ICO – Special category data</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0CBA302A" w14:textId="6B8D01DF"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National Data Guardian (2020) </w:t>
      </w:r>
      <w:r w:rsidRPr="00DE56A5">
        <w:rPr>
          <w:rFonts w:ascii="Arial" w:eastAsia="Times New Roman" w:hAnsi="Arial" w:cs="Arial"/>
          <w:i/>
          <w:iCs/>
          <w:kern w:val="0"/>
          <w:sz w:val="22"/>
          <w:lang w:eastAsia="en-GB"/>
          <w14:ligatures w14:val="none"/>
        </w:rPr>
        <w:t>The Caldicott Principles</w:t>
      </w:r>
      <w:r w:rsidRPr="00DE56A5">
        <w:rPr>
          <w:rFonts w:ascii="Arial" w:eastAsia="Times New Roman" w:hAnsi="Arial" w:cs="Arial"/>
          <w:kern w:val="0"/>
          <w:sz w:val="22"/>
          <w:lang w:eastAsia="en-GB"/>
          <w14:ligatures w14:val="none"/>
        </w:rPr>
        <w:t xml:space="preserve">. Available at: </w:t>
      </w:r>
      <w:hyperlink r:id="rId12" w:history="1">
        <w:r w:rsidRPr="00DE56A5">
          <w:rPr>
            <w:rFonts w:ascii="Arial" w:eastAsia="Times New Roman" w:hAnsi="Arial" w:cs="Arial"/>
            <w:color w:val="0000FF"/>
            <w:kern w:val="0"/>
            <w:sz w:val="22"/>
            <w:u w:val="single"/>
            <w:lang w:eastAsia="en-GB"/>
            <w14:ligatures w14:val="none"/>
          </w:rPr>
          <w:t>GOV.UK – The Caldicott Principles</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5DD674F3" w14:textId="732212C1"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NHS England (2026) </w:t>
      </w:r>
      <w:r w:rsidRPr="00DE56A5">
        <w:rPr>
          <w:rFonts w:ascii="Arial" w:eastAsia="Times New Roman" w:hAnsi="Arial" w:cs="Arial"/>
          <w:i/>
          <w:iCs/>
          <w:kern w:val="0"/>
          <w:sz w:val="22"/>
          <w:lang w:eastAsia="en-GB"/>
          <w14:ligatures w14:val="none"/>
        </w:rPr>
        <w:t>Records Management Code of Practice</w:t>
      </w:r>
      <w:r w:rsidRPr="00DE56A5">
        <w:rPr>
          <w:rFonts w:ascii="Arial" w:eastAsia="Times New Roman" w:hAnsi="Arial" w:cs="Arial"/>
          <w:kern w:val="0"/>
          <w:sz w:val="22"/>
          <w:lang w:eastAsia="en-GB"/>
          <w14:ligatures w14:val="none"/>
        </w:rPr>
        <w:t xml:space="preserve">. Available at: </w:t>
      </w:r>
      <w:hyperlink r:id="rId13" w:history="1">
        <w:r w:rsidRPr="00DE56A5">
          <w:rPr>
            <w:rFonts w:ascii="Arial" w:eastAsia="Times New Roman" w:hAnsi="Arial" w:cs="Arial"/>
            <w:color w:val="0000FF"/>
            <w:kern w:val="0"/>
            <w:sz w:val="22"/>
            <w:u w:val="single"/>
            <w:lang w:eastAsia="en-GB"/>
            <w14:ligatures w14:val="none"/>
          </w:rPr>
          <w:t>NHS England – Records Management Code of Practice</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0751893D" w14:textId="6B7B303E"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Office of the Public Guardian (2020) </w:t>
      </w:r>
      <w:r w:rsidRPr="00DE56A5">
        <w:rPr>
          <w:rFonts w:ascii="Arial" w:eastAsia="Times New Roman" w:hAnsi="Arial" w:cs="Arial"/>
          <w:i/>
          <w:iCs/>
          <w:kern w:val="0"/>
          <w:sz w:val="22"/>
          <w:lang w:eastAsia="en-GB"/>
          <w14:ligatures w14:val="none"/>
        </w:rPr>
        <w:t>Mental Capacity Act Code of Practice</w:t>
      </w:r>
      <w:r w:rsidRPr="00DE56A5">
        <w:rPr>
          <w:rFonts w:ascii="Arial" w:eastAsia="Times New Roman" w:hAnsi="Arial" w:cs="Arial"/>
          <w:kern w:val="0"/>
          <w:sz w:val="22"/>
          <w:lang w:eastAsia="en-GB"/>
          <w14:ligatures w14:val="none"/>
        </w:rPr>
        <w:t xml:space="preserve">. Available at: </w:t>
      </w:r>
      <w:hyperlink r:id="rId14" w:history="1">
        <w:r w:rsidRPr="00DE56A5">
          <w:rPr>
            <w:rFonts w:ascii="Arial" w:eastAsia="Times New Roman" w:hAnsi="Arial" w:cs="Arial"/>
            <w:color w:val="0000FF"/>
            <w:kern w:val="0"/>
            <w:sz w:val="22"/>
            <w:u w:val="single"/>
            <w:lang w:eastAsia="en-GB"/>
            <w14:ligatures w14:val="none"/>
          </w:rPr>
          <w:t>GOV.UK – Mental Capacity Act Code of Practice</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5892461A" w14:textId="145F99F5"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The Equality Act 2010 (c.15). Available at: </w:t>
      </w:r>
      <w:hyperlink r:id="rId15" w:history="1">
        <w:r w:rsidRPr="00DE56A5">
          <w:rPr>
            <w:rFonts w:ascii="Arial" w:eastAsia="Times New Roman" w:hAnsi="Arial" w:cs="Arial"/>
            <w:color w:val="0000FF"/>
            <w:kern w:val="0"/>
            <w:sz w:val="22"/>
            <w:u w:val="single"/>
            <w:lang w:eastAsia="en-GB"/>
            <w14:ligatures w14:val="none"/>
          </w:rPr>
          <w:t>Legislation.gov.uk – Equality Act 2010</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7E982DCE" w14:textId="657A8569"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The Data Protection Act 2018 (c.12). Available at: </w:t>
      </w:r>
      <w:hyperlink r:id="rId16" w:history="1">
        <w:r w:rsidRPr="00DE56A5">
          <w:rPr>
            <w:rFonts w:ascii="Arial" w:eastAsia="Times New Roman" w:hAnsi="Arial" w:cs="Arial"/>
            <w:color w:val="0000FF"/>
            <w:kern w:val="0"/>
            <w:sz w:val="22"/>
            <w:u w:val="single"/>
            <w:lang w:eastAsia="en-GB"/>
            <w14:ligatures w14:val="none"/>
          </w:rPr>
          <w:t>Legislation.gov.uk – Data Protection Act 2018</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2F223A4A" w14:textId="0981B3DC" w:rsidR="00DE56A5" w:rsidRPr="00DE56A5" w:rsidRDefault="00DE56A5" w:rsidP="00DE56A5">
      <w:pPr>
        <w:spacing w:before="100" w:beforeAutospacing="1" w:after="100" w:afterAutospacing="1" w:line="240" w:lineRule="auto"/>
        <w:rPr>
          <w:rFonts w:ascii="Arial" w:eastAsia="Times New Roman" w:hAnsi="Arial" w:cs="Arial"/>
          <w:kern w:val="0"/>
          <w:sz w:val="22"/>
          <w:lang w:eastAsia="en-GB"/>
          <w14:ligatures w14:val="none"/>
        </w:rPr>
      </w:pPr>
      <w:r w:rsidRPr="00DE56A5">
        <w:rPr>
          <w:rFonts w:ascii="Arial" w:eastAsia="Times New Roman" w:hAnsi="Arial" w:cs="Arial"/>
          <w:kern w:val="0"/>
          <w:sz w:val="22"/>
          <w:lang w:eastAsia="en-GB"/>
          <w14:ligatures w14:val="none"/>
        </w:rPr>
        <w:t xml:space="preserve">The Mental Capacity Act 2005 (c.9). Available at: </w:t>
      </w:r>
      <w:hyperlink r:id="rId17" w:history="1">
        <w:r w:rsidRPr="00DE56A5">
          <w:rPr>
            <w:rFonts w:ascii="Arial" w:eastAsia="Times New Roman" w:hAnsi="Arial" w:cs="Arial"/>
            <w:color w:val="0000FF"/>
            <w:kern w:val="0"/>
            <w:sz w:val="22"/>
            <w:u w:val="single"/>
            <w:lang w:eastAsia="en-GB"/>
            <w14:ligatures w14:val="none"/>
          </w:rPr>
          <w:t>Legislation.gov.uk – Mental Capacity Act 2005</w:t>
        </w:r>
      </w:hyperlink>
      <w:r w:rsidRPr="00DE56A5">
        <w:rPr>
          <w:rFonts w:ascii="Arial" w:eastAsia="Times New Roman" w:hAnsi="Arial" w:cs="Arial"/>
          <w:kern w:val="0"/>
          <w:sz w:val="22"/>
          <w:lang w:eastAsia="en-GB"/>
          <w14:ligatures w14:val="none"/>
        </w:rPr>
        <w:t xml:space="preserve"> (Accessed: </w:t>
      </w:r>
      <w:r w:rsidRPr="00DE56A5">
        <w:rPr>
          <w:rFonts w:ascii="Arial" w:eastAsia="Times New Roman" w:hAnsi="Arial" w:cs="Arial"/>
          <w:kern w:val="0"/>
          <w:sz w:val="22"/>
          <w:lang w:eastAsia="en-GB"/>
          <w14:ligatures w14:val="none"/>
        </w:rPr>
        <w:t>12</w:t>
      </w:r>
      <w:r w:rsidRPr="00DE56A5">
        <w:rPr>
          <w:rFonts w:ascii="Arial" w:eastAsia="Times New Roman" w:hAnsi="Arial" w:cs="Arial"/>
          <w:kern w:val="0"/>
          <w:sz w:val="22"/>
          <w:lang w:eastAsia="en-GB"/>
          <w14:ligatures w14:val="none"/>
        </w:rPr>
        <w:t xml:space="preserve"> August 2026).</w:t>
      </w:r>
    </w:p>
    <w:p w14:paraId="31A56CCB" w14:textId="15A31744" w:rsidR="00C20C5F" w:rsidRPr="00DE56A5" w:rsidRDefault="00C20C5F" w:rsidP="00DE56A5">
      <w:pPr>
        <w:spacing w:after="300" w:line="360" w:lineRule="auto"/>
        <w:rPr>
          <w:rFonts w:ascii="Arial" w:hAnsi="Arial" w:cs="Arial"/>
          <w:b/>
          <w:bCs/>
          <w:sz w:val="22"/>
        </w:rPr>
      </w:pPr>
    </w:p>
    <w:sectPr w:rsidR="00C20C5F" w:rsidRPr="00DE56A5" w:rsidSect="003B7D1A">
      <w:headerReference w:type="even" r:id="rId18"/>
      <w:headerReference w:type="default" r:id="rId19"/>
      <w:pgSz w:w="11906" w:h="16838"/>
      <w:pgMar w:top="284" w:right="567" w:bottom="284" w:left="73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75668F" w14:textId="77777777" w:rsidR="00C70063" w:rsidRDefault="00C70063" w:rsidP="003C7C97">
      <w:pPr>
        <w:spacing w:after="0" w:line="240" w:lineRule="auto"/>
      </w:pPr>
      <w:r>
        <w:separator/>
      </w:r>
    </w:p>
  </w:endnote>
  <w:endnote w:type="continuationSeparator" w:id="0">
    <w:p w14:paraId="02E0AC5D" w14:textId="77777777" w:rsidR="00C70063" w:rsidRDefault="00C70063"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E5B761" w14:textId="77777777" w:rsidR="00C70063" w:rsidRDefault="00C70063" w:rsidP="003C7C97">
      <w:pPr>
        <w:spacing w:after="0" w:line="240" w:lineRule="auto"/>
      </w:pPr>
      <w:r>
        <w:separator/>
      </w:r>
    </w:p>
  </w:footnote>
  <w:footnote w:type="continuationSeparator" w:id="0">
    <w:p w14:paraId="27B31CCB" w14:textId="77777777" w:rsidR="00C70063" w:rsidRDefault="00C70063"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sidR="00C70063">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2382BC3A">
      <w:start w:val="1"/>
      <w:numFmt w:val="bullet"/>
      <w:lvlText w:val=""/>
      <w:lvlJc w:val="left"/>
      <w:pPr>
        <w:ind w:left="720" w:hanging="360"/>
      </w:pPr>
      <w:rPr>
        <w:rFonts w:ascii="Symbol" w:hAnsi="Symbol" w:hint="default"/>
      </w:rPr>
    </w:lvl>
    <w:lvl w:ilvl="1" w:tplc="908824CC">
      <w:start w:val="1"/>
      <w:numFmt w:val="bullet"/>
      <w:lvlText w:val="o"/>
      <w:lvlJc w:val="left"/>
      <w:pPr>
        <w:ind w:left="1440" w:hanging="360"/>
      </w:pPr>
      <w:rPr>
        <w:rFonts w:ascii="Courier New" w:hAnsi="Courier New" w:hint="default"/>
      </w:rPr>
    </w:lvl>
    <w:lvl w:ilvl="2" w:tplc="263E9C6C">
      <w:start w:val="1"/>
      <w:numFmt w:val="bullet"/>
      <w:lvlText w:val=""/>
      <w:lvlJc w:val="left"/>
      <w:pPr>
        <w:ind w:left="2160" w:hanging="360"/>
      </w:pPr>
      <w:rPr>
        <w:rFonts w:ascii="Wingdings" w:hAnsi="Wingdings" w:hint="default"/>
      </w:rPr>
    </w:lvl>
    <w:lvl w:ilvl="3" w:tplc="810AD6E6">
      <w:start w:val="1"/>
      <w:numFmt w:val="bullet"/>
      <w:lvlText w:val=""/>
      <w:lvlJc w:val="left"/>
      <w:pPr>
        <w:ind w:left="2880" w:hanging="360"/>
      </w:pPr>
      <w:rPr>
        <w:rFonts w:ascii="Symbol" w:hAnsi="Symbol" w:hint="default"/>
      </w:rPr>
    </w:lvl>
    <w:lvl w:ilvl="4" w:tplc="EC0644E8">
      <w:start w:val="1"/>
      <w:numFmt w:val="bullet"/>
      <w:lvlText w:val="o"/>
      <w:lvlJc w:val="left"/>
      <w:pPr>
        <w:ind w:left="3600" w:hanging="360"/>
      </w:pPr>
      <w:rPr>
        <w:rFonts w:ascii="Courier New" w:hAnsi="Courier New" w:hint="default"/>
      </w:rPr>
    </w:lvl>
    <w:lvl w:ilvl="5" w:tplc="F86CED3C">
      <w:start w:val="1"/>
      <w:numFmt w:val="bullet"/>
      <w:lvlText w:val=""/>
      <w:lvlJc w:val="left"/>
      <w:pPr>
        <w:ind w:left="4320" w:hanging="360"/>
      </w:pPr>
      <w:rPr>
        <w:rFonts w:ascii="Wingdings" w:hAnsi="Wingdings" w:hint="default"/>
      </w:rPr>
    </w:lvl>
    <w:lvl w:ilvl="6" w:tplc="A05C7A00">
      <w:start w:val="1"/>
      <w:numFmt w:val="bullet"/>
      <w:lvlText w:val=""/>
      <w:lvlJc w:val="left"/>
      <w:pPr>
        <w:ind w:left="5040" w:hanging="360"/>
      </w:pPr>
      <w:rPr>
        <w:rFonts w:ascii="Symbol" w:hAnsi="Symbol" w:hint="default"/>
      </w:rPr>
    </w:lvl>
    <w:lvl w:ilvl="7" w:tplc="C3285AD8">
      <w:start w:val="1"/>
      <w:numFmt w:val="bullet"/>
      <w:lvlText w:val="o"/>
      <w:lvlJc w:val="left"/>
      <w:pPr>
        <w:ind w:left="5760" w:hanging="360"/>
      </w:pPr>
      <w:rPr>
        <w:rFonts w:ascii="Courier New" w:hAnsi="Courier New" w:hint="default"/>
      </w:rPr>
    </w:lvl>
    <w:lvl w:ilvl="8" w:tplc="9F5AC270">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A1BE6914">
      <w:start w:val="1"/>
      <w:numFmt w:val="bullet"/>
      <w:lvlText w:val=""/>
      <w:lvlJc w:val="left"/>
      <w:pPr>
        <w:ind w:left="720" w:hanging="360"/>
      </w:pPr>
      <w:rPr>
        <w:rFonts w:ascii="Symbol" w:hAnsi="Symbol" w:hint="default"/>
      </w:rPr>
    </w:lvl>
    <w:lvl w:ilvl="1" w:tplc="8744D2A4">
      <w:start w:val="1"/>
      <w:numFmt w:val="bullet"/>
      <w:lvlText w:val="o"/>
      <w:lvlJc w:val="left"/>
      <w:pPr>
        <w:ind w:left="1440" w:hanging="360"/>
      </w:pPr>
      <w:rPr>
        <w:rFonts w:ascii="Courier New" w:hAnsi="Courier New" w:hint="default"/>
      </w:rPr>
    </w:lvl>
    <w:lvl w:ilvl="2" w:tplc="6B168C06">
      <w:start w:val="1"/>
      <w:numFmt w:val="bullet"/>
      <w:lvlText w:val=""/>
      <w:lvlJc w:val="left"/>
      <w:pPr>
        <w:ind w:left="2160" w:hanging="360"/>
      </w:pPr>
      <w:rPr>
        <w:rFonts w:ascii="Wingdings" w:hAnsi="Wingdings" w:hint="default"/>
      </w:rPr>
    </w:lvl>
    <w:lvl w:ilvl="3" w:tplc="420AFB3E">
      <w:start w:val="1"/>
      <w:numFmt w:val="bullet"/>
      <w:lvlText w:val=""/>
      <w:lvlJc w:val="left"/>
      <w:pPr>
        <w:ind w:left="2880" w:hanging="360"/>
      </w:pPr>
      <w:rPr>
        <w:rFonts w:ascii="Symbol" w:hAnsi="Symbol" w:hint="default"/>
      </w:rPr>
    </w:lvl>
    <w:lvl w:ilvl="4" w:tplc="12C6A68A">
      <w:start w:val="1"/>
      <w:numFmt w:val="bullet"/>
      <w:lvlText w:val="o"/>
      <w:lvlJc w:val="left"/>
      <w:pPr>
        <w:ind w:left="3600" w:hanging="360"/>
      </w:pPr>
      <w:rPr>
        <w:rFonts w:ascii="Courier New" w:hAnsi="Courier New" w:hint="default"/>
      </w:rPr>
    </w:lvl>
    <w:lvl w:ilvl="5" w:tplc="7A60255C">
      <w:start w:val="1"/>
      <w:numFmt w:val="bullet"/>
      <w:lvlText w:val=""/>
      <w:lvlJc w:val="left"/>
      <w:pPr>
        <w:ind w:left="4320" w:hanging="360"/>
      </w:pPr>
      <w:rPr>
        <w:rFonts w:ascii="Wingdings" w:hAnsi="Wingdings" w:hint="default"/>
      </w:rPr>
    </w:lvl>
    <w:lvl w:ilvl="6" w:tplc="B07AD300">
      <w:start w:val="1"/>
      <w:numFmt w:val="bullet"/>
      <w:lvlText w:val=""/>
      <w:lvlJc w:val="left"/>
      <w:pPr>
        <w:ind w:left="5040" w:hanging="360"/>
      </w:pPr>
      <w:rPr>
        <w:rFonts w:ascii="Symbol" w:hAnsi="Symbol" w:hint="default"/>
      </w:rPr>
    </w:lvl>
    <w:lvl w:ilvl="7" w:tplc="4E742F64">
      <w:start w:val="1"/>
      <w:numFmt w:val="bullet"/>
      <w:lvlText w:val="o"/>
      <w:lvlJc w:val="left"/>
      <w:pPr>
        <w:ind w:left="5760" w:hanging="360"/>
      </w:pPr>
      <w:rPr>
        <w:rFonts w:ascii="Courier New" w:hAnsi="Courier New" w:hint="default"/>
      </w:rPr>
    </w:lvl>
    <w:lvl w:ilvl="8" w:tplc="701AF7E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8048E"/>
    <w:multiLevelType w:val="hybridMultilevel"/>
    <w:tmpl w:val="ADC634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151662"/>
    <w:multiLevelType w:val="hybridMultilevel"/>
    <w:tmpl w:val="734822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4789E61"/>
    <w:multiLevelType w:val="hybridMultilevel"/>
    <w:tmpl w:val="FFFFFFFF"/>
    <w:lvl w:ilvl="0" w:tplc="8F88E3DC">
      <w:start w:val="1"/>
      <w:numFmt w:val="bullet"/>
      <w:lvlText w:val=""/>
      <w:lvlJc w:val="left"/>
      <w:pPr>
        <w:ind w:left="720" w:hanging="360"/>
      </w:pPr>
      <w:rPr>
        <w:rFonts w:ascii="Symbol" w:hAnsi="Symbol" w:hint="default"/>
      </w:rPr>
    </w:lvl>
    <w:lvl w:ilvl="1" w:tplc="FA5C436C">
      <w:start w:val="1"/>
      <w:numFmt w:val="bullet"/>
      <w:lvlText w:val="o"/>
      <w:lvlJc w:val="left"/>
      <w:pPr>
        <w:ind w:left="1440" w:hanging="360"/>
      </w:pPr>
      <w:rPr>
        <w:rFonts w:ascii="Courier New" w:hAnsi="Courier New" w:hint="default"/>
      </w:rPr>
    </w:lvl>
    <w:lvl w:ilvl="2" w:tplc="EC921F44">
      <w:start w:val="1"/>
      <w:numFmt w:val="bullet"/>
      <w:lvlText w:val=""/>
      <w:lvlJc w:val="left"/>
      <w:pPr>
        <w:ind w:left="2160" w:hanging="360"/>
      </w:pPr>
      <w:rPr>
        <w:rFonts w:ascii="Wingdings" w:hAnsi="Wingdings" w:hint="default"/>
      </w:rPr>
    </w:lvl>
    <w:lvl w:ilvl="3" w:tplc="EB68BDB0">
      <w:start w:val="1"/>
      <w:numFmt w:val="bullet"/>
      <w:lvlText w:val=""/>
      <w:lvlJc w:val="left"/>
      <w:pPr>
        <w:ind w:left="2880" w:hanging="360"/>
      </w:pPr>
      <w:rPr>
        <w:rFonts w:ascii="Symbol" w:hAnsi="Symbol" w:hint="default"/>
      </w:rPr>
    </w:lvl>
    <w:lvl w:ilvl="4" w:tplc="958CA766">
      <w:start w:val="1"/>
      <w:numFmt w:val="bullet"/>
      <w:lvlText w:val="o"/>
      <w:lvlJc w:val="left"/>
      <w:pPr>
        <w:ind w:left="3600" w:hanging="360"/>
      </w:pPr>
      <w:rPr>
        <w:rFonts w:ascii="Courier New" w:hAnsi="Courier New" w:hint="default"/>
      </w:rPr>
    </w:lvl>
    <w:lvl w:ilvl="5" w:tplc="9CD2A13E">
      <w:start w:val="1"/>
      <w:numFmt w:val="bullet"/>
      <w:lvlText w:val=""/>
      <w:lvlJc w:val="left"/>
      <w:pPr>
        <w:ind w:left="4320" w:hanging="360"/>
      </w:pPr>
      <w:rPr>
        <w:rFonts w:ascii="Wingdings" w:hAnsi="Wingdings" w:hint="default"/>
      </w:rPr>
    </w:lvl>
    <w:lvl w:ilvl="6" w:tplc="50EA9574">
      <w:start w:val="1"/>
      <w:numFmt w:val="bullet"/>
      <w:lvlText w:val=""/>
      <w:lvlJc w:val="left"/>
      <w:pPr>
        <w:ind w:left="5040" w:hanging="360"/>
      </w:pPr>
      <w:rPr>
        <w:rFonts w:ascii="Symbol" w:hAnsi="Symbol" w:hint="default"/>
      </w:rPr>
    </w:lvl>
    <w:lvl w:ilvl="7" w:tplc="E9223DB4">
      <w:start w:val="1"/>
      <w:numFmt w:val="bullet"/>
      <w:lvlText w:val="o"/>
      <w:lvlJc w:val="left"/>
      <w:pPr>
        <w:ind w:left="5760" w:hanging="360"/>
      </w:pPr>
      <w:rPr>
        <w:rFonts w:ascii="Courier New" w:hAnsi="Courier New" w:hint="default"/>
      </w:rPr>
    </w:lvl>
    <w:lvl w:ilvl="8" w:tplc="85D84DC2">
      <w:start w:val="1"/>
      <w:numFmt w:val="bullet"/>
      <w:lvlText w:val=""/>
      <w:lvlJc w:val="left"/>
      <w:pPr>
        <w:ind w:left="6480" w:hanging="360"/>
      </w:pPr>
      <w:rPr>
        <w:rFonts w:ascii="Wingdings" w:hAnsi="Wingdings" w:hint="default"/>
      </w:rPr>
    </w:lvl>
  </w:abstractNum>
  <w:abstractNum w:abstractNumId="14" w15:restartNumberingAfterBreak="0">
    <w:nsid w:val="3AB16C17"/>
    <w:multiLevelType w:val="hybridMultilevel"/>
    <w:tmpl w:val="FFFFFFFF"/>
    <w:lvl w:ilvl="0" w:tplc="1B40CFDE">
      <w:start w:val="1"/>
      <w:numFmt w:val="bullet"/>
      <w:lvlText w:val=""/>
      <w:lvlJc w:val="left"/>
      <w:pPr>
        <w:ind w:left="720" w:hanging="360"/>
      </w:pPr>
      <w:rPr>
        <w:rFonts w:ascii="Symbol" w:hAnsi="Symbol" w:hint="default"/>
      </w:rPr>
    </w:lvl>
    <w:lvl w:ilvl="1" w:tplc="11F2EBBA">
      <w:start w:val="1"/>
      <w:numFmt w:val="bullet"/>
      <w:lvlText w:val="o"/>
      <w:lvlJc w:val="left"/>
      <w:pPr>
        <w:ind w:left="1440" w:hanging="360"/>
      </w:pPr>
      <w:rPr>
        <w:rFonts w:ascii="Courier New" w:hAnsi="Courier New" w:hint="default"/>
      </w:rPr>
    </w:lvl>
    <w:lvl w:ilvl="2" w:tplc="EBBE7246">
      <w:start w:val="1"/>
      <w:numFmt w:val="bullet"/>
      <w:lvlText w:val=""/>
      <w:lvlJc w:val="left"/>
      <w:pPr>
        <w:ind w:left="2160" w:hanging="360"/>
      </w:pPr>
      <w:rPr>
        <w:rFonts w:ascii="Wingdings" w:hAnsi="Wingdings" w:hint="default"/>
      </w:rPr>
    </w:lvl>
    <w:lvl w:ilvl="3" w:tplc="4AD2A832">
      <w:start w:val="1"/>
      <w:numFmt w:val="bullet"/>
      <w:lvlText w:val=""/>
      <w:lvlJc w:val="left"/>
      <w:pPr>
        <w:ind w:left="2880" w:hanging="360"/>
      </w:pPr>
      <w:rPr>
        <w:rFonts w:ascii="Symbol" w:hAnsi="Symbol" w:hint="default"/>
      </w:rPr>
    </w:lvl>
    <w:lvl w:ilvl="4" w:tplc="1AD00D72">
      <w:start w:val="1"/>
      <w:numFmt w:val="bullet"/>
      <w:lvlText w:val="o"/>
      <w:lvlJc w:val="left"/>
      <w:pPr>
        <w:ind w:left="3600" w:hanging="360"/>
      </w:pPr>
      <w:rPr>
        <w:rFonts w:ascii="Courier New" w:hAnsi="Courier New" w:hint="default"/>
      </w:rPr>
    </w:lvl>
    <w:lvl w:ilvl="5" w:tplc="433E1A04">
      <w:start w:val="1"/>
      <w:numFmt w:val="bullet"/>
      <w:lvlText w:val=""/>
      <w:lvlJc w:val="left"/>
      <w:pPr>
        <w:ind w:left="4320" w:hanging="360"/>
      </w:pPr>
      <w:rPr>
        <w:rFonts w:ascii="Wingdings" w:hAnsi="Wingdings" w:hint="default"/>
      </w:rPr>
    </w:lvl>
    <w:lvl w:ilvl="6" w:tplc="5CA20560">
      <w:start w:val="1"/>
      <w:numFmt w:val="bullet"/>
      <w:lvlText w:val=""/>
      <w:lvlJc w:val="left"/>
      <w:pPr>
        <w:ind w:left="5040" w:hanging="360"/>
      </w:pPr>
      <w:rPr>
        <w:rFonts w:ascii="Symbol" w:hAnsi="Symbol" w:hint="default"/>
      </w:rPr>
    </w:lvl>
    <w:lvl w:ilvl="7" w:tplc="9DA8B180">
      <w:start w:val="1"/>
      <w:numFmt w:val="bullet"/>
      <w:lvlText w:val="o"/>
      <w:lvlJc w:val="left"/>
      <w:pPr>
        <w:ind w:left="5760" w:hanging="360"/>
      </w:pPr>
      <w:rPr>
        <w:rFonts w:ascii="Courier New" w:hAnsi="Courier New" w:hint="default"/>
      </w:rPr>
    </w:lvl>
    <w:lvl w:ilvl="8" w:tplc="18A84CC4">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5225F4"/>
    <w:multiLevelType w:val="hybridMultilevel"/>
    <w:tmpl w:val="33C0BB54"/>
    <w:lvl w:ilvl="0" w:tplc="515E10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A224439"/>
    <w:multiLevelType w:val="hybridMultilevel"/>
    <w:tmpl w:val="FFFFFFFF"/>
    <w:lvl w:ilvl="0" w:tplc="589A731E">
      <w:start w:val="1"/>
      <w:numFmt w:val="bullet"/>
      <w:lvlText w:val=""/>
      <w:lvlJc w:val="left"/>
      <w:pPr>
        <w:ind w:left="720" w:hanging="360"/>
      </w:pPr>
      <w:rPr>
        <w:rFonts w:ascii="Symbol" w:hAnsi="Symbol" w:hint="default"/>
      </w:rPr>
    </w:lvl>
    <w:lvl w:ilvl="1" w:tplc="9ECC82DC">
      <w:start w:val="1"/>
      <w:numFmt w:val="bullet"/>
      <w:lvlText w:val="o"/>
      <w:lvlJc w:val="left"/>
      <w:pPr>
        <w:ind w:left="1440" w:hanging="360"/>
      </w:pPr>
      <w:rPr>
        <w:rFonts w:ascii="Courier New" w:hAnsi="Courier New" w:hint="default"/>
      </w:rPr>
    </w:lvl>
    <w:lvl w:ilvl="2" w:tplc="B4C67DCE">
      <w:start w:val="1"/>
      <w:numFmt w:val="bullet"/>
      <w:lvlText w:val=""/>
      <w:lvlJc w:val="left"/>
      <w:pPr>
        <w:ind w:left="2160" w:hanging="360"/>
      </w:pPr>
      <w:rPr>
        <w:rFonts w:ascii="Wingdings" w:hAnsi="Wingdings" w:hint="default"/>
      </w:rPr>
    </w:lvl>
    <w:lvl w:ilvl="3" w:tplc="BBB47252">
      <w:start w:val="1"/>
      <w:numFmt w:val="bullet"/>
      <w:lvlText w:val=""/>
      <w:lvlJc w:val="left"/>
      <w:pPr>
        <w:ind w:left="2880" w:hanging="360"/>
      </w:pPr>
      <w:rPr>
        <w:rFonts w:ascii="Symbol" w:hAnsi="Symbol" w:hint="default"/>
      </w:rPr>
    </w:lvl>
    <w:lvl w:ilvl="4" w:tplc="53FEAA74">
      <w:start w:val="1"/>
      <w:numFmt w:val="bullet"/>
      <w:lvlText w:val="o"/>
      <w:lvlJc w:val="left"/>
      <w:pPr>
        <w:ind w:left="3600" w:hanging="360"/>
      </w:pPr>
      <w:rPr>
        <w:rFonts w:ascii="Courier New" w:hAnsi="Courier New" w:hint="default"/>
      </w:rPr>
    </w:lvl>
    <w:lvl w:ilvl="5" w:tplc="D6A04CD8">
      <w:start w:val="1"/>
      <w:numFmt w:val="bullet"/>
      <w:lvlText w:val=""/>
      <w:lvlJc w:val="left"/>
      <w:pPr>
        <w:ind w:left="4320" w:hanging="360"/>
      </w:pPr>
      <w:rPr>
        <w:rFonts w:ascii="Wingdings" w:hAnsi="Wingdings" w:hint="default"/>
      </w:rPr>
    </w:lvl>
    <w:lvl w:ilvl="6" w:tplc="6D04A01A">
      <w:start w:val="1"/>
      <w:numFmt w:val="bullet"/>
      <w:lvlText w:val=""/>
      <w:lvlJc w:val="left"/>
      <w:pPr>
        <w:ind w:left="5040" w:hanging="360"/>
      </w:pPr>
      <w:rPr>
        <w:rFonts w:ascii="Symbol" w:hAnsi="Symbol" w:hint="default"/>
      </w:rPr>
    </w:lvl>
    <w:lvl w:ilvl="7" w:tplc="7BCA9AF0">
      <w:start w:val="1"/>
      <w:numFmt w:val="bullet"/>
      <w:lvlText w:val="o"/>
      <w:lvlJc w:val="left"/>
      <w:pPr>
        <w:ind w:left="5760" w:hanging="360"/>
      </w:pPr>
      <w:rPr>
        <w:rFonts w:ascii="Courier New" w:hAnsi="Courier New" w:hint="default"/>
      </w:rPr>
    </w:lvl>
    <w:lvl w:ilvl="8" w:tplc="9056B39E">
      <w:start w:val="1"/>
      <w:numFmt w:val="bullet"/>
      <w:lvlText w:val=""/>
      <w:lvlJc w:val="left"/>
      <w:pPr>
        <w:ind w:left="6480" w:hanging="360"/>
      </w:pPr>
      <w:rPr>
        <w:rFonts w:ascii="Wingdings" w:hAnsi="Wingdings" w:hint="default"/>
      </w:rPr>
    </w:lvl>
  </w:abstractNum>
  <w:abstractNum w:abstractNumId="19"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4812F11"/>
    <w:multiLevelType w:val="hybridMultilevel"/>
    <w:tmpl w:val="9926B3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5986FEB"/>
    <w:multiLevelType w:val="hybridMultilevel"/>
    <w:tmpl w:val="2B1AE7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6BE05A6"/>
    <w:multiLevelType w:val="hybridMultilevel"/>
    <w:tmpl w:val="CB5653DA"/>
    <w:lvl w:ilvl="0" w:tplc="CA12BF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1364BA"/>
    <w:multiLevelType w:val="multilevel"/>
    <w:tmpl w:val="1A3CB686"/>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126354"/>
    <w:multiLevelType w:val="hybridMultilevel"/>
    <w:tmpl w:val="FFFFFFFF"/>
    <w:lvl w:ilvl="0" w:tplc="718EC0E0">
      <w:start w:val="1"/>
      <w:numFmt w:val="bullet"/>
      <w:lvlText w:val=""/>
      <w:lvlJc w:val="left"/>
      <w:pPr>
        <w:ind w:left="720" w:hanging="360"/>
      </w:pPr>
      <w:rPr>
        <w:rFonts w:ascii="Symbol" w:hAnsi="Symbol" w:hint="default"/>
      </w:rPr>
    </w:lvl>
    <w:lvl w:ilvl="1" w:tplc="C9E87B44">
      <w:start w:val="1"/>
      <w:numFmt w:val="bullet"/>
      <w:lvlText w:val="o"/>
      <w:lvlJc w:val="left"/>
      <w:pPr>
        <w:ind w:left="1440" w:hanging="360"/>
      </w:pPr>
      <w:rPr>
        <w:rFonts w:ascii="Courier New" w:hAnsi="Courier New" w:hint="default"/>
      </w:rPr>
    </w:lvl>
    <w:lvl w:ilvl="2" w:tplc="7A849BF6">
      <w:start w:val="1"/>
      <w:numFmt w:val="bullet"/>
      <w:lvlText w:val=""/>
      <w:lvlJc w:val="left"/>
      <w:pPr>
        <w:ind w:left="2160" w:hanging="360"/>
      </w:pPr>
      <w:rPr>
        <w:rFonts w:ascii="Wingdings" w:hAnsi="Wingdings" w:hint="default"/>
      </w:rPr>
    </w:lvl>
    <w:lvl w:ilvl="3" w:tplc="D396E180">
      <w:start w:val="1"/>
      <w:numFmt w:val="bullet"/>
      <w:lvlText w:val=""/>
      <w:lvlJc w:val="left"/>
      <w:pPr>
        <w:ind w:left="2880" w:hanging="360"/>
      </w:pPr>
      <w:rPr>
        <w:rFonts w:ascii="Symbol" w:hAnsi="Symbol" w:hint="default"/>
      </w:rPr>
    </w:lvl>
    <w:lvl w:ilvl="4" w:tplc="6A6E7D56">
      <w:start w:val="1"/>
      <w:numFmt w:val="bullet"/>
      <w:lvlText w:val="o"/>
      <w:lvlJc w:val="left"/>
      <w:pPr>
        <w:ind w:left="3600" w:hanging="360"/>
      </w:pPr>
      <w:rPr>
        <w:rFonts w:ascii="Courier New" w:hAnsi="Courier New" w:hint="default"/>
      </w:rPr>
    </w:lvl>
    <w:lvl w:ilvl="5" w:tplc="D794F87A">
      <w:start w:val="1"/>
      <w:numFmt w:val="bullet"/>
      <w:lvlText w:val=""/>
      <w:lvlJc w:val="left"/>
      <w:pPr>
        <w:ind w:left="4320" w:hanging="360"/>
      </w:pPr>
      <w:rPr>
        <w:rFonts w:ascii="Wingdings" w:hAnsi="Wingdings" w:hint="default"/>
      </w:rPr>
    </w:lvl>
    <w:lvl w:ilvl="6" w:tplc="27AAEE3E">
      <w:start w:val="1"/>
      <w:numFmt w:val="bullet"/>
      <w:lvlText w:val=""/>
      <w:lvlJc w:val="left"/>
      <w:pPr>
        <w:ind w:left="5040" w:hanging="360"/>
      </w:pPr>
      <w:rPr>
        <w:rFonts w:ascii="Symbol" w:hAnsi="Symbol" w:hint="default"/>
      </w:rPr>
    </w:lvl>
    <w:lvl w:ilvl="7" w:tplc="65B8AD4A">
      <w:start w:val="1"/>
      <w:numFmt w:val="bullet"/>
      <w:lvlText w:val="o"/>
      <w:lvlJc w:val="left"/>
      <w:pPr>
        <w:ind w:left="5760" w:hanging="360"/>
      </w:pPr>
      <w:rPr>
        <w:rFonts w:ascii="Courier New" w:hAnsi="Courier New" w:hint="default"/>
      </w:rPr>
    </w:lvl>
    <w:lvl w:ilvl="8" w:tplc="8076A51E">
      <w:start w:val="1"/>
      <w:numFmt w:val="bullet"/>
      <w:lvlText w:val=""/>
      <w:lvlJc w:val="left"/>
      <w:pPr>
        <w:ind w:left="6480" w:hanging="360"/>
      </w:pPr>
      <w:rPr>
        <w:rFonts w:ascii="Wingdings" w:hAnsi="Wingdings" w:hint="default"/>
      </w:rPr>
    </w:lvl>
  </w:abstractNum>
  <w:abstractNum w:abstractNumId="31"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9472675"/>
    <w:multiLevelType w:val="hybridMultilevel"/>
    <w:tmpl w:val="0B784BC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4"/>
  </w:num>
  <w:num w:numId="3">
    <w:abstractNumId w:val="1"/>
  </w:num>
  <w:num w:numId="4">
    <w:abstractNumId w:val="3"/>
  </w:num>
  <w:num w:numId="5">
    <w:abstractNumId w:val="18"/>
  </w:num>
  <w:num w:numId="6">
    <w:abstractNumId w:val="30"/>
  </w:num>
  <w:num w:numId="7">
    <w:abstractNumId w:val="10"/>
  </w:num>
  <w:num w:numId="8">
    <w:abstractNumId w:val="2"/>
  </w:num>
  <w:num w:numId="9">
    <w:abstractNumId w:val="15"/>
  </w:num>
  <w:num w:numId="10">
    <w:abstractNumId w:val="34"/>
  </w:num>
  <w:num w:numId="11">
    <w:abstractNumId w:val="28"/>
  </w:num>
  <w:num w:numId="12">
    <w:abstractNumId w:val="29"/>
  </w:num>
  <w:num w:numId="13">
    <w:abstractNumId w:val="35"/>
  </w:num>
  <w:num w:numId="14">
    <w:abstractNumId w:val="24"/>
  </w:num>
  <w:num w:numId="15">
    <w:abstractNumId w:val="6"/>
  </w:num>
  <w:num w:numId="16">
    <w:abstractNumId w:val="19"/>
  </w:num>
  <w:num w:numId="17">
    <w:abstractNumId w:val="23"/>
  </w:num>
  <w:num w:numId="18">
    <w:abstractNumId w:val="16"/>
  </w:num>
  <w:num w:numId="19">
    <w:abstractNumId w:val="27"/>
  </w:num>
  <w:num w:numId="20">
    <w:abstractNumId w:val="12"/>
  </w:num>
  <w:num w:numId="21">
    <w:abstractNumId w:val="4"/>
  </w:num>
  <w:num w:numId="22">
    <w:abstractNumId w:val="9"/>
  </w:num>
  <w:num w:numId="23">
    <w:abstractNumId w:val="37"/>
  </w:num>
  <w:num w:numId="24">
    <w:abstractNumId w:val="31"/>
  </w:num>
  <w:num w:numId="25">
    <w:abstractNumId w:val="11"/>
  </w:num>
  <w:num w:numId="26">
    <w:abstractNumId w:val="25"/>
  </w:num>
  <w:num w:numId="27">
    <w:abstractNumId w:val="39"/>
  </w:num>
  <w:num w:numId="28">
    <w:abstractNumId w:val="0"/>
  </w:num>
  <w:num w:numId="29">
    <w:abstractNumId w:val="33"/>
  </w:num>
  <w:num w:numId="30">
    <w:abstractNumId w:val="36"/>
  </w:num>
  <w:num w:numId="31">
    <w:abstractNumId w:val="38"/>
  </w:num>
  <w:num w:numId="32">
    <w:abstractNumId w:val="8"/>
  </w:num>
  <w:num w:numId="33">
    <w:abstractNumId w:val="26"/>
  </w:num>
  <w:num w:numId="34">
    <w:abstractNumId w:val="22"/>
  </w:num>
  <w:num w:numId="35">
    <w:abstractNumId w:val="7"/>
  </w:num>
  <w:num w:numId="36">
    <w:abstractNumId w:val="17"/>
  </w:num>
  <w:num w:numId="37">
    <w:abstractNumId w:val="20"/>
  </w:num>
  <w:num w:numId="38">
    <w:abstractNumId w:val="21"/>
  </w:num>
  <w:num w:numId="39">
    <w:abstractNumId w:val="32"/>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4A26"/>
    <w:rsid w:val="00085388"/>
    <w:rsid w:val="000D41DC"/>
    <w:rsid w:val="00125D37"/>
    <w:rsid w:val="00127C1A"/>
    <w:rsid w:val="00141418"/>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82B4C"/>
    <w:rsid w:val="002976D4"/>
    <w:rsid w:val="002A5577"/>
    <w:rsid w:val="002B4AA4"/>
    <w:rsid w:val="002E71BA"/>
    <w:rsid w:val="002F30A1"/>
    <w:rsid w:val="002F5066"/>
    <w:rsid w:val="003003FD"/>
    <w:rsid w:val="00310245"/>
    <w:rsid w:val="00316C95"/>
    <w:rsid w:val="003458DB"/>
    <w:rsid w:val="003523D3"/>
    <w:rsid w:val="00364C35"/>
    <w:rsid w:val="00380E6B"/>
    <w:rsid w:val="00396F60"/>
    <w:rsid w:val="003A4060"/>
    <w:rsid w:val="003A51D6"/>
    <w:rsid w:val="003B125E"/>
    <w:rsid w:val="003B2A5E"/>
    <w:rsid w:val="003B7D1A"/>
    <w:rsid w:val="003C7C97"/>
    <w:rsid w:val="00406B8D"/>
    <w:rsid w:val="00410068"/>
    <w:rsid w:val="0041618E"/>
    <w:rsid w:val="0042295C"/>
    <w:rsid w:val="00426EEC"/>
    <w:rsid w:val="004466C3"/>
    <w:rsid w:val="004552CE"/>
    <w:rsid w:val="00467CA1"/>
    <w:rsid w:val="00481FF7"/>
    <w:rsid w:val="00500295"/>
    <w:rsid w:val="00501AAF"/>
    <w:rsid w:val="005054F8"/>
    <w:rsid w:val="00527AFA"/>
    <w:rsid w:val="005419DA"/>
    <w:rsid w:val="005554FB"/>
    <w:rsid w:val="005678AC"/>
    <w:rsid w:val="005679BD"/>
    <w:rsid w:val="005709B1"/>
    <w:rsid w:val="00572B3B"/>
    <w:rsid w:val="005836D2"/>
    <w:rsid w:val="00587C58"/>
    <w:rsid w:val="00590552"/>
    <w:rsid w:val="00590B2A"/>
    <w:rsid w:val="005A7FD4"/>
    <w:rsid w:val="005B1A84"/>
    <w:rsid w:val="005D1AF9"/>
    <w:rsid w:val="005D5457"/>
    <w:rsid w:val="005E06E8"/>
    <w:rsid w:val="005E2699"/>
    <w:rsid w:val="005E44B5"/>
    <w:rsid w:val="005F0A17"/>
    <w:rsid w:val="005F3833"/>
    <w:rsid w:val="00612DEA"/>
    <w:rsid w:val="00614572"/>
    <w:rsid w:val="006232DF"/>
    <w:rsid w:val="00631F2E"/>
    <w:rsid w:val="006457C0"/>
    <w:rsid w:val="00652BB7"/>
    <w:rsid w:val="00661758"/>
    <w:rsid w:val="0067612C"/>
    <w:rsid w:val="00676FEB"/>
    <w:rsid w:val="006912C4"/>
    <w:rsid w:val="006A1AE7"/>
    <w:rsid w:val="006A5CFC"/>
    <w:rsid w:val="006B7243"/>
    <w:rsid w:val="006C5138"/>
    <w:rsid w:val="006C689B"/>
    <w:rsid w:val="006E005C"/>
    <w:rsid w:val="006E6EE5"/>
    <w:rsid w:val="006F0029"/>
    <w:rsid w:val="007138EF"/>
    <w:rsid w:val="007632A9"/>
    <w:rsid w:val="00774092"/>
    <w:rsid w:val="00782830"/>
    <w:rsid w:val="0078664A"/>
    <w:rsid w:val="007B0F6D"/>
    <w:rsid w:val="007B265E"/>
    <w:rsid w:val="007C4F64"/>
    <w:rsid w:val="007C62C3"/>
    <w:rsid w:val="007D25AA"/>
    <w:rsid w:val="007D349E"/>
    <w:rsid w:val="007E7953"/>
    <w:rsid w:val="007F0873"/>
    <w:rsid w:val="00805726"/>
    <w:rsid w:val="00815117"/>
    <w:rsid w:val="00824CB1"/>
    <w:rsid w:val="008520F8"/>
    <w:rsid w:val="00855F34"/>
    <w:rsid w:val="008704D7"/>
    <w:rsid w:val="008826B6"/>
    <w:rsid w:val="0089215B"/>
    <w:rsid w:val="008B0B22"/>
    <w:rsid w:val="008C58B0"/>
    <w:rsid w:val="008C591B"/>
    <w:rsid w:val="008C6182"/>
    <w:rsid w:val="008D1F23"/>
    <w:rsid w:val="0090779E"/>
    <w:rsid w:val="00926458"/>
    <w:rsid w:val="00933720"/>
    <w:rsid w:val="009513FE"/>
    <w:rsid w:val="009C7E52"/>
    <w:rsid w:val="009E4934"/>
    <w:rsid w:val="009F40A7"/>
    <w:rsid w:val="009F5CE6"/>
    <w:rsid w:val="00A035CD"/>
    <w:rsid w:val="00A50E80"/>
    <w:rsid w:val="00A513B0"/>
    <w:rsid w:val="00A63F7F"/>
    <w:rsid w:val="00A667CE"/>
    <w:rsid w:val="00A75042"/>
    <w:rsid w:val="00A774BC"/>
    <w:rsid w:val="00A82678"/>
    <w:rsid w:val="00A946CB"/>
    <w:rsid w:val="00AA77C8"/>
    <w:rsid w:val="00AC7BE2"/>
    <w:rsid w:val="00AD1C17"/>
    <w:rsid w:val="00AE35BF"/>
    <w:rsid w:val="00B1067E"/>
    <w:rsid w:val="00B330F2"/>
    <w:rsid w:val="00B66C94"/>
    <w:rsid w:val="00B81790"/>
    <w:rsid w:val="00B81BBC"/>
    <w:rsid w:val="00BD03D5"/>
    <w:rsid w:val="00BD6041"/>
    <w:rsid w:val="00BE65B9"/>
    <w:rsid w:val="00C20C5F"/>
    <w:rsid w:val="00C3215E"/>
    <w:rsid w:val="00C45272"/>
    <w:rsid w:val="00C47770"/>
    <w:rsid w:val="00C65859"/>
    <w:rsid w:val="00C70063"/>
    <w:rsid w:val="00C75856"/>
    <w:rsid w:val="00C85A7C"/>
    <w:rsid w:val="00C95214"/>
    <w:rsid w:val="00CC3F59"/>
    <w:rsid w:val="00CD4774"/>
    <w:rsid w:val="00CD799A"/>
    <w:rsid w:val="00CE1732"/>
    <w:rsid w:val="00D10AAF"/>
    <w:rsid w:val="00D27540"/>
    <w:rsid w:val="00D30A74"/>
    <w:rsid w:val="00D4006B"/>
    <w:rsid w:val="00D40D7A"/>
    <w:rsid w:val="00D64A0D"/>
    <w:rsid w:val="00D676C3"/>
    <w:rsid w:val="00D750B4"/>
    <w:rsid w:val="00D81C18"/>
    <w:rsid w:val="00D8461A"/>
    <w:rsid w:val="00D95CAF"/>
    <w:rsid w:val="00DB60B6"/>
    <w:rsid w:val="00DC1CC6"/>
    <w:rsid w:val="00DC56A8"/>
    <w:rsid w:val="00DD5135"/>
    <w:rsid w:val="00DE56A5"/>
    <w:rsid w:val="00E067A8"/>
    <w:rsid w:val="00E13924"/>
    <w:rsid w:val="00E15FD5"/>
    <w:rsid w:val="00E1725A"/>
    <w:rsid w:val="00E33758"/>
    <w:rsid w:val="00E52DD1"/>
    <w:rsid w:val="00E53E5E"/>
    <w:rsid w:val="00E64325"/>
    <w:rsid w:val="00E673C5"/>
    <w:rsid w:val="00E67967"/>
    <w:rsid w:val="00E76FF3"/>
    <w:rsid w:val="00E82723"/>
    <w:rsid w:val="00EA29A5"/>
    <w:rsid w:val="00EC107C"/>
    <w:rsid w:val="00EC7EBE"/>
    <w:rsid w:val="00EC7FD2"/>
    <w:rsid w:val="00ED5964"/>
    <w:rsid w:val="00F1720B"/>
    <w:rsid w:val="00F36ADC"/>
    <w:rsid w:val="00F605C6"/>
    <w:rsid w:val="00F6785B"/>
    <w:rsid w:val="00F874AA"/>
    <w:rsid w:val="00F9012D"/>
    <w:rsid w:val="00F915D6"/>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0A74"/>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7D349E"/>
    <w:rPr>
      <w:color w:val="605E5C"/>
      <w:shd w:val="clear" w:color="auto" w:fill="E1DFDD"/>
    </w:rPr>
  </w:style>
  <w:style w:type="paragraph" w:customStyle="1" w:styleId="isselectedend">
    <w:name w:val="isselectedend"/>
    <w:basedOn w:val="Normal"/>
    <w:rsid w:val="00CD79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76832">
      <w:bodyDiv w:val="1"/>
      <w:marLeft w:val="0"/>
      <w:marRight w:val="0"/>
      <w:marTop w:val="0"/>
      <w:marBottom w:val="0"/>
      <w:divBdr>
        <w:top w:val="none" w:sz="0" w:space="0" w:color="auto"/>
        <w:left w:val="none" w:sz="0" w:space="0" w:color="auto"/>
        <w:bottom w:val="none" w:sz="0" w:space="0" w:color="auto"/>
        <w:right w:val="none" w:sz="0" w:space="0" w:color="auto"/>
      </w:divBdr>
    </w:div>
    <w:div w:id="231818160">
      <w:bodyDiv w:val="1"/>
      <w:marLeft w:val="0"/>
      <w:marRight w:val="0"/>
      <w:marTop w:val="0"/>
      <w:marBottom w:val="0"/>
      <w:divBdr>
        <w:top w:val="none" w:sz="0" w:space="0" w:color="auto"/>
        <w:left w:val="none" w:sz="0" w:space="0" w:color="auto"/>
        <w:bottom w:val="none" w:sz="0" w:space="0" w:color="auto"/>
        <w:right w:val="none" w:sz="0" w:space="0" w:color="auto"/>
      </w:divBdr>
    </w:div>
    <w:div w:id="272247575">
      <w:bodyDiv w:val="1"/>
      <w:marLeft w:val="0"/>
      <w:marRight w:val="0"/>
      <w:marTop w:val="0"/>
      <w:marBottom w:val="0"/>
      <w:divBdr>
        <w:top w:val="none" w:sz="0" w:space="0" w:color="auto"/>
        <w:left w:val="none" w:sz="0" w:space="0" w:color="auto"/>
        <w:bottom w:val="none" w:sz="0" w:space="0" w:color="auto"/>
        <w:right w:val="none" w:sz="0" w:space="0" w:color="auto"/>
      </w:divBdr>
    </w:div>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308099017">
      <w:bodyDiv w:val="1"/>
      <w:marLeft w:val="0"/>
      <w:marRight w:val="0"/>
      <w:marTop w:val="0"/>
      <w:marBottom w:val="0"/>
      <w:divBdr>
        <w:top w:val="none" w:sz="0" w:space="0" w:color="auto"/>
        <w:left w:val="none" w:sz="0" w:space="0" w:color="auto"/>
        <w:bottom w:val="none" w:sz="0" w:space="0" w:color="auto"/>
        <w:right w:val="none" w:sz="0" w:space="0" w:color="auto"/>
      </w:divBdr>
    </w:div>
    <w:div w:id="378238830">
      <w:bodyDiv w:val="1"/>
      <w:marLeft w:val="0"/>
      <w:marRight w:val="0"/>
      <w:marTop w:val="0"/>
      <w:marBottom w:val="0"/>
      <w:divBdr>
        <w:top w:val="none" w:sz="0" w:space="0" w:color="auto"/>
        <w:left w:val="none" w:sz="0" w:space="0" w:color="auto"/>
        <w:bottom w:val="none" w:sz="0" w:space="0" w:color="auto"/>
        <w:right w:val="none" w:sz="0" w:space="0" w:color="auto"/>
      </w:divBdr>
    </w:div>
    <w:div w:id="483855554">
      <w:bodyDiv w:val="1"/>
      <w:marLeft w:val="0"/>
      <w:marRight w:val="0"/>
      <w:marTop w:val="0"/>
      <w:marBottom w:val="0"/>
      <w:divBdr>
        <w:top w:val="none" w:sz="0" w:space="0" w:color="auto"/>
        <w:left w:val="none" w:sz="0" w:space="0" w:color="auto"/>
        <w:bottom w:val="none" w:sz="0" w:space="0" w:color="auto"/>
        <w:right w:val="none" w:sz="0" w:space="0" w:color="auto"/>
      </w:divBdr>
    </w:div>
    <w:div w:id="507211659">
      <w:bodyDiv w:val="1"/>
      <w:marLeft w:val="0"/>
      <w:marRight w:val="0"/>
      <w:marTop w:val="0"/>
      <w:marBottom w:val="0"/>
      <w:divBdr>
        <w:top w:val="none" w:sz="0" w:space="0" w:color="auto"/>
        <w:left w:val="none" w:sz="0" w:space="0" w:color="auto"/>
        <w:bottom w:val="none" w:sz="0" w:space="0" w:color="auto"/>
        <w:right w:val="none" w:sz="0" w:space="0" w:color="auto"/>
      </w:divBdr>
    </w:div>
    <w:div w:id="601380006">
      <w:bodyDiv w:val="1"/>
      <w:marLeft w:val="0"/>
      <w:marRight w:val="0"/>
      <w:marTop w:val="0"/>
      <w:marBottom w:val="0"/>
      <w:divBdr>
        <w:top w:val="none" w:sz="0" w:space="0" w:color="auto"/>
        <w:left w:val="none" w:sz="0" w:space="0" w:color="auto"/>
        <w:bottom w:val="none" w:sz="0" w:space="0" w:color="auto"/>
        <w:right w:val="none" w:sz="0" w:space="0" w:color="auto"/>
      </w:divBdr>
    </w:div>
    <w:div w:id="624388751">
      <w:bodyDiv w:val="1"/>
      <w:marLeft w:val="0"/>
      <w:marRight w:val="0"/>
      <w:marTop w:val="0"/>
      <w:marBottom w:val="0"/>
      <w:divBdr>
        <w:top w:val="none" w:sz="0" w:space="0" w:color="auto"/>
        <w:left w:val="none" w:sz="0" w:space="0" w:color="auto"/>
        <w:bottom w:val="none" w:sz="0" w:space="0" w:color="auto"/>
        <w:right w:val="none" w:sz="0" w:space="0" w:color="auto"/>
      </w:divBdr>
    </w:div>
    <w:div w:id="624434179">
      <w:bodyDiv w:val="1"/>
      <w:marLeft w:val="0"/>
      <w:marRight w:val="0"/>
      <w:marTop w:val="0"/>
      <w:marBottom w:val="0"/>
      <w:divBdr>
        <w:top w:val="none" w:sz="0" w:space="0" w:color="auto"/>
        <w:left w:val="none" w:sz="0" w:space="0" w:color="auto"/>
        <w:bottom w:val="none" w:sz="0" w:space="0" w:color="auto"/>
        <w:right w:val="none" w:sz="0" w:space="0" w:color="auto"/>
      </w:divBdr>
    </w:div>
    <w:div w:id="655375368">
      <w:bodyDiv w:val="1"/>
      <w:marLeft w:val="0"/>
      <w:marRight w:val="0"/>
      <w:marTop w:val="0"/>
      <w:marBottom w:val="0"/>
      <w:divBdr>
        <w:top w:val="none" w:sz="0" w:space="0" w:color="auto"/>
        <w:left w:val="none" w:sz="0" w:space="0" w:color="auto"/>
        <w:bottom w:val="none" w:sz="0" w:space="0" w:color="auto"/>
        <w:right w:val="none" w:sz="0" w:space="0" w:color="auto"/>
      </w:divBdr>
    </w:div>
    <w:div w:id="752509515">
      <w:bodyDiv w:val="1"/>
      <w:marLeft w:val="0"/>
      <w:marRight w:val="0"/>
      <w:marTop w:val="0"/>
      <w:marBottom w:val="0"/>
      <w:divBdr>
        <w:top w:val="none" w:sz="0" w:space="0" w:color="auto"/>
        <w:left w:val="none" w:sz="0" w:space="0" w:color="auto"/>
        <w:bottom w:val="none" w:sz="0" w:space="0" w:color="auto"/>
        <w:right w:val="none" w:sz="0" w:space="0" w:color="auto"/>
      </w:divBdr>
    </w:div>
    <w:div w:id="799763673">
      <w:bodyDiv w:val="1"/>
      <w:marLeft w:val="0"/>
      <w:marRight w:val="0"/>
      <w:marTop w:val="0"/>
      <w:marBottom w:val="0"/>
      <w:divBdr>
        <w:top w:val="none" w:sz="0" w:space="0" w:color="auto"/>
        <w:left w:val="none" w:sz="0" w:space="0" w:color="auto"/>
        <w:bottom w:val="none" w:sz="0" w:space="0" w:color="auto"/>
        <w:right w:val="none" w:sz="0" w:space="0" w:color="auto"/>
      </w:divBdr>
    </w:div>
    <w:div w:id="804080790">
      <w:bodyDiv w:val="1"/>
      <w:marLeft w:val="0"/>
      <w:marRight w:val="0"/>
      <w:marTop w:val="0"/>
      <w:marBottom w:val="0"/>
      <w:divBdr>
        <w:top w:val="none" w:sz="0" w:space="0" w:color="auto"/>
        <w:left w:val="none" w:sz="0" w:space="0" w:color="auto"/>
        <w:bottom w:val="none" w:sz="0" w:space="0" w:color="auto"/>
        <w:right w:val="none" w:sz="0" w:space="0" w:color="auto"/>
      </w:divBdr>
    </w:div>
    <w:div w:id="827553139">
      <w:bodyDiv w:val="1"/>
      <w:marLeft w:val="0"/>
      <w:marRight w:val="0"/>
      <w:marTop w:val="0"/>
      <w:marBottom w:val="0"/>
      <w:divBdr>
        <w:top w:val="none" w:sz="0" w:space="0" w:color="auto"/>
        <w:left w:val="none" w:sz="0" w:space="0" w:color="auto"/>
        <w:bottom w:val="none" w:sz="0" w:space="0" w:color="auto"/>
        <w:right w:val="none" w:sz="0" w:space="0" w:color="auto"/>
      </w:divBdr>
    </w:div>
    <w:div w:id="847214658">
      <w:bodyDiv w:val="1"/>
      <w:marLeft w:val="0"/>
      <w:marRight w:val="0"/>
      <w:marTop w:val="0"/>
      <w:marBottom w:val="0"/>
      <w:divBdr>
        <w:top w:val="none" w:sz="0" w:space="0" w:color="auto"/>
        <w:left w:val="none" w:sz="0" w:space="0" w:color="auto"/>
        <w:bottom w:val="none" w:sz="0" w:space="0" w:color="auto"/>
        <w:right w:val="none" w:sz="0" w:space="0" w:color="auto"/>
      </w:divBdr>
    </w:div>
    <w:div w:id="916131949">
      <w:bodyDiv w:val="1"/>
      <w:marLeft w:val="0"/>
      <w:marRight w:val="0"/>
      <w:marTop w:val="0"/>
      <w:marBottom w:val="0"/>
      <w:divBdr>
        <w:top w:val="none" w:sz="0" w:space="0" w:color="auto"/>
        <w:left w:val="none" w:sz="0" w:space="0" w:color="auto"/>
        <w:bottom w:val="none" w:sz="0" w:space="0" w:color="auto"/>
        <w:right w:val="none" w:sz="0" w:space="0" w:color="auto"/>
      </w:divBdr>
    </w:div>
    <w:div w:id="936062106">
      <w:bodyDiv w:val="1"/>
      <w:marLeft w:val="0"/>
      <w:marRight w:val="0"/>
      <w:marTop w:val="0"/>
      <w:marBottom w:val="0"/>
      <w:divBdr>
        <w:top w:val="none" w:sz="0" w:space="0" w:color="auto"/>
        <w:left w:val="none" w:sz="0" w:space="0" w:color="auto"/>
        <w:bottom w:val="none" w:sz="0" w:space="0" w:color="auto"/>
        <w:right w:val="none" w:sz="0" w:space="0" w:color="auto"/>
      </w:divBdr>
    </w:div>
    <w:div w:id="1016734288">
      <w:bodyDiv w:val="1"/>
      <w:marLeft w:val="0"/>
      <w:marRight w:val="0"/>
      <w:marTop w:val="0"/>
      <w:marBottom w:val="0"/>
      <w:divBdr>
        <w:top w:val="none" w:sz="0" w:space="0" w:color="auto"/>
        <w:left w:val="none" w:sz="0" w:space="0" w:color="auto"/>
        <w:bottom w:val="none" w:sz="0" w:space="0" w:color="auto"/>
        <w:right w:val="none" w:sz="0" w:space="0" w:color="auto"/>
      </w:divBdr>
    </w:div>
    <w:div w:id="1113941174">
      <w:bodyDiv w:val="1"/>
      <w:marLeft w:val="0"/>
      <w:marRight w:val="0"/>
      <w:marTop w:val="0"/>
      <w:marBottom w:val="0"/>
      <w:divBdr>
        <w:top w:val="none" w:sz="0" w:space="0" w:color="auto"/>
        <w:left w:val="none" w:sz="0" w:space="0" w:color="auto"/>
        <w:bottom w:val="none" w:sz="0" w:space="0" w:color="auto"/>
        <w:right w:val="none" w:sz="0" w:space="0" w:color="auto"/>
      </w:divBdr>
    </w:div>
    <w:div w:id="1124078904">
      <w:bodyDiv w:val="1"/>
      <w:marLeft w:val="0"/>
      <w:marRight w:val="0"/>
      <w:marTop w:val="0"/>
      <w:marBottom w:val="0"/>
      <w:divBdr>
        <w:top w:val="none" w:sz="0" w:space="0" w:color="auto"/>
        <w:left w:val="none" w:sz="0" w:space="0" w:color="auto"/>
        <w:bottom w:val="none" w:sz="0" w:space="0" w:color="auto"/>
        <w:right w:val="none" w:sz="0" w:space="0" w:color="auto"/>
      </w:divBdr>
    </w:div>
    <w:div w:id="1292247183">
      <w:bodyDiv w:val="1"/>
      <w:marLeft w:val="0"/>
      <w:marRight w:val="0"/>
      <w:marTop w:val="0"/>
      <w:marBottom w:val="0"/>
      <w:divBdr>
        <w:top w:val="none" w:sz="0" w:space="0" w:color="auto"/>
        <w:left w:val="none" w:sz="0" w:space="0" w:color="auto"/>
        <w:bottom w:val="none" w:sz="0" w:space="0" w:color="auto"/>
        <w:right w:val="none" w:sz="0" w:space="0" w:color="auto"/>
      </w:divBdr>
    </w:div>
    <w:div w:id="1381174630">
      <w:bodyDiv w:val="1"/>
      <w:marLeft w:val="0"/>
      <w:marRight w:val="0"/>
      <w:marTop w:val="0"/>
      <w:marBottom w:val="0"/>
      <w:divBdr>
        <w:top w:val="none" w:sz="0" w:space="0" w:color="auto"/>
        <w:left w:val="none" w:sz="0" w:space="0" w:color="auto"/>
        <w:bottom w:val="none" w:sz="0" w:space="0" w:color="auto"/>
        <w:right w:val="none" w:sz="0" w:space="0" w:color="auto"/>
      </w:divBdr>
    </w:div>
    <w:div w:id="1411345458">
      <w:bodyDiv w:val="1"/>
      <w:marLeft w:val="0"/>
      <w:marRight w:val="0"/>
      <w:marTop w:val="0"/>
      <w:marBottom w:val="0"/>
      <w:divBdr>
        <w:top w:val="none" w:sz="0" w:space="0" w:color="auto"/>
        <w:left w:val="none" w:sz="0" w:space="0" w:color="auto"/>
        <w:bottom w:val="none" w:sz="0" w:space="0" w:color="auto"/>
        <w:right w:val="none" w:sz="0" w:space="0" w:color="auto"/>
      </w:divBdr>
    </w:div>
    <w:div w:id="1429349813">
      <w:bodyDiv w:val="1"/>
      <w:marLeft w:val="0"/>
      <w:marRight w:val="0"/>
      <w:marTop w:val="0"/>
      <w:marBottom w:val="0"/>
      <w:divBdr>
        <w:top w:val="none" w:sz="0" w:space="0" w:color="auto"/>
        <w:left w:val="none" w:sz="0" w:space="0" w:color="auto"/>
        <w:bottom w:val="none" w:sz="0" w:space="0" w:color="auto"/>
        <w:right w:val="none" w:sz="0" w:space="0" w:color="auto"/>
      </w:divBdr>
    </w:div>
    <w:div w:id="1429546110">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450471044">
      <w:bodyDiv w:val="1"/>
      <w:marLeft w:val="0"/>
      <w:marRight w:val="0"/>
      <w:marTop w:val="0"/>
      <w:marBottom w:val="0"/>
      <w:divBdr>
        <w:top w:val="none" w:sz="0" w:space="0" w:color="auto"/>
        <w:left w:val="none" w:sz="0" w:space="0" w:color="auto"/>
        <w:bottom w:val="none" w:sz="0" w:space="0" w:color="auto"/>
        <w:right w:val="none" w:sz="0" w:space="0" w:color="auto"/>
      </w:divBdr>
    </w:div>
    <w:div w:id="1466510062">
      <w:bodyDiv w:val="1"/>
      <w:marLeft w:val="0"/>
      <w:marRight w:val="0"/>
      <w:marTop w:val="0"/>
      <w:marBottom w:val="0"/>
      <w:divBdr>
        <w:top w:val="none" w:sz="0" w:space="0" w:color="auto"/>
        <w:left w:val="none" w:sz="0" w:space="0" w:color="auto"/>
        <w:bottom w:val="none" w:sz="0" w:space="0" w:color="auto"/>
        <w:right w:val="none" w:sz="0" w:space="0" w:color="auto"/>
      </w:divBdr>
    </w:div>
    <w:div w:id="1586694928">
      <w:bodyDiv w:val="1"/>
      <w:marLeft w:val="0"/>
      <w:marRight w:val="0"/>
      <w:marTop w:val="0"/>
      <w:marBottom w:val="0"/>
      <w:divBdr>
        <w:top w:val="none" w:sz="0" w:space="0" w:color="auto"/>
        <w:left w:val="none" w:sz="0" w:space="0" w:color="auto"/>
        <w:bottom w:val="none" w:sz="0" w:space="0" w:color="auto"/>
        <w:right w:val="none" w:sz="0" w:space="0" w:color="auto"/>
      </w:divBdr>
    </w:div>
    <w:div w:id="1631592406">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642492551">
      <w:bodyDiv w:val="1"/>
      <w:marLeft w:val="0"/>
      <w:marRight w:val="0"/>
      <w:marTop w:val="0"/>
      <w:marBottom w:val="0"/>
      <w:divBdr>
        <w:top w:val="none" w:sz="0" w:space="0" w:color="auto"/>
        <w:left w:val="none" w:sz="0" w:space="0" w:color="auto"/>
        <w:bottom w:val="none" w:sz="0" w:space="0" w:color="auto"/>
        <w:right w:val="none" w:sz="0" w:space="0" w:color="auto"/>
      </w:divBdr>
    </w:div>
    <w:div w:id="1721588544">
      <w:bodyDiv w:val="1"/>
      <w:marLeft w:val="0"/>
      <w:marRight w:val="0"/>
      <w:marTop w:val="0"/>
      <w:marBottom w:val="0"/>
      <w:divBdr>
        <w:top w:val="none" w:sz="0" w:space="0" w:color="auto"/>
        <w:left w:val="none" w:sz="0" w:space="0" w:color="auto"/>
        <w:bottom w:val="none" w:sz="0" w:space="0" w:color="auto"/>
        <w:right w:val="none" w:sz="0" w:space="0" w:color="auto"/>
      </w:divBdr>
    </w:div>
    <w:div w:id="1770158959">
      <w:bodyDiv w:val="1"/>
      <w:marLeft w:val="0"/>
      <w:marRight w:val="0"/>
      <w:marTop w:val="0"/>
      <w:marBottom w:val="0"/>
      <w:divBdr>
        <w:top w:val="none" w:sz="0" w:space="0" w:color="auto"/>
        <w:left w:val="none" w:sz="0" w:space="0" w:color="auto"/>
        <w:bottom w:val="none" w:sz="0" w:space="0" w:color="auto"/>
        <w:right w:val="none" w:sz="0" w:space="0" w:color="auto"/>
      </w:divBdr>
    </w:div>
    <w:div w:id="1815174807">
      <w:bodyDiv w:val="1"/>
      <w:marLeft w:val="0"/>
      <w:marRight w:val="0"/>
      <w:marTop w:val="0"/>
      <w:marBottom w:val="0"/>
      <w:divBdr>
        <w:top w:val="none" w:sz="0" w:space="0" w:color="auto"/>
        <w:left w:val="none" w:sz="0" w:space="0" w:color="auto"/>
        <w:bottom w:val="none" w:sz="0" w:space="0" w:color="auto"/>
        <w:right w:val="none" w:sz="0" w:space="0" w:color="auto"/>
      </w:divBdr>
    </w:div>
    <w:div w:id="1824196304">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 w:id="1885363042">
      <w:bodyDiv w:val="1"/>
      <w:marLeft w:val="0"/>
      <w:marRight w:val="0"/>
      <w:marTop w:val="0"/>
      <w:marBottom w:val="0"/>
      <w:divBdr>
        <w:top w:val="none" w:sz="0" w:space="0" w:color="auto"/>
        <w:left w:val="none" w:sz="0" w:space="0" w:color="auto"/>
        <w:bottom w:val="none" w:sz="0" w:space="0" w:color="auto"/>
        <w:right w:val="none" w:sz="0" w:space="0" w:color="auto"/>
      </w:divBdr>
    </w:div>
    <w:div w:id="1888370438">
      <w:bodyDiv w:val="1"/>
      <w:marLeft w:val="0"/>
      <w:marRight w:val="0"/>
      <w:marTop w:val="0"/>
      <w:marBottom w:val="0"/>
      <w:divBdr>
        <w:top w:val="none" w:sz="0" w:space="0" w:color="auto"/>
        <w:left w:val="none" w:sz="0" w:space="0" w:color="auto"/>
        <w:bottom w:val="none" w:sz="0" w:space="0" w:color="auto"/>
        <w:right w:val="none" w:sz="0" w:space="0" w:color="auto"/>
      </w:divBdr>
    </w:div>
    <w:div w:id="1898125677">
      <w:bodyDiv w:val="1"/>
      <w:marLeft w:val="0"/>
      <w:marRight w:val="0"/>
      <w:marTop w:val="0"/>
      <w:marBottom w:val="0"/>
      <w:divBdr>
        <w:top w:val="none" w:sz="0" w:space="0" w:color="auto"/>
        <w:left w:val="none" w:sz="0" w:space="0" w:color="auto"/>
        <w:bottom w:val="none" w:sz="0" w:space="0" w:color="auto"/>
        <w:right w:val="none" w:sz="0" w:space="0" w:color="auto"/>
      </w:divBdr>
    </w:div>
    <w:div w:id="1915432174">
      <w:bodyDiv w:val="1"/>
      <w:marLeft w:val="0"/>
      <w:marRight w:val="0"/>
      <w:marTop w:val="0"/>
      <w:marBottom w:val="0"/>
      <w:divBdr>
        <w:top w:val="none" w:sz="0" w:space="0" w:color="auto"/>
        <w:left w:val="none" w:sz="0" w:space="0" w:color="auto"/>
        <w:bottom w:val="none" w:sz="0" w:space="0" w:color="auto"/>
        <w:right w:val="none" w:sz="0" w:space="0" w:color="auto"/>
      </w:divBdr>
    </w:div>
    <w:div w:id="1918438243">
      <w:bodyDiv w:val="1"/>
      <w:marLeft w:val="0"/>
      <w:marRight w:val="0"/>
      <w:marTop w:val="0"/>
      <w:marBottom w:val="0"/>
      <w:divBdr>
        <w:top w:val="none" w:sz="0" w:space="0" w:color="auto"/>
        <w:left w:val="none" w:sz="0" w:space="0" w:color="auto"/>
        <w:bottom w:val="none" w:sz="0" w:space="0" w:color="auto"/>
        <w:right w:val="none" w:sz="0" w:space="0" w:color="auto"/>
      </w:divBdr>
    </w:div>
    <w:div w:id="1956327580">
      <w:bodyDiv w:val="1"/>
      <w:marLeft w:val="0"/>
      <w:marRight w:val="0"/>
      <w:marTop w:val="0"/>
      <w:marBottom w:val="0"/>
      <w:divBdr>
        <w:top w:val="none" w:sz="0" w:space="0" w:color="auto"/>
        <w:left w:val="none" w:sz="0" w:space="0" w:color="auto"/>
        <w:bottom w:val="none" w:sz="0" w:space="0" w:color="auto"/>
        <w:right w:val="none" w:sz="0" w:space="0" w:color="auto"/>
      </w:divBdr>
    </w:div>
    <w:div w:id="1984388534">
      <w:bodyDiv w:val="1"/>
      <w:marLeft w:val="0"/>
      <w:marRight w:val="0"/>
      <w:marTop w:val="0"/>
      <w:marBottom w:val="0"/>
      <w:divBdr>
        <w:top w:val="none" w:sz="0" w:space="0" w:color="auto"/>
        <w:left w:val="none" w:sz="0" w:space="0" w:color="auto"/>
        <w:bottom w:val="none" w:sz="0" w:space="0" w:color="auto"/>
        <w:right w:val="none" w:sz="0" w:space="0" w:color="auto"/>
      </w:divBdr>
    </w:div>
    <w:div w:id="2017464394">
      <w:bodyDiv w:val="1"/>
      <w:marLeft w:val="0"/>
      <w:marRight w:val="0"/>
      <w:marTop w:val="0"/>
      <w:marBottom w:val="0"/>
      <w:divBdr>
        <w:top w:val="none" w:sz="0" w:space="0" w:color="auto"/>
        <w:left w:val="none" w:sz="0" w:space="0" w:color="auto"/>
        <w:bottom w:val="none" w:sz="0" w:space="0" w:color="auto"/>
        <w:right w:val="none" w:sz="0" w:space="0" w:color="auto"/>
      </w:divBdr>
    </w:div>
    <w:div w:id="2066440613">
      <w:bodyDiv w:val="1"/>
      <w:marLeft w:val="0"/>
      <w:marRight w:val="0"/>
      <w:marTop w:val="0"/>
      <w:marBottom w:val="0"/>
      <w:divBdr>
        <w:top w:val="none" w:sz="0" w:space="0" w:color="auto"/>
        <w:left w:val="none" w:sz="0" w:space="0" w:color="auto"/>
        <w:bottom w:val="none" w:sz="0" w:space="0" w:color="auto"/>
        <w:right w:val="none" w:sz="0" w:space="0" w:color="auto"/>
      </w:divBdr>
    </w:div>
    <w:div w:id="2082873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data-and-information/information-governance/guidance/records-management-code-of-practice?utm_source=chatgpt.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the-caldicott-principles?utm_source=chatgpt.com" TargetMode="External"/><Relationship Id="rId17" Type="http://schemas.openxmlformats.org/officeDocument/2006/relationships/hyperlink" Target="https://www.legislation.gov.uk/ukpga/2005/9?utm_source=chatgpt.com" TargetMode="External"/><Relationship Id="rId2" Type="http://schemas.openxmlformats.org/officeDocument/2006/relationships/numbering" Target="numbering.xml"/><Relationship Id="rId16" Type="http://schemas.openxmlformats.org/officeDocument/2006/relationships/hyperlink" Target="https://www.legislation.gov.uk/ukpga/2018/12?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lawful-basis/special-category-data/?utm_source=chatgpt.com" TargetMode="External"/><Relationship Id="rId5" Type="http://schemas.openxmlformats.org/officeDocument/2006/relationships/webSettings" Target="webSettings.xml"/><Relationship Id="rId15" Type="http://schemas.openxmlformats.org/officeDocument/2006/relationships/hyperlink" Target="https://www.legislation.gov.uk/ukpga/2010/15?utm_source=chatgpt.com" TargetMode="External"/><Relationship Id="rId10" Type="http://schemas.openxmlformats.org/officeDocument/2006/relationships/hyperlink" Target="https://www.gov.uk/government/publications/care-act-statutory-guidance/care-and-support-statutory-guidance?utm_source=chatgpt.co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gov.uk/government/publications/reasonable-adjustments-a-legal-duty/reasonable-adjustments-a-legal-duty?utm_source=chatgpt.com" TargetMode="External"/><Relationship Id="rId14" Type="http://schemas.openxmlformats.org/officeDocument/2006/relationships/hyperlink" Target="https://www.gov.uk/government/publications/mental-capacity-act-code-of-practice?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Pages>
  <Words>2111</Words>
  <Characters>12038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N o x</cp:lastModifiedBy>
  <cp:revision>3</cp:revision>
  <cp:lastPrinted>2026-04-15T15:21:00Z</cp:lastPrinted>
  <dcterms:created xsi:type="dcterms:W3CDTF">2026-08-20T22:39:00Z</dcterms:created>
  <dcterms:modified xsi:type="dcterms:W3CDTF">2026-08-20T23:00:00Z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