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BA7672" w14:textId="77777777" w:rsidR="00134D84" w:rsidRDefault="00134D84" w:rsidP="00134D84">
      <w:pPr>
        <w:spacing w:before="240" w:line="360" w:lineRule="auto"/>
        <w:jc w:val="center"/>
        <w:rPr>
          <w:rFonts w:ascii="Arial" w:hAnsi="Arial" w:cs="Arial"/>
          <w:b/>
          <w:bCs/>
          <w:sz w:val="22"/>
          <w:szCs w:val="22"/>
        </w:rPr>
      </w:pPr>
    </w:p>
    <w:p w14:paraId="0FC7E3E8" w14:textId="77777777" w:rsidR="00134D84" w:rsidRDefault="00134D84" w:rsidP="00134D84">
      <w:pPr>
        <w:spacing w:before="240" w:line="360" w:lineRule="auto"/>
        <w:jc w:val="center"/>
        <w:rPr>
          <w:rFonts w:ascii="Arial" w:hAnsi="Arial" w:cs="Arial"/>
          <w:b/>
          <w:bCs/>
          <w:sz w:val="22"/>
          <w:szCs w:val="22"/>
        </w:rPr>
      </w:pPr>
    </w:p>
    <w:p w14:paraId="5D889865" w14:textId="77777777" w:rsidR="00134D84" w:rsidRDefault="00134D84" w:rsidP="00134D84">
      <w:pPr>
        <w:spacing w:before="240" w:line="360" w:lineRule="auto"/>
        <w:jc w:val="center"/>
        <w:rPr>
          <w:rFonts w:ascii="Arial" w:hAnsi="Arial" w:cs="Arial"/>
          <w:b/>
          <w:bCs/>
          <w:sz w:val="22"/>
          <w:szCs w:val="22"/>
        </w:rPr>
      </w:pPr>
    </w:p>
    <w:p w14:paraId="4BE35150" w14:textId="77777777" w:rsidR="00134D84" w:rsidRDefault="00134D84" w:rsidP="00134D84">
      <w:pPr>
        <w:spacing w:before="240" w:line="360" w:lineRule="auto"/>
        <w:jc w:val="center"/>
        <w:rPr>
          <w:rFonts w:ascii="Arial" w:hAnsi="Arial" w:cs="Arial"/>
          <w:b/>
          <w:bCs/>
          <w:sz w:val="22"/>
          <w:szCs w:val="22"/>
        </w:rPr>
      </w:pPr>
    </w:p>
    <w:p w14:paraId="7CC4A99E" w14:textId="77777777" w:rsidR="00134D84" w:rsidRDefault="00134D84" w:rsidP="00134D84">
      <w:pPr>
        <w:spacing w:before="240" w:line="360" w:lineRule="auto"/>
        <w:jc w:val="center"/>
        <w:rPr>
          <w:rFonts w:ascii="Arial" w:hAnsi="Arial" w:cs="Arial"/>
          <w:b/>
          <w:bCs/>
          <w:sz w:val="22"/>
          <w:szCs w:val="22"/>
        </w:rPr>
      </w:pPr>
    </w:p>
    <w:p w14:paraId="6C2EE06D" w14:textId="6AB354AF" w:rsidR="00134D84" w:rsidRDefault="00134D84" w:rsidP="00134D84">
      <w:pPr>
        <w:spacing w:before="240" w:line="360" w:lineRule="auto"/>
        <w:jc w:val="center"/>
        <w:rPr>
          <w:rFonts w:ascii="Arial" w:hAnsi="Arial" w:cs="Arial"/>
          <w:b/>
          <w:bCs/>
          <w:sz w:val="22"/>
          <w:szCs w:val="22"/>
        </w:rPr>
      </w:pPr>
      <w:r w:rsidRPr="00134D84">
        <w:rPr>
          <w:rFonts w:ascii="Arial" w:hAnsi="Arial" w:cs="Arial"/>
          <w:b/>
          <w:bCs/>
          <w:sz w:val="22"/>
          <w:szCs w:val="22"/>
        </w:rPr>
        <w:t>Gaming Disorder in ICD-11: Classification, Treatment and Current Debates</w:t>
      </w:r>
    </w:p>
    <w:p w14:paraId="2E865BE0" w14:textId="77777777" w:rsidR="00134D84" w:rsidRPr="00134D84" w:rsidRDefault="00134D84" w:rsidP="00134D84">
      <w:pPr>
        <w:spacing w:before="240" w:line="360" w:lineRule="auto"/>
        <w:jc w:val="center"/>
        <w:rPr>
          <w:rFonts w:ascii="Arial" w:hAnsi="Arial" w:cs="Arial"/>
          <w:b/>
          <w:bCs/>
          <w:sz w:val="22"/>
          <w:szCs w:val="22"/>
        </w:rPr>
      </w:pPr>
      <w:r w:rsidRPr="00134D84">
        <w:rPr>
          <w:rFonts w:ascii="Arial" w:hAnsi="Arial" w:cs="Arial"/>
          <w:b/>
          <w:bCs/>
          <w:sz w:val="22"/>
          <w:szCs w:val="22"/>
        </w:rPr>
        <w:t>Maryam Shahid</w:t>
      </w:r>
    </w:p>
    <w:p w14:paraId="26E5349C" w14:textId="737F6ADA" w:rsidR="00134D84" w:rsidRDefault="00134D84" w:rsidP="00134D84">
      <w:pPr>
        <w:spacing w:before="240" w:line="360" w:lineRule="auto"/>
        <w:jc w:val="center"/>
        <w:rPr>
          <w:rFonts w:ascii="Arial" w:hAnsi="Arial" w:cs="Arial"/>
          <w:b/>
          <w:bCs/>
          <w:sz w:val="22"/>
          <w:szCs w:val="22"/>
        </w:rPr>
      </w:pPr>
      <w:r w:rsidRPr="00134D84">
        <w:rPr>
          <w:rFonts w:ascii="Arial" w:hAnsi="Arial" w:cs="Arial"/>
          <w:b/>
          <w:bCs/>
          <w:sz w:val="22"/>
          <w:szCs w:val="22"/>
        </w:rPr>
        <w:t>Student id: 2314794</w:t>
      </w:r>
    </w:p>
    <w:p w14:paraId="15CC518D" w14:textId="77777777" w:rsidR="00134D84" w:rsidRDefault="00134D84" w:rsidP="00134D84">
      <w:pPr>
        <w:spacing w:before="240" w:line="360" w:lineRule="auto"/>
        <w:rPr>
          <w:rFonts w:ascii="Arial" w:hAnsi="Arial" w:cs="Arial"/>
          <w:b/>
          <w:bCs/>
          <w:sz w:val="22"/>
          <w:szCs w:val="22"/>
        </w:rPr>
      </w:pPr>
    </w:p>
    <w:p w14:paraId="5F7009B7" w14:textId="77777777" w:rsidR="00134D84" w:rsidRDefault="00134D84" w:rsidP="00134D84">
      <w:pPr>
        <w:spacing w:before="240" w:line="360" w:lineRule="auto"/>
        <w:rPr>
          <w:rFonts w:ascii="Arial" w:hAnsi="Arial" w:cs="Arial"/>
          <w:b/>
          <w:bCs/>
          <w:sz w:val="22"/>
          <w:szCs w:val="22"/>
        </w:rPr>
      </w:pPr>
    </w:p>
    <w:p w14:paraId="5374EF86" w14:textId="77777777" w:rsidR="00134D84" w:rsidRDefault="00134D84" w:rsidP="00134D84">
      <w:pPr>
        <w:spacing w:before="240" w:line="360" w:lineRule="auto"/>
        <w:rPr>
          <w:rFonts w:ascii="Arial" w:hAnsi="Arial" w:cs="Arial"/>
          <w:b/>
          <w:bCs/>
          <w:sz w:val="22"/>
          <w:szCs w:val="22"/>
        </w:rPr>
      </w:pPr>
    </w:p>
    <w:p w14:paraId="078B0786" w14:textId="77777777" w:rsidR="00134D84" w:rsidRDefault="00134D84" w:rsidP="00134D84">
      <w:pPr>
        <w:spacing w:before="240" w:line="360" w:lineRule="auto"/>
        <w:rPr>
          <w:rFonts w:ascii="Arial" w:hAnsi="Arial" w:cs="Arial"/>
          <w:b/>
          <w:bCs/>
          <w:sz w:val="22"/>
          <w:szCs w:val="22"/>
        </w:rPr>
      </w:pPr>
    </w:p>
    <w:p w14:paraId="1DE4ECDC" w14:textId="77777777" w:rsidR="00134D84" w:rsidRDefault="00134D84" w:rsidP="00134D84">
      <w:pPr>
        <w:spacing w:before="240" w:line="360" w:lineRule="auto"/>
        <w:rPr>
          <w:rFonts w:ascii="Arial" w:hAnsi="Arial" w:cs="Arial"/>
          <w:b/>
          <w:bCs/>
          <w:sz w:val="22"/>
          <w:szCs w:val="22"/>
        </w:rPr>
      </w:pPr>
    </w:p>
    <w:p w14:paraId="5358EB58" w14:textId="77777777" w:rsidR="00134D84" w:rsidRDefault="00134D84" w:rsidP="00134D84">
      <w:pPr>
        <w:spacing w:before="240" w:line="360" w:lineRule="auto"/>
        <w:rPr>
          <w:rFonts w:ascii="Arial" w:hAnsi="Arial" w:cs="Arial"/>
          <w:b/>
          <w:bCs/>
          <w:sz w:val="22"/>
          <w:szCs w:val="22"/>
        </w:rPr>
      </w:pPr>
    </w:p>
    <w:p w14:paraId="3CB999B3" w14:textId="77777777" w:rsidR="00134D84" w:rsidRDefault="00134D84" w:rsidP="00134D84">
      <w:pPr>
        <w:spacing w:before="240" w:line="360" w:lineRule="auto"/>
        <w:rPr>
          <w:rFonts w:ascii="Arial" w:hAnsi="Arial" w:cs="Arial"/>
          <w:b/>
          <w:bCs/>
          <w:sz w:val="22"/>
          <w:szCs w:val="22"/>
        </w:rPr>
      </w:pPr>
    </w:p>
    <w:p w14:paraId="350787C1" w14:textId="77777777" w:rsidR="00134D84" w:rsidRDefault="00134D84" w:rsidP="00134D84">
      <w:pPr>
        <w:spacing w:before="240" w:line="360" w:lineRule="auto"/>
        <w:rPr>
          <w:rFonts w:ascii="Arial" w:hAnsi="Arial" w:cs="Arial"/>
          <w:b/>
          <w:bCs/>
          <w:sz w:val="22"/>
          <w:szCs w:val="22"/>
        </w:rPr>
      </w:pPr>
    </w:p>
    <w:p w14:paraId="16F674E7" w14:textId="77777777" w:rsidR="00134D84" w:rsidRDefault="00134D84" w:rsidP="00134D84">
      <w:pPr>
        <w:spacing w:before="240" w:line="360" w:lineRule="auto"/>
        <w:rPr>
          <w:rFonts w:ascii="Arial" w:hAnsi="Arial" w:cs="Arial"/>
          <w:b/>
          <w:bCs/>
          <w:sz w:val="22"/>
          <w:szCs w:val="22"/>
        </w:rPr>
      </w:pPr>
    </w:p>
    <w:p w14:paraId="09466C0E" w14:textId="77777777" w:rsidR="00134D84" w:rsidRDefault="00134D84" w:rsidP="00134D84">
      <w:pPr>
        <w:spacing w:before="240" w:line="360" w:lineRule="auto"/>
        <w:rPr>
          <w:rFonts w:ascii="Arial" w:hAnsi="Arial" w:cs="Arial"/>
          <w:b/>
          <w:bCs/>
          <w:sz w:val="22"/>
          <w:szCs w:val="22"/>
        </w:rPr>
      </w:pPr>
    </w:p>
    <w:p w14:paraId="7D46FD2B" w14:textId="77777777" w:rsidR="00134D84" w:rsidRDefault="00134D84" w:rsidP="00134D84">
      <w:pPr>
        <w:spacing w:before="240" w:line="360" w:lineRule="auto"/>
        <w:rPr>
          <w:rFonts w:ascii="Arial" w:hAnsi="Arial" w:cs="Arial"/>
          <w:b/>
          <w:bCs/>
          <w:sz w:val="22"/>
          <w:szCs w:val="22"/>
        </w:rPr>
      </w:pPr>
    </w:p>
    <w:p w14:paraId="5CAAA0D9" w14:textId="77777777" w:rsidR="00134D84" w:rsidRDefault="00134D84" w:rsidP="00134D84">
      <w:pPr>
        <w:spacing w:before="240" w:line="360" w:lineRule="auto"/>
        <w:rPr>
          <w:rFonts w:ascii="Arial" w:hAnsi="Arial" w:cs="Arial"/>
          <w:b/>
          <w:bCs/>
          <w:sz w:val="22"/>
          <w:szCs w:val="22"/>
        </w:rPr>
      </w:pPr>
    </w:p>
    <w:p w14:paraId="386CFE12" w14:textId="77777777" w:rsidR="00134D84" w:rsidRDefault="00134D84" w:rsidP="00134D84">
      <w:pPr>
        <w:spacing w:before="240" w:line="360" w:lineRule="auto"/>
        <w:rPr>
          <w:rFonts w:ascii="Arial" w:hAnsi="Arial" w:cs="Arial"/>
          <w:b/>
          <w:bCs/>
          <w:sz w:val="22"/>
          <w:szCs w:val="22"/>
        </w:rPr>
      </w:pPr>
    </w:p>
    <w:sdt>
      <w:sdtPr>
        <w:id w:val="-1583373788"/>
        <w:docPartObj>
          <w:docPartGallery w:val="Table of Contents"/>
          <w:docPartUnique/>
        </w:docPartObj>
      </w:sdtPr>
      <w:sdtEndPr>
        <w:rPr>
          <w:rFonts w:asciiTheme="minorHAnsi" w:eastAsiaTheme="minorHAnsi" w:hAnsiTheme="minorHAnsi" w:cstheme="minorBidi"/>
          <w:b/>
          <w:bCs/>
          <w:noProof/>
          <w:color w:val="auto"/>
          <w:kern w:val="2"/>
          <w:sz w:val="24"/>
          <w:szCs w:val="24"/>
          <w14:ligatures w14:val="standardContextual"/>
        </w:rPr>
      </w:sdtEndPr>
      <w:sdtContent>
        <w:p w14:paraId="55C73B4C" w14:textId="56067553" w:rsidR="00445516" w:rsidRPr="008C5D9C" w:rsidRDefault="00445516" w:rsidP="008C5D9C">
          <w:pPr>
            <w:pStyle w:val="TOCHeading"/>
            <w:jc w:val="center"/>
            <w:rPr>
              <w:b/>
              <w:bCs/>
              <w:sz w:val="24"/>
              <w:szCs w:val="24"/>
            </w:rPr>
          </w:pPr>
          <w:r w:rsidRPr="008C5D9C">
            <w:rPr>
              <w:b/>
              <w:bCs/>
              <w:sz w:val="24"/>
              <w:szCs w:val="24"/>
            </w:rPr>
            <w:t>Table of Contents</w:t>
          </w:r>
        </w:p>
        <w:p w14:paraId="49258E7A" w14:textId="2B8634E2" w:rsidR="00445516" w:rsidRDefault="00445516">
          <w:pPr>
            <w:pStyle w:val="TOC1"/>
            <w:tabs>
              <w:tab w:val="right" w:leader="dot" w:pos="9350"/>
            </w:tabs>
            <w:rPr>
              <w:noProof/>
            </w:rPr>
          </w:pPr>
          <w:r>
            <w:fldChar w:fldCharType="begin"/>
          </w:r>
          <w:r>
            <w:instrText xml:space="preserve"> TOC \o "1-3" \h \z \u </w:instrText>
          </w:r>
          <w:r>
            <w:fldChar w:fldCharType="separate"/>
          </w:r>
          <w:hyperlink w:anchor="_Toc214242065" w:history="1">
            <w:r w:rsidRPr="00FA3A6D">
              <w:rPr>
                <w:rStyle w:val="Hyperlink"/>
                <w:noProof/>
              </w:rPr>
              <w:t>Introduction</w:t>
            </w:r>
            <w:r>
              <w:rPr>
                <w:noProof/>
                <w:webHidden/>
              </w:rPr>
              <w:tab/>
            </w:r>
            <w:r>
              <w:rPr>
                <w:noProof/>
                <w:webHidden/>
              </w:rPr>
              <w:fldChar w:fldCharType="begin"/>
            </w:r>
            <w:r>
              <w:rPr>
                <w:noProof/>
                <w:webHidden/>
              </w:rPr>
              <w:instrText xml:space="preserve"> PAGEREF _Toc214242065 \h </w:instrText>
            </w:r>
            <w:r>
              <w:rPr>
                <w:noProof/>
                <w:webHidden/>
              </w:rPr>
            </w:r>
            <w:r>
              <w:rPr>
                <w:noProof/>
                <w:webHidden/>
              </w:rPr>
              <w:fldChar w:fldCharType="separate"/>
            </w:r>
            <w:r>
              <w:rPr>
                <w:noProof/>
                <w:webHidden/>
              </w:rPr>
              <w:t>2</w:t>
            </w:r>
            <w:r>
              <w:rPr>
                <w:noProof/>
                <w:webHidden/>
              </w:rPr>
              <w:fldChar w:fldCharType="end"/>
            </w:r>
          </w:hyperlink>
        </w:p>
        <w:p w14:paraId="40D7AA73" w14:textId="775E1AFD" w:rsidR="00445516" w:rsidRDefault="00445516">
          <w:pPr>
            <w:pStyle w:val="TOC1"/>
            <w:tabs>
              <w:tab w:val="right" w:leader="dot" w:pos="9350"/>
            </w:tabs>
            <w:rPr>
              <w:noProof/>
            </w:rPr>
          </w:pPr>
          <w:hyperlink w:anchor="_Toc214242066" w:history="1">
            <w:r w:rsidRPr="00FA3A6D">
              <w:rPr>
                <w:rStyle w:val="Hyperlink"/>
                <w:noProof/>
              </w:rPr>
              <w:t>Classification and diagnosis of Gaming Disorder in ICD-11</w:t>
            </w:r>
            <w:r>
              <w:rPr>
                <w:noProof/>
                <w:webHidden/>
              </w:rPr>
              <w:tab/>
            </w:r>
            <w:r>
              <w:rPr>
                <w:noProof/>
                <w:webHidden/>
              </w:rPr>
              <w:fldChar w:fldCharType="begin"/>
            </w:r>
            <w:r>
              <w:rPr>
                <w:noProof/>
                <w:webHidden/>
              </w:rPr>
              <w:instrText xml:space="preserve"> PAGEREF _Toc214242066 \h </w:instrText>
            </w:r>
            <w:r>
              <w:rPr>
                <w:noProof/>
                <w:webHidden/>
              </w:rPr>
            </w:r>
            <w:r>
              <w:rPr>
                <w:noProof/>
                <w:webHidden/>
              </w:rPr>
              <w:fldChar w:fldCharType="separate"/>
            </w:r>
            <w:r>
              <w:rPr>
                <w:noProof/>
                <w:webHidden/>
              </w:rPr>
              <w:t>2</w:t>
            </w:r>
            <w:r>
              <w:rPr>
                <w:noProof/>
                <w:webHidden/>
              </w:rPr>
              <w:fldChar w:fldCharType="end"/>
            </w:r>
          </w:hyperlink>
        </w:p>
        <w:p w14:paraId="2CB2C63C" w14:textId="1F5E6487" w:rsidR="00445516" w:rsidRDefault="00445516">
          <w:pPr>
            <w:pStyle w:val="TOC2"/>
            <w:tabs>
              <w:tab w:val="right" w:leader="dot" w:pos="9350"/>
            </w:tabs>
            <w:rPr>
              <w:noProof/>
            </w:rPr>
          </w:pPr>
          <w:hyperlink w:anchor="_Toc214242067" w:history="1">
            <w:r w:rsidRPr="00FA3A6D">
              <w:rPr>
                <w:rStyle w:val="Hyperlink"/>
                <w:noProof/>
              </w:rPr>
              <w:t>Position in ICD-11 and diagnostic concept</w:t>
            </w:r>
            <w:r>
              <w:rPr>
                <w:noProof/>
                <w:webHidden/>
              </w:rPr>
              <w:tab/>
            </w:r>
            <w:r>
              <w:rPr>
                <w:noProof/>
                <w:webHidden/>
              </w:rPr>
              <w:fldChar w:fldCharType="begin"/>
            </w:r>
            <w:r>
              <w:rPr>
                <w:noProof/>
                <w:webHidden/>
              </w:rPr>
              <w:instrText xml:space="preserve"> PAGEREF _Toc214242067 \h </w:instrText>
            </w:r>
            <w:r>
              <w:rPr>
                <w:noProof/>
                <w:webHidden/>
              </w:rPr>
            </w:r>
            <w:r>
              <w:rPr>
                <w:noProof/>
                <w:webHidden/>
              </w:rPr>
              <w:fldChar w:fldCharType="separate"/>
            </w:r>
            <w:r>
              <w:rPr>
                <w:noProof/>
                <w:webHidden/>
              </w:rPr>
              <w:t>2</w:t>
            </w:r>
            <w:r>
              <w:rPr>
                <w:noProof/>
                <w:webHidden/>
              </w:rPr>
              <w:fldChar w:fldCharType="end"/>
            </w:r>
          </w:hyperlink>
        </w:p>
        <w:p w14:paraId="616BB812" w14:textId="4A668B6E" w:rsidR="00445516" w:rsidRDefault="00445516">
          <w:pPr>
            <w:pStyle w:val="TOC2"/>
            <w:tabs>
              <w:tab w:val="right" w:leader="dot" w:pos="9350"/>
            </w:tabs>
            <w:rPr>
              <w:noProof/>
            </w:rPr>
          </w:pPr>
          <w:hyperlink w:anchor="_Toc214242068" w:history="1">
            <w:r w:rsidRPr="00FA3A6D">
              <w:rPr>
                <w:rStyle w:val="Hyperlink"/>
                <w:noProof/>
              </w:rPr>
              <w:t>Historical and contemporary classification</w:t>
            </w:r>
            <w:r>
              <w:rPr>
                <w:noProof/>
                <w:webHidden/>
              </w:rPr>
              <w:tab/>
            </w:r>
            <w:r>
              <w:rPr>
                <w:noProof/>
                <w:webHidden/>
              </w:rPr>
              <w:fldChar w:fldCharType="begin"/>
            </w:r>
            <w:r>
              <w:rPr>
                <w:noProof/>
                <w:webHidden/>
              </w:rPr>
              <w:instrText xml:space="preserve"> PAGEREF _Toc214242068 \h </w:instrText>
            </w:r>
            <w:r>
              <w:rPr>
                <w:noProof/>
                <w:webHidden/>
              </w:rPr>
            </w:r>
            <w:r>
              <w:rPr>
                <w:noProof/>
                <w:webHidden/>
              </w:rPr>
              <w:fldChar w:fldCharType="separate"/>
            </w:r>
            <w:r>
              <w:rPr>
                <w:noProof/>
                <w:webHidden/>
              </w:rPr>
              <w:t>3</w:t>
            </w:r>
            <w:r>
              <w:rPr>
                <w:noProof/>
                <w:webHidden/>
              </w:rPr>
              <w:fldChar w:fldCharType="end"/>
            </w:r>
          </w:hyperlink>
        </w:p>
        <w:p w14:paraId="7C81874B" w14:textId="25655033" w:rsidR="00445516" w:rsidRDefault="00445516">
          <w:pPr>
            <w:pStyle w:val="TOC1"/>
            <w:tabs>
              <w:tab w:val="right" w:leader="dot" w:pos="9350"/>
            </w:tabs>
            <w:rPr>
              <w:noProof/>
            </w:rPr>
          </w:pPr>
          <w:hyperlink w:anchor="_Toc214242069" w:history="1">
            <w:r w:rsidRPr="00FA3A6D">
              <w:rPr>
                <w:rStyle w:val="Hyperlink"/>
                <w:noProof/>
              </w:rPr>
              <w:t>Diagnostic process and assessment tools</w:t>
            </w:r>
            <w:r>
              <w:rPr>
                <w:noProof/>
                <w:webHidden/>
              </w:rPr>
              <w:tab/>
            </w:r>
            <w:r>
              <w:rPr>
                <w:noProof/>
                <w:webHidden/>
              </w:rPr>
              <w:fldChar w:fldCharType="begin"/>
            </w:r>
            <w:r>
              <w:rPr>
                <w:noProof/>
                <w:webHidden/>
              </w:rPr>
              <w:instrText xml:space="preserve"> PAGEREF _Toc214242069 \h </w:instrText>
            </w:r>
            <w:r>
              <w:rPr>
                <w:noProof/>
                <w:webHidden/>
              </w:rPr>
            </w:r>
            <w:r>
              <w:rPr>
                <w:noProof/>
                <w:webHidden/>
              </w:rPr>
              <w:fldChar w:fldCharType="separate"/>
            </w:r>
            <w:r>
              <w:rPr>
                <w:noProof/>
                <w:webHidden/>
              </w:rPr>
              <w:t>3</w:t>
            </w:r>
            <w:r>
              <w:rPr>
                <w:noProof/>
                <w:webHidden/>
              </w:rPr>
              <w:fldChar w:fldCharType="end"/>
            </w:r>
          </w:hyperlink>
        </w:p>
        <w:p w14:paraId="103032A6" w14:textId="511F48E3" w:rsidR="00445516" w:rsidRDefault="00445516">
          <w:pPr>
            <w:pStyle w:val="TOC1"/>
            <w:tabs>
              <w:tab w:val="right" w:leader="dot" w:pos="9350"/>
            </w:tabs>
            <w:rPr>
              <w:noProof/>
            </w:rPr>
          </w:pPr>
          <w:hyperlink w:anchor="_Toc214242070" w:history="1">
            <w:r w:rsidRPr="00FA3A6D">
              <w:rPr>
                <w:rStyle w:val="Hyperlink"/>
                <w:noProof/>
              </w:rPr>
              <w:t>Treatment and rehabilitation</w:t>
            </w:r>
            <w:r>
              <w:rPr>
                <w:noProof/>
                <w:webHidden/>
              </w:rPr>
              <w:tab/>
            </w:r>
            <w:r>
              <w:rPr>
                <w:noProof/>
                <w:webHidden/>
              </w:rPr>
              <w:fldChar w:fldCharType="begin"/>
            </w:r>
            <w:r>
              <w:rPr>
                <w:noProof/>
                <w:webHidden/>
              </w:rPr>
              <w:instrText xml:space="preserve"> PAGEREF _Toc214242070 \h </w:instrText>
            </w:r>
            <w:r>
              <w:rPr>
                <w:noProof/>
                <w:webHidden/>
              </w:rPr>
            </w:r>
            <w:r>
              <w:rPr>
                <w:noProof/>
                <w:webHidden/>
              </w:rPr>
              <w:fldChar w:fldCharType="separate"/>
            </w:r>
            <w:r>
              <w:rPr>
                <w:noProof/>
                <w:webHidden/>
              </w:rPr>
              <w:t>4</w:t>
            </w:r>
            <w:r>
              <w:rPr>
                <w:noProof/>
                <w:webHidden/>
              </w:rPr>
              <w:fldChar w:fldCharType="end"/>
            </w:r>
          </w:hyperlink>
        </w:p>
        <w:p w14:paraId="2413BB16" w14:textId="70691FEA" w:rsidR="00445516" w:rsidRDefault="00445516">
          <w:pPr>
            <w:pStyle w:val="TOC2"/>
            <w:tabs>
              <w:tab w:val="right" w:leader="dot" w:pos="9350"/>
            </w:tabs>
            <w:rPr>
              <w:noProof/>
            </w:rPr>
          </w:pPr>
          <w:hyperlink w:anchor="_Toc214242071" w:history="1">
            <w:r w:rsidRPr="00FA3A6D">
              <w:rPr>
                <w:rStyle w:val="Hyperlink"/>
                <w:noProof/>
              </w:rPr>
              <w:t>Psychological interventions</w:t>
            </w:r>
            <w:r>
              <w:rPr>
                <w:noProof/>
                <w:webHidden/>
              </w:rPr>
              <w:tab/>
            </w:r>
            <w:r>
              <w:rPr>
                <w:noProof/>
                <w:webHidden/>
              </w:rPr>
              <w:fldChar w:fldCharType="begin"/>
            </w:r>
            <w:r>
              <w:rPr>
                <w:noProof/>
                <w:webHidden/>
              </w:rPr>
              <w:instrText xml:space="preserve"> PAGEREF _Toc214242071 \h </w:instrText>
            </w:r>
            <w:r>
              <w:rPr>
                <w:noProof/>
                <w:webHidden/>
              </w:rPr>
            </w:r>
            <w:r>
              <w:rPr>
                <w:noProof/>
                <w:webHidden/>
              </w:rPr>
              <w:fldChar w:fldCharType="separate"/>
            </w:r>
            <w:r>
              <w:rPr>
                <w:noProof/>
                <w:webHidden/>
              </w:rPr>
              <w:t>4</w:t>
            </w:r>
            <w:r>
              <w:rPr>
                <w:noProof/>
                <w:webHidden/>
              </w:rPr>
              <w:fldChar w:fldCharType="end"/>
            </w:r>
          </w:hyperlink>
        </w:p>
        <w:p w14:paraId="23FCF7FC" w14:textId="18E5C256" w:rsidR="00445516" w:rsidRDefault="00445516">
          <w:pPr>
            <w:pStyle w:val="TOC2"/>
            <w:tabs>
              <w:tab w:val="right" w:leader="dot" w:pos="9350"/>
            </w:tabs>
            <w:rPr>
              <w:noProof/>
            </w:rPr>
          </w:pPr>
          <w:hyperlink w:anchor="_Toc214242072" w:history="1">
            <w:r w:rsidRPr="00FA3A6D">
              <w:rPr>
                <w:rStyle w:val="Hyperlink"/>
                <w:noProof/>
              </w:rPr>
              <w:t>Rehabilitation and support in everyday life</w:t>
            </w:r>
            <w:r>
              <w:rPr>
                <w:noProof/>
                <w:webHidden/>
              </w:rPr>
              <w:tab/>
            </w:r>
            <w:r>
              <w:rPr>
                <w:noProof/>
                <w:webHidden/>
              </w:rPr>
              <w:fldChar w:fldCharType="begin"/>
            </w:r>
            <w:r>
              <w:rPr>
                <w:noProof/>
                <w:webHidden/>
              </w:rPr>
              <w:instrText xml:space="preserve"> PAGEREF _Toc214242072 \h </w:instrText>
            </w:r>
            <w:r>
              <w:rPr>
                <w:noProof/>
                <w:webHidden/>
              </w:rPr>
            </w:r>
            <w:r>
              <w:rPr>
                <w:noProof/>
                <w:webHidden/>
              </w:rPr>
              <w:fldChar w:fldCharType="separate"/>
            </w:r>
            <w:r>
              <w:rPr>
                <w:noProof/>
                <w:webHidden/>
              </w:rPr>
              <w:t>5</w:t>
            </w:r>
            <w:r>
              <w:rPr>
                <w:noProof/>
                <w:webHidden/>
              </w:rPr>
              <w:fldChar w:fldCharType="end"/>
            </w:r>
          </w:hyperlink>
        </w:p>
        <w:p w14:paraId="3AC252D8" w14:textId="2BFDC182" w:rsidR="00445516" w:rsidRDefault="00445516">
          <w:pPr>
            <w:pStyle w:val="TOC2"/>
            <w:tabs>
              <w:tab w:val="right" w:leader="dot" w:pos="9350"/>
            </w:tabs>
            <w:rPr>
              <w:noProof/>
            </w:rPr>
          </w:pPr>
          <w:hyperlink w:anchor="_Toc214242073" w:history="1">
            <w:r w:rsidRPr="00FA3A6D">
              <w:rPr>
                <w:rStyle w:val="Hyperlink"/>
                <w:noProof/>
              </w:rPr>
              <w:t>Effectiveness and limitations</w:t>
            </w:r>
            <w:r>
              <w:rPr>
                <w:noProof/>
                <w:webHidden/>
              </w:rPr>
              <w:tab/>
            </w:r>
            <w:r>
              <w:rPr>
                <w:noProof/>
                <w:webHidden/>
              </w:rPr>
              <w:fldChar w:fldCharType="begin"/>
            </w:r>
            <w:r>
              <w:rPr>
                <w:noProof/>
                <w:webHidden/>
              </w:rPr>
              <w:instrText xml:space="preserve"> PAGEREF _Toc214242073 \h </w:instrText>
            </w:r>
            <w:r>
              <w:rPr>
                <w:noProof/>
                <w:webHidden/>
              </w:rPr>
            </w:r>
            <w:r>
              <w:rPr>
                <w:noProof/>
                <w:webHidden/>
              </w:rPr>
              <w:fldChar w:fldCharType="separate"/>
            </w:r>
            <w:r>
              <w:rPr>
                <w:noProof/>
                <w:webHidden/>
              </w:rPr>
              <w:t>5</w:t>
            </w:r>
            <w:r>
              <w:rPr>
                <w:noProof/>
                <w:webHidden/>
              </w:rPr>
              <w:fldChar w:fldCharType="end"/>
            </w:r>
          </w:hyperlink>
        </w:p>
        <w:p w14:paraId="4BF0E935" w14:textId="1E885D01" w:rsidR="00445516" w:rsidRDefault="00445516">
          <w:pPr>
            <w:pStyle w:val="TOC1"/>
            <w:tabs>
              <w:tab w:val="right" w:leader="dot" w:pos="9350"/>
            </w:tabs>
            <w:rPr>
              <w:noProof/>
            </w:rPr>
          </w:pPr>
          <w:hyperlink w:anchor="_Toc214242074" w:history="1">
            <w:r w:rsidRPr="00FA3A6D">
              <w:rPr>
                <w:rStyle w:val="Hyperlink"/>
                <w:noProof/>
              </w:rPr>
              <w:t>Current debates and emerging issues</w:t>
            </w:r>
            <w:r>
              <w:rPr>
                <w:noProof/>
                <w:webHidden/>
              </w:rPr>
              <w:tab/>
            </w:r>
            <w:r>
              <w:rPr>
                <w:noProof/>
                <w:webHidden/>
              </w:rPr>
              <w:fldChar w:fldCharType="begin"/>
            </w:r>
            <w:r>
              <w:rPr>
                <w:noProof/>
                <w:webHidden/>
              </w:rPr>
              <w:instrText xml:space="preserve"> PAGEREF _Toc214242074 \h </w:instrText>
            </w:r>
            <w:r>
              <w:rPr>
                <w:noProof/>
                <w:webHidden/>
              </w:rPr>
            </w:r>
            <w:r>
              <w:rPr>
                <w:noProof/>
                <w:webHidden/>
              </w:rPr>
              <w:fldChar w:fldCharType="separate"/>
            </w:r>
            <w:r>
              <w:rPr>
                <w:noProof/>
                <w:webHidden/>
              </w:rPr>
              <w:t>6</w:t>
            </w:r>
            <w:r>
              <w:rPr>
                <w:noProof/>
                <w:webHidden/>
              </w:rPr>
              <w:fldChar w:fldCharType="end"/>
            </w:r>
          </w:hyperlink>
        </w:p>
        <w:p w14:paraId="742F6DB1" w14:textId="6093FA98" w:rsidR="00445516" w:rsidRDefault="00445516">
          <w:pPr>
            <w:pStyle w:val="TOC2"/>
            <w:tabs>
              <w:tab w:val="right" w:leader="dot" w:pos="9350"/>
            </w:tabs>
            <w:rPr>
              <w:noProof/>
            </w:rPr>
          </w:pPr>
          <w:hyperlink w:anchor="_Toc214242075" w:history="1">
            <w:r w:rsidRPr="00FA3A6D">
              <w:rPr>
                <w:rStyle w:val="Hyperlink"/>
                <w:noProof/>
              </w:rPr>
              <w:t>Prevalence and public concern</w:t>
            </w:r>
            <w:r>
              <w:rPr>
                <w:noProof/>
                <w:webHidden/>
              </w:rPr>
              <w:tab/>
            </w:r>
            <w:r>
              <w:rPr>
                <w:noProof/>
                <w:webHidden/>
              </w:rPr>
              <w:fldChar w:fldCharType="begin"/>
            </w:r>
            <w:r>
              <w:rPr>
                <w:noProof/>
                <w:webHidden/>
              </w:rPr>
              <w:instrText xml:space="preserve"> PAGEREF _Toc214242075 \h </w:instrText>
            </w:r>
            <w:r>
              <w:rPr>
                <w:noProof/>
                <w:webHidden/>
              </w:rPr>
            </w:r>
            <w:r>
              <w:rPr>
                <w:noProof/>
                <w:webHidden/>
              </w:rPr>
              <w:fldChar w:fldCharType="separate"/>
            </w:r>
            <w:r>
              <w:rPr>
                <w:noProof/>
                <w:webHidden/>
              </w:rPr>
              <w:t>6</w:t>
            </w:r>
            <w:r>
              <w:rPr>
                <w:noProof/>
                <w:webHidden/>
              </w:rPr>
              <w:fldChar w:fldCharType="end"/>
            </w:r>
          </w:hyperlink>
        </w:p>
        <w:p w14:paraId="5A901E87" w14:textId="5CBE8011" w:rsidR="00445516" w:rsidRDefault="00445516">
          <w:pPr>
            <w:pStyle w:val="TOC2"/>
            <w:tabs>
              <w:tab w:val="right" w:leader="dot" w:pos="9350"/>
            </w:tabs>
            <w:rPr>
              <w:noProof/>
            </w:rPr>
          </w:pPr>
          <w:hyperlink w:anchor="_Toc214242076" w:history="1">
            <w:r w:rsidRPr="00FA3A6D">
              <w:rPr>
                <w:rStyle w:val="Hyperlink"/>
                <w:noProof/>
              </w:rPr>
              <w:t>Inclusion of Gaming Disorder in ICD-11</w:t>
            </w:r>
            <w:r>
              <w:rPr>
                <w:noProof/>
                <w:webHidden/>
              </w:rPr>
              <w:tab/>
            </w:r>
            <w:r>
              <w:rPr>
                <w:noProof/>
                <w:webHidden/>
              </w:rPr>
              <w:fldChar w:fldCharType="begin"/>
            </w:r>
            <w:r>
              <w:rPr>
                <w:noProof/>
                <w:webHidden/>
              </w:rPr>
              <w:instrText xml:space="preserve"> PAGEREF _Toc214242076 \h </w:instrText>
            </w:r>
            <w:r>
              <w:rPr>
                <w:noProof/>
                <w:webHidden/>
              </w:rPr>
            </w:r>
            <w:r>
              <w:rPr>
                <w:noProof/>
                <w:webHidden/>
              </w:rPr>
              <w:fldChar w:fldCharType="separate"/>
            </w:r>
            <w:r>
              <w:rPr>
                <w:noProof/>
                <w:webHidden/>
              </w:rPr>
              <w:t>6</w:t>
            </w:r>
            <w:r>
              <w:rPr>
                <w:noProof/>
                <w:webHidden/>
              </w:rPr>
              <w:fldChar w:fldCharType="end"/>
            </w:r>
          </w:hyperlink>
        </w:p>
        <w:p w14:paraId="65F00B5D" w14:textId="2EE7789C" w:rsidR="00445516" w:rsidRDefault="00445516">
          <w:pPr>
            <w:pStyle w:val="TOC2"/>
            <w:tabs>
              <w:tab w:val="right" w:leader="dot" w:pos="9350"/>
            </w:tabs>
            <w:rPr>
              <w:noProof/>
            </w:rPr>
          </w:pPr>
          <w:hyperlink w:anchor="_Toc214242077" w:history="1">
            <w:r w:rsidRPr="00FA3A6D">
              <w:rPr>
                <w:rStyle w:val="Hyperlink"/>
                <w:noProof/>
              </w:rPr>
              <w:t>Neurodivergence, gaming and diagnosis</w:t>
            </w:r>
            <w:r>
              <w:rPr>
                <w:noProof/>
                <w:webHidden/>
              </w:rPr>
              <w:tab/>
            </w:r>
            <w:r>
              <w:rPr>
                <w:noProof/>
                <w:webHidden/>
              </w:rPr>
              <w:fldChar w:fldCharType="begin"/>
            </w:r>
            <w:r>
              <w:rPr>
                <w:noProof/>
                <w:webHidden/>
              </w:rPr>
              <w:instrText xml:space="preserve"> PAGEREF _Toc214242077 \h </w:instrText>
            </w:r>
            <w:r>
              <w:rPr>
                <w:noProof/>
                <w:webHidden/>
              </w:rPr>
            </w:r>
            <w:r>
              <w:rPr>
                <w:noProof/>
                <w:webHidden/>
              </w:rPr>
              <w:fldChar w:fldCharType="separate"/>
            </w:r>
            <w:r>
              <w:rPr>
                <w:noProof/>
                <w:webHidden/>
              </w:rPr>
              <w:t>7</w:t>
            </w:r>
            <w:r>
              <w:rPr>
                <w:noProof/>
                <w:webHidden/>
              </w:rPr>
              <w:fldChar w:fldCharType="end"/>
            </w:r>
          </w:hyperlink>
        </w:p>
        <w:p w14:paraId="44F0E552" w14:textId="14B11A7E" w:rsidR="00445516" w:rsidRDefault="00445516">
          <w:pPr>
            <w:pStyle w:val="TOC2"/>
            <w:tabs>
              <w:tab w:val="right" w:leader="dot" w:pos="9350"/>
            </w:tabs>
            <w:rPr>
              <w:noProof/>
            </w:rPr>
          </w:pPr>
          <w:hyperlink w:anchor="_Toc214242078" w:history="1">
            <w:r w:rsidRPr="00FA3A6D">
              <w:rPr>
                <w:rStyle w:val="Hyperlink"/>
                <w:noProof/>
              </w:rPr>
              <w:t>Impact on practice and policy</w:t>
            </w:r>
            <w:r>
              <w:rPr>
                <w:noProof/>
                <w:webHidden/>
              </w:rPr>
              <w:tab/>
            </w:r>
            <w:r>
              <w:rPr>
                <w:noProof/>
                <w:webHidden/>
              </w:rPr>
              <w:fldChar w:fldCharType="begin"/>
            </w:r>
            <w:r>
              <w:rPr>
                <w:noProof/>
                <w:webHidden/>
              </w:rPr>
              <w:instrText xml:space="preserve"> PAGEREF _Toc214242078 \h </w:instrText>
            </w:r>
            <w:r>
              <w:rPr>
                <w:noProof/>
                <w:webHidden/>
              </w:rPr>
            </w:r>
            <w:r>
              <w:rPr>
                <w:noProof/>
                <w:webHidden/>
              </w:rPr>
              <w:fldChar w:fldCharType="separate"/>
            </w:r>
            <w:r>
              <w:rPr>
                <w:noProof/>
                <w:webHidden/>
              </w:rPr>
              <w:t>7</w:t>
            </w:r>
            <w:r>
              <w:rPr>
                <w:noProof/>
                <w:webHidden/>
              </w:rPr>
              <w:fldChar w:fldCharType="end"/>
            </w:r>
          </w:hyperlink>
        </w:p>
        <w:p w14:paraId="689A6243" w14:textId="0C73EDD7" w:rsidR="00445516" w:rsidRDefault="00445516">
          <w:pPr>
            <w:pStyle w:val="TOC1"/>
            <w:tabs>
              <w:tab w:val="right" w:leader="dot" w:pos="9350"/>
            </w:tabs>
            <w:rPr>
              <w:noProof/>
            </w:rPr>
          </w:pPr>
          <w:hyperlink w:anchor="_Toc214242079" w:history="1">
            <w:r w:rsidRPr="00FA3A6D">
              <w:rPr>
                <w:rStyle w:val="Hyperlink"/>
                <w:noProof/>
              </w:rPr>
              <w:t>Recommendations</w:t>
            </w:r>
            <w:r>
              <w:rPr>
                <w:noProof/>
                <w:webHidden/>
              </w:rPr>
              <w:tab/>
            </w:r>
            <w:r>
              <w:rPr>
                <w:noProof/>
                <w:webHidden/>
              </w:rPr>
              <w:fldChar w:fldCharType="begin"/>
            </w:r>
            <w:r>
              <w:rPr>
                <w:noProof/>
                <w:webHidden/>
              </w:rPr>
              <w:instrText xml:space="preserve"> PAGEREF _Toc214242079 \h </w:instrText>
            </w:r>
            <w:r>
              <w:rPr>
                <w:noProof/>
                <w:webHidden/>
              </w:rPr>
            </w:r>
            <w:r>
              <w:rPr>
                <w:noProof/>
                <w:webHidden/>
              </w:rPr>
              <w:fldChar w:fldCharType="separate"/>
            </w:r>
            <w:r>
              <w:rPr>
                <w:noProof/>
                <w:webHidden/>
              </w:rPr>
              <w:t>8</w:t>
            </w:r>
            <w:r>
              <w:rPr>
                <w:noProof/>
                <w:webHidden/>
              </w:rPr>
              <w:fldChar w:fldCharType="end"/>
            </w:r>
          </w:hyperlink>
        </w:p>
        <w:p w14:paraId="05B89EA0" w14:textId="53F309B5" w:rsidR="00445516" w:rsidRDefault="00445516">
          <w:pPr>
            <w:pStyle w:val="TOC2"/>
            <w:tabs>
              <w:tab w:val="right" w:leader="dot" w:pos="9350"/>
            </w:tabs>
            <w:rPr>
              <w:noProof/>
            </w:rPr>
          </w:pPr>
          <w:hyperlink w:anchor="_Toc214242080" w:history="1">
            <w:r w:rsidRPr="00FA3A6D">
              <w:rPr>
                <w:rStyle w:val="Hyperlink"/>
                <w:noProof/>
              </w:rPr>
              <w:t>Refining classification and diagnosis</w:t>
            </w:r>
            <w:r>
              <w:rPr>
                <w:noProof/>
                <w:webHidden/>
              </w:rPr>
              <w:tab/>
            </w:r>
            <w:r>
              <w:rPr>
                <w:noProof/>
                <w:webHidden/>
              </w:rPr>
              <w:fldChar w:fldCharType="begin"/>
            </w:r>
            <w:r>
              <w:rPr>
                <w:noProof/>
                <w:webHidden/>
              </w:rPr>
              <w:instrText xml:space="preserve"> PAGEREF _Toc214242080 \h </w:instrText>
            </w:r>
            <w:r>
              <w:rPr>
                <w:noProof/>
                <w:webHidden/>
              </w:rPr>
            </w:r>
            <w:r>
              <w:rPr>
                <w:noProof/>
                <w:webHidden/>
              </w:rPr>
              <w:fldChar w:fldCharType="separate"/>
            </w:r>
            <w:r>
              <w:rPr>
                <w:noProof/>
                <w:webHidden/>
              </w:rPr>
              <w:t>8</w:t>
            </w:r>
            <w:r>
              <w:rPr>
                <w:noProof/>
                <w:webHidden/>
              </w:rPr>
              <w:fldChar w:fldCharType="end"/>
            </w:r>
          </w:hyperlink>
        </w:p>
        <w:p w14:paraId="16AA2463" w14:textId="773E3191" w:rsidR="00445516" w:rsidRDefault="00445516">
          <w:pPr>
            <w:pStyle w:val="TOC2"/>
            <w:tabs>
              <w:tab w:val="right" w:leader="dot" w:pos="9350"/>
            </w:tabs>
            <w:rPr>
              <w:noProof/>
            </w:rPr>
          </w:pPr>
          <w:hyperlink w:anchor="_Toc214242081" w:history="1">
            <w:r w:rsidRPr="00FA3A6D">
              <w:rPr>
                <w:rStyle w:val="Hyperlink"/>
                <w:noProof/>
              </w:rPr>
              <w:t>Improving treatment and rehabilitation</w:t>
            </w:r>
            <w:r>
              <w:rPr>
                <w:noProof/>
                <w:webHidden/>
              </w:rPr>
              <w:tab/>
            </w:r>
            <w:r>
              <w:rPr>
                <w:noProof/>
                <w:webHidden/>
              </w:rPr>
              <w:fldChar w:fldCharType="begin"/>
            </w:r>
            <w:r>
              <w:rPr>
                <w:noProof/>
                <w:webHidden/>
              </w:rPr>
              <w:instrText xml:space="preserve"> PAGEREF _Toc214242081 \h </w:instrText>
            </w:r>
            <w:r>
              <w:rPr>
                <w:noProof/>
                <w:webHidden/>
              </w:rPr>
            </w:r>
            <w:r>
              <w:rPr>
                <w:noProof/>
                <w:webHidden/>
              </w:rPr>
              <w:fldChar w:fldCharType="separate"/>
            </w:r>
            <w:r>
              <w:rPr>
                <w:noProof/>
                <w:webHidden/>
              </w:rPr>
              <w:t>8</w:t>
            </w:r>
            <w:r>
              <w:rPr>
                <w:noProof/>
                <w:webHidden/>
              </w:rPr>
              <w:fldChar w:fldCharType="end"/>
            </w:r>
          </w:hyperlink>
        </w:p>
        <w:p w14:paraId="1842AFA7" w14:textId="36F97974" w:rsidR="00445516" w:rsidRDefault="00445516">
          <w:pPr>
            <w:pStyle w:val="TOC2"/>
            <w:tabs>
              <w:tab w:val="right" w:leader="dot" w:pos="9350"/>
            </w:tabs>
            <w:rPr>
              <w:noProof/>
            </w:rPr>
          </w:pPr>
          <w:hyperlink w:anchor="_Toc214242082" w:history="1">
            <w:r w:rsidRPr="00FA3A6D">
              <w:rPr>
                <w:rStyle w:val="Hyperlink"/>
                <w:noProof/>
              </w:rPr>
              <w:t>Addressing wider social and policy factors</w:t>
            </w:r>
            <w:r>
              <w:rPr>
                <w:noProof/>
                <w:webHidden/>
              </w:rPr>
              <w:tab/>
            </w:r>
            <w:r>
              <w:rPr>
                <w:noProof/>
                <w:webHidden/>
              </w:rPr>
              <w:fldChar w:fldCharType="begin"/>
            </w:r>
            <w:r>
              <w:rPr>
                <w:noProof/>
                <w:webHidden/>
              </w:rPr>
              <w:instrText xml:space="preserve"> PAGEREF _Toc214242082 \h </w:instrText>
            </w:r>
            <w:r>
              <w:rPr>
                <w:noProof/>
                <w:webHidden/>
              </w:rPr>
            </w:r>
            <w:r>
              <w:rPr>
                <w:noProof/>
                <w:webHidden/>
              </w:rPr>
              <w:fldChar w:fldCharType="separate"/>
            </w:r>
            <w:r>
              <w:rPr>
                <w:noProof/>
                <w:webHidden/>
              </w:rPr>
              <w:t>8</w:t>
            </w:r>
            <w:r>
              <w:rPr>
                <w:noProof/>
                <w:webHidden/>
              </w:rPr>
              <w:fldChar w:fldCharType="end"/>
            </w:r>
          </w:hyperlink>
        </w:p>
        <w:p w14:paraId="51594A4C" w14:textId="122A7317" w:rsidR="00445516" w:rsidRDefault="00445516">
          <w:pPr>
            <w:pStyle w:val="TOC1"/>
            <w:tabs>
              <w:tab w:val="right" w:leader="dot" w:pos="9350"/>
            </w:tabs>
            <w:rPr>
              <w:noProof/>
            </w:rPr>
          </w:pPr>
          <w:hyperlink w:anchor="_Toc214242083" w:history="1">
            <w:r w:rsidRPr="00FA3A6D">
              <w:rPr>
                <w:rStyle w:val="Hyperlink"/>
                <w:noProof/>
              </w:rPr>
              <w:t>Conclusion</w:t>
            </w:r>
            <w:r>
              <w:rPr>
                <w:noProof/>
                <w:webHidden/>
              </w:rPr>
              <w:tab/>
            </w:r>
            <w:r>
              <w:rPr>
                <w:noProof/>
                <w:webHidden/>
              </w:rPr>
              <w:fldChar w:fldCharType="begin"/>
            </w:r>
            <w:r>
              <w:rPr>
                <w:noProof/>
                <w:webHidden/>
              </w:rPr>
              <w:instrText xml:space="preserve"> PAGEREF _Toc214242083 \h </w:instrText>
            </w:r>
            <w:r>
              <w:rPr>
                <w:noProof/>
                <w:webHidden/>
              </w:rPr>
            </w:r>
            <w:r>
              <w:rPr>
                <w:noProof/>
                <w:webHidden/>
              </w:rPr>
              <w:fldChar w:fldCharType="separate"/>
            </w:r>
            <w:r>
              <w:rPr>
                <w:noProof/>
                <w:webHidden/>
              </w:rPr>
              <w:t>9</w:t>
            </w:r>
            <w:r>
              <w:rPr>
                <w:noProof/>
                <w:webHidden/>
              </w:rPr>
              <w:fldChar w:fldCharType="end"/>
            </w:r>
          </w:hyperlink>
        </w:p>
        <w:p w14:paraId="69841B07" w14:textId="3DFCCAF4" w:rsidR="00445516" w:rsidRDefault="00445516">
          <w:pPr>
            <w:pStyle w:val="TOC1"/>
            <w:tabs>
              <w:tab w:val="right" w:leader="dot" w:pos="9350"/>
            </w:tabs>
            <w:rPr>
              <w:noProof/>
            </w:rPr>
          </w:pPr>
          <w:hyperlink w:anchor="_Toc214242084" w:history="1">
            <w:r w:rsidRPr="00FA3A6D">
              <w:rPr>
                <w:rStyle w:val="Hyperlink"/>
                <w:noProof/>
              </w:rPr>
              <w:t>References</w:t>
            </w:r>
            <w:r>
              <w:rPr>
                <w:noProof/>
                <w:webHidden/>
              </w:rPr>
              <w:tab/>
            </w:r>
            <w:r>
              <w:rPr>
                <w:noProof/>
                <w:webHidden/>
              </w:rPr>
              <w:fldChar w:fldCharType="begin"/>
            </w:r>
            <w:r>
              <w:rPr>
                <w:noProof/>
                <w:webHidden/>
              </w:rPr>
              <w:instrText xml:space="preserve"> PAGEREF _Toc214242084 \h </w:instrText>
            </w:r>
            <w:r>
              <w:rPr>
                <w:noProof/>
                <w:webHidden/>
              </w:rPr>
            </w:r>
            <w:r>
              <w:rPr>
                <w:noProof/>
                <w:webHidden/>
              </w:rPr>
              <w:fldChar w:fldCharType="separate"/>
            </w:r>
            <w:r>
              <w:rPr>
                <w:noProof/>
                <w:webHidden/>
              </w:rPr>
              <w:t>10</w:t>
            </w:r>
            <w:r>
              <w:rPr>
                <w:noProof/>
                <w:webHidden/>
              </w:rPr>
              <w:fldChar w:fldCharType="end"/>
            </w:r>
          </w:hyperlink>
        </w:p>
        <w:p w14:paraId="573ABE35" w14:textId="2602D733" w:rsidR="00445516" w:rsidRDefault="00445516">
          <w:r>
            <w:rPr>
              <w:b/>
              <w:bCs/>
              <w:noProof/>
            </w:rPr>
            <w:fldChar w:fldCharType="end"/>
          </w:r>
        </w:p>
      </w:sdtContent>
    </w:sdt>
    <w:p w14:paraId="60E0C5E7" w14:textId="77777777" w:rsidR="00445516" w:rsidRDefault="00445516" w:rsidP="00134D84">
      <w:pPr>
        <w:spacing w:before="240" w:line="360" w:lineRule="auto"/>
        <w:rPr>
          <w:rFonts w:ascii="Arial" w:hAnsi="Arial" w:cs="Arial"/>
          <w:b/>
          <w:bCs/>
          <w:sz w:val="22"/>
          <w:szCs w:val="22"/>
        </w:rPr>
      </w:pPr>
    </w:p>
    <w:p w14:paraId="39F7ADF4" w14:textId="77777777" w:rsidR="00445516" w:rsidRDefault="00445516" w:rsidP="00134D84">
      <w:pPr>
        <w:spacing w:before="240" w:line="360" w:lineRule="auto"/>
        <w:rPr>
          <w:rFonts w:ascii="Arial" w:hAnsi="Arial" w:cs="Arial"/>
          <w:b/>
          <w:bCs/>
          <w:sz w:val="22"/>
          <w:szCs w:val="22"/>
        </w:rPr>
      </w:pPr>
    </w:p>
    <w:p w14:paraId="42ED5822" w14:textId="77777777" w:rsidR="00445516" w:rsidRDefault="00445516" w:rsidP="00134D84">
      <w:pPr>
        <w:spacing w:before="240" w:line="360" w:lineRule="auto"/>
        <w:rPr>
          <w:rFonts w:ascii="Arial" w:hAnsi="Arial" w:cs="Arial"/>
          <w:b/>
          <w:bCs/>
          <w:sz w:val="22"/>
          <w:szCs w:val="22"/>
        </w:rPr>
      </w:pPr>
    </w:p>
    <w:p w14:paraId="4A343478" w14:textId="77777777" w:rsidR="004E121E" w:rsidRPr="00134D84" w:rsidRDefault="004E121E" w:rsidP="00134D84">
      <w:pPr>
        <w:spacing w:before="240" w:line="360" w:lineRule="auto"/>
        <w:rPr>
          <w:rFonts w:ascii="Arial" w:hAnsi="Arial" w:cs="Arial"/>
          <w:b/>
          <w:bCs/>
          <w:sz w:val="22"/>
          <w:szCs w:val="22"/>
        </w:rPr>
      </w:pPr>
    </w:p>
    <w:p w14:paraId="5D64AE28" w14:textId="77777777" w:rsidR="00134D84" w:rsidRPr="00134D84" w:rsidRDefault="00134D84" w:rsidP="00134D84">
      <w:pPr>
        <w:pStyle w:val="Heading1"/>
      </w:pPr>
      <w:bookmarkStart w:id="0" w:name="_Toc214242065"/>
      <w:r w:rsidRPr="00134D84">
        <w:lastRenderedPageBreak/>
        <w:t>Introduction</w:t>
      </w:r>
      <w:bookmarkEnd w:id="0"/>
    </w:p>
    <w:p w14:paraId="7A7A1868" w14:textId="77777777" w:rsidR="00134D84" w:rsidRPr="00134D84" w:rsidRDefault="00134D84" w:rsidP="00134D84">
      <w:pPr>
        <w:spacing w:before="240" w:line="360" w:lineRule="auto"/>
        <w:jc w:val="both"/>
        <w:rPr>
          <w:rFonts w:ascii="Arial" w:hAnsi="Arial" w:cs="Arial"/>
          <w:sz w:val="22"/>
          <w:szCs w:val="22"/>
        </w:rPr>
      </w:pPr>
      <w:r w:rsidRPr="00134D84">
        <w:rPr>
          <w:rFonts w:ascii="Arial" w:hAnsi="Arial" w:cs="Arial"/>
          <w:sz w:val="22"/>
          <w:szCs w:val="22"/>
        </w:rPr>
        <w:t>Digital games are now a normal part of everyday life for many children, young people and adults. For most people gaming is a leisure activity that brings enjoyment, social contact and a sense of achievement. For a smaller group, however, gaming becomes so dominant that it damages health, education, work and relationships. These concerns have led the World Health Organization to include Gaming Disorder as a distinct diagnosis in the eleventh revision of the International Classification of Diseases, within the chapter on mental, behavioural or neurodevelopmental disorders and the section on disorders due to addictive behaviours (World Health Organization, 2024; Reed et al., 2022).</w:t>
      </w:r>
    </w:p>
    <w:p w14:paraId="690265CF" w14:textId="39E0E669" w:rsidR="00134D84" w:rsidRPr="00134D84" w:rsidRDefault="00134D84" w:rsidP="00134D84">
      <w:pPr>
        <w:spacing w:before="240" w:line="360" w:lineRule="auto"/>
        <w:jc w:val="both"/>
        <w:rPr>
          <w:rFonts w:ascii="Arial" w:hAnsi="Arial" w:cs="Arial"/>
          <w:sz w:val="22"/>
          <w:szCs w:val="22"/>
        </w:rPr>
      </w:pPr>
      <w:r w:rsidRPr="00134D84">
        <w:rPr>
          <w:rFonts w:ascii="Arial" w:hAnsi="Arial" w:cs="Arial"/>
          <w:sz w:val="22"/>
          <w:szCs w:val="22"/>
        </w:rPr>
        <w:t>This report examines Gaming Disorder as described in ICD-11. It considers classification and diagnosis, treatment and rehabilitation, and then explores current debates around the diagnosis, including questions about neurodivergence and possible reclassification. The discussion links historical and contemporary approaches to gaming related problems and ends with recommendations for practice, policy and future research.</w:t>
      </w:r>
    </w:p>
    <w:p w14:paraId="1C08B6A1" w14:textId="77777777" w:rsidR="00134D84" w:rsidRPr="00134D84" w:rsidRDefault="00134D84" w:rsidP="00134D84">
      <w:pPr>
        <w:pStyle w:val="Heading1"/>
      </w:pPr>
      <w:bookmarkStart w:id="1" w:name="_Toc214242066"/>
      <w:r w:rsidRPr="00134D84">
        <w:t>Classification and diagnosis of Gaming Disorder in ICD-11</w:t>
      </w:r>
      <w:bookmarkEnd w:id="1"/>
    </w:p>
    <w:p w14:paraId="1552FEB4" w14:textId="77777777" w:rsidR="00134D84" w:rsidRPr="00134D84" w:rsidRDefault="00134D84" w:rsidP="00134D84">
      <w:pPr>
        <w:pStyle w:val="Heading2"/>
      </w:pPr>
      <w:bookmarkStart w:id="2" w:name="_Toc214242067"/>
      <w:r w:rsidRPr="00134D84">
        <w:t>Position in ICD-11 and diagnostic concept</w:t>
      </w:r>
      <w:bookmarkEnd w:id="2"/>
    </w:p>
    <w:p w14:paraId="2C020C6B" w14:textId="77777777" w:rsidR="00134D84" w:rsidRPr="00134D84" w:rsidRDefault="00134D84" w:rsidP="00134D84">
      <w:pPr>
        <w:spacing w:before="240" w:line="360" w:lineRule="auto"/>
        <w:jc w:val="both"/>
        <w:rPr>
          <w:rFonts w:ascii="Arial" w:hAnsi="Arial" w:cs="Arial"/>
          <w:sz w:val="22"/>
          <w:szCs w:val="22"/>
        </w:rPr>
      </w:pPr>
      <w:r w:rsidRPr="00134D84">
        <w:rPr>
          <w:rFonts w:ascii="Arial" w:hAnsi="Arial" w:cs="Arial"/>
          <w:sz w:val="22"/>
          <w:szCs w:val="22"/>
        </w:rPr>
        <w:t>In ICD-11, Gaming Disorder is listed under disorders due to addictive behaviours in Chapter 6, alongside gambling disorder. This reflects a move away from viewing such problems only as impulse control issues and towards an addiction framework (World Health Organization, 2024; Reed et al., 2022).</w:t>
      </w:r>
    </w:p>
    <w:p w14:paraId="65A33438" w14:textId="77777777" w:rsidR="00134D84" w:rsidRPr="00134D84" w:rsidRDefault="00134D84" w:rsidP="00134D84">
      <w:pPr>
        <w:spacing w:before="240" w:line="360" w:lineRule="auto"/>
        <w:jc w:val="both"/>
        <w:rPr>
          <w:rFonts w:ascii="Arial" w:hAnsi="Arial" w:cs="Arial"/>
          <w:sz w:val="22"/>
          <w:szCs w:val="22"/>
        </w:rPr>
      </w:pPr>
      <w:r w:rsidRPr="00134D84">
        <w:rPr>
          <w:rFonts w:ascii="Arial" w:hAnsi="Arial" w:cs="Arial"/>
          <w:sz w:val="22"/>
          <w:szCs w:val="22"/>
        </w:rPr>
        <w:t>ICD-11 describes Gaming Disorder as a pattern of persistent or recurrent gaming behaviour, which may be online or offline. Three core clinical features are highlighted. The first is impaired control over gaming, including difficulties with starting, stopping and managing time spent. The second is increasing priority given to gaming so that it takes precedence over other interests and daily activities. The third is continuation or escalation of gaming despite clear negative consequences for personal, family, social, educational, occupational or other important areas of functioning (World Health Organization, 2020; World Health Organization, 2024).</w:t>
      </w:r>
    </w:p>
    <w:p w14:paraId="41172FE5" w14:textId="77777777" w:rsidR="00134D84" w:rsidRPr="00134D84" w:rsidRDefault="00134D84" w:rsidP="00134D84">
      <w:pPr>
        <w:spacing w:before="240" w:line="360" w:lineRule="auto"/>
        <w:jc w:val="both"/>
        <w:rPr>
          <w:rFonts w:ascii="Arial" w:hAnsi="Arial" w:cs="Arial"/>
          <w:sz w:val="22"/>
          <w:szCs w:val="22"/>
        </w:rPr>
      </w:pPr>
      <w:r w:rsidRPr="00134D84">
        <w:rPr>
          <w:rFonts w:ascii="Arial" w:hAnsi="Arial" w:cs="Arial"/>
          <w:sz w:val="22"/>
          <w:szCs w:val="22"/>
        </w:rPr>
        <w:t xml:space="preserve">For a diagnosis, the pattern must be present for at least twelve months in most cases and must cause significant impairment in functioning (World Health Organization, 2024). ICD-11 also </w:t>
      </w:r>
      <w:r w:rsidRPr="00134D84">
        <w:rPr>
          <w:rFonts w:ascii="Arial" w:hAnsi="Arial" w:cs="Arial"/>
          <w:sz w:val="22"/>
          <w:szCs w:val="22"/>
        </w:rPr>
        <w:lastRenderedPageBreak/>
        <w:t xml:space="preserve">introduces hazardous gaming as a related category. Hazardous gaming refers to a pattern that increases the risk of harmful outcomes but does not yet meet the threshold for a mental disorder. This distinction is important because it allows services to offer early support without labelling someone as having a disorder (Kewitz et al., 2023). The term disorder is reserved for the more severe pattern that involves functional impairment, while hazardous is used for risky behaviour. This reflects a public health approach that </w:t>
      </w:r>
      <w:proofErr w:type="spellStart"/>
      <w:r w:rsidRPr="00134D84">
        <w:rPr>
          <w:rFonts w:ascii="Arial" w:hAnsi="Arial" w:cs="Arial"/>
          <w:sz w:val="22"/>
          <w:szCs w:val="22"/>
        </w:rPr>
        <w:t>recognises</w:t>
      </w:r>
      <w:proofErr w:type="spellEnd"/>
      <w:r w:rsidRPr="00134D84">
        <w:rPr>
          <w:rFonts w:ascii="Arial" w:hAnsi="Arial" w:cs="Arial"/>
          <w:sz w:val="22"/>
          <w:szCs w:val="22"/>
        </w:rPr>
        <w:t xml:space="preserve"> a spectrum, from healthy gaming through risky use to clinical disorder (Reed et al., 2022).</w:t>
      </w:r>
    </w:p>
    <w:p w14:paraId="31953F15" w14:textId="77777777" w:rsidR="00134D84" w:rsidRPr="00134D84" w:rsidRDefault="00134D84" w:rsidP="00134D84">
      <w:pPr>
        <w:pStyle w:val="Heading2"/>
      </w:pPr>
      <w:bookmarkStart w:id="3" w:name="_Toc214242068"/>
      <w:r w:rsidRPr="00134D84">
        <w:t>Historical and contemporary classification</w:t>
      </w:r>
      <w:bookmarkEnd w:id="3"/>
    </w:p>
    <w:p w14:paraId="45A1C8C4" w14:textId="77777777" w:rsidR="00134D84" w:rsidRPr="00134D84" w:rsidRDefault="00134D84" w:rsidP="00134D84">
      <w:pPr>
        <w:spacing w:before="240" w:line="360" w:lineRule="auto"/>
        <w:jc w:val="both"/>
        <w:rPr>
          <w:rFonts w:ascii="Arial" w:hAnsi="Arial" w:cs="Arial"/>
          <w:sz w:val="22"/>
          <w:szCs w:val="22"/>
        </w:rPr>
      </w:pPr>
      <w:r w:rsidRPr="00134D84">
        <w:rPr>
          <w:rFonts w:ascii="Arial" w:hAnsi="Arial" w:cs="Arial"/>
          <w:sz w:val="22"/>
          <w:szCs w:val="22"/>
        </w:rPr>
        <w:t>Historically, problems with excessive gaming were grouped under broader ideas such as internet addiction or impulse control disorders. Diagnosis often relied on adapted tools originally developed for substance misuse or gambling. With ICD-11, Gaming Disorder now has its own criteria, and this has encouraged the development of specific screening instruments based on those criteria, such as the Gaming Disorder and Hazardous Gaming Scale and the Gaming Disorder Symptom Questionnaire (Balhara et al., 2020; Zhang et al., 2022).</w:t>
      </w:r>
    </w:p>
    <w:p w14:paraId="6A9FF39F" w14:textId="77777777" w:rsidR="00134D84" w:rsidRPr="00134D84" w:rsidRDefault="00134D84" w:rsidP="00134D84">
      <w:pPr>
        <w:spacing w:before="240" w:line="360" w:lineRule="auto"/>
        <w:jc w:val="both"/>
        <w:rPr>
          <w:rFonts w:ascii="Arial" w:hAnsi="Arial" w:cs="Arial"/>
          <w:sz w:val="22"/>
          <w:szCs w:val="22"/>
        </w:rPr>
      </w:pPr>
      <w:r w:rsidRPr="00134D84">
        <w:rPr>
          <w:rFonts w:ascii="Arial" w:hAnsi="Arial" w:cs="Arial"/>
          <w:sz w:val="22"/>
          <w:szCs w:val="22"/>
        </w:rPr>
        <w:t>Recent work has also produced the Assessment of Criteria for Specific Internet-use Disorders, known as the ACSID-11, which applies ICD-11 gaming criteria across several online behaviours, including gaming, online pornography and online shopping. This shows how the new classification is shaping research and clinical assessment tools (Oelker et al., 2024).</w:t>
      </w:r>
    </w:p>
    <w:p w14:paraId="15521499" w14:textId="77777777" w:rsidR="00134D84" w:rsidRPr="00134D84" w:rsidRDefault="00134D84" w:rsidP="00134D84">
      <w:pPr>
        <w:pStyle w:val="Heading1"/>
      </w:pPr>
      <w:bookmarkStart w:id="4" w:name="_Toc214242069"/>
      <w:r w:rsidRPr="00134D84">
        <w:t>Diagnostic process and assessment tools</w:t>
      </w:r>
      <w:bookmarkEnd w:id="4"/>
    </w:p>
    <w:p w14:paraId="051BEB1B" w14:textId="1BEAA924" w:rsidR="00134D84" w:rsidRPr="00134D84" w:rsidRDefault="00134D84" w:rsidP="00134D84">
      <w:pPr>
        <w:spacing w:before="240" w:line="360" w:lineRule="auto"/>
        <w:jc w:val="both"/>
        <w:rPr>
          <w:rFonts w:ascii="Arial" w:hAnsi="Arial" w:cs="Arial"/>
          <w:sz w:val="22"/>
          <w:szCs w:val="22"/>
        </w:rPr>
      </w:pPr>
      <w:r w:rsidRPr="00134D84">
        <w:rPr>
          <w:rFonts w:ascii="Arial" w:hAnsi="Arial" w:cs="Arial"/>
          <w:sz w:val="22"/>
          <w:szCs w:val="22"/>
        </w:rPr>
        <w:t>In practice, assessment usually combines clinical interview, observation and the use of validated questionnaires. The clinician explores how much time is spent gaming, attempts to cut down, withdrawal like symptoms when trying to stop, and the impact on sleep, physical health, study, work and relationships.</w:t>
      </w:r>
      <w:r w:rsidR="00B94C95">
        <w:rPr>
          <w:rFonts w:ascii="Arial" w:hAnsi="Arial" w:cs="Arial"/>
          <w:sz w:val="22"/>
          <w:szCs w:val="22"/>
        </w:rPr>
        <w:t xml:space="preserve"> </w:t>
      </w:r>
      <w:r w:rsidRPr="00134D84">
        <w:rPr>
          <w:rFonts w:ascii="Arial" w:hAnsi="Arial" w:cs="Arial"/>
          <w:sz w:val="22"/>
          <w:szCs w:val="22"/>
        </w:rPr>
        <w:t>Newer scales based on ICD-11 criteria help to structure this assessment. The Gaming Disorder Symptom Questionnaire has been validated in large adolescent samples and reflects the three factor structure of ICD-11, namely impaired control, priority given to gaming and continuation despite harm (Zhang et al., 2022). The Gaming Disorder and Hazardous Gaming Scale has been used in different countries to distinguish hazardous patterns from full disorder, and its items map directly onto ICD-11 wording (Balhara et al., 2020). The ACSID-11 provides a brief cross disorder screen that can pick up gaming and other online behaviour problems in community and clinical settings (Oelker et al., 2024).</w:t>
      </w:r>
    </w:p>
    <w:p w14:paraId="602E30FC" w14:textId="60922D03" w:rsidR="00134D84" w:rsidRPr="00134D84" w:rsidRDefault="00134D84" w:rsidP="00134D84">
      <w:pPr>
        <w:spacing w:before="240" w:line="360" w:lineRule="auto"/>
        <w:jc w:val="both"/>
        <w:rPr>
          <w:rFonts w:ascii="Arial" w:hAnsi="Arial" w:cs="Arial"/>
          <w:sz w:val="22"/>
          <w:szCs w:val="22"/>
        </w:rPr>
      </w:pPr>
      <w:r w:rsidRPr="00134D84">
        <w:rPr>
          <w:rFonts w:ascii="Arial" w:hAnsi="Arial" w:cs="Arial"/>
          <w:sz w:val="22"/>
          <w:szCs w:val="22"/>
        </w:rPr>
        <w:lastRenderedPageBreak/>
        <w:t>Studies comparing ICD-11 Gaming Disorder with earlier internet gaming disorder criteria show that the ICD-11 diagnosis tends to identify a smaller group with more severe impairment. This suggests that the new classification is more conservative and may reduce the risk of over diagnosing enthusiastic but non impaired gamers (Reed et al., 2022; Zhou et al., 2024).</w:t>
      </w:r>
    </w:p>
    <w:p w14:paraId="671A18A0" w14:textId="77777777" w:rsidR="00134D84" w:rsidRPr="00134D84" w:rsidRDefault="00134D84" w:rsidP="00134D84">
      <w:pPr>
        <w:pStyle w:val="Heading1"/>
      </w:pPr>
      <w:bookmarkStart w:id="5" w:name="_Toc214242070"/>
      <w:r w:rsidRPr="00134D84">
        <w:t>Treatment and rehabilitation</w:t>
      </w:r>
      <w:bookmarkEnd w:id="5"/>
    </w:p>
    <w:p w14:paraId="6F2F8D3C" w14:textId="77777777" w:rsidR="00134D84" w:rsidRPr="00134D84" w:rsidRDefault="00134D84" w:rsidP="00134D84">
      <w:pPr>
        <w:pStyle w:val="Heading2"/>
      </w:pPr>
      <w:bookmarkStart w:id="6" w:name="_Toc214242071"/>
      <w:r w:rsidRPr="00134D84">
        <w:t>Psychological interventions</w:t>
      </w:r>
      <w:bookmarkEnd w:id="6"/>
    </w:p>
    <w:p w14:paraId="0E4A3235" w14:textId="77777777" w:rsidR="00134D84" w:rsidRPr="00134D84" w:rsidRDefault="00134D84" w:rsidP="00134D84">
      <w:pPr>
        <w:spacing w:before="240" w:line="360" w:lineRule="auto"/>
        <w:jc w:val="both"/>
        <w:rPr>
          <w:rFonts w:ascii="Arial" w:hAnsi="Arial" w:cs="Arial"/>
          <w:sz w:val="22"/>
          <w:szCs w:val="22"/>
        </w:rPr>
      </w:pPr>
      <w:r w:rsidRPr="00134D84">
        <w:rPr>
          <w:rFonts w:ascii="Arial" w:hAnsi="Arial" w:cs="Arial"/>
          <w:sz w:val="22"/>
          <w:szCs w:val="22"/>
        </w:rPr>
        <w:t>Most treatment research focuses on psychological therapies. Recent systematic reviews of clinical trials show that cognitive behavioural therapy, often adapted to focus on digital use, is the most widely used and generally effective approach for reducing gaming symptoms and related distress (Kim et al., 2022; Chen et al., 2023; Núñez-Rodríguez et al., 2025).</w:t>
      </w:r>
    </w:p>
    <w:p w14:paraId="4F74D506" w14:textId="77777777" w:rsidR="00134D84" w:rsidRPr="00134D84" w:rsidRDefault="00134D84" w:rsidP="00134D84">
      <w:pPr>
        <w:spacing w:before="240" w:line="360" w:lineRule="auto"/>
        <w:jc w:val="both"/>
        <w:rPr>
          <w:rFonts w:ascii="Arial" w:hAnsi="Arial" w:cs="Arial"/>
          <w:sz w:val="22"/>
          <w:szCs w:val="22"/>
        </w:rPr>
      </w:pPr>
      <w:r w:rsidRPr="00134D84">
        <w:rPr>
          <w:rFonts w:ascii="Arial" w:hAnsi="Arial" w:cs="Arial"/>
          <w:sz w:val="22"/>
          <w:szCs w:val="22"/>
        </w:rPr>
        <w:t>Cognitive behavioural programmes work on several areas. They help people monitor gaming time, set realistic limits, challenge unhelpful thoughts about the need to be online and build alternative activities that support mood and social contact. Many programmes also include work on sleep routines, time management and emotion regulation. Some more recent trials combine cognitive behavioural therapy with mindfulness practices or family sessions and these combined approaches appear to show larger improvements in both gaming and anxiety or depression scores (Kim et al., 2022; Chen et al., 2023).</w:t>
      </w:r>
    </w:p>
    <w:p w14:paraId="501D22BE" w14:textId="77777777" w:rsidR="00134D84" w:rsidRPr="00134D84" w:rsidRDefault="00134D84" w:rsidP="00134D84">
      <w:pPr>
        <w:spacing w:before="240" w:line="360" w:lineRule="auto"/>
        <w:jc w:val="both"/>
        <w:rPr>
          <w:rFonts w:ascii="Arial" w:hAnsi="Arial" w:cs="Arial"/>
          <w:sz w:val="22"/>
          <w:szCs w:val="22"/>
        </w:rPr>
      </w:pPr>
      <w:r w:rsidRPr="00134D84">
        <w:rPr>
          <w:rFonts w:ascii="Arial" w:hAnsi="Arial" w:cs="Arial"/>
          <w:sz w:val="22"/>
          <w:szCs w:val="22"/>
        </w:rPr>
        <w:t>Group based interventions, including structured counselling groups and acceptance and cognitive restructuring programmes, have also been found helpful, particularly for adolescents. They provide peer support and a space to reflect on gaming culture as well as practical strategies (Núñez-Rodríguez et al., 2025).</w:t>
      </w:r>
    </w:p>
    <w:p w14:paraId="08CAAB84" w14:textId="77777777" w:rsidR="00134D84" w:rsidRPr="00134D84" w:rsidRDefault="00134D84" w:rsidP="00134D84">
      <w:pPr>
        <w:spacing w:before="240" w:line="360" w:lineRule="auto"/>
        <w:jc w:val="both"/>
        <w:rPr>
          <w:rFonts w:ascii="Arial" w:hAnsi="Arial" w:cs="Arial"/>
          <w:sz w:val="22"/>
          <w:szCs w:val="22"/>
        </w:rPr>
      </w:pPr>
      <w:r w:rsidRPr="00134D84">
        <w:rPr>
          <w:rFonts w:ascii="Arial" w:hAnsi="Arial" w:cs="Arial"/>
          <w:sz w:val="22"/>
          <w:szCs w:val="22"/>
        </w:rPr>
        <w:t>Pharmacological treatment is not specific to Gaming Disorder. Medication is sometimes used to treat co existing depression, anxiety or attention deficit symptoms, which can in turn reduce pressure to game. Evidence for medication as a primary treatment for Gaming Disorder itself remains limited and inconsistent, and current practice guidelines usually recommend psychological therapies as the first option (Chen et al., 2023; Reed et al., 2022).</w:t>
      </w:r>
    </w:p>
    <w:p w14:paraId="6222AE48" w14:textId="77777777" w:rsidR="00134D84" w:rsidRPr="00134D84" w:rsidRDefault="00134D84" w:rsidP="00134D84">
      <w:pPr>
        <w:pStyle w:val="Heading2"/>
      </w:pPr>
      <w:bookmarkStart w:id="7" w:name="_Toc214242072"/>
      <w:r w:rsidRPr="00134D84">
        <w:t>Rehabilitation and support in everyday life</w:t>
      </w:r>
      <w:bookmarkEnd w:id="7"/>
    </w:p>
    <w:p w14:paraId="6784FD5C" w14:textId="77777777" w:rsidR="00134D84" w:rsidRPr="00134D84" w:rsidRDefault="00134D84" w:rsidP="00134D84">
      <w:pPr>
        <w:spacing w:before="240" w:line="360" w:lineRule="auto"/>
        <w:jc w:val="both"/>
        <w:rPr>
          <w:rFonts w:ascii="Arial" w:hAnsi="Arial" w:cs="Arial"/>
          <w:sz w:val="22"/>
          <w:szCs w:val="22"/>
        </w:rPr>
      </w:pPr>
      <w:r w:rsidRPr="00134D84">
        <w:rPr>
          <w:rFonts w:ascii="Arial" w:hAnsi="Arial" w:cs="Arial"/>
          <w:sz w:val="22"/>
          <w:szCs w:val="22"/>
        </w:rPr>
        <w:t xml:space="preserve">Rehabilitation goes beyond symptom reduction and focuses on restoring or building functioning in education, work, family life and social relationships. ICD-11 </w:t>
      </w:r>
      <w:proofErr w:type="spellStart"/>
      <w:r w:rsidRPr="00134D84">
        <w:rPr>
          <w:rFonts w:ascii="Arial" w:hAnsi="Arial" w:cs="Arial"/>
          <w:sz w:val="22"/>
          <w:szCs w:val="22"/>
        </w:rPr>
        <w:t>emphasises</w:t>
      </w:r>
      <w:proofErr w:type="spellEnd"/>
      <w:r w:rsidRPr="00134D84">
        <w:rPr>
          <w:rFonts w:ascii="Arial" w:hAnsi="Arial" w:cs="Arial"/>
          <w:sz w:val="22"/>
          <w:szCs w:val="22"/>
        </w:rPr>
        <w:t xml:space="preserve"> that Gaming Disorder </w:t>
      </w:r>
      <w:r w:rsidRPr="00134D84">
        <w:rPr>
          <w:rFonts w:ascii="Arial" w:hAnsi="Arial" w:cs="Arial"/>
          <w:sz w:val="22"/>
          <w:szCs w:val="22"/>
        </w:rPr>
        <w:lastRenderedPageBreak/>
        <w:t>should only be diagnosed when there is clear impairment in these areas, so rehabilitation is central rather than optional (World Health Organization, 2024).</w:t>
      </w:r>
    </w:p>
    <w:p w14:paraId="73F8A044" w14:textId="77777777" w:rsidR="00134D84" w:rsidRPr="00134D84" w:rsidRDefault="00134D84" w:rsidP="00134D84">
      <w:pPr>
        <w:spacing w:before="240" w:line="360" w:lineRule="auto"/>
        <w:jc w:val="both"/>
        <w:rPr>
          <w:rFonts w:ascii="Arial" w:hAnsi="Arial" w:cs="Arial"/>
          <w:sz w:val="22"/>
          <w:szCs w:val="22"/>
        </w:rPr>
      </w:pPr>
      <w:r w:rsidRPr="00134D84">
        <w:rPr>
          <w:rFonts w:ascii="Arial" w:hAnsi="Arial" w:cs="Arial"/>
          <w:sz w:val="22"/>
          <w:szCs w:val="22"/>
        </w:rPr>
        <w:t xml:space="preserve">In practical terms, rehabilitation may include gradual return to school or college with support from tutors, structured routines that balance study, leisure and sleep, and involvement in </w:t>
      </w:r>
      <w:proofErr w:type="spellStart"/>
      <w:r w:rsidRPr="00134D84">
        <w:rPr>
          <w:rFonts w:ascii="Arial" w:hAnsi="Arial" w:cs="Arial"/>
          <w:sz w:val="22"/>
          <w:szCs w:val="22"/>
        </w:rPr>
        <w:t>non gaming</w:t>
      </w:r>
      <w:proofErr w:type="spellEnd"/>
      <w:r w:rsidRPr="00134D84">
        <w:rPr>
          <w:rFonts w:ascii="Arial" w:hAnsi="Arial" w:cs="Arial"/>
          <w:sz w:val="22"/>
          <w:szCs w:val="22"/>
        </w:rPr>
        <w:t xml:space="preserve"> hobbies. Some services offer occupational therapy input to rebuild daily living skills that were neglected during periods of intense gaming. Family work is also important, especially for younger people, as it can reduce conflict, improve communication and help parents move away from extreme control or complete avoidance of the topic (Reed et al., 2022; Núñez-Rodríguez et al., 2025).</w:t>
      </w:r>
    </w:p>
    <w:p w14:paraId="2429357C" w14:textId="77777777" w:rsidR="00134D84" w:rsidRPr="00134D84" w:rsidRDefault="00134D84" w:rsidP="00134D84">
      <w:pPr>
        <w:spacing w:before="240" w:line="360" w:lineRule="auto"/>
        <w:jc w:val="both"/>
        <w:rPr>
          <w:rFonts w:ascii="Arial" w:hAnsi="Arial" w:cs="Arial"/>
          <w:sz w:val="22"/>
          <w:szCs w:val="22"/>
        </w:rPr>
      </w:pPr>
      <w:r w:rsidRPr="00134D84">
        <w:rPr>
          <w:rFonts w:ascii="Arial" w:hAnsi="Arial" w:cs="Arial"/>
          <w:sz w:val="22"/>
          <w:szCs w:val="22"/>
        </w:rPr>
        <w:t>Specialist inpatient or residential programmes are available in some countries for severe cases. These programmes often combine periods away from digital devices, psychological therapy, physical activity and life skills training. However, they are costly and not widely available, and evidence for long term outcomes is still emerging (Chen et al., 2023).</w:t>
      </w:r>
    </w:p>
    <w:p w14:paraId="5BF5955C" w14:textId="77777777" w:rsidR="00134D84" w:rsidRPr="00134D84" w:rsidRDefault="00134D84" w:rsidP="00134D84">
      <w:pPr>
        <w:spacing w:before="240" w:line="360" w:lineRule="auto"/>
        <w:jc w:val="both"/>
        <w:rPr>
          <w:rFonts w:ascii="Arial" w:hAnsi="Arial" w:cs="Arial"/>
          <w:sz w:val="22"/>
          <w:szCs w:val="22"/>
        </w:rPr>
      </w:pPr>
      <w:r w:rsidRPr="00134D84">
        <w:rPr>
          <w:rFonts w:ascii="Arial" w:hAnsi="Arial" w:cs="Arial"/>
          <w:sz w:val="22"/>
          <w:szCs w:val="22"/>
        </w:rPr>
        <w:t xml:space="preserve">From a historical point of view, earlier responses to excessive gaming were often informal, based on general counselling or advice about screen time. The move to ICD-11 classification has encouraged the creation of structured pathways, including digital wellbeing clinics and addiction services that specifically address gaming as one of the behaviours they treat. This represents a shift from seeing gaming problems as a niche concern to </w:t>
      </w:r>
      <w:proofErr w:type="spellStart"/>
      <w:r w:rsidRPr="00134D84">
        <w:rPr>
          <w:rFonts w:ascii="Arial" w:hAnsi="Arial" w:cs="Arial"/>
          <w:sz w:val="22"/>
          <w:szCs w:val="22"/>
        </w:rPr>
        <w:t>recognising</w:t>
      </w:r>
      <w:proofErr w:type="spellEnd"/>
      <w:r w:rsidRPr="00134D84">
        <w:rPr>
          <w:rFonts w:ascii="Arial" w:hAnsi="Arial" w:cs="Arial"/>
          <w:sz w:val="22"/>
          <w:szCs w:val="22"/>
        </w:rPr>
        <w:t xml:space="preserve"> them as part of mainstream mental health and addiction care (Reed et al., 2022).</w:t>
      </w:r>
    </w:p>
    <w:p w14:paraId="776FD6EA" w14:textId="77777777" w:rsidR="00134D84" w:rsidRPr="00134D84" w:rsidRDefault="00134D84" w:rsidP="00134D84">
      <w:pPr>
        <w:pStyle w:val="Heading2"/>
      </w:pPr>
      <w:bookmarkStart w:id="8" w:name="_Toc214242073"/>
      <w:r w:rsidRPr="00134D84">
        <w:t>Effectiveness and limitations</w:t>
      </w:r>
      <w:bookmarkEnd w:id="8"/>
    </w:p>
    <w:p w14:paraId="1894CFD0" w14:textId="77777777" w:rsidR="00134D84" w:rsidRPr="00134D84" w:rsidRDefault="00134D84" w:rsidP="00134D84">
      <w:pPr>
        <w:spacing w:before="240" w:line="360" w:lineRule="auto"/>
        <w:jc w:val="both"/>
        <w:rPr>
          <w:rFonts w:ascii="Arial" w:hAnsi="Arial" w:cs="Arial"/>
          <w:sz w:val="22"/>
          <w:szCs w:val="22"/>
        </w:rPr>
      </w:pPr>
      <w:r w:rsidRPr="00134D84">
        <w:rPr>
          <w:rFonts w:ascii="Arial" w:hAnsi="Arial" w:cs="Arial"/>
          <w:sz w:val="22"/>
          <w:szCs w:val="22"/>
        </w:rPr>
        <w:t>Recent reviews suggest that psychological interventions produce moderate reductions in gaming symptoms and improvements in mood and anxiety for many participants (Kim et al., 2022; Chen et al., 2023; Núñez-Rodríguez et al., 2025). However, several limitations remain. Many studies involve small samples, short follow up periods and varied definitions of Gaming Disorder. There is also limited evidence on adults, women, older gamers and people from low and middle income countries.</w:t>
      </w:r>
    </w:p>
    <w:p w14:paraId="19264B45" w14:textId="144E5726" w:rsidR="00134D84" w:rsidRPr="00134D84" w:rsidRDefault="00134D84" w:rsidP="00134D84">
      <w:pPr>
        <w:spacing w:before="240" w:line="360" w:lineRule="auto"/>
        <w:jc w:val="both"/>
        <w:rPr>
          <w:rFonts w:ascii="Arial" w:hAnsi="Arial" w:cs="Arial"/>
          <w:sz w:val="22"/>
          <w:szCs w:val="22"/>
        </w:rPr>
      </w:pPr>
      <w:r w:rsidRPr="00134D84">
        <w:rPr>
          <w:rFonts w:ascii="Arial" w:hAnsi="Arial" w:cs="Arial"/>
          <w:sz w:val="22"/>
          <w:szCs w:val="22"/>
        </w:rPr>
        <w:t>Furthermore, most interventions focus on individual change and pay less attention to game design features such as reward schedules, loot boxes or social pressure to remain online. Without changes at industry and policy level, there is a risk that treatment places the burden entirely on individuals who may be particularly vulnerable (Zhou et al., 2024; Bailey et al., 2024).</w:t>
      </w:r>
    </w:p>
    <w:p w14:paraId="6D22632A" w14:textId="77777777" w:rsidR="00134D84" w:rsidRPr="00134D84" w:rsidRDefault="00134D84" w:rsidP="00134D84">
      <w:pPr>
        <w:pStyle w:val="Heading1"/>
      </w:pPr>
      <w:bookmarkStart w:id="9" w:name="_Toc214242074"/>
      <w:r w:rsidRPr="00134D84">
        <w:lastRenderedPageBreak/>
        <w:t>Current debates and emerging issues</w:t>
      </w:r>
      <w:bookmarkEnd w:id="9"/>
    </w:p>
    <w:p w14:paraId="5B433EF0" w14:textId="77777777" w:rsidR="00134D84" w:rsidRPr="00134D84" w:rsidRDefault="00134D84" w:rsidP="00134D84">
      <w:pPr>
        <w:pStyle w:val="Heading2"/>
      </w:pPr>
      <w:bookmarkStart w:id="10" w:name="_Toc214242075"/>
      <w:r w:rsidRPr="00134D84">
        <w:t>Prevalence and public concern</w:t>
      </w:r>
      <w:bookmarkEnd w:id="10"/>
    </w:p>
    <w:p w14:paraId="3DD2609E" w14:textId="77777777" w:rsidR="00134D84" w:rsidRPr="00134D84" w:rsidRDefault="00134D84" w:rsidP="00134D84">
      <w:pPr>
        <w:spacing w:before="240" w:line="360" w:lineRule="auto"/>
        <w:jc w:val="both"/>
        <w:rPr>
          <w:rFonts w:ascii="Arial" w:hAnsi="Arial" w:cs="Arial"/>
          <w:sz w:val="22"/>
          <w:szCs w:val="22"/>
        </w:rPr>
      </w:pPr>
      <w:r w:rsidRPr="00134D84">
        <w:rPr>
          <w:rFonts w:ascii="Arial" w:hAnsi="Arial" w:cs="Arial"/>
          <w:sz w:val="22"/>
          <w:szCs w:val="22"/>
        </w:rPr>
        <w:t xml:space="preserve">Research using different diagnostic systems and screening tools has produced very wide estimates of how common Gaming Disorder and related conditions are. A recent </w:t>
      </w:r>
      <w:proofErr w:type="spellStart"/>
      <w:r w:rsidRPr="00134D84">
        <w:rPr>
          <w:rFonts w:ascii="Arial" w:hAnsi="Arial" w:cs="Arial"/>
          <w:sz w:val="22"/>
          <w:szCs w:val="22"/>
        </w:rPr>
        <w:t>meta analysis</w:t>
      </w:r>
      <w:proofErr w:type="spellEnd"/>
      <w:r w:rsidRPr="00134D84">
        <w:rPr>
          <w:rFonts w:ascii="Arial" w:hAnsi="Arial" w:cs="Arial"/>
          <w:sz w:val="22"/>
          <w:szCs w:val="22"/>
        </w:rPr>
        <w:t xml:space="preserve"> that compared studies using DSM-5 and ICD-11 criteria reported a pooled prevalence of around seven percent for internet gaming disorder, with significantly lower rates when the stricter ICD-11 Gaming Disorder criteria were applied (Zhou et al., 2024).</w:t>
      </w:r>
    </w:p>
    <w:p w14:paraId="4AD168A9" w14:textId="77777777" w:rsidR="00134D84" w:rsidRPr="00134D84" w:rsidRDefault="00134D84" w:rsidP="00134D84">
      <w:pPr>
        <w:spacing w:before="240" w:line="360" w:lineRule="auto"/>
        <w:jc w:val="both"/>
        <w:rPr>
          <w:rFonts w:ascii="Arial" w:hAnsi="Arial" w:cs="Arial"/>
          <w:sz w:val="22"/>
          <w:szCs w:val="22"/>
        </w:rPr>
      </w:pPr>
      <w:r w:rsidRPr="00134D84">
        <w:rPr>
          <w:rFonts w:ascii="Arial" w:hAnsi="Arial" w:cs="Arial"/>
          <w:sz w:val="22"/>
          <w:szCs w:val="22"/>
        </w:rPr>
        <w:t xml:space="preserve">Some studies in university and medical student samples report probable gaming disorder or internet gaming disorder in about two to four percent of participants, often with strong links to depression, anxiety and sleep problems (Bailey et al., 2024; </w:t>
      </w:r>
      <w:proofErr w:type="spellStart"/>
      <w:r w:rsidRPr="00134D84">
        <w:rPr>
          <w:rFonts w:ascii="Arial" w:hAnsi="Arial" w:cs="Arial"/>
          <w:sz w:val="22"/>
          <w:szCs w:val="22"/>
        </w:rPr>
        <w:t>Gursesli</w:t>
      </w:r>
      <w:proofErr w:type="spellEnd"/>
      <w:r w:rsidRPr="00134D84">
        <w:rPr>
          <w:rFonts w:ascii="Arial" w:hAnsi="Arial" w:cs="Arial"/>
          <w:sz w:val="22"/>
          <w:szCs w:val="22"/>
        </w:rPr>
        <w:t xml:space="preserve"> et al., 2025). These figures are enough to justify public health concern but are far from suggesting that most gamers are at risk. Critics worry that media coverage sometimes exaggerates the problem and fuels moral panic rather than balanced discussion (Reed et al., 2022).</w:t>
      </w:r>
    </w:p>
    <w:p w14:paraId="5EA8FE60" w14:textId="77777777" w:rsidR="00134D84" w:rsidRPr="00134D84" w:rsidRDefault="00134D84" w:rsidP="00134D84">
      <w:pPr>
        <w:pStyle w:val="Heading2"/>
      </w:pPr>
      <w:bookmarkStart w:id="11" w:name="_Toc214242076"/>
      <w:r w:rsidRPr="00134D84">
        <w:t>Inclusion of Gaming Disorder in ICD-11</w:t>
      </w:r>
      <w:bookmarkEnd w:id="11"/>
    </w:p>
    <w:p w14:paraId="143380B2" w14:textId="77777777" w:rsidR="00134D84" w:rsidRPr="00134D84" w:rsidRDefault="00134D84" w:rsidP="00134D84">
      <w:pPr>
        <w:spacing w:before="240" w:line="360" w:lineRule="auto"/>
        <w:jc w:val="both"/>
        <w:rPr>
          <w:rFonts w:ascii="Arial" w:hAnsi="Arial" w:cs="Arial"/>
          <w:sz w:val="22"/>
          <w:szCs w:val="22"/>
        </w:rPr>
      </w:pPr>
      <w:r w:rsidRPr="00134D84">
        <w:rPr>
          <w:rFonts w:ascii="Arial" w:hAnsi="Arial" w:cs="Arial"/>
          <w:sz w:val="22"/>
          <w:szCs w:val="22"/>
        </w:rPr>
        <w:t>The inclusion of Gaming Disorder in ICD-11 followed years of debate. Supporters argue that clinicians in several countries were already treating people whose gaming had severe and persistent effects on health, study and work and that a formal diagnosis helps recognition, service planning and insurance coverage (Reed et al., 2022; World Health Organization, 2020).</w:t>
      </w:r>
    </w:p>
    <w:p w14:paraId="16DCDBA6" w14:textId="77777777" w:rsidR="00134D84" w:rsidRPr="00134D84" w:rsidRDefault="00134D84" w:rsidP="00134D84">
      <w:pPr>
        <w:spacing w:before="240" w:line="360" w:lineRule="auto"/>
        <w:jc w:val="both"/>
        <w:rPr>
          <w:rFonts w:ascii="Arial" w:hAnsi="Arial" w:cs="Arial"/>
          <w:sz w:val="22"/>
          <w:szCs w:val="22"/>
        </w:rPr>
      </w:pPr>
      <w:r w:rsidRPr="00134D84">
        <w:rPr>
          <w:rFonts w:ascii="Arial" w:hAnsi="Arial" w:cs="Arial"/>
          <w:sz w:val="22"/>
          <w:szCs w:val="22"/>
        </w:rPr>
        <w:t xml:space="preserve">Opponents, including some game scholars and mental health researchers, have argued that the evidence base is still developing, that many early studies relied on weak measures, and that normal intensive engagement in games may be confused with pathology. Concerns have been raised about </w:t>
      </w:r>
      <w:proofErr w:type="spellStart"/>
      <w:r w:rsidRPr="00134D84">
        <w:rPr>
          <w:rFonts w:ascii="Arial" w:hAnsi="Arial" w:cs="Arial"/>
          <w:sz w:val="22"/>
          <w:szCs w:val="22"/>
        </w:rPr>
        <w:t>stigmatising</w:t>
      </w:r>
      <w:proofErr w:type="spellEnd"/>
      <w:r w:rsidRPr="00134D84">
        <w:rPr>
          <w:rFonts w:ascii="Arial" w:hAnsi="Arial" w:cs="Arial"/>
          <w:sz w:val="22"/>
          <w:szCs w:val="22"/>
        </w:rPr>
        <w:t xml:space="preserve"> gamers and about cultural bias in deciding what counts as too much gaming (Zhou et al., 2024).</w:t>
      </w:r>
    </w:p>
    <w:p w14:paraId="31E31E83" w14:textId="77777777" w:rsidR="00134D84" w:rsidRPr="00134D84" w:rsidRDefault="00134D84" w:rsidP="00134D84">
      <w:pPr>
        <w:spacing w:before="240" w:line="360" w:lineRule="auto"/>
        <w:jc w:val="both"/>
        <w:rPr>
          <w:rFonts w:ascii="Arial" w:hAnsi="Arial" w:cs="Arial"/>
          <w:sz w:val="22"/>
          <w:szCs w:val="22"/>
        </w:rPr>
      </w:pPr>
      <w:r w:rsidRPr="00134D84">
        <w:rPr>
          <w:rFonts w:ascii="Arial" w:hAnsi="Arial" w:cs="Arial"/>
          <w:sz w:val="22"/>
          <w:szCs w:val="22"/>
        </w:rPr>
        <w:t>More recent field studies and clinical research suggest that when ICD-11 criteria are applied carefully, they tend to select individuals with significant impairment and high comorbidity rather than those who simply spend long hours playing. This has helped to reassure some clinicians, but the debate about where to draw the line between heavy use and disorder is not settled (Reed et al., 2022; Balhara et al., 2020).</w:t>
      </w:r>
    </w:p>
    <w:p w14:paraId="71164BB2" w14:textId="77777777" w:rsidR="00134D84" w:rsidRPr="00134D84" w:rsidRDefault="00134D84" w:rsidP="00134D84">
      <w:pPr>
        <w:pStyle w:val="Heading2"/>
      </w:pPr>
      <w:bookmarkStart w:id="12" w:name="_Toc214242077"/>
      <w:r w:rsidRPr="00134D84">
        <w:lastRenderedPageBreak/>
        <w:t>Neurodivergence, gaming and diagnosis</w:t>
      </w:r>
      <w:bookmarkEnd w:id="12"/>
    </w:p>
    <w:p w14:paraId="7F62F022" w14:textId="77777777" w:rsidR="00134D84" w:rsidRPr="00134D84" w:rsidRDefault="00134D84" w:rsidP="00134D84">
      <w:pPr>
        <w:spacing w:before="240" w:line="360" w:lineRule="auto"/>
        <w:jc w:val="both"/>
        <w:rPr>
          <w:rFonts w:ascii="Arial" w:hAnsi="Arial" w:cs="Arial"/>
          <w:sz w:val="22"/>
          <w:szCs w:val="22"/>
        </w:rPr>
      </w:pPr>
      <w:r w:rsidRPr="00134D84">
        <w:rPr>
          <w:rFonts w:ascii="Arial" w:hAnsi="Arial" w:cs="Arial"/>
          <w:sz w:val="22"/>
          <w:szCs w:val="22"/>
        </w:rPr>
        <w:t>Another key debate concerns the relationship between Gaming Disorder and neurodivergent conditions such as autism spectrum condition and attention deficit hyperactivity disorder. Recent reviews and clinical studies show higher rates of problematic gaming or internet gaming disorder in young people with these conditions. Gaming may offer predictable rules, escape from social stress and a way to focus on special interests, which can be appealing for neurodivergent individuals (Simonelli et al., 2024; Learning Disabilities Society of Greater Vancouver, 2024).</w:t>
      </w:r>
    </w:p>
    <w:p w14:paraId="11A34DF4" w14:textId="77777777" w:rsidR="00134D84" w:rsidRPr="00134D84" w:rsidRDefault="00134D84" w:rsidP="00134D84">
      <w:pPr>
        <w:spacing w:before="240" w:line="360" w:lineRule="auto"/>
        <w:jc w:val="both"/>
        <w:rPr>
          <w:rFonts w:ascii="Arial" w:hAnsi="Arial" w:cs="Arial"/>
          <w:sz w:val="22"/>
          <w:szCs w:val="22"/>
        </w:rPr>
      </w:pPr>
      <w:r w:rsidRPr="00134D84">
        <w:rPr>
          <w:rFonts w:ascii="Arial" w:hAnsi="Arial" w:cs="Arial"/>
          <w:sz w:val="22"/>
          <w:szCs w:val="22"/>
        </w:rPr>
        <w:t xml:space="preserve">At the same time, there is concern that intense but meaningful engagement in games might be misinterpreted as disordered in neurodivergent people. Behaviours such as deep focus on a single interest, preference for online rather than face to face </w:t>
      </w:r>
      <w:proofErr w:type="spellStart"/>
      <w:r w:rsidRPr="00134D84">
        <w:rPr>
          <w:rFonts w:ascii="Arial" w:hAnsi="Arial" w:cs="Arial"/>
          <w:sz w:val="22"/>
          <w:szCs w:val="22"/>
        </w:rPr>
        <w:t>socialising</w:t>
      </w:r>
      <w:proofErr w:type="spellEnd"/>
      <w:r w:rsidRPr="00134D84">
        <w:rPr>
          <w:rFonts w:ascii="Arial" w:hAnsi="Arial" w:cs="Arial"/>
          <w:sz w:val="22"/>
          <w:szCs w:val="22"/>
        </w:rPr>
        <w:t xml:space="preserve"> and difficulty with transitions are typical features of autism and related conditions. If clinicians do not understand this context, they may over diagnose Gaming Disorder instead of addressing underlying support needs in education, work or relationships (Simonelli et al., 2024; Learning Disabilities Society of Greater Vancouver, 2024).</w:t>
      </w:r>
    </w:p>
    <w:p w14:paraId="275C025E" w14:textId="77777777" w:rsidR="00134D84" w:rsidRPr="00134D84" w:rsidRDefault="00134D84" w:rsidP="00134D84">
      <w:pPr>
        <w:pStyle w:val="Heading2"/>
      </w:pPr>
      <w:bookmarkStart w:id="13" w:name="_Toc214242078"/>
      <w:r w:rsidRPr="00134D84">
        <w:t>Impact on practice and policy</w:t>
      </w:r>
      <w:bookmarkEnd w:id="13"/>
    </w:p>
    <w:p w14:paraId="0FD38EDE" w14:textId="77777777" w:rsidR="00134D84" w:rsidRPr="00134D84" w:rsidRDefault="00134D84" w:rsidP="00134D84">
      <w:pPr>
        <w:spacing w:before="240" w:line="360" w:lineRule="auto"/>
        <w:jc w:val="both"/>
        <w:rPr>
          <w:rFonts w:ascii="Arial" w:hAnsi="Arial" w:cs="Arial"/>
          <w:sz w:val="22"/>
          <w:szCs w:val="22"/>
        </w:rPr>
      </w:pPr>
      <w:r w:rsidRPr="00134D84">
        <w:rPr>
          <w:rFonts w:ascii="Arial" w:hAnsi="Arial" w:cs="Arial"/>
          <w:sz w:val="22"/>
          <w:szCs w:val="22"/>
        </w:rPr>
        <w:t>The ICD-11 classification has led some countries and health systems to develop dedicated services for Gaming Disorder and related behavioural addictions. General practitioners and school counsellors are increasingly encouraged to ask about gaming when assessing mental health, especially in young people presenting with sleep problems, decline in school performance or social withdrawal (World Health Organization, 2020; Reed et al., 2022).</w:t>
      </w:r>
    </w:p>
    <w:p w14:paraId="5CB61119" w14:textId="3D16E665" w:rsidR="00134D84" w:rsidRPr="00134D84" w:rsidRDefault="00134D84" w:rsidP="00134D84">
      <w:pPr>
        <w:spacing w:before="240" w:line="360" w:lineRule="auto"/>
        <w:jc w:val="both"/>
        <w:rPr>
          <w:rFonts w:ascii="Arial" w:hAnsi="Arial" w:cs="Arial"/>
          <w:sz w:val="22"/>
          <w:szCs w:val="22"/>
        </w:rPr>
      </w:pPr>
      <w:r w:rsidRPr="00134D84">
        <w:rPr>
          <w:rFonts w:ascii="Arial" w:hAnsi="Arial" w:cs="Arial"/>
          <w:sz w:val="22"/>
          <w:szCs w:val="22"/>
        </w:rPr>
        <w:t>Policy makers are also paying attention. Some jurisdictions have introduced or discussed measures such as time limits for minors on certain platforms, restrictions on loot boxes and clearer age ratings. However, there is a careful balance between protecting vulnerable individuals and avoiding unnecessary regulation of leisure activities that many people enjoy without harm (Zhou et al., 2024; Bailey et al., 2024).</w:t>
      </w:r>
    </w:p>
    <w:p w14:paraId="4FBACC24" w14:textId="77777777" w:rsidR="00134D84" w:rsidRPr="00134D84" w:rsidRDefault="00134D84" w:rsidP="00134D84">
      <w:pPr>
        <w:pStyle w:val="Heading1"/>
      </w:pPr>
      <w:bookmarkStart w:id="14" w:name="_Toc214242079"/>
      <w:r w:rsidRPr="00134D84">
        <w:t>Recommendations</w:t>
      </w:r>
      <w:bookmarkEnd w:id="14"/>
    </w:p>
    <w:p w14:paraId="4C3655AC" w14:textId="77777777" w:rsidR="00134D84" w:rsidRPr="00134D84" w:rsidRDefault="00134D84" w:rsidP="00134D84">
      <w:pPr>
        <w:pStyle w:val="Heading2"/>
      </w:pPr>
      <w:bookmarkStart w:id="15" w:name="_Toc214242080"/>
      <w:r w:rsidRPr="00134D84">
        <w:t>Refining classification and diagnosis</w:t>
      </w:r>
      <w:bookmarkEnd w:id="15"/>
    </w:p>
    <w:p w14:paraId="5B818418" w14:textId="77777777" w:rsidR="00134D84" w:rsidRPr="00134D84" w:rsidRDefault="00134D84" w:rsidP="00134D84">
      <w:pPr>
        <w:spacing w:before="240" w:line="360" w:lineRule="auto"/>
        <w:jc w:val="both"/>
        <w:rPr>
          <w:rFonts w:ascii="Arial" w:hAnsi="Arial" w:cs="Arial"/>
          <w:sz w:val="22"/>
          <w:szCs w:val="22"/>
        </w:rPr>
      </w:pPr>
      <w:r w:rsidRPr="00134D84">
        <w:rPr>
          <w:rFonts w:ascii="Arial" w:hAnsi="Arial" w:cs="Arial"/>
          <w:sz w:val="22"/>
          <w:szCs w:val="22"/>
        </w:rPr>
        <w:t xml:space="preserve">Future ICD-11 guidance could further clarify the distinction between Gaming Disorder, hazardous gaming and high engagement without impairment. This may involve placing even stronger </w:t>
      </w:r>
      <w:r w:rsidRPr="00134D84">
        <w:rPr>
          <w:rFonts w:ascii="Arial" w:hAnsi="Arial" w:cs="Arial"/>
          <w:sz w:val="22"/>
          <w:szCs w:val="22"/>
        </w:rPr>
        <w:lastRenderedPageBreak/>
        <w:t>emphasis on functional impairment as the central criterion, encouraging careful consideration of cultural norms around leisure and work, and promoting routine assessment of comorbid conditions such as depression, anxiety, autism and attention deficit symptoms (Reed et al., 2022; World Health Organization, 2024).</w:t>
      </w:r>
    </w:p>
    <w:p w14:paraId="12B57A0B" w14:textId="77777777" w:rsidR="00134D84" w:rsidRPr="00134D84" w:rsidRDefault="00134D84" w:rsidP="00134D84">
      <w:pPr>
        <w:spacing w:before="240" w:line="360" w:lineRule="auto"/>
        <w:jc w:val="both"/>
        <w:rPr>
          <w:rFonts w:ascii="Arial" w:hAnsi="Arial" w:cs="Arial"/>
          <w:sz w:val="22"/>
          <w:szCs w:val="22"/>
        </w:rPr>
      </w:pPr>
      <w:r w:rsidRPr="00134D84">
        <w:rPr>
          <w:rFonts w:ascii="Arial" w:hAnsi="Arial" w:cs="Arial"/>
          <w:sz w:val="22"/>
          <w:szCs w:val="22"/>
        </w:rPr>
        <w:t xml:space="preserve">Greater use of tools that are directly based on ICD-11 criteria, and that have been validated in diverse populations, will also strengthen diagnostic practice. Screening instruments such as the Gaming Disorder and Hazardous Gaming Scale, the Gaming Disorder Symptom Questionnaire and the ACSID-11 should be used as part of a full clinical assessment rather than as </w:t>
      </w:r>
      <w:proofErr w:type="spellStart"/>
      <w:r w:rsidRPr="00134D84">
        <w:rPr>
          <w:rFonts w:ascii="Arial" w:hAnsi="Arial" w:cs="Arial"/>
          <w:sz w:val="22"/>
          <w:szCs w:val="22"/>
        </w:rPr>
        <w:t>stand alone</w:t>
      </w:r>
      <w:proofErr w:type="spellEnd"/>
      <w:r w:rsidRPr="00134D84">
        <w:rPr>
          <w:rFonts w:ascii="Arial" w:hAnsi="Arial" w:cs="Arial"/>
          <w:sz w:val="22"/>
          <w:szCs w:val="22"/>
        </w:rPr>
        <w:t xml:space="preserve"> decision tools (Balhara et al., 2020; Zhang et al., 2022; Oelker et al., 2024).</w:t>
      </w:r>
    </w:p>
    <w:p w14:paraId="5717ABFF" w14:textId="77777777" w:rsidR="00134D84" w:rsidRPr="00134D84" w:rsidRDefault="00134D84" w:rsidP="00134D84">
      <w:pPr>
        <w:pStyle w:val="Heading2"/>
      </w:pPr>
      <w:bookmarkStart w:id="16" w:name="_Toc214242081"/>
      <w:r w:rsidRPr="00134D84">
        <w:t>Improving treatment and rehabilitation</w:t>
      </w:r>
      <w:bookmarkEnd w:id="16"/>
    </w:p>
    <w:p w14:paraId="422E31B9" w14:textId="77777777" w:rsidR="00134D84" w:rsidRPr="00134D84" w:rsidRDefault="00134D84" w:rsidP="00134D84">
      <w:pPr>
        <w:spacing w:before="240" w:line="360" w:lineRule="auto"/>
        <w:jc w:val="both"/>
        <w:rPr>
          <w:rFonts w:ascii="Arial" w:hAnsi="Arial" w:cs="Arial"/>
          <w:sz w:val="22"/>
          <w:szCs w:val="22"/>
        </w:rPr>
      </w:pPr>
      <w:r w:rsidRPr="00134D84">
        <w:rPr>
          <w:rFonts w:ascii="Arial" w:hAnsi="Arial" w:cs="Arial"/>
          <w:sz w:val="22"/>
          <w:szCs w:val="22"/>
        </w:rPr>
        <w:t>Services should continue to develop and test psychological interventions that integrate cognitive behavioural methods with mindfulness, family work and skills training. This is especially important for adolescents and young adults, who may benefit from group programmes and school or university based support (Kim et al., 2022; Chen et al., 2023; Núñez-Rodríguez et al., 2025).</w:t>
      </w:r>
    </w:p>
    <w:p w14:paraId="0136691E" w14:textId="77777777" w:rsidR="00134D84" w:rsidRPr="00134D84" w:rsidRDefault="00134D84" w:rsidP="00134D84">
      <w:pPr>
        <w:spacing w:before="240" w:line="360" w:lineRule="auto"/>
        <w:jc w:val="both"/>
        <w:rPr>
          <w:rFonts w:ascii="Arial" w:hAnsi="Arial" w:cs="Arial"/>
          <w:sz w:val="22"/>
          <w:szCs w:val="22"/>
        </w:rPr>
      </w:pPr>
      <w:r w:rsidRPr="00134D84">
        <w:rPr>
          <w:rFonts w:ascii="Arial" w:hAnsi="Arial" w:cs="Arial"/>
          <w:sz w:val="22"/>
          <w:szCs w:val="22"/>
        </w:rPr>
        <w:t>Rehabilitation planning should start early in treatment and involve education or workplace staff where possible. A focus on sleep hygiene, physical activity, offline social contact and realistic study or work goals can help people rebuild a balanced routine. For neurodivergent individuals, support needs to be adapted to sensory preferences, communication style and executive functioning challenges, and should acknowledge the positive role gaming may play in identity and friendship (Simonelli et al., 2024; Learning Disabilities Society of Greater Vancouver, 2024).</w:t>
      </w:r>
    </w:p>
    <w:p w14:paraId="1F6B4E63" w14:textId="77777777" w:rsidR="00134D84" w:rsidRPr="00134D84" w:rsidRDefault="00134D84" w:rsidP="00134D84">
      <w:pPr>
        <w:pStyle w:val="Heading2"/>
      </w:pPr>
      <w:bookmarkStart w:id="17" w:name="_Toc214242082"/>
      <w:r w:rsidRPr="00134D84">
        <w:t>Addressing wider social and policy factors</w:t>
      </w:r>
      <w:bookmarkEnd w:id="17"/>
    </w:p>
    <w:p w14:paraId="72AADF10" w14:textId="77777777" w:rsidR="00134D84" w:rsidRPr="00134D84" w:rsidRDefault="00134D84" w:rsidP="00134D84">
      <w:pPr>
        <w:spacing w:before="240" w:line="360" w:lineRule="auto"/>
        <w:jc w:val="both"/>
        <w:rPr>
          <w:rFonts w:ascii="Arial" w:hAnsi="Arial" w:cs="Arial"/>
          <w:sz w:val="22"/>
          <w:szCs w:val="22"/>
        </w:rPr>
      </w:pPr>
      <w:r w:rsidRPr="00134D84">
        <w:rPr>
          <w:rFonts w:ascii="Arial" w:hAnsi="Arial" w:cs="Arial"/>
          <w:sz w:val="22"/>
          <w:szCs w:val="22"/>
        </w:rPr>
        <w:t xml:space="preserve">Clinical services cannot manage Gaming Disorder in isolation. Policy makers should work with researchers, gamers and industry to consider measures that reduce harm without </w:t>
      </w:r>
      <w:proofErr w:type="spellStart"/>
      <w:r w:rsidRPr="00134D84">
        <w:rPr>
          <w:rFonts w:ascii="Arial" w:hAnsi="Arial" w:cs="Arial"/>
          <w:sz w:val="22"/>
          <w:szCs w:val="22"/>
        </w:rPr>
        <w:t>stigmatising</w:t>
      </w:r>
      <w:proofErr w:type="spellEnd"/>
      <w:r w:rsidRPr="00134D84">
        <w:rPr>
          <w:rFonts w:ascii="Arial" w:hAnsi="Arial" w:cs="Arial"/>
          <w:sz w:val="22"/>
          <w:szCs w:val="22"/>
        </w:rPr>
        <w:t xml:space="preserve"> gaming. Possible steps include transparent design around loot boxes and in game purchases, clearer parental guidance tools and public education campaigns that focus on healthy gaming habits rather than fear (World Health Organization, 2020; Zhou et al., 2024; Bailey et al., 2024).</w:t>
      </w:r>
    </w:p>
    <w:p w14:paraId="16F61DD2" w14:textId="77777777" w:rsidR="00134D84" w:rsidRPr="00134D84" w:rsidRDefault="00134D84" w:rsidP="00134D84">
      <w:pPr>
        <w:pStyle w:val="Heading1"/>
      </w:pPr>
      <w:bookmarkStart w:id="18" w:name="_Toc214242083"/>
      <w:r w:rsidRPr="00134D84">
        <w:t>Conclusion</w:t>
      </w:r>
      <w:bookmarkEnd w:id="18"/>
    </w:p>
    <w:p w14:paraId="2A71A634" w14:textId="77777777" w:rsidR="00134D84" w:rsidRPr="00134D84" w:rsidRDefault="00134D84" w:rsidP="00134D84">
      <w:pPr>
        <w:spacing w:before="240" w:line="360" w:lineRule="auto"/>
        <w:jc w:val="both"/>
        <w:rPr>
          <w:rFonts w:ascii="Arial" w:hAnsi="Arial" w:cs="Arial"/>
          <w:sz w:val="22"/>
          <w:szCs w:val="22"/>
        </w:rPr>
      </w:pPr>
      <w:r w:rsidRPr="00134D84">
        <w:rPr>
          <w:rFonts w:ascii="Arial" w:hAnsi="Arial" w:cs="Arial"/>
          <w:sz w:val="22"/>
          <w:szCs w:val="22"/>
        </w:rPr>
        <w:t xml:space="preserve">Gaming Disorder in ICD-11 marks a key step in </w:t>
      </w:r>
      <w:proofErr w:type="spellStart"/>
      <w:r w:rsidRPr="00134D84">
        <w:rPr>
          <w:rFonts w:ascii="Arial" w:hAnsi="Arial" w:cs="Arial"/>
          <w:sz w:val="22"/>
          <w:szCs w:val="22"/>
        </w:rPr>
        <w:t>recognising</w:t>
      </w:r>
      <w:proofErr w:type="spellEnd"/>
      <w:r w:rsidRPr="00134D84">
        <w:rPr>
          <w:rFonts w:ascii="Arial" w:hAnsi="Arial" w:cs="Arial"/>
          <w:sz w:val="22"/>
          <w:szCs w:val="22"/>
        </w:rPr>
        <w:t xml:space="preserve"> when gaming seriously harms health, study, work and relationships, while still distinguishing heavy use from disorder. Evidence </w:t>
      </w:r>
      <w:r w:rsidRPr="00134D84">
        <w:rPr>
          <w:rFonts w:ascii="Arial" w:hAnsi="Arial" w:cs="Arial"/>
          <w:sz w:val="22"/>
          <w:szCs w:val="22"/>
        </w:rPr>
        <w:lastRenderedPageBreak/>
        <w:t xml:space="preserve">supports tailored psychological and rehabilitative care, yet debates on </w:t>
      </w:r>
      <w:proofErr w:type="spellStart"/>
      <w:r w:rsidRPr="00134D84">
        <w:rPr>
          <w:rFonts w:ascii="Arial" w:hAnsi="Arial" w:cs="Arial"/>
          <w:sz w:val="22"/>
          <w:szCs w:val="22"/>
        </w:rPr>
        <w:t>overpathologising</w:t>
      </w:r>
      <w:proofErr w:type="spellEnd"/>
      <w:r w:rsidRPr="00134D84">
        <w:rPr>
          <w:rFonts w:ascii="Arial" w:hAnsi="Arial" w:cs="Arial"/>
          <w:sz w:val="22"/>
          <w:szCs w:val="22"/>
        </w:rPr>
        <w:t>, neurodivergence and fair policy mean research and careful, stigma free practice remain vital.</w:t>
      </w:r>
    </w:p>
    <w:p w14:paraId="10AA5BE0" w14:textId="2D29F35F" w:rsidR="00134D84" w:rsidRDefault="00134D84" w:rsidP="00134D84">
      <w:pPr>
        <w:spacing w:before="240" w:line="360" w:lineRule="auto"/>
        <w:jc w:val="both"/>
        <w:rPr>
          <w:rFonts w:ascii="Arial" w:hAnsi="Arial" w:cs="Arial"/>
          <w:sz w:val="22"/>
          <w:szCs w:val="22"/>
        </w:rPr>
      </w:pPr>
    </w:p>
    <w:p w14:paraId="389EB3B8" w14:textId="77777777" w:rsidR="00134D84" w:rsidRDefault="00134D84" w:rsidP="00134D84">
      <w:pPr>
        <w:spacing w:before="240" w:line="360" w:lineRule="auto"/>
        <w:jc w:val="both"/>
        <w:rPr>
          <w:rFonts w:ascii="Arial" w:hAnsi="Arial" w:cs="Arial"/>
          <w:sz w:val="22"/>
          <w:szCs w:val="22"/>
        </w:rPr>
      </w:pPr>
    </w:p>
    <w:p w14:paraId="2529CC0A" w14:textId="77777777" w:rsidR="00134D84" w:rsidRDefault="00134D84" w:rsidP="00134D84">
      <w:pPr>
        <w:spacing w:before="240" w:line="360" w:lineRule="auto"/>
        <w:jc w:val="both"/>
        <w:rPr>
          <w:rFonts w:ascii="Arial" w:hAnsi="Arial" w:cs="Arial"/>
          <w:sz w:val="22"/>
          <w:szCs w:val="22"/>
        </w:rPr>
      </w:pPr>
    </w:p>
    <w:p w14:paraId="4D013FC0" w14:textId="77777777" w:rsidR="00134D84" w:rsidRDefault="00134D84" w:rsidP="00134D84">
      <w:pPr>
        <w:spacing w:before="240" w:line="360" w:lineRule="auto"/>
        <w:jc w:val="both"/>
        <w:rPr>
          <w:rFonts w:ascii="Arial" w:hAnsi="Arial" w:cs="Arial"/>
          <w:sz w:val="22"/>
          <w:szCs w:val="22"/>
        </w:rPr>
      </w:pPr>
    </w:p>
    <w:p w14:paraId="0AA71D87" w14:textId="77777777" w:rsidR="00134D84" w:rsidRDefault="00134D84" w:rsidP="00134D84">
      <w:pPr>
        <w:spacing w:before="240" w:line="360" w:lineRule="auto"/>
        <w:jc w:val="both"/>
        <w:rPr>
          <w:rFonts w:ascii="Arial" w:hAnsi="Arial" w:cs="Arial"/>
          <w:sz w:val="22"/>
          <w:szCs w:val="22"/>
        </w:rPr>
      </w:pPr>
    </w:p>
    <w:p w14:paraId="3D121812" w14:textId="77777777" w:rsidR="00134D84" w:rsidRDefault="00134D84" w:rsidP="00134D84">
      <w:pPr>
        <w:spacing w:before="240" w:line="360" w:lineRule="auto"/>
        <w:jc w:val="both"/>
        <w:rPr>
          <w:rFonts w:ascii="Arial" w:hAnsi="Arial" w:cs="Arial"/>
          <w:sz w:val="22"/>
          <w:szCs w:val="22"/>
        </w:rPr>
      </w:pPr>
    </w:p>
    <w:p w14:paraId="755F0FF1" w14:textId="77777777" w:rsidR="00134D84" w:rsidRDefault="00134D84" w:rsidP="00134D84">
      <w:pPr>
        <w:spacing w:before="240" w:line="360" w:lineRule="auto"/>
        <w:jc w:val="both"/>
        <w:rPr>
          <w:rFonts w:ascii="Arial" w:hAnsi="Arial" w:cs="Arial"/>
          <w:sz w:val="22"/>
          <w:szCs w:val="22"/>
        </w:rPr>
      </w:pPr>
    </w:p>
    <w:p w14:paraId="4C2A97B0" w14:textId="77777777" w:rsidR="00134D84" w:rsidRDefault="00134D84" w:rsidP="00134D84">
      <w:pPr>
        <w:spacing w:before="240" w:line="360" w:lineRule="auto"/>
        <w:jc w:val="both"/>
        <w:rPr>
          <w:rFonts w:ascii="Arial" w:hAnsi="Arial" w:cs="Arial"/>
          <w:sz w:val="22"/>
          <w:szCs w:val="22"/>
        </w:rPr>
      </w:pPr>
    </w:p>
    <w:p w14:paraId="34B771DA" w14:textId="77777777" w:rsidR="00134D84" w:rsidRDefault="00134D84" w:rsidP="00134D84">
      <w:pPr>
        <w:spacing w:before="240" w:line="360" w:lineRule="auto"/>
        <w:jc w:val="both"/>
        <w:rPr>
          <w:rFonts w:ascii="Arial" w:hAnsi="Arial" w:cs="Arial"/>
          <w:sz w:val="22"/>
          <w:szCs w:val="22"/>
        </w:rPr>
      </w:pPr>
    </w:p>
    <w:p w14:paraId="5B99AE29" w14:textId="77777777" w:rsidR="00134D84" w:rsidRDefault="00134D84" w:rsidP="00134D84">
      <w:pPr>
        <w:spacing w:before="240" w:line="360" w:lineRule="auto"/>
        <w:jc w:val="both"/>
        <w:rPr>
          <w:rFonts w:ascii="Arial" w:hAnsi="Arial" w:cs="Arial"/>
          <w:sz w:val="22"/>
          <w:szCs w:val="22"/>
        </w:rPr>
      </w:pPr>
    </w:p>
    <w:p w14:paraId="7586E61B" w14:textId="77777777" w:rsidR="00134D84" w:rsidRDefault="00134D84" w:rsidP="00134D84">
      <w:pPr>
        <w:spacing w:before="240" w:line="360" w:lineRule="auto"/>
        <w:jc w:val="both"/>
        <w:rPr>
          <w:rFonts w:ascii="Arial" w:hAnsi="Arial" w:cs="Arial"/>
          <w:sz w:val="22"/>
          <w:szCs w:val="22"/>
        </w:rPr>
      </w:pPr>
    </w:p>
    <w:p w14:paraId="6D721CDB" w14:textId="77777777" w:rsidR="00134D84" w:rsidRDefault="00134D84" w:rsidP="00134D84">
      <w:pPr>
        <w:spacing w:before="240" w:line="360" w:lineRule="auto"/>
        <w:jc w:val="both"/>
        <w:rPr>
          <w:rFonts w:ascii="Arial" w:hAnsi="Arial" w:cs="Arial"/>
          <w:sz w:val="22"/>
          <w:szCs w:val="22"/>
        </w:rPr>
      </w:pPr>
    </w:p>
    <w:p w14:paraId="57ABE3EF" w14:textId="77777777" w:rsidR="00134D84" w:rsidRDefault="00134D84" w:rsidP="00134D84">
      <w:pPr>
        <w:spacing w:before="240" w:line="360" w:lineRule="auto"/>
        <w:jc w:val="both"/>
        <w:rPr>
          <w:rFonts w:ascii="Arial" w:hAnsi="Arial" w:cs="Arial"/>
          <w:sz w:val="22"/>
          <w:szCs w:val="22"/>
        </w:rPr>
      </w:pPr>
    </w:p>
    <w:p w14:paraId="523CBEA8" w14:textId="77777777" w:rsidR="00134D84" w:rsidRDefault="00134D84" w:rsidP="00134D84">
      <w:pPr>
        <w:spacing w:before="240" w:line="360" w:lineRule="auto"/>
        <w:jc w:val="both"/>
        <w:rPr>
          <w:rFonts w:ascii="Arial" w:hAnsi="Arial" w:cs="Arial"/>
          <w:sz w:val="22"/>
          <w:szCs w:val="22"/>
        </w:rPr>
      </w:pPr>
    </w:p>
    <w:p w14:paraId="6B171200" w14:textId="77777777" w:rsidR="00134D84" w:rsidRDefault="00134D84" w:rsidP="00134D84">
      <w:pPr>
        <w:spacing w:before="240" w:line="360" w:lineRule="auto"/>
        <w:jc w:val="both"/>
        <w:rPr>
          <w:rFonts w:ascii="Arial" w:hAnsi="Arial" w:cs="Arial"/>
          <w:sz w:val="22"/>
          <w:szCs w:val="22"/>
        </w:rPr>
      </w:pPr>
    </w:p>
    <w:p w14:paraId="60E106E9" w14:textId="77777777" w:rsidR="00B94C95" w:rsidRDefault="00B94C95" w:rsidP="00134D84">
      <w:pPr>
        <w:spacing w:before="240" w:line="360" w:lineRule="auto"/>
        <w:jc w:val="both"/>
        <w:rPr>
          <w:rFonts w:ascii="Arial" w:hAnsi="Arial" w:cs="Arial"/>
          <w:sz w:val="22"/>
          <w:szCs w:val="22"/>
        </w:rPr>
      </w:pPr>
    </w:p>
    <w:p w14:paraId="43985813" w14:textId="77777777" w:rsidR="00B94C95" w:rsidRDefault="00B94C95" w:rsidP="00134D84">
      <w:pPr>
        <w:spacing w:before="240" w:line="360" w:lineRule="auto"/>
        <w:jc w:val="both"/>
        <w:rPr>
          <w:rFonts w:ascii="Arial" w:hAnsi="Arial" w:cs="Arial"/>
          <w:sz w:val="22"/>
          <w:szCs w:val="22"/>
        </w:rPr>
      </w:pPr>
    </w:p>
    <w:p w14:paraId="011D1936" w14:textId="77777777" w:rsidR="00B94C95" w:rsidRDefault="00B94C95" w:rsidP="00134D84">
      <w:pPr>
        <w:spacing w:before="240" w:line="360" w:lineRule="auto"/>
        <w:jc w:val="both"/>
        <w:rPr>
          <w:rFonts w:ascii="Arial" w:hAnsi="Arial" w:cs="Arial"/>
          <w:sz w:val="22"/>
          <w:szCs w:val="22"/>
        </w:rPr>
      </w:pPr>
    </w:p>
    <w:p w14:paraId="65D2A55C" w14:textId="77777777" w:rsidR="00B94C95" w:rsidRPr="00134D84" w:rsidRDefault="00B94C95" w:rsidP="00134D84">
      <w:pPr>
        <w:spacing w:before="240" w:line="360" w:lineRule="auto"/>
        <w:jc w:val="both"/>
        <w:rPr>
          <w:rFonts w:ascii="Arial" w:hAnsi="Arial" w:cs="Arial"/>
          <w:sz w:val="22"/>
          <w:szCs w:val="22"/>
        </w:rPr>
      </w:pPr>
    </w:p>
    <w:p w14:paraId="23D3F065" w14:textId="0D0FAB43" w:rsidR="00134D84" w:rsidRPr="00134D84" w:rsidRDefault="00134D84" w:rsidP="00134D84">
      <w:pPr>
        <w:pStyle w:val="Heading1"/>
      </w:pPr>
      <w:bookmarkStart w:id="19" w:name="_Toc214242084"/>
      <w:r w:rsidRPr="00134D84">
        <w:lastRenderedPageBreak/>
        <w:t>Reference</w:t>
      </w:r>
      <w:r w:rsidRPr="00134D84">
        <w:t>s</w:t>
      </w:r>
      <w:bookmarkEnd w:id="19"/>
    </w:p>
    <w:p w14:paraId="33C796E9" w14:textId="77777777" w:rsidR="00445516" w:rsidRPr="00134D84" w:rsidRDefault="00445516" w:rsidP="00445516">
      <w:pPr>
        <w:spacing w:before="240" w:line="360" w:lineRule="auto"/>
        <w:ind w:left="720" w:hanging="720"/>
        <w:jc w:val="both"/>
        <w:rPr>
          <w:rFonts w:ascii="Arial" w:hAnsi="Arial" w:cs="Arial"/>
          <w:sz w:val="22"/>
          <w:szCs w:val="22"/>
        </w:rPr>
      </w:pPr>
      <w:r w:rsidRPr="00134D84">
        <w:rPr>
          <w:rFonts w:ascii="Arial" w:hAnsi="Arial" w:cs="Arial"/>
          <w:sz w:val="22"/>
          <w:szCs w:val="22"/>
        </w:rPr>
        <w:t xml:space="preserve">Bailey, K., Tuck, A., </w:t>
      </w:r>
      <w:proofErr w:type="spellStart"/>
      <w:r w:rsidRPr="00134D84">
        <w:rPr>
          <w:rFonts w:ascii="Arial" w:hAnsi="Arial" w:cs="Arial"/>
          <w:sz w:val="22"/>
          <w:szCs w:val="22"/>
        </w:rPr>
        <w:t>LaGasse</w:t>
      </w:r>
      <w:proofErr w:type="spellEnd"/>
      <w:r w:rsidRPr="00134D84">
        <w:rPr>
          <w:rFonts w:ascii="Arial" w:hAnsi="Arial" w:cs="Arial"/>
          <w:sz w:val="22"/>
          <w:szCs w:val="22"/>
        </w:rPr>
        <w:t xml:space="preserve">, A. and Jones, B. (2024) ‘Prevalence of Internet gaming disorder, depression, and anxiety in college students’, </w:t>
      </w:r>
      <w:r w:rsidRPr="00134D84">
        <w:rPr>
          <w:rFonts w:ascii="Arial" w:hAnsi="Arial" w:cs="Arial"/>
          <w:i/>
          <w:iCs/>
          <w:sz w:val="22"/>
          <w:szCs w:val="22"/>
        </w:rPr>
        <w:t>Healthcare</w:t>
      </w:r>
      <w:r w:rsidRPr="00134D84">
        <w:rPr>
          <w:rFonts w:ascii="Arial" w:hAnsi="Arial" w:cs="Arial"/>
          <w:sz w:val="22"/>
          <w:szCs w:val="22"/>
        </w:rPr>
        <w:t xml:space="preserve">, 12(23), 2471. Available at: </w:t>
      </w:r>
      <w:hyperlink r:id="rId7" w:history="1">
        <w:r w:rsidRPr="00134D84">
          <w:rPr>
            <w:rStyle w:val="Hyperlink"/>
            <w:rFonts w:ascii="Arial" w:hAnsi="Arial" w:cs="Arial"/>
            <w:sz w:val="22"/>
            <w:szCs w:val="22"/>
          </w:rPr>
          <w:t>https://doi.org/10.3390/healthcare12232471</w:t>
        </w:r>
      </w:hyperlink>
      <w:r w:rsidRPr="00134D84">
        <w:rPr>
          <w:rFonts w:ascii="Arial" w:hAnsi="Arial" w:cs="Arial"/>
          <w:sz w:val="22"/>
          <w:szCs w:val="22"/>
        </w:rPr>
        <w:t xml:space="preserve"> (Accessed: 7 November 2025).</w:t>
      </w:r>
    </w:p>
    <w:p w14:paraId="0AF52A0F" w14:textId="77777777" w:rsidR="00445516" w:rsidRPr="00134D84" w:rsidRDefault="00445516" w:rsidP="00445516">
      <w:pPr>
        <w:spacing w:before="240" w:line="360" w:lineRule="auto"/>
        <w:ind w:left="720" w:hanging="720"/>
        <w:jc w:val="both"/>
        <w:rPr>
          <w:rFonts w:ascii="Arial" w:hAnsi="Arial" w:cs="Arial"/>
          <w:sz w:val="22"/>
          <w:szCs w:val="22"/>
        </w:rPr>
      </w:pPr>
      <w:r w:rsidRPr="00134D84">
        <w:rPr>
          <w:rFonts w:ascii="Arial" w:hAnsi="Arial" w:cs="Arial"/>
          <w:sz w:val="22"/>
          <w:szCs w:val="22"/>
        </w:rPr>
        <w:t xml:space="preserve">Balhara, Y.P.S., Singh, S., Saini, R., Kattula, D., </w:t>
      </w:r>
      <w:proofErr w:type="spellStart"/>
      <w:r w:rsidRPr="00134D84">
        <w:rPr>
          <w:rFonts w:ascii="Arial" w:hAnsi="Arial" w:cs="Arial"/>
          <w:sz w:val="22"/>
          <w:szCs w:val="22"/>
        </w:rPr>
        <w:t>Chukkali</w:t>
      </w:r>
      <w:proofErr w:type="spellEnd"/>
      <w:r w:rsidRPr="00134D84">
        <w:rPr>
          <w:rFonts w:ascii="Arial" w:hAnsi="Arial" w:cs="Arial"/>
          <w:sz w:val="22"/>
          <w:szCs w:val="22"/>
        </w:rPr>
        <w:t xml:space="preserve">, S. and Bhargava, R. (2020) ‘Development and validation of gaming disorder and hazardous gaming scale (GDHGS) based on the WHO framework (ICD-11 criteria) of disordered gaming’, </w:t>
      </w:r>
      <w:r w:rsidRPr="00134D84">
        <w:rPr>
          <w:rFonts w:ascii="Arial" w:hAnsi="Arial" w:cs="Arial"/>
          <w:i/>
          <w:iCs/>
          <w:sz w:val="22"/>
          <w:szCs w:val="22"/>
        </w:rPr>
        <w:t>Asian Journal of Psychiatry</w:t>
      </w:r>
      <w:r w:rsidRPr="00134D84">
        <w:rPr>
          <w:rFonts w:ascii="Arial" w:hAnsi="Arial" w:cs="Arial"/>
          <w:sz w:val="22"/>
          <w:szCs w:val="22"/>
        </w:rPr>
        <w:t xml:space="preserve">, 54, 102348. Available at: </w:t>
      </w:r>
      <w:hyperlink r:id="rId8" w:history="1">
        <w:r w:rsidRPr="00134D84">
          <w:rPr>
            <w:rStyle w:val="Hyperlink"/>
            <w:rFonts w:ascii="Arial" w:hAnsi="Arial" w:cs="Arial"/>
            <w:sz w:val="22"/>
            <w:szCs w:val="22"/>
          </w:rPr>
          <w:t>https://doi.org/10.1016/j.ajp.2020.102348</w:t>
        </w:r>
      </w:hyperlink>
      <w:r w:rsidRPr="00134D84">
        <w:rPr>
          <w:rFonts w:ascii="Arial" w:hAnsi="Arial" w:cs="Arial"/>
          <w:sz w:val="22"/>
          <w:szCs w:val="22"/>
        </w:rPr>
        <w:t xml:space="preserve"> (Accessed: 3 November 2025).</w:t>
      </w:r>
    </w:p>
    <w:p w14:paraId="7A5B4AE0" w14:textId="77777777" w:rsidR="00445516" w:rsidRPr="00134D84" w:rsidRDefault="00445516" w:rsidP="00445516">
      <w:pPr>
        <w:spacing w:before="240" w:line="360" w:lineRule="auto"/>
        <w:ind w:left="720" w:hanging="720"/>
        <w:jc w:val="both"/>
        <w:rPr>
          <w:rFonts w:ascii="Arial" w:hAnsi="Arial" w:cs="Arial"/>
          <w:sz w:val="22"/>
          <w:szCs w:val="22"/>
        </w:rPr>
      </w:pPr>
      <w:r w:rsidRPr="00134D84">
        <w:rPr>
          <w:rFonts w:ascii="Arial" w:hAnsi="Arial" w:cs="Arial"/>
          <w:sz w:val="22"/>
          <w:szCs w:val="22"/>
        </w:rPr>
        <w:t xml:space="preserve">Chen, Y., Li, R., Lin, S. and Wang, H. (2023) ‘Effective interventions for gaming disorder: a systematic review of randomized control trials’, </w:t>
      </w:r>
      <w:r w:rsidRPr="00134D84">
        <w:rPr>
          <w:rFonts w:ascii="Arial" w:hAnsi="Arial" w:cs="Arial"/>
          <w:i/>
          <w:iCs/>
          <w:sz w:val="22"/>
          <w:szCs w:val="22"/>
        </w:rPr>
        <w:t>Frontiers in Psychiatry</w:t>
      </w:r>
      <w:r w:rsidRPr="00134D84">
        <w:rPr>
          <w:rFonts w:ascii="Arial" w:hAnsi="Arial" w:cs="Arial"/>
          <w:sz w:val="22"/>
          <w:szCs w:val="22"/>
        </w:rPr>
        <w:t xml:space="preserve">, 14, 1098922. Available at: </w:t>
      </w:r>
      <w:hyperlink r:id="rId9" w:history="1">
        <w:r w:rsidRPr="00134D84">
          <w:rPr>
            <w:rStyle w:val="Hyperlink"/>
            <w:rFonts w:ascii="Arial" w:hAnsi="Arial" w:cs="Arial"/>
            <w:sz w:val="22"/>
            <w:szCs w:val="22"/>
          </w:rPr>
          <w:t>https://doi.org/10.3389/fpsyt.2023.1098922</w:t>
        </w:r>
      </w:hyperlink>
      <w:r w:rsidRPr="00134D84">
        <w:rPr>
          <w:rFonts w:ascii="Arial" w:hAnsi="Arial" w:cs="Arial"/>
          <w:sz w:val="22"/>
          <w:szCs w:val="22"/>
        </w:rPr>
        <w:t xml:space="preserve"> (Accessed: 10 November 2025).</w:t>
      </w:r>
    </w:p>
    <w:p w14:paraId="1B5473E1" w14:textId="77777777" w:rsidR="00445516" w:rsidRPr="00134D84" w:rsidRDefault="00445516" w:rsidP="00445516">
      <w:pPr>
        <w:spacing w:before="240" w:line="360" w:lineRule="auto"/>
        <w:ind w:left="720" w:hanging="720"/>
        <w:jc w:val="both"/>
        <w:rPr>
          <w:rFonts w:ascii="Arial" w:hAnsi="Arial" w:cs="Arial"/>
          <w:sz w:val="22"/>
          <w:szCs w:val="22"/>
        </w:rPr>
      </w:pPr>
      <w:proofErr w:type="spellStart"/>
      <w:r w:rsidRPr="00134D84">
        <w:rPr>
          <w:rFonts w:ascii="Arial" w:hAnsi="Arial" w:cs="Arial"/>
          <w:sz w:val="22"/>
          <w:szCs w:val="22"/>
        </w:rPr>
        <w:t>Gursesli</w:t>
      </w:r>
      <w:proofErr w:type="spellEnd"/>
      <w:r w:rsidRPr="00134D84">
        <w:rPr>
          <w:rFonts w:ascii="Arial" w:hAnsi="Arial" w:cs="Arial"/>
          <w:sz w:val="22"/>
          <w:szCs w:val="22"/>
        </w:rPr>
        <w:t xml:space="preserve">, M.C., Yildirim, A. and Eksi, F. (2025) ‘Internet gaming disorder and psychological distress in young adults’, </w:t>
      </w:r>
      <w:proofErr w:type="spellStart"/>
      <w:r w:rsidRPr="00134D84">
        <w:rPr>
          <w:rFonts w:ascii="Arial" w:hAnsi="Arial" w:cs="Arial"/>
          <w:i/>
          <w:iCs/>
          <w:sz w:val="22"/>
          <w:szCs w:val="22"/>
        </w:rPr>
        <w:t>Heliyon</w:t>
      </w:r>
      <w:proofErr w:type="spellEnd"/>
      <w:r w:rsidRPr="00134D84">
        <w:rPr>
          <w:rFonts w:ascii="Arial" w:hAnsi="Arial" w:cs="Arial"/>
          <w:sz w:val="22"/>
          <w:szCs w:val="22"/>
        </w:rPr>
        <w:t xml:space="preserve">, 11(5), </w:t>
      </w:r>
      <w:proofErr w:type="spellStart"/>
      <w:r w:rsidRPr="00134D84">
        <w:rPr>
          <w:rFonts w:ascii="Arial" w:hAnsi="Arial" w:cs="Arial"/>
          <w:sz w:val="22"/>
          <w:szCs w:val="22"/>
        </w:rPr>
        <w:t>eXXXXX</w:t>
      </w:r>
      <w:proofErr w:type="spellEnd"/>
      <w:r w:rsidRPr="00134D84">
        <w:rPr>
          <w:rFonts w:ascii="Arial" w:hAnsi="Arial" w:cs="Arial"/>
          <w:sz w:val="22"/>
          <w:szCs w:val="22"/>
        </w:rPr>
        <w:t xml:space="preserve">. Available at: </w:t>
      </w:r>
      <w:hyperlink r:id="rId10" w:history="1">
        <w:r w:rsidRPr="00134D84">
          <w:rPr>
            <w:rStyle w:val="Hyperlink"/>
            <w:rFonts w:ascii="Arial" w:hAnsi="Arial" w:cs="Arial"/>
            <w:sz w:val="22"/>
            <w:szCs w:val="22"/>
          </w:rPr>
          <w:t>https://www.sciencedirect.com/science/article/pii/S2405844025019048</w:t>
        </w:r>
      </w:hyperlink>
      <w:r w:rsidRPr="00134D84">
        <w:rPr>
          <w:rFonts w:ascii="Arial" w:hAnsi="Arial" w:cs="Arial"/>
          <w:sz w:val="22"/>
          <w:szCs w:val="22"/>
        </w:rPr>
        <w:t xml:space="preserve"> (Accessed: 2 November 2025).</w:t>
      </w:r>
    </w:p>
    <w:p w14:paraId="11EE4600" w14:textId="77777777" w:rsidR="00445516" w:rsidRPr="00134D84" w:rsidRDefault="00445516" w:rsidP="00445516">
      <w:pPr>
        <w:spacing w:before="240" w:line="360" w:lineRule="auto"/>
        <w:ind w:left="720" w:hanging="720"/>
        <w:jc w:val="both"/>
        <w:rPr>
          <w:rFonts w:ascii="Arial" w:hAnsi="Arial" w:cs="Arial"/>
          <w:sz w:val="22"/>
          <w:szCs w:val="22"/>
        </w:rPr>
      </w:pPr>
      <w:r w:rsidRPr="00134D84">
        <w:rPr>
          <w:rFonts w:ascii="Arial" w:hAnsi="Arial" w:cs="Arial"/>
          <w:sz w:val="22"/>
          <w:szCs w:val="22"/>
        </w:rPr>
        <w:t xml:space="preserve">Kewitz, S., Paschke, K., Austermann, M.I. and Thomasius, R. (2023) ‘Assessment of hazardous gaming in children and its dissimilarities and overlaps with Internet gaming disorder’, </w:t>
      </w:r>
      <w:r w:rsidRPr="00134D84">
        <w:rPr>
          <w:rFonts w:ascii="Arial" w:hAnsi="Arial" w:cs="Arial"/>
          <w:i/>
          <w:iCs/>
          <w:sz w:val="22"/>
          <w:szCs w:val="22"/>
        </w:rPr>
        <w:t>Frontiers in Psychiatry</w:t>
      </w:r>
      <w:r w:rsidRPr="00134D84">
        <w:rPr>
          <w:rFonts w:ascii="Arial" w:hAnsi="Arial" w:cs="Arial"/>
          <w:sz w:val="22"/>
          <w:szCs w:val="22"/>
        </w:rPr>
        <w:t xml:space="preserve">, 14, 1226799. Available at: </w:t>
      </w:r>
      <w:hyperlink r:id="rId11" w:history="1">
        <w:r w:rsidRPr="00134D84">
          <w:rPr>
            <w:rStyle w:val="Hyperlink"/>
            <w:rFonts w:ascii="Arial" w:hAnsi="Arial" w:cs="Arial"/>
            <w:sz w:val="22"/>
            <w:szCs w:val="22"/>
          </w:rPr>
          <w:t>https://doi.org/10.3389/fpsyt.2023.1226799</w:t>
        </w:r>
      </w:hyperlink>
      <w:r w:rsidRPr="00134D84">
        <w:rPr>
          <w:rFonts w:ascii="Arial" w:hAnsi="Arial" w:cs="Arial"/>
          <w:sz w:val="22"/>
          <w:szCs w:val="22"/>
        </w:rPr>
        <w:t xml:space="preserve"> (Accessed: 9 November 2025).</w:t>
      </w:r>
    </w:p>
    <w:p w14:paraId="7D001782" w14:textId="77777777" w:rsidR="00445516" w:rsidRPr="00134D84" w:rsidRDefault="00445516" w:rsidP="00445516">
      <w:pPr>
        <w:spacing w:before="240" w:line="360" w:lineRule="auto"/>
        <w:ind w:left="720" w:hanging="720"/>
        <w:jc w:val="both"/>
        <w:rPr>
          <w:rFonts w:ascii="Arial" w:hAnsi="Arial" w:cs="Arial"/>
          <w:sz w:val="22"/>
          <w:szCs w:val="22"/>
        </w:rPr>
      </w:pPr>
      <w:r w:rsidRPr="00134D84">
        <w:rPr>
          <w:rFonts w:ascii="Arial" w:hAnsi="Arial" w:cs="Arial"/>
          <w:sz w:val="22"/>
          <w:szCs w:val="22"/>
        </w:rPr>
        <w:t xml:space="preserve">Kim, J., Wang, Y., Park, S. and Jung, Y. (2022) ‘Psychological treatments for excessive gaming: a systematic review and </w:t>
      </w:r>
      <w:proofErr w:type="spellStart"/>
      <w:r w:rsidRPr="00134D84">
        <w:rPr>
          <w:rFonts w:ascii="Arial" w:hAnsi="Arial" w:cs="Arial"/>
          <w:sz w:val="22"/>
          <w:szCs w:val="22"/>
        </w:rPr>
        <w:t>meta analysis</w:t>
      </w:r>
      <w:proofErr w:type="spellEnd"/>
      <w:r w:rsidRPr="00134D84">
        <w:rPr>
          <w:rFonts w:ascii="Arial" w:hAnsi="Arial" w:cs="Arial"/>
          <w:sz w:val="22"/>
          <w:szCs w:val="22"/>
        </w:rPr>
        <w:t xml:space="preserve">’, </w:t>
      </w:r>
      <w:r w:rsidRPr="00134D84">
        <w:rPr>
          <w:rFonts w:ascii="Arial" w:hAnsi="Arial" w:cs="Arial"/>
          <w:i/>
          <w:iCs/>
          <w:sz w:val="22"/>
          <w:szCs w:val="22"/>
        </w:rPr>
        <w:t>Scientific Reports</w:t>
      </w:r>
      <w:r w:rsidRPr="00134D84">
        <w:rPr>
          <w:rFonts w:ascii="Arial" w:hAnsi="Arial" w:cs="Arial"/>
          <w:sz w:val="22"/>
          <w:szCs w:val="22"/>
        </w:rPr>
        <w:t xml:space="preserve">, 12, 21837. Available at: </w:t>
      </w:r>
      <w:hyperlink r:id="rId12" w:history="1">
        <w:r w:rsidRPr="00134D84">
          <w:rPr>
            <w:rStyle w:val="Hyperlink"/>
            <w:rFonts w:ascii="Arial" w:hAnsi="Arial" w:cs="Arial"/>
            <w:sz w:val="22"/>
            <w:szCs w:val="22"/>
          </w:rPr>
          <w:t>https://doi.org/10.1038/s41598-022-24523-9</w:t>
        </w:r>
      </w:hyperlink>
      <w:r w:rsidRPr="00134D84">
        <w:rPr>
          <w:rFonts w:ascii="Arial" w:hAnsi="Arial" w:cs="Arial"/>
          <w:sz w:val="22"/>
          <w:szCs w:val="22"/>
        </w:rPr>
        <w:t xml:space="preserve"> (Accessed: 5 November 2025).</w:t>
      </w:r>
    </w:p>
    <w:p w14:paraId="0792C832" w14:textId="77777777" w:rsidR="00445516" w:rsidRPr="00134D84" w:rsidRDefault="00445516" w:rsidP="00445516">
      <w:pPr>
        <w:spacing w:before="240" w:line="360" w:lineRule="auto"/>
        <w:ind w:left="720" w:hanging="720"/>
        <w:jc w:val="both"/>
        <w:rPr>
          <w:rFonts w:ascii="Arial" w:hAnsi="Arial" w:cs="Arial"/>
          <w:sz w:val="22"/>
          <w:szCs w:val="22"/>
        </w:rPr>
      </w:pPr>
      <w:r w:rsidRPr="00134D84">
        <w:rPr>
          <w:rFonts w:ascii="Arial" w:hAnsi="Arial" w:cs="Arial"/>
          <w:sz w:val="22"/>
          <w:szCs w:val="22"/>
        </w:rPr>
        <w:t xml:space="preserve">Learning Disabilities Society of Greater Vancouver (2024) ‘Video gaming and neurodivergent youth’, </w:t>
      </w:r>
      <w:r w:rsidRPr="00134D84">
        <w:rPr>
          <w:rFonts w:ascii="Arial" w:hAnsi="Arial" w:cs="Arial"/>
          <w:i/>
          <w:iCs/>
          <w:sz w:val="22"/>
          <w:szCs w:val="22"/>
        </w:rPr>
        <w:t>LDS News and Articles</w:t>
      </w:r>
      <w:r w:rsidRPr="00134D84">
        <w:rPr>
          <w:rFonts w:ascii="Arial" w:hAnsi="Arial" w:cs="Arial"/>
          <w:sz w:val="22"/>
          <w:szCs w:val="22"/>
        </w:rPr>
        <w:t xml:space="preserve">, 29 April. Available at: </w:t>
      </w:r>
      <w:hyperlink r:id="rId13" w:history="1">
        <w:r w:rsidRPr="00134D84">
          <w:rPr>
            <w:rStyle w:val="Hyperlink"/>
            <w:rFonts w:ascii="Arial" w:hAnsi="Arial" w:cs="Arial"/>
            <w:sz w:val="22"/>
            <w:szCs w:val="22"/>
          </w:rPr>
          <w:t>https://ldsociety.ca/video-gaming-and-neurodivergent-youth</w:t>
        </w:r>
      </w:hyperlink>
      <w:r w:rsidRPr="00134D84">
        <w:rPr>
          <w:rFonts w:ascii="Arial" w:hAnsi="Arial" w:cs="Arial"/>
          <w:sz w:val="22"/>
          <w:szCs w:val="22"/>
        </w:rPr>
        <w:t xml:space="preserve"> (Accessed: 1 November 2025).</w:t>
      </w:r>
    </w:p>
    <w:p w14:paraId="2516E448" w14:textId="77777777" w:rsidR="00445516" w:rsidRPr="00134D84" w:rsidRDefault="00445516" w:rsidP="00445516">
      <w:pPr>
        <w:spacing w:before="240" w:line="360" w:lineRule="auto"/>
        <w:ind w:left="720" w:hanging="720"/>
        <w:jc w:val="both"/>
        <w:rPr>
          <w:rFonts w:ascii="Arial" w:hAnsi="Arial" w:cs="Arial"/>
          <w:sz w:val="22"/>
          <w:szCs w:val="22"/>
        </w:rPr>
      </w:pPr>
      <w:r w:rsidRPr="00134D84">
        <w:rPr>
          <w:rFonts w:ascii="Arial" w:hAnsi="Arial" w:cs="Arial"/>
          <w:sz w:val="22"/>
          <w:szCs w:val="22"/>
        </w:rPr>
        <w:t xml:space="preserve">Núñez-Rodríguez, S., Méndez-Giménez, A. and Cecchini, J.A. (2025) ‘Effectiveness of therapeutic interventions in the treatment of Internet gaming disorder: a systematic </w:t>
      </w:r>
      <w:r w:rsidRPr="00134D84">
        <w:rPr>
          <w:rFonts w:ascii="Arial" w:hAnsi="Arial" w:cs="Arial"/>
          <w:sz w:val="22"/>
          <w:szCs w:val="22"/>
        </w:rPr>
        <w:lastRenderedPageBreak/>
        <w:t xml:space="preserve">review’, </w:t>
      </w:r>
      <w:r w:rsidRPr="00134D84">
        <w:rPr>
          <w:rFonts w:ascii="Arial" w:hAnsi="Arial" w:cs="Arial"/>
          <w:i/>
          <w:iCs/>
          <w:sz w:val="22"/>
          <w:szCs w:val="22"/>
        </w:rPr>
        <w:t>European Journal of Investigation in Health, Psychology and Education</w:t>
      </w:r>
      <w:r w:rsidRPr="00134D84">
        <w:rPr>
          <w:rFonts w:ascii="Arial" w:hAnsi="Arial" w:cs="Arial"/>
          <w:sz w:val="22"/>
          <w:szCs w:val="22"/>
        </w:rPr>
        <w:t xml:space="preserve">, 15(4), 49. Available at: </w:t>
      </w:r>
      <w:hyperlink r:id="rId14" w:history="1">
        <w:r w:rsidRPr="00134D84">
          <w:rPr>
            <w:rStyle w:val="Hyperlink"/>
            <w:rFonts w:ascii="Arial" w:hAnsi="Arial" w:cs="Arial"/>
            <w:sz w:val="22"/>
            <w:szCs w:val="22"/>
          </w:rPr>
          <w:t>https://doi.org/10.3390/ejihpe15040049</w:t>
        </w:r>
      </w:hyperlink>
      <w:r w:rsidRPr="00134D84">
        <w:rPr>
          <w:rFonts w:ascii="Arial" w:hAnsi="Arial" w:cs="Arial"/>
          <w:sz w:val="22"/>
          <w:szCs w:val="22"/>
        </w:rPr>
        <w:t xml:space="preserve"> (Accessed: 11 November 2025).</w:t>
      </w:r>
    </w:p>
    <w:p w14:paraId="7A4067E2" w14:textId="77777777" w:rsidR="00445516" w:rsidRPr="00134D84" w:rsidRDefault="00445516" w:rsidP="00445516">
      <w:pPr>
        <w:spacing w:before="240" w:line="360" w:lineRule="auto"/>
        <w:ind w:left="720" w:hanging="720"/>
        <w:jc w:val="both"/>
        <w:rPr>
          <w:rFonts w:ascii="Arial" w:hAnsi="Arial" w:cs="Arial"/>
          <w:sz w:val="22"/>
          <w:szCs w:val="22"/>
        </w:rPr>
      </w:pPr>
      <w:r w:rsidRPr="00134D84">
        <w:rPr>
          <w:rFonts w:ascii="Arial" w:hAnsi="Arial" w:cs="Arial"/>
          <w:sz w:val="22"/>
          <w:szCs w:val="22"/>
        </w:rPr>
        <w:t xml:space="preserve">Oelker, A., Rumpf, H.J., Müller, A., King, D.L. and Brand, M. (2024) ‘Validation of the ACSID-11 for consistent screening of specific Internet use disorders based on ICD-11 criteria for gaming disorder: a </w:t>
      </w:r>
      <w:proofErr w:type="spellStart"/>
      <w:r w:rsidRPr="00134D84">
        <w:rPr>
          <w:rFonts w:ascii="Arial" w:hAnsi="Arial" w:cs="Arial"/>
          <w:sz w:val="22"/>
          <w:szCs w:val="22"/>
        </w:rPr>
        <w:t>multitrait</w:t>
      </w:r>
      <w:proofErr w:type="spellEnd"/>
      <w:r w:rsidRPr="00134D84">
        <w:rPr>
          <w:rFonts w:ascii="Arial" w:hAnsi="Arial" w:cs="Arial"/>
          <w:sz w:val="22"/>
          <w:szCs w:val="22"/>
        </w:rPr>
        <w:t xml:space="preserve"> multimethod approach’, </w:t>
      </w:r>
      <w:r w:rsidRPr="00134D84">
        <w:rPr>
          <w:rFonts w:ascii="Arial" w:hAnsi="Arial" w:cs="Arial"/>
          <w:i/>
          <w:iCs/>
          <w:sz w:val="22"/>
          <w:szCs w:val="22"/>
        </w:rPr>
        <w:t>Comprehensive Psychiatry</w:t>
      </w:r>
      <w:r w:rsidRPr="00134D84">
        <w:rPr>
          <w:rFonts w:ascii="Arial" w:hAnsi="Arial" w:cs="Arial"/>
          <w:sz w:val="22"/>
          <w:szCs w:val="22"/>
        </w:rPr>
        <w:t xml:space="preserve">, 129, 152470. Available at: </w:t>
      </w:r>
      <w:hyperlink r:id="rId15" w:history="1">
        <w:r w:rsidRPr="00134D84">
          <w:rPr>
            <w:rStyle w:val="Hyperlink"/>
            <w:rFonts w:ascii="Arial" w:hAnsi="Arial" w:cs="Arial"/>
            <w:sz w:val="22"/>
            <w:szCs w:val="22"/>
          </w:rPr>
          <w:t>https://doi.org/10.1016/j.comppsych.2024.152470</w:t>
        </w:r>
      </w:hyperlink>
      <w:r w:rsidRPr="00134D84">
        <w:rPr>
          <w:rFonts w:ascii="Arial" w:hAnsi="Arial" w:cs="Arial"/>
          <w:sz w:val="22"/>
          <w:szCs w:val="22"/>
        </w:rPr>
        <w:t xml:space="preserve"> (Accessed: 4 November 2025).</w:t>
      </w:r>
    </w:p>
    <w:p w14:paraId="13DE3F1E" w14:textId="77777777" w:rsidR="00445516" w:rsidRPr="00134D84" w:rsidRDefault="00445516" w:rsidP="00445516">
      <w:pPr>
        <w:spacing w:before="240" w:line="360" w:lineRule="auto"/>
        <w:ind w:left="720" w:hanging="720"/>
        <w:jc w:val="both"/>
        <w:rPr>
          <w:rFonts w:ascii="Arial" w:hAnsi="Arial" w:cs="Arial"/>
          <w:sz w:val="22"/>
          <w:szCs w:val="22"/>
        </w:rPr>
      </w:pPr>
      <w:r w:rsidRPr="00134D84">
        <w:rPr>
          <w:rFonts w:ascii="Arial" w:hAnsi="Arial" w:cs="Arial"/>
          <w:sz w:val="22"/>
          <w:szCs w:val="22"/>
        </w:rPr>
        <w:t xml:space="preserve">Reed, G.M., First, M.B. and Kogan, C.S. (2022) ‘Emerging experience with selected new categories in the ICD-11: complex PTSD, prolonged grief disorder, gaming disorder, and compulsive sexual behaviour disorder’, </w:t>
      </w:r>
      <w:r w:rsidRPr="00134D84">
        <w:rPr>
          <w:rFonts w:ascii="Arial" w:hAnsi="Arial" w:cs="Arial"/>
          <w:i/>
          <w:iCs/>
          <w:sz w:val="22"/>
          <w:szCs w:val="22"/>
        </w:rPr>
        <w:t>World Psychiatry</w:t>
      </w:r>
      <w:r w:rsidRPr="00134D84">
        <w:rPr>
          <w:rFonts w:ascii="Arial" w:hAnsi="Arial" w:cs="Arial"/>
          <w:sz w:val="22"/>
          <w:szCs w:val="22"/>
        </w:rPr>
        <w:t xml:space="preserve">, 21(2), pp. 189–213. Available at: </w:t>
      </w:r>
      <w:hyperlink r:id="rId16" w:history="1">
        <w:r w:rsidRPr="00134D84">
          <w:rPr>
            <w:rStyle w:val="Hyperlink"/>
            <w:rFonts w:ascii="Arial" w:hAnsi="Arial" w:cs="Arial"/>
            <w:sz w:val="22"/>
            <w:szCs w:val="22"/>
          </w:rPr>
          <w:t>https://doi.org/10.1002/wps.20960</w:t>
        </w:r>
      </w:hyperlink>
      <w:r w:rsidRPr="00134D84">
        <w:rPr>
          <w:rFonts w:ascii="Arial" w:hAnsi="Arial" w:cs="Arial"/>
          <w:sz w:val="22"/>
          <w:szCs w:val="22"/>
        </w:rPr>
        <w:t xml:space="preserve"> (Accessed: 6 November 2025).</w:t>
      </w:r>
    </w:p>
    <w:p w14:paraId="502818AC" w14:textId="77777777" w:rsidR="00445516" w:rsidRPr="00134D84" w:rsidRDefault="00445516" w:rsidP="00445516">
      <w:pPr>
        <w:spacing w:before="240" w:line="360" w:lineRule="auto"/>
        <w:ind w:left="720" w:hanging="720"/>
        <w:jc w:val="both"/>
        <w:rPr>
          <w:rFonts w:ascii="Arial" w:hAnsi="Arial" w:cs="Arial"/>
          <w:sz w:val="22"/>
          <w:szCs w:val="22"/>
        </w:rPr>
      </w:pPr>
      <w:r w:rsidRPr="00134D84">
        <w:rPr>
          <w:rFonts w:ascii="Arial" w:hAnsi="Arial" w:cs="Arial"/>
          <w:sz w:val="22"/>
          <w:szCs w:val="22"/>
        </w:rPr>
        <w:t xml:space="preserve">Simonelli, V., Bova, M., Tessari, L., </w:t>
      </w:r>
      <w:proofErr w:type="spellStart"/>
      <w:r w:rsidRPr="00134D84">
        <w:rPr>
          <w:rFonts w:ascii="Arial" w:hAnsi="Arial" w:cs="Arial"/>
          <w:sz w:val="22"/>
          <w:szCs w:val="22"/>
        </w:rPr>
        <w:t>Renati</w:t>
      </w:r>
      <w:proofErr w:type="spellEnd"/>
      <w:r w:rsidRPr="00134D84">
        <w:rPr>
          <w:rFonts w:ascii="Arial" w:hAnsi="Arial" w:cs="Arial"/>
          <w:sz w:val="22"/>
          <w:szCs w:val="22"/>
        </w:rPr>
        <w:t xml:space="preserve">, R. and Pozzi, M. (2024) ‘Internet gaming disorder in children and adolescents with neurodevelopmental disorders’, </w:t>
      </w:r>
      <w:r w:rsidRPr="00134D84">
        <w:rPr>
          <w:rFonts w:ascii="Arial" w:hAnsi="Arial" w:cs="Arial"/>
          <w:i/>
          <w:iCs/>
          <w:sz w:val="22"/>
          <w:szCs w:val="22"/>
        </w:rPr>
        <w:t>Children</w:t>
      </w:r>
      <w:r w:rsidRPr="00134D84">
        <w:rPr>
          <w:rFonts w:ascii="Arial" w:hAnsi="Arial" w:cs="Arial"/>
          <w:sz w:val="22"/>
          <w:szCs w:val="22"/>
        </w:rPr>
        <w:t xml:space="preserve">, 11(2), 245. Available at: </w:t>
      </w:r>
      <w:hyperlink r:id="rId17" w:history="1">
        <w:r w:rsidRPr="00134D84">
          <w:rPr>
            <w:rStyle w:val="Hyperlink"/>
            <w:rFonts w:ascii="Arial" w:hAnsi="Arial" w:cs="Arial"/>
            <w:sz w:val="22"/>
            <w:szCs w:val="22"/>
          </w:rPr>
          <w:t>https://www.ncbi.nlm.nih.gov/pmc/articles/PMC10887068</w:t>
        </w:r>
      </w:hyperlink>
      <w:r w:rsidRPr="00134D84">
        <w:rPr>
          <w:rFonts w:ascii="Arial" w:hAnsi="Arial" w:cs="Arial"/>
          <w:sz w:val="22"/>
          <w:szCs w:val="22"/>
        </w:rPr>
        <w:t xml:space="preserve"> (Accessed: 8 November 2025).</w:t>
      </w:r>
    </w:p>
    <w:p w14:paraId="2D474FDC" w14:textId="77777777" w:rsidR="00445516" w:rsidRPr="00134D84" w:rsidRDefault="00445516" w:rsidP="00445516">
      <w:pPr>
        <w:spacing w:before="240" w:line="360" w:lineRule="auto"/>
        <w:ind w:left="720" w:hanging="720"/>
        <w:jc w:val="both"/>
        <w:rPr>
          <w:rFonts w:ascii="Arial" w:hAnsi="Arial" w:cs="Arial"/>
          <w:sz w:val="22"/>
          <w:szCs w:val="22"/>
        </w:rPr>
      </w:pPr>
      <w:r w:rsidRPr="00134D84">
        <w:rPr>
          <w:rFonts w:ascii="Arial" w:hAnsi="Arial" w:cs="Arial"/>
          <w:sz w:val="22"/>
          <w:szCs w:val="22"/>
        </w:rPr>
        <w:t xml:space="preserve">World Health Organization (2020) ‘Addictive behaviours: gaming disorder’, </w:t>
      </w:r>
      <w:r w:rsidRPr="00134D84">
        <w:rPr>
          <w:rFonts w:ascii="Arial" w:hAnsi="Arial" w:cs="Arial"/>
          <w:i/>
          <w:iCs/>
          <w:sz w:val="22"/>
          <w:szCs w:val="22"/>
        </w:rPr>
        <w:t>WHO Newsroom Questions and Answers</w:t>
      </w:r>
      <w:r w:rsidRPr="00134D84">
        <w:rPr>
          <w:rFonts w:ascii="Arial" w:hAnsi="Arial" w:cs="Arial"/>
          <w:sz w:val="22"/>
          <w:szCs w:val="22"/>
        </w:rPr>
        <w:t xml:space="preserve">. Available at: </w:t>
      </w:r>
      <w:hyperlink r:id="rId18" w:history="1">
        <w:r w:rsidRPr="00134D84">
          <w:rPr>
            <w:rStyle w:val="Hyperlink"/>
            <w:rFonts w:ascii="Arial" w:hAnsi="Arial" w:cs="Arial"/>
            <w:sz w:val="22"/>
            <w:szCs w:val="22"/>
          </w:rPr>
          <w:t>https://www.who.int/news-room/questions-and-answers/item/addictive-behaviours-gaming-disorder</w:t>
        </w:r>
      </w:hyperlink>
      <w:r w:rsidRPr="00134D84">
        <w:rPr>
          <w:rFonts w:ascii="Arial" w:hAnsi="Arial" w:cs="Arial"/>
          <w:sz w:val="22"/>
          <w:szCs w:val="22"/>
        </w:rPr>
        <w:t xml:space="preserve"> (Accessed: 12 November 2025).</w:t>
      </w:r>
    </w:p>
    <w:p w14:paraId="23CF6871" w14:textId="77777777" w:rsidR="00445516" w:rsidRPr="00134D84" w:rsidRDefault="00445516" w:rsidP="00445516">
      <w:pPr>
        <w:spacing w:before="240" w:line="360" w:lineRule="auto"/>
        <w:ind w:left="720" w:hanging="720"/>
        <w:jc w:val="both"/>
        <w:rPr>
          <w:rFonts w:ascii="Arial" w:hAnsi="Arial" w:cs="Arial"/>
          <w:sz w:val="22"/>
          <w:szCs w:val="22"/>
        </w:rPr>
      </w:pPr>
      <w:r w:rsidRPr="00134D84">
        <w:rPr>
          <w:rFonts w:ascii="Arial" w:hAnsi="Arial" w:cs="Arial"/>
          <w:sz w:val="22"/>
          <w:szCs w:val="22"/>
        </w:rPr>
        <w:t xml:space="preserve">World Health Organization (2024) </w:t>
      </w:r>
      <w:r w:rsidRPr="00134D84">
        <w:rPr>
          <w:rFonts w:ascii="Arial" w:hAnsi="Arial" w:cs="Arial"/>
          <w:i/>
          <w:iCs/>
          <w:sz w:val="22"/>
          <w:szCs w:val="22"/>
        </w:rPr>
        <w:t>Clinical Descriptions and Diagnostic Requirements for ICD-11 Mental, Behavioural and Neurodevelopmental Disorders</w:t>
      </w:r>
      <w:r w:rsidRPr="00134D84">
        <w:rPr>
          <w:rFonts w:ascii="Arial" w:hAnsi="Arial" w:cs="Arial"/>
          <w:sz w:val="22"/>
          <w:szCs w:val="22"/>
        </w:rPr>
        <w:t xml:space="preserve">. Geneva: World Health Organization. Available at: </w:t>
      </w:r>
      <w:hyperlink r:id="rId19" w:history="1">
        <w:r w:rsidRPr="00134D84">
          <w:rPr>
            <w:rStyle w:val="Hyperlink"/>
            <w:rFonts w:ascii="Arial" w:hAnsi="Arial" w:cs="Arial"/>
            <w:sz w:val="22"/>
            <w:szCs w:val="22"/>
          </w:rPr>
          <w:t>https://icd.who.int</w:t>
        </w:r>
      </w:hyperlink>
      <w:r w:rsidRPr="00134D84">
        <w:rPr>
          <w:rFonts w:ascii="Arial" w:hAnsi="Arial" w:cs="Arial"/>
          <w:sz w:val="22"/>
          <w:szCs w:val="22"/>
        </w:rPr>
        <w:t xml:space="preserve"> (Accessed: 4 November 2025).</w:t>
      </w:r>
    </w:p>
    <w:p w14:paraId="66E66F65" w14:textId="77777777" w:rsidR="00445516" w:rsidRPr="00134D84" w:rsidRDefault="00445516" w:rsidP="00445516">
      <w:pPr>
        <w:spacing w:before="240" w:line="360" w:lineRule="auto"/>
        <w:ind w:left="720" w:hanging="720"/>
        <w:jc w:val="both"/>
        <w:rPr>
          <w:rFonts w:ascii="Arial" w:hAnsi="Arial" w:cs="Arial"/>
          <w:sz w:val="22"/>
          <w:szCs w:val="22"/>
        </w:rPr>
      </w:pPr>
      <w:r w:rsidRPr="00134D84">
        <w:rPr>
          <w:rFonts w:ascii="Arial" w:hAnsi="Arial" w:cs="Arial"/>
          <w:sz w:val="22"/>
          <w:szCs w:val="22"/>
        </w:rPr>
        <w:t xml:space="preserve">Zhang, L., Luo, T., Hao, W., Cao, Y., Yuan, M. and Liao, Y. (2022) ‘Gaming Disorder Symptom Questionnaire: the development and validation of a screening tool for ICD-11 Gaming Disorder in adolescents’, </w:t>
      </w:r>
      <w:r w:rsidRPr="00134D84">
        <w:rPr>
          <w:rFonts w:ascii="Arial" w:hAnsi="Arial" w:cs="Arial"/>
          <w:i/>
          <w:iCs/>
          <w:sz w:val="22"/>
          <w:szCs w:val="22"/>
        </w:rPr>
        <w:t>Frontiers in Psychiatry</w:t>
      </w:r>
      <w:r w:rsidRPr="00134D84">
        <w:rPr>
          <w:rFonts w:ascii="Arial" w:hAnsi="Arial" w:cs="Arial"/>
          <w:sz w:val="22"/>
          <w:szCs w:val="22"/>
        </w:rPr>
        <w:t xml:space="preserve">, 13, 848157. Available at: </w:t>
      </w:r>
      <w:hyperlink r:id="rId20" w:history="1">
        <w:r w:rsidRPr="00134D84">
          <w:rPr>
            <w:rStyle w:val="Hyperlink"/>
            <w:rFonts w:ascii="Arial" w:hAnsi="Arial" w:cs="Arial"/>
            <w:sz w:val="22"/>
            <w:szCs w:val="22"/>
          </w:rPr>
          <w:t>https://doi.org/10.3389/fpsyt.2022.848157</w:t>
        </w:r>
      </w:hyperlink>
      <w:r w:rsidRPr="00134D84">
        <w:rPr>
          <w:rFonts w:ascii="Arial" w:hAnsi="Arial" w:cs="Arial"/>
          <w:sz w:val="22"/>
          <w:szCs w:val="22"/>
        </w:rPr>
        <w:t xml:space="preserve"> (Accessed: 9 November 2025).</w:t>
      </w:r>
    </w:p>
    <w:p w14:paraId="314C664F" w14:textId="77777777" w:rsidR="00445516" w:rsidRPr="00134D84" w:rsidRDefault="00445516" w:rsidP="00445516">
      <w:pPr>
        <w:spacing w:before="240" w:line="360" w:lineRule="auto"/>
        <w:ind w:left="720" w:hanging="720"/>
        <w:jc w:val="both"/>
        <w:rPr>
          <w:rFonts w:ascii="Arial" w:hAnsi="Arial" w:cs="Arial"/>
          <w:sz w:val="22"/>
          <w:szCs w:val="22"/>
        </w:rPr>
      </w:pPr>
      <w:r w:rsidRPr="00134D84">
        <w:rPr>
          <w:rFonts w:ascii="Arial" w:hAnsi="Arial" w:cs="Arial"/>
          <w:sz w:val="22"/>
          <w:szCs w:val="22"/>
        </w:rPr>
        <w:t xml:space="preserve">Zhou, R., Morita, N., Ogai, Y., Saito, T., Zhang, X., Yang, W. and Yang, F. (2024) ‘Meta analysis of Internet gaming disorder prevalence: assessing the impacts of DSM-5 and ICD-11 diagnostic criteria’, </w:t>
      </w:r>
      <w:r w:rsidRPr="00134D84">
        <w:rPr>
          <w:rFonts w:ascii="Arial" w:hAnsi="Arial" w:cs="Arial"/>
          <w:i/>
          <w:iCs/>
          <w:sz w:val="22"/>
          <w:szCs w:val="22"/>
        </w:rPr>
        <w:t>International Journal of Environmental Research and Public Health</w:t>
      </w:r>
      <w:r w:rsidRPr="00134D84">
        <w:rPr>
          <w:rFonts w:ascii="Arial" w:hAnsi="Arial" w:cs="Arial"/>
          <w:sz w:val="22"/>
          <w:szCs w:val="22"/>
        </w:rPr>
        <w:t xml:space="preserve">, 21(6), 700. Available at: </w:t>
      </w:r>
      <w:hyperlink r:id="rId21" w:history="1">
        <w:r w:rsidRPr="00134D84">
          <w:rPr>
            <w:rStyle w:val="Hyperlink"/>
            <w:rFonts w:ascii="Arial" w:hAnsi="Arial" w:cs="Arial"/>
            <w:sz w:val="22"/>
            <w:szCs w:val="22"/>
          </w:rPr>
          <w:t>https://doi.org/10.3390/ijerph21060700</w:t>
        </w:r>
      </w:hyperlink>
      <w:r w:rsidRPr="00134D84">
        <w:rPr>
          <w:rFonts w:ascii="Arial" w:hAnsi="Arial" w:cs="Arial"/>
          <w:sz w:val="22"/>
          <w:szCs w:val="22"/>
        </w:rPr>
        <w:t xml:space="preserve"> (Accessed: 6 November 2025).</w:t>
      </w:r>
    </w:p>
    <w:sectPr w:rsidR="00445516" w:rsidRPr="00134D84">
      <w:head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C380CE" w14:textId="77777777" w:rsidR="00EC4FBA" w:rsidRDefault="00EC4FBA" w:rsidP="00134D84">
      <w:pPr>
        <w:spacing w:after="0" w:line="240" w:lineRule="auto"/>
      </w:pPr>
      <w:r>
        <w:separator/>
      </w:r>
    </w:p>
  </w:endnote>
  <w:endnote w:type="continuationSeparator" w:id="0">
    <w:p w14:paraId="4985BD6E" w14:textId="77777777" w:rsidR="00EC4FBA" w:rsidRDefault="00EC4FBA" w:rsidP="00134D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50894E" w14:textId="77777777" w:rsidR="00EC4FBA" w:rsidRDefault="00EC4FBA" w:rsidP="00134D84">
      <w:pPr>
        <w:spacing w:after="0" w:line="240" w:lineRule="auto"/>
      </w:pPr>
      <w:r>
        <w:separator/>
      </w:r>
    </w:p>
  </w:footnote>
  <w:footnote w:type="continuationSeparator" w:id="0">
    <w:p w14:paraId="2CB48DAF" w14:textId="77777777" w:rsidR="00EC4FBA" w:rsidRDefault="00EC4FBA" w:rsidP="00134D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70501165"/>
      <w:docPartObj>
        <w:docPartGallery w:val="Page Numbers (Top of Page)"/>
        <w:docPartUnique/>
      </w:docPartObj>
    </w:sdtPr>
    <w:sdtEndPr>
      <w:rPr>
        <w:noProof/>
      </w:rPr>
    </w:sdtEndPr>
    <w:sdtContent>
      <w:p w14:paraId="586885FB" w14:textId="4DB80D07" w:rsidR="00134D84" w:rsidRDefault="00134D84">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AEFBA64" w14:textId="77777777" w:rsidR="00134D84" w:rsidRDefault="00134D8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3DEB"/>
    <w:rsid w:val="00134D84"/>
    <w:rsid w:val="00375CAA"/>
    <w:rsid w:val="003E1CF7"/>
    <w:rsid w:val="00445516"/>
    <w:rsid w:val="004E121E"/>
    <w:rsid w:val="00723DEB"/>
    <w:rsid w:val="008C5D9C"/>
    <w:rsid w:val="009A3D4B"/>
    <w:rsid w:val="00A1627A"/>
    <w:rsid w:val="00B94C95"/>
    <w:rsid w:val="00EC4FB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9F4825"/>
  <w15:chartTrackingRefBased/>
  <w15:docId w15:val="{D3F14F48-FC2B-4DDD-B2F3-249615E264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4D84"/>
    <w:pPr>
      <w:keepNext/>
      <w:keepLines/>
      <w:spacing w:before="360" w:after="80" w:line="360" w:lineRule="auto"/>
      <w:outlineLvl w:val="0"/>
    </w:pPr>
    <w:rPr>
      <w:rFonts w:ascii="Arial" w:eastAsiaTheme="majorEastAsia" w:hAnsi="Arial" w:cstheme="majorBidi"/>
      <w:b/>
      <w:szCs w:val="40"/>
    </w:rPr>
  </w:style>
  <w:style w:type="paragraph" w:styleId="Heading2">
    <w:name w:val="heading 2"/>
    <w:basedOn w:val="Normal"/>
    <w:next w:val="Normal"/>
    <w:link w:val="Heading2Char"/>
    <w:uiPriority w:val="9"/>
    <w:unhideWhenUsed/>
    <w:qFormat/>
    <w:rsid w:val="00134D84"/>
    <w:pPr>
      <w:keepNext/>
      <w:keepLines/>
      <w:spacing w:before="160" w:after="80" w:line="360" w:lineRule="auto"/>
      <w:outlineLvl w:val="1"/>
    </w:pPr>
    <w:rPr>
      <w:rFonts w:ascii="Arial" w:eastAsiaTheme="majorEastAsia" w:hAnsi="Arial" w:cstheme="majorBidi"/>
      <w:b/>
      <w:color w:val="2F5496" w:themeColor="accent1" w:themeShade="BF"/>
      <w:sz w:val="22"/>
      <w:szCs w:val="32"/>
    </w:rPr>
  </w:style>
  <w:style w:type="paragraph" w:styleId="Heading3">
    <w:name w:val="heading 3"/>
    <w:basedOn w:val="Normal"/>
    <w:next w:val="Normal"/>
    <w:link w:val="Heading3Char"/>
    <w:uiPriority w:val="9"/>
    <w:semiHidden/>
    <w:unhideWhenUsed/>
    <w:qFormat/>
    <w:rsid w:val="00723DE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23DE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23DE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23DE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3DE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3DE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3DE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4D84"/>
    <w:rPr>
      <w:rFonts w:ascii="Arial" w:eastAsiaTheme="majorEastAsia" w:hAnsi="Arial" w:cstheme="majorBidi"/>
      <w:b/>
      <w:szCs w:val="40"/>
    </w:rPr>
  </w:style>
  <w:style w:type="character" w:customStyle="1" w:styleId="Heading2Char">
    <w:name w:val="Heading 2 Char"/>
    <w:basedOn w:val="DefaultParagraphFont"/>
    <w:link w:val="Heading2"/>
    <w:uiPriority w:val="9"/>
    <w:rsid w:val="00134D84"/>
    <w:rPr>
      <w:rFonts w:ascii="Arial" w:eastAsiaTheme="majorEastAsia" w:hAnsi="Arial" w:cstheme="majorBidi"/>
      <w:b/>
      <w:color w:val="2F5496" w:themeColor="accent1" w:themeShade="BF"/>
      <w:sz w:val="22"/>
      <w:szCs w:val="32"/>
    </w:rPr>
  </w:style>
  <w:style w:type="character" w:customStyle="1" w:styleId="Heading3Char">
    <w:name w:val="Heading 3 Char"/>
    <w:basedOn w:val="DefaultParagraphFont"/>
    <w:link w:val="Heading3"/>
    <w:uiPriority w:val="9"/>
    <w:semiHidden/>
    <w:rsid w:val="00723DE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23DE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23DE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23D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3D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3D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3DEB"/>
    <w:rPr>
      <w:rFonts w:eastAsiaTheme="majorEastAsia" w:cstheme="majorBidi"/>
      <w:color w:val="272727" w:themeColor="text1" w:themeTint="D8"/>
    </w:rPr>
  </w:style>
  <w:style w:type="paragraph" w:styleId="Title">
    <w:name w:val="Title"/>
    <w:basedOn w:val="Normal"/>
    <w:next w:val="Normal"/>
    <w:link w:val="TitleChar"/>
    <w:uiPriority w:val="10"/>
    <w:qFormat/>
    <w:rsid w:val="00723DE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3D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3D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3D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3DEB"/>
    <w:pPr>
      <w:spacing w:before="160"/>
      <w:jc w:val="center"/>
    </w:pPr>
    <w:rPr>
      <w:i/>
      <w:iCs/>
      <w:color w:val="404040" w:themeColor="text1" w:themeTint="BF"/>
    </w:rPr>
  </w:style>
  <w:style w:type="character" w:customStyle="1" w:styleId="QuoteChar">
    <w:name w:val="Quote Char"/>
    <w:basedOn w:val="DefaultParagraphFont"/>
    <w:link w:val="Quote"/>
    <w:uiPriority w:val="29"/>
    <w:rsid w:val="00723DEB"/>
    <w:rPr>
      <w:i/>
      <w:iCs/>
      <w:color w:val="404040" w:themeColor="text1" w:themeTint="BF"/>
    </w:rPr>
  </w:style>
  <w:style w:type="paragraph" w:styleId="ListParagraph">
    <w:name w:val="List Paragraph"/>
    <w:basedOn w:val="Normal"/>
    <w:uiPriority w:val="34"/>
    <w:qFormat/>
    <w:rsid w:val="00723DEB"/>
    <w:pPr>
      <w:ind w:left="720"/>
      <w:contextualSpacing/>
    </w:pPr>
  </w:style>
  <w:style w:type="character" w:styleId="IntenseEmphasis">
    <w:name w:val="Intense Emphasis"/>
    <w:basedOn w:val="DefaultParagraphFont"/>
    <w:uiPriority w:val="21"/>
    <w:qFormat/>
    <w:rsid w:val="00723DEB"/>
    <w:rPr>
      <w:i/>
      <w:iCs/>
      <w:color w:val="2F5496" w:themeColor="accent1" w:themeShade="BF"/>
    </w:rPr>
  </w:style>
  <w:style w:type="paragraph" w:styleId="IntenseQuote">
    <w:name w:val="Intense Quote"/>
    <w:basedOn w:val="Normal"/>
    <w:next w:val="Normal"/>
    <w:link w:val="IntenseQuoteChar"/>
    <w:uiPriority w:val="30"/>
    <w:qFormat/>
    <w:rsid w:val="00723DE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23DEB"/>
    <w:rPr>
      <w:i/>
      <w:iCs/>
      <w:color w:val="2F5496" w:themeColor="accent1" w:themeShade="BF"/>
    </w:rPr>
  </w:style>
  <w:style w:type="character" w:styleId="IntenseReference">
    <w:name w:val="Intense Reference"/>
    <w:basedOn w:val="DefaultParagraphFont"/>
    <w:uiPriority w:val="32"/>
    <w:qFormat/>
    <w:rsid w:val="00723DEB"/>
    <w:rPr>
      <w:b/>
      <w:bCs/>
      <w:smallCaps/>
      <w:color w:val="2F5496" w:themeColor="accent1" w:themeShade="BF"/>
      <w:spacing w:val="5"/>
    </w:rPr>
  </w:style>
  <w:style w:type="character" w:styleId="Hyperlink">
    <w:name w:val="Hyperlink"/>
    <w:basedOn w:val="DefaultParagraphFont"/>
    <w:uiPriority w:val="99"/>
    <w:unhideWhenUsed/>
    <w:rsid w:val="00134D84"/>
    <w:rPr>
      <w:color w:val="0563C1" w:themeColor="hyperlink"/>
      <w:u w:val="single"/>
    </w:rPr>
  </w:style>
  <w:style w:type="character" w:styleId="UnresolvedMention">
    <w:name w:val="Unresolved Mention"/>
    <w:basedOn w:val="DefaultParagraphFont"/>
    <w:uiPriority w:val="99"/>
    <w:semiHidden/>
    <w:unhideWhenUsed/>
    <w:rsid w:val="00134D84"/>
    <w:rPr>
      <w:color w:val="605E5C"/>
      <w:shd w:val="clear" w:color="auto" w:fill="E1DFDD"/>
    </w:rPr>
  </w:style>
  <w:style w:type="paragraph" w:styleId="Header">
    <w:name w:val="header"/>
    <w:basedOn w:val="Normal"/>
    <w:link w:val="HeaderChar"/>
    <w:uiPriority w:val="99"/>
    <w:unhideWhenUsed/>
    <w:rsid w:val="00134D84"/>
    <w:pPr>
      <w:tabs>
        <w:tab w:val="center" w:pos="4680"/>
        <w:tab w:val="right" w:pos="9360"/>
      </w:tabs>
      <w:spacing w:after="0" w:line="240" w:lineRule="auto"/>
    </w:pPr>
  </w:style>
  <w:style w:type="character" w:customStyle="1" w:styleId="HeaderChar">
    <w:name w:val="Header Char"/>
    <w:basedOn w:val="DefaultParagraphFont"/>
    <w:link w:val="Header"/>
    <w:uiPriority w:val="99"/>
    <w:rsid w:val="00134D84"/>
  </w:style>
  <w:style w:type="paragraph" w:styleId="Footer">
    <w:name w:val="footer"/>
    <w:basedOn w:val="Normal"/>
    <w:link w:val="FooterChar"/>
    <w:uiPriority w:val="99"/>
    <w:unhideWhenUsed/>
    <w:rsid w:val="00134D84"/>
    <w:pPr>
      <w:tabs>
        <w:tab w:val="center" w:pos="4680"/>
        <w:tab w:val="right" w:pos="9360"/>
      </w:tabs>
      <w:spacing w:after="0" w:line="240" w:lineRule="auto"/>
    </w:pPr>
  </w:style>
  <w:style w:type="character" w:customStyle="1" w:styleId="FooterChar">
    <w:name w:val="Footer Char"/>
    <w:basedOn w:val="DefaultParagraphFont"/>
    <w:link w:val="Footer"/>
    <w:uiPriority w:val="99"/>
    <w:rsid w:val="00134D84"/>
  </w:style>
  <w:style w:type="paragraph" w:styleId="TOCHeading">
    <w:name w:val="TOC Heading"/>
    <w:basedOn w:val="Heading1"/>
    <w:next w:val="Normal"/>
    <w:uiPriority w:val="39"/>
    <w:unhideWhenUsed/>
    <w:qFormat/>
    <w:rsid w:val="00445516"/>
    <w:pPr>
      <w:spacing w:before="240" w:after="0" w:line="259" w:lineRule="auto"/>
      <w:outlineLvl w:val="9"/>
    </w:pPr>
    <w:rPr>
      <w:rFonts w:asciiTheme="majorHAnsi" w:hAnsiTheme="majorHAns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445516"/>
    <w:pPr>
      <w:spacing w:after="100"/>
    </w:pPr>
  </w:style>
  <w:style w:type="paragraph" w:styleId="TOC2">
    <w:name w:val="toc 2"/>
    <w:basedOn w:val="Normal"/>
    <w:next w:val="Normal"/>
    <w:autoRedefine/>
    <w:uiPriority w:val="39"/>
    <w:unhideWhenUsed/>
    <w:rsid w:val="0044551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ajp.2020.102348" TargetMode="External"/><Relationship Id="rId13" Type="http://schemas.openxmlformats.org/officeDocument/2006/relationships/hyperlink" Target="https://ldsociety.ca/video-gaming-and-neurodivergent-youth" TargetMode="External"/><Relationship Id="rId18" Type="http://schemas.openxmlformats.org/officeDocument/2006/relationships/hyperlink" Target="https://www.who.int/news-room/questions-and-answers/item/addictive-behaviours-gaming-disorder" TargetMode="External"/><Relationship Id="rId3" Type="http://schemas.openxmlformats.org/officeDocument/2006/relationships/settings" Target="settings.xml"/><Relationship Id="rId21" Type="http://schemas.openxmlformats.org/officeDocument/2006/relationships/hyperlink" Target="https://doi.org/10.3390/ijerph21060700" TargetMode="External"/><Relationship Id="rId7" Type="http://schemas.openxmlformats.org/officeDocument/2006/relationships/hyperlink" Target="https://doi.org/10.3390/healthcare12232471" TargetMode="External"/><Relationship Id="rId12" Type="http://schemas.openxmlformats.org/officeDocument/2006/relationships/hyperlink" Target="https://doi.org/10.1038/s41598-022-24523-9" TargetMode="External"/><Relationship Id="rId17" Type="http://schemas.openxmlformats.org/officeDocument/2006/relationships/hyperlink" Target="https://www.ncbi.nlm.nih.gov/pmc/articles/PMC10887068" TargetMode="External"/><Relationship Id="rId2" Type="http://schemas.openxmlformats.org/officeDocument/2006/relationships/styles" Target="styles.xml"/><Relationship Id="rId16" Type="http://schemas.openxmlformats.org/officeDocument/2006/relationships/hyperlink" Target="https://doi.org/10.1002/wps.20960" TargetMode="External"/><Relationship Id="rId20" Type="http://schemas.openxmlformats.org/officeDocument/2006/relationships/hyperlink" Target="https://doi.org/10.3389/fpsyt.2022.848157"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3389/fpsyt.2023.1226799"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1016/j.comppsych.2024.152470" TargetMode="External"/><Relationship Id="rId23" Type="http://schemas.openxmlformats.org/officeDocument/2006/relationships/fontTable" Target="fontTable.xml"/><Relationship Id="rId10" Type="http://schemas.openxmlformats.org/officeDocument/2006/relationships/hyperlink" Target="https://www.sciencedirect.com/science/article/pii/S2405844025019048" TargetMode="External"/><Relationship Id="rId19" Type="http://schemas.openxmlformats.org/officeDocument/2006/relationships/hyperlink" Target="https://icd.who.int" TargetMode="External"/><Relationship Id="rId4" Type="http://schemas.openxmlformats.org/officeDocument/2006/relationships/webSettings" Target="webSettings.xml"/><Relationship Id="rId9" Type="http://schemas.openxmlformats.org/officeDocument/2006/relationships/hyperlink" Target="https://doi.org/10.3389/fpsyt.2023.1098922" TargetMode="External"/><Relationship Id="rId14" Type="http://schemas.openxmlformats.org/officeDocument/2006/relationships/hyperlink" Target="https://doi.org/10.3390/ejihpe15040049"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D81664-FF4B-4679-9078-BD2B4F7BE8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TotalTime>
  <Pages>12</Pages>
  <Words>3463</Words>
  <Characters>21161</Characters>
  <Application>Microsoft Office Word</Application>
  <DocSecurity>0</DocSecurity>
  <Lines>341</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5</cp:revision>
  <dcterms:created xsi:type="dcterms:W3CDTF">2025-11-16T19:53:00Z</dcterms:created>
  <dcterms:modified xsi:type="dcterms:W3CDTF">2025-11-16T22:22:00Z</dcterms:modified>
</cp:coreProperties>
</file>