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F9966" w14:textId="77777777" w:rsidR="00E067A8" w:rsidRDefault="00ED5964" w:rsidP="00E7130C">
      <w:pPr>
        <w:jc w:val="center"/>
      </w:pPr>
      <w:r>
        <w:rPr>
          <w:noProof/>
        </w:rPr>
        <w:drawing>
          <wp:inline distT="0" distB="0" distL="0" distR="0" wp14:anchorId="357980D2" wp14:editId="114FDB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D3CE035" w14:textId="77777777" w:rsidR="00ED5964" w:rsidRDefault="00ED5964"/>
    <w:p w14:paraId="1372185D" w14:textId="77777777" w:rsidR="00ED5964" w:rsidRDefault="00ED5964"/>
    <w:p w14:paraId="1B1D69BA" w14:textId="77777777" w:rsidR="006A5CFC" w:rsidRDefault="006A5CFC"/>
    <w:p w14:paraId="526DB20D" w14:textId="77777777" w:rsidR="00E7130C" w:rsidRDefault="00E7130C"/>
    <w:p w14:paraId="55548060" w14:textId="77777777" w:rsidR="00E7130C" w:rsidRDefault="00E7130C"/>
    <w:p w14:paraId="25CDD30B" w14:textId="77777777" w:rsidR="00E7130C" w:rsidRDefault="00E7130C"/>
    <w:p w14:paraId="6426239C" w14:textId="77777777" w:rsidR="00E7130C" w:rsidRDefault="00E7130C"/>
    <w:p w14:paraId="263116FA" w14:textId="77777777" w:rsidR="00E7130C" w:rsidRDefault="00E7130C"/>
    <w:p w14:paraId="444B3F99" w14:textId="77777777" w:rsidR="006A5CFC" w:rsidRDefault="006A5CFC"/>
    <w:p w14:paraId="15D3B510" w14:textId="77777777" w:rsidR="00ED5964" w:rsidRDefault="00ED5964"/>
    <w:p w14:paraId="75D5F08A"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Name: </w:t>
      </w:r>
      <w:r w:rsidR="00E7130C">
        <w:rPr>
          <w:rFonts w:asciiTheme="minorBidi" w:hAnsiTheme="minorBidi"/>
          <w:sz w:val="28"/>
          <w:szCs w:val="28"/>
        </w:rPr>
        <w:t>Lamaiya Smith</w:t>
      </w:r>
    </w:p>
    <w:p w14:paraId="2B79D425"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Student ID: </w:t>
      </w:r>
      <w:r w:rsidR="00E7130C">
        <w:rPr>
          <w:rFonts w:asciiTheme="minorBidi" w:hAnsiTheme="minorBidi"/>
          <w:sz w:val="28"/>
          <w:szCs w:val="28"/>
        </w:rPr>
        <w:t>1815074</w:t>
      </w:r>
    </w:p>
    <w:p w14:paraId="7BCC6C93"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Module Code: </w:t>
      </w:r>
      <w:r w:rsidR="00E7130C">
        <w:rPr>
          <w:rFonts w:asciiTheme="minorBidi" w:hAnsiTheme="minorBidi"/>
          <w:sz w:val="28"/>
          <w:szCs w:val="28"/>
        </w:rPr>
        <w:t>LCHS400</w:t>
      </w:r>
      <w:r w:rsidR="007D63E3">
        <w:rPr>
          <w:rFonts w:asciiTheme="minorBidi" w:hAnsiTheme="minorBidi"/>
          <w:sz w:val="28"/>
          <w:szCs w:val="28"/>
        </w:rPr>
        <w:t>3</w:t>
      </w:r>
    </w:p>
    <w:p w14:paraId="6C6E3B23"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Module: </w:t>
      </w:r>
      <w:r w:rsidR="00E7130C">
        <w:rPr>
          <w:rFonts w:asciiTheme="minorBidi" w:hAnsiTheme="minorBidi"/>
          <w:sz w:val="28"/>
          <w:szCs w:val="28"/>
        </w:rPr>
        <w:t xml:space="preserve">Introduction to </w:t>
      </w:r>
      <w:r w:rsidR="007D63E3">
        <w:rPr>
          <w:rFonts w:asciiTheme="minorBidi" w:hAnsiTheme="minorBidi"/>
          <w:sz w:val="28"/>
          <w:szCs w:val="28"/>
        </w:rPr>
        <w:t>Health and Social Care</w:t>
      </w:r>
      <w:r w:rsidR="00E7130C">
        <w:rPr>
          <w:rFonts w:asciiTheme="minorBidi" w:hAnsiTheme="minorBidi"/>
          <w:sz w:val="28"/>
          <w:szCs w:val="28"/>
        </w:rPr>
        <w:t xml:space="preserve"> – </w:t>
      </w:r>
      <w:r w:rsidR="007D63E3">
        <w:rPr>
          <w:rFonts w:asciiTheme="minorBidi" w:hAnsiTheme="minorBidi"/>
          <w:sz w:val="28"/>
          <w:szCs w:val="28"/>
        </w:rPr>
        <w:t>Written Assignment</w:t>
      </w:r>
    </w:p>
    <w:p w14:paraId="5BDF9198"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Lecturer: </w:t>
      </w:r>
      <w:r w:rsidR="00E7130C">
        <w:rPr>
          <w:rFonts w:asciiTheme="minorBidi" w:hAnsiTheme="minorBidi"/>
          <w:sz w:val="28"/>
          <w:szCs w:val="28"/>
        </w:rPr>
        <w:t>D</w:t>
      </w:r>
      <w:r w:rsidR="007D63E3">
        <w:rPr>
          <w:rFonts w:asciiTheme="minorBidi" w:hAnsiTheme="minorBidi"/>
          <w:sz w:val="28"/>
          <w:szCs w:val="28"/>
        </w:rPr>
        <w:t>ebra Odeh</w:t>
      </w:r>
    </w:p>
    <w:p w14:paraId="2AE15301" w14:textId="77777777" w:rsidR="00ED5964" w:rsidRDefault="00ED5964" w:rsidP="00ED5964">
      <w:pPr>
        <w:jc w:val="both"/>
        <w:rPr>
          <w:rFonts w:asciiTheme="minorBidi" w:hAnsiTheme="minorBidi"/>
          <w:sz w:val="28"/>
          <w:szCs w:val="28"/>
        </w:rPr>
      </w:pPr>
    </w:p>
    <w:p w14:paraId="213A1E96" w14:textId="77777777" w:rsidR="00ED5964" w:rsidRDefault="00ED5964" w:rsidP="00ED5964">
      <w:pPr>
        <w:jc w:val="both"/>
        <w:rPr>
          <w:rFonts w:asciiTheme="minorBidi" w:hAnsiTheme="minorBidi"/>
          <w:sz w:val="28"/>
          <w:szCs w:val="28"/>
        </w:rPr>
      </w:pPr>
    </w:p>
    <w:p w14:paraId="4DB4366F" w14:textId="77777777" w:rsidR="00ED5964" w:rsidRDefault="00ED5964" w:rsidP="00ED5964">
      <w:pPr>
        <w:jc w:val="both"/>
        <w:rPr>
          <w:rFonts w:asciiTheme="minorBidi" w:hAnsiTheme="minorBidi"/>
          <w:sz w:val="28"/>
          <w:szCs w:val="28"/>
        </w:rPr>
      </w:pPr>
    </w:p>
    <w:p w14:paraId="15992747" w14:textId="77777777" w:rsidR="00ED5964" w:rsidRDefault="00ED5964" w:rsidP="00ED5964">
      <w:pPr>
        <w:jc w:val="both"/>
        <w:rPr>
          <w:rFonts w:asciiTheme="minorBidi" w:hAnsiTheme="minorBidi"/>
          <w:sz w:val="28"/>
          <w:szCs w:val="28"/>
        </w:rPr>
      </w:pPr>
    </w:p>
    <w:p w14:paraId="2F84984D" w14:textId="77777777" w:rsidR="00ED5964" w:rsidRDefault="00ED5964" w:rsidP="00ED5964">
      <w:pPr>
        <w:jc w:val="both"/>
        <w:rPr>
          <w:rFonts w:asciiTheme="minorBidi" w:hAnsiTheme="minorBidi"/>
          <w:sz w:val="28"/>
          <w:szCs w:val="28"/>
        </w:rPr>
      </w:pPr>
    </w:p>
    <w:p w14:paraId="0CD37CB8" w14:textId="77777777" w:rsidR="00ED5964" w:rsidRDefault="00ED5964" w:rsidP="00ED5964">
      <w:pPr>
        <w:jc w:val="both"/>
        <w:rPr>
          <w:rFonts w:asciiTheme="minorBidi" w:hAnsiTheme="minorBidi"/>
          <w:sz w:val="28"/>
          <w:szCs w:val="28"/>
        </w:rPr>
      </w:pPr>
    </w:p>
    <w:p w14:paraId="286461E8" w14:textId="77777777" w:rsidR="00ED5964" w:rsidRDefault="00ED5964" w:rsidP="00ED5964">
      <w:pPr>
        <w:jc w:val="both"/>
        <w:rPr>
          <w:rFonts w:asciiTheme="minorBidi" w:hAnsiTheme="minorBidi"/>
          <w:sz w:val="28"/>
          <w:szCs w:val="28"/>
        </w:rPr>
      </w:pPr>
    </w:p>
    <w:p w14:paraId="2E0CCA90"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Submitted on: </w:t>
      </w:r>
      <w:r w:rsidR="007D63E3">
        <w:rPr>
          <w:rFonts w:asciiTheme="minorBidi" w:hAnsiTheme="minorBidi"/>
          <w:sz w:val="28"/>
          <w:szCs w:val="28"/>
        </w:rPr>
        <w:t>20</w:t>
      </w:r>
      <w:r w:rsidR="00E7130C" w:rsidRPr="00E7130C">
        <w:rPr>
          <w:rFonts w:asciiTheme="minorBidi" w:hAnsiTheme="minorBidi"/>
          <w:sz w:val="28"/>
          <w:szCs w:val="28"/>
          <w:vertAlign w:val="superscript"/>
        </w:rPr>
        <w:t>th</w:t>
      </w:r>
      <w:r w:rsidR="00E7130C">
        <w:rPr>
          <w:rFonts w:asciiTheme="minorBidi" w:hAnsiTheme="minorBidi"/>
          <w:sz w:val="28"/>
          <w:szCs w:val="28"/>
        </w:rPr>
        <w:t xml:space="preserve"> November 2025</w:t>
      </w:r>
    </w:p>
    <w:p w14:paraId="3BC3C284" w14:textId="77777777" w:rsidR="00ED5964" w:rsidRDefault="00ED5964" w:rsidP="00ED5964">
      <w:pPr>
        <w:jc w:val="both"/>
        <w:rPr>
          <w:rFonts w:asciiTheme="minorBidi" w:hAnsiTheme="minorBidi"/>
          <w:sz w:val="28"/>
          <w:szCs w:val="28"/>
        </w:rPr>
      </w:pPr>
    </w:p>
    <w:p w14:paraId="600A1160" w14:textId="77777777" w:rsidR="007D63E3" w:rsidRDefault="007D63E3" w:rsidP="007D63E3">
      <w:pPr>
        <w:spacing w:line="360" w:lineRule="auto"/>
        <w:rPr>
          <w:rFonts w:ascii="Arial" w:hAnsi="Arial" w:cs="Arial"/>
          <w:sz w:val="22"/>
        </w:rPr>
      </w:pPr>
    </w:p>
    <w:p w14:paraId="7D497E64" w14:textId="77777777" w:rsidR="007D63E3" w:rsidRPr="007D63E3" w:rsidRDefault="007D63E3" w:rsidP="007D63E3">
      <w:pPr>
        <w:spacing w:line="360" w:lineRule="auto"/>
        <w:rPr>
          <w:rFonts w:ascii="Arial" w:hAnsi="Arial" w:cs="Arial"/>
          <w:b/>
          <w:bCs/>
          <w:sz w:val="22"/>
        </w:rPr>
      </w:pPr>
      <w:r w:rsidRPr="007D63E3">
        <w:rPr>
          <w:rFonts w:ascii="Arial" w:hAnsi="Arial" w:cs="Arial" w:hint="eastAsia"/>
          <w:b/>
          <w:bCs/>
          <w:sz w:val="22"/>
        </w:rPr>
        <w:lastRenderedPageBreak/>
        <w:t>Introduction</w:t>
      </w:r>
    </w:p>
    <w:p w14:paraId="0782BF76" w14:textId="77777777" w:rsidR="007D63E3" w:rsidRPr="007D63E3" w:rsidRDefault="007D63E3" w:rsidP="007D63E3">
      <w:pPr>
        <w:spacing w:line="360" w:lineRule="auto"/>
        <w:rPr>
          <w:rFonts w:ascii="Arial" w:hAnsi="Arial" w:cs="Arial"/>
          <w:sz w:val="22"/>
        </w:rPr>
      </w:pPr>
      <w:r w:rsidRPr="007D63E3">
        <w:rPr>
          <w:rFonts w:ascii="Arial" w:hAnsi="Arial" w:cs="Arial"/>
          <w:sz w:val="22"/>
        </w:rPr>
        <w:t>Mrs Mann is a 72-year-old woman recovering from a hip replacement and receiving twice-daily domiciliary care. She speaks limited English, and her daughter often interprets for her. Alongside the care workers, her GP and a community physiotherapist support her rehabilitation. Recently, concerns were raised about inconsistent documentation and a communication error that caused a delay in adjusting her medication. This incident highlights how easily the quality and safety of care can be affected when communication, record-keeping, and interprofessional working do not function well.</w:t>
      </w:r>
    </w:p>
    <w:p w14:paraId="3DF7D262" w14:textId="77777777" w:rsidR="007D63E3" w:rsidRPr="007D63E3" w:rsidRDefault="007D63E3" w:rsidP="007D63E3">
      <w:pPr>
        <w:spacing w:line="360" w:lineRule="auto"/>
        <w:rPr>
          <w:rFonts w:ascii="Arial" w:hAnsi="Arial" w:cs="Arial"/>
          <w:sz w:val="22"/>
        </w:rPr>
      </w:pPr>
      <w:r w:rsidRPr="007D63E3">
        <w:rPr>
          <w:rFonts w:ascii="Arial" w:hAnsi="Arial" w:cs="Arial"/>
          <w:sz w:val="22"/>
        </w:rPr>
        <w:t>This assignment explores three core areas that influence Mrs Mann’s care</w:t>
      </w:r>
      <w:r w:rsidRPr="007D63E3">
        <w:rPr>
          <w:rFonts w:ascii="Arial" w:hAnsi="Arial" w:cs="Arial"/>
          <w:b/>
          <w:bCs/>
          <w:sz w:val="22"/>
        </w:rPr>
        <w:t>: effective communication, good administrative and record-keeping skills, and collaborative working.</w:t>
      </w:r>
      <w:r w:rsidRPr="007D63E3">
        <w:rPr>
          <w:rFonts w:ascii="Arial" w:hAnsi="Arial" w:cs="Arial"/>
          <w:sz w:val="22"/>
        </w:rPr>
        <w:t xml:space="preserve"> Each section links theory, legislation, and policy directly to the case to show how these principles can be applied in practice. By examining these aspects closely, the discussion aims to show how they contribute to safe, person-centred care and how improving them can prevent similar issues in the future.</w:t>
      </w:r>
    </w:p>
    <w:p w14:paraId="674EBC23" w14:textId="77777777" w:rsidR="007D63E3" w:rsidRPr="007D63E3" w:rsidRDefault="007D63E3" w:rsidP="007D63E3">
      <w:pPr>
        <w:spacing w:line="360" w:lineRule="auto"/>
        <w:rPr>
          <w:rFonts w:ascii="Arial" w:hAnsi="Arial" w:cs="Arial"/>
          <w:sz w:val="22"/>
        </w:rPr>
      </w:pPr>
    </w:p>
    <w:p w14:paraId="52946FF1" w14:textId="77777777" w:rsidR="007D63E3" w:rsidRDefault="007D63E3" w:rsidP="007D63E3">
      <w:pPr>
        <w:spacing w:line="360" w:lineRule="auto"/>
        <w:rPr>
          <w:rFonts w:ascii="Arial" w:hAnsi="Arial" w:cs="Arial"/>
          <w:b/>
          <w:bCs/>
          <w:sz w:val="22"/>
        </w:rPr>
      </w:pPr>
      <w:r w:rsidRPr="007D63E3">
        <w:rPr>
          <w:rFonts w:ascii="Arial" w:hAnsi="Arial" w:cs="Arial" w:hint="eastAsia"/>
          <w:b/>
          <w:bCs/>
          <w:sz w:val="22"/>
        </w:rPr>
        <w:t>Importance of Effective Communication</w:t>
      </w:r>
    </w:p>
    <w:p w14:paraId="2397599A" w14:textId="77777777" w:rsidR="007D63E3" w:rsidRPr="007D63E3" w:rsidRDefault="007D63E3" w:rsidP="007D63E3">
      <w:pPr>
        <w:spacing w:line="360" w:lineRule="auto"/>
        <w:rPr>
          <w:rFonts w:ascii="Arial" w:hAnsi="Arial" w:cs="Arial"/>
          <w:sz w:val="22"/>
        </w:rPr>
      </w:pPr>
      <w:r w:rsidRPr="007D63E3">
        <w:rPr>
          <w:rFonts w:ascii="Arial" w:hAnsi="Arial" w:cs="Arial"/>
          <w:sz w:val="22"/>
        </w:rPr>
        <w:t>Effective communication is central to providing person-centred care, and this becomes even more important when supporting someone who faces language barriers, as in Mrs Mann’s case. Good communication ensures that care workers understand her needs, preferences, and concerns, and that she is able to participate fully in decisions about her recovery. The NHS Accessible Information Standard (NHS England, 2023) requires health and care providers to identify and meet communication needs, including language support. This means that care staff must ensure Mrs Mann receives information in a way she understands, such as arranging professional interpreters when her daughter is unavailable. In practice, this reduces the risk of misunderstandings about pain management, mobility instructions, or medication routines.</w:t>
      </w:r>
    </w:p>
    <w:p w14:paraId="005535C0" w14:textId="77777777" w:rsidR="007D63E3" w:rsidRPr="007D63E3" w:rsidRDefault="007D63E3" w:rsidP="007D63E3">
      <w:pPr>
        <w:spacing w:line="360" w:lineRule="auto"/>
        <w:rPr>
          <w:rFonts w:ascii="Arial" w:hAnsi="Arial" w:cs="Arial"/>
          <w:sz w:val="22"/>
        </w:rPr>
      </w:pPr>
      <w:r w:rsidRPr="007D63E3">
        <w:rPr>
          <w:rFonts w:ascii="Arial" w:hAnsi="Arial" w:cs="Arial"/>
          <w:sz w:val="22"/>
        </w:rPr>
        <w:t xml:space="preserve">The Equality Act 2010 also plays an important role in guiding communication practice. The legislation states that services must promote equality and avoid discrimination, including on the grounds of race, language, or cultural background (Gov.uk, 2010). For someone like Mrs Mann who speaks limited English, failing to provide appropriate communication support could indirectly discriminate against her because it restricts her access to safe care. Understanding this principle encourages care workers to adapt their approach, using simple language, visual prompts, or translation services to promote equal treatment (Gov.uk, 2013). </w:t>
      </w:r>
      <w:r w:rsidRPr="007D63E3">
        <w:rPr>
          <w:rFonts w:ascii="Arial" w:hAnsi="Arial" w:cs="Arial"/>
          <w:sz w:val="22"/>
        </w:rPr>
        <w:lastRenderedPageBreak/>
        <w:t>In my view, recognising these legal duties helps staff remain aware that communication is not optional but a professional responsibility.</w:t>
      </w:r>
    </w:p>
    <w:p w14:paraId="5FFBC131" w14:textId="77777777" w:rsidR="007D63E3" w:rsidRPr="007D63E3" w:rsidRDefault="007D63E3" w:rsidP="007D63E3">
      <w:pPr>
        <w:spacing w:line="360" w:lineRule="auto"/>
        <w:rPr>
          <w:rFonts w:ascii="Arial" w:hAnsi="Arial" w:cs="Arial"/>
          <w:sz w:val="22"/>
        </w:rPr>
      </w:pPr>
      <w:r w:rsidRPr="007D63E3">
        <w:rPr>
          <w:rFonts w:ascii="Arial" w:hAnsi="Arial" w:cs="Arial"/>
          <w:sz w:val="22"/>
        </w:rPr>
        <w:t>One helpful communication framework to apply is the SMCR Model (Source–Message–Channel–Receiver). This model identifies the source, message, channel, and receiver as key components that influence how information is sent and understood. According to Griffin, Ledbetter &amp; Sparks (2018, pp. 52–55), the source must consider their skills, attitude, and cultural background, while the receiver decodes the message based on their own experience and context. In Mrs Mann’s care, the “source” (care worker) must ensure her message is delivered in a language she understands. The “channel” may include gestures, written Urdu, or interpreters. Applying this model encourages care staff to check understanding, ask Mrs Mann to repeat instructions in her own words, and involve her daughter or an interpreter when necessary (SCIE, 2021).</w:t>
      </w:r>
    </w:p>
    <w:p w14:paraId="582F68B7" w14:textId="77777777" w:rsidR="007D63E3" w:rsidRPr="007D63E3" w:rsidRDefault="007D63E3" w:rsidP="007D63E3">
      <w:pPr>
        <w:spacing w:line="360" w:lineRule="auto"/>
        <w:rPr>
          <w:rFonts w:ascii="Arial" w:hAnsi="Arial" w:cs="Arial"/>
          <w:sz w:val="22"/>
        </w:rPr>
      </w:pPr>
      <w:r w:rsidRPr="007D63E3">
        <w:rPr>
          <w:rFonts w:ascii="Arial" w:hAnsi="Arial" w:cs="Arial"/>
          <w:sz w:val="22"/>
        </w:rPr>
        <w:t>Poor communication can lead to errors, as seen in the missed medication adjustment in Mrs Mann’s case. SCIE (2021) notes that communication failures are one of the main causes of harm in community care. If staff are not consistent in how they record or pass on information, important details may be overlooked. By contrast, good communication promotes continuity, reduces anxiety for the service user, and ensures that all team members are working with the same understanding. For Mrs Mann, this means she can focus on her recovery knowing that her care team is listening, understanding her needs, and keeping her fully involved.</w:t>
      </w:r>
    </w:p>
    <w:p w14:paraId="2DD11CA2" w14:textId="77777777" w:rsidR="007D63E3" w:rsidRPr="007D63E3" w:rsidRDefault="007D63E3" w:rsidP="007D63E3">
      <w:pPr>
        <w:spacing w:line="360" w:lineRule="auto"/>
        <w:rPr>
          <w:rFonts w:ascii="Arial" w:hAnsi="Arial" w:cs="Arial"/>
          <w:b/>
          <w:bCs/>
          <w:sz w:val="22"/>
        </w:rPr>
      </w:pPr>
    </w:p>
    <w:p w14:paraId="4A4438C2" w14:textId="77777777" w:rsidR="007D63E3" w:rsidRPr="007D63E3" w:rsidRDefault="007D63E3" w:rsidP="007D63E3">
      <w:pPr>
        <w:spacing w:line="360" w:lineRule="auto"/>
        <w:rPr>
          <w:rFonts w:ascii="Arial" w:hAnsi="Arial" w:cs="Arial"/>
          <w:b/>
          <w:bCs/>
          <w:sz w:val="22"/>
        </w:rPr>
      </w:pPr>
      <w:r w:rsidRPr="007D63E3">
        <w:rPr>
          <w:rFonts w:ascii="Arial" w:hAnsi="Arial" w:cs="Arial" w:hint="eastAsia"/>
          <w:b/>
          <w:bCs/>
          <w:sz w:val="22"/>
        </w:rPr>
        <w:t xml:space="preserve">Importance of Administrative Skills and Record Keeping </w:t>
      </w:r>
    </w:p>
    <w:p w14:paraId="36425660" w14:textId="77777777" w:rsidR="007D63E3" w:rsidRPr="007D63E3" w:rsidRDefault="007D63E3" w:rsidP="007D63E3">
      <w:pPr>
        <w:spacing w:line="360" w:lineRule="auto"/>
        <w:rPr>
          <w:rFonts w:ascii="Arial" w:hAnsi="Arial" w:cs="Arial"/>
          <w:sz w:val="22"/>
        </w:rPr>
      </w:pPr>
      <w:r w:rsidRPr="007D63E3">
        <w:rPr>
          <w:rFonts w:ascii="Arial" w:hAnsi="Arial" w:cs="Arial"/>
          <w:sz w:val="22"/>
        </w:rPr>
        <w:t>Accurate administrative skills are a crucial part of professional practice and have a direct impact on the safety and continuity of care. In Mrs Mann’s situation, inconsistent documentation contributed to a delay in adjusting her medication, placing her at risk of complications. This example shows how essential it is for care staff to maintain clear, complete, and timely records. According to the Royal College of Nursing (RCN, 2023), good record keeping supports communication between professionals, demonstrates accountability, and protects both the service user and the worker if concerns arise. For someone like Mrs Mann who receives support from several services, accurate notes ensure that every professional understands her progress and any changes to her care plan.</w:t>
      </w:r>
    </w:p>
    <w:p w14:paraId="29F869EF" w14:textId="77777777" w:rsidR="007D63E3" w:rsidRPr="007D63E3" w:rsidRDefault="007D63E3" w:rsidP="007D63E3">
      <w:pPr>
        <w:spacing w:line="360" w:lineRule="auto"/>
        <w:rPr>
          <w:rFonts w:ascii="Arial" w:hAnsi="Arial" w:cs="Arial"/>
          <w:sz w:val="22"/>
        </w:rPr>
      </w:pPr>
      <w:r w:rsidRPr="007D63E3">
        <w:rPr>
          <w:rFonts w:ascii="Arial" w:hAnsi="Arial" w:cs="Arial"/>
          <w:sz w:val="22"/>
        </w:rPr>
        <w:t xml:space="preserve">Record keeping is also shaped by legislation, particularly the Data Protection Act 2018 and UK GDPR, which govern how personal information must be collected, stored, and shared (ICO, 2021). The Information Commissioner’s Office states that personal data must be accurate, up to date, and processed lawfully and securely. This means care workers must </w:t>
      </w:r>
      <w:r w:rsidRPr="007D63E3">
        <w:rPr>
          <w:rFonts w:ascii="Arial" w:hAnsi="Arial" w:cs="Arial"/>
          <w:sz w:val="22"/>
        </w:rPr>
        <w:lastRenderedPageBreak/>
        <w:t>record factual information only, avoid using jargon, and correct errors promptly. In practice, this protects Mrs Mann’s privacy and ensures that sensitive details, such as her medication schedule or medical history are shared only with professionals who genuinely need the information. It also reassures her family that her information is being handled respectfully.</w:t>
      </w:r>
    </w:p>
    <w:p w14:paraId="3A04AD1F" w14:textId="77777777" w:rsidR="007D63E3" w:rsidRPr="007D63E3" w:rsidRDefault="007D63E3" w:rsidP="007D63E3">
      <w:pPr>
        <w:spacing w:line="360" w:lineRule="auto"/>
        <w:rPr>
          <w:rFonts w:ascii="Arial" w:hAnsi="Arial" w:cs="Arial"/>
          <w:sz w:val="22"/>
        </w:rPr>
      </w:pPr>
      <w:r w:rsidRPr="007D63E3">
        <w:rPr>
          <w:rFonts w:ascii="Arial" w:hAnsi="Arial" w:cs="Arial"/>
          <w:sz w:val="22"/>
        </w:rPr>
        <w:t>Clear administrative processes also support accountability. The Care Quality Commission (CQC, 2022) highlights that accurate documentation is part of the Fundamental Standards of care, particularly under the regulations for safe care and treatment. Providers must ensure that staff have the training and tools needed to document correctly, whether electronically or on paper. If Mrs Mann’s records were inconsistent, this may indicate gaps in staff training or unclear organisational policies. Addressing these issues helps prevent future errors and ensures that all care workers follow the same expectations.</w:t>
      </w:r>
    </w:p>
    <w:p w14:paraId="60725A0C" w14:textId="77777777" w:rsidR="007D63E3" w:rsidRDefault="007D63E3" w:rsidP="007D63E3">
      <w:pPr>
        <w:spacing w:line="360" w:lineRule="auto"/>
        <w:rPr>
          <w:rFonts w:ascii="Arial" w:hAnsi="Arial" w:cs="Arial"/>
          <w:sz w:val="22"/>
        </w:rPr>
      </w:pPr>
      <w:r w:rsidRPr="007D63E3">
        <w:rPr>
          <w:rFonts w:ascii="Arial" w:hAnsi="Arial" w:cs="Arial"/>
          <w:sz w:val="22"/>
        </w:rPr>
        <w:t>In my view, record keeping is not just a bureaucratic task but an essential part of compassionate, respectful care. When staff record information accurately, it shows that they take the person’s needs seriously. For example, documenting precisely how Mrs Mann manages her mobility each day allows the physiotherapist to track her progress and adapt exercises safely. Similarly, clear records of her pain levels or medication side effects help the GP make informed decisions. Good administrative skills therefore create a reliable foundation for safe and co-ordinated care, ensuring Mrs Mann’s recovery is supported at every stage (RCN, 2023; ICO, 2021; CQC, 2022).</w:t>
      </w:r>
    </w:p>
    <w:p w14:paraId="1DF56BC2" w14:textId="77777777" w:rsidR="007D63E3" w:rsidRPr="007D63E3" w:rsidRDefault="007D63E3" w:rsidP="007D63E3">
      <w:pPr>
        <w:spacing w:line="360" w:lineRule="auto"/>
        <w:rPr>
          <w:rFonts w:ascii="Arial" w:hAnsi="Arial" w:cs="Arial"/>
          <w:sz w:val="22"/>
        </w:rPr>
      </w:pPr>
    </w:p>
    <w:p w14:paraId="6B33AC71" w14:textId="77777777" w:rsidR="007D63E3" w:rsidRDefault="007D63E3" w:rsidP="007D63E3">
      <w:pPr>
        <w:spacing w:line="360" w:lineRule="auto"/>
        <w:rPr>
          <w:rFonts w:ascii="Arial" w:hAnsi="Arial" w:cs="Arial"/>
          <w:b/>
          <w:bCs/>
          <w:sz w:val="22"/>
        </w:rPr>
      </w:pPr>
      <w:r w:rsidRPr="007D63E3">
        <w:rPr>
          <w:rFonts w:ascii="Arial" w:hAnsi="Arial" w:cs="Arial" w:hint="eastAsia"/>
          <w:b/>
          <w:bCs/>
          <w:sz w:val="22"/>
        </w:rPr>
        <w:t>Importance of Collaborative Working</w:t>
      </w:r>
    </w:p>
    <w:p w14:paraId="386B6961" w14:textId="77777777" w:rsidR="007D63E3" w:rsidRPr="007D63E3" w:rsidRDefault="007D63E3" w:rsidP="007D63E3">
      <w:pPr>
        <w:spacing w:line="360" w:lineRule="auto"/>
        <w:rPr>
          <w:rFonts w:ascii="Arial" w:hAnsi="Arial" w:cs="Arial"/>
          <w:sz w:val="22"/>
        </w:rPr>
      </w:pPr>
      <w:r w:rsidRPr="007D63E3">
        <w:rPr>
          <w:rFonts w:ascii="Arial" w:hAnsi="Arial" w:cs="Arial"/>
          <w:sz w:val="22"/>
        </w:rPr>
        <w:t>Mrs Mann’s care involves several professionals - domiciliary carers, her GP, and a physiotherapist, which means strong multi-agency collaboration is essential. Effective teamwork ensures that information is shared promptly, roles are clearly understood, and each professional contributes to a shared care plan. NICE (2016) emphasises that integrated, person-centred care improves outcomes by reducing duplication and preventing communication errors. For someone recovering from surgery, this might involve the physiotherapist updating the care team on safe mobility techniques, while the GP adjusts medication, and carers monitor how she manages daily tasks.</w:t>
      </w:r>
    </w:p>
    <w:p w14:paraId="0BB69186" w14:textId="77777777" w:rsidR="007D63E3" w:rsidRPr="007D63E3" w:rsidRDefault="007D63E3" w:rsidP="007D63E3">
      <w:pPr>
        <w:spacing w:line="360" w:lineRule="auto"/>
        <w:rPr>
          <w:rFonts w:ascii="Arial" w:hAnsi="Arial" w:cs="Arial"/>
          <w:sz w:val="22"/>
        </w:rPr>
      </w:pPr>
      <w:r w:rsidRPr="007D63E3">
        <w:rPr>
          <w:rFonts w:ascii="Arial" w:hAnsi="Arial" w:cs="Arial"/>
          <w:sz w:val="22"/>
        </w:rPr>
        <w:t xml:space="preserve">Collaborative working also relies on open communication and mutual respect between professionals. SCIE (2020) notes that regular contact, such as handovers, joint visits, or shared digital notes, helps maintain consistency and prevents misunderstandings. In Mrs Mann’s case, this could mean carers reporting concerns about pain levels to the physiotherapist, or alerting the GP if mobility becomes more difficult. When everyone </w:t>
      </w:r>
      <w:r w:rsidRPr="007D63E3">
        <w:rPr>
          <w:rFonts w:ascii="Arial" w:hAnsi="Arial" w:cs="Arial"/>
          <w:sz w:val="22"/>
        </w:rPr>
        <w:lastRenderedPageBreak/>
        <w:t>contributes actively, Mrs Mann receives holistic support that reflects her medical, physical, and social needs.</w:t>
      </w:r>
    </w:p>
    <w:p w14:paraId="75F968A4" w14:textId="77777777" w:rsidR="007D63E3" w:rsidRDefault="007D63E3" w:rsidP="007D63E3">
      <w:pPr>
        <w:spacing w:line="360" w:lineRule="auto"/>
        <w:rPr>
          <w:rFonts w:ascii="Arial" w:hAnsi="Arial" w:cs="Arial"/>
          <w:sz w:val="22"/>
        </w:rPr>
      </w:pPr>
      <w:r w:rsidRPr="007D63E3">
        <w:rPr>
          <w:rFonts w:ascii="Arial" w:hAnsi="Arial" w:cs="Arial"/>
          <w:sz w:val="22"/>
        </w:rPr>
        <w:t>However, multi-agency working can face challenges. Different organisations may use incompatible systems, have heavy workloads, or lack clarity about responsibilities. The Health Foundation (2021) suggests strategies such as clear communication protocols, shared goals, and named professionals who co-ordinate care. For Mrs Mann, having a designated link worker or senior carer responsible for passing on updates could prevent missed information like the delayed medication change. Overcoming these challenges creates a safer environment where Mrs Mann’s needs remain at the centre of decision-making.</w:t>
      </w:r>
    </w:p>
    <w:p w14:paraId="7C3046CC" w14:textId="77777777" w:rsidR="007D63E3" w:rsidRPr="007D63E3" w:rsidRDefault="007D63E3" w:rsidP="007D63E3">
      <w:pPr>
        <w:spacing w:line="360" w:lineRule="auto"/>
        <w:rPr>
          <w:rFonts w:ascii="Arial" w:hAnsi="Arial" w:cs="Arial"/>
          <w:sz w:val="22"/>
        </w:rPr>
      </w:pPr>
    </w:p>
    <w:p w14:paraId="6318FD9D" w14:textId="77777777" w:rsidR="007D63E3" w:rsidRPr="007D63E3" w:rsidRDefault="007D63E3" w:rsidP="007D63E3">
      <w:pPr>
        <w:spacing w:line="360" w:lineRule="auto"/>
        <w:rPr>
          <w:rFonts w:ascii="Arial" w:hAnsi="Arial" w:cs="Arial"/>
          <w:b/>
          <w:bCs/>
          <w:sz w:val="22"/>
        </w:rPr>
      </w:pPr>
      <w:r w:rsidRPr="007D63E3">
        <w:rPr>
          <w:rFonts w:ascii="Arial" w:hAnsi="Arial" w:cs="Arial" w:hint="eastAsia"/>
          <w:b/>
          <w:bCs/>
          <w:sz w:val="22"/>
        </w:rPr>
        <w:t>Conclusion</w:t>
      </w:r>
    </w:p>
    <w:p w14:paraId="50C65377" w14:textId="77777777" w:rsidR="007D63E3" w:rsidRPr="007D63E3" w:rsidRDefault="007D63E3" w:rsidP="007D63E3">
      <w:pPr>
        <w:spacing w:line="360" w:lineRule="auto"/>
        <w:rPr>
          <w:rFonts w:ascii="Arial" w:hAnsi="Arial" w:cs="Arial"/>
          <w:sz w:val="22"/>
        </w:rPr>
      </w:pPr>
      <w:r w:rsidRPr="007D63E3">
        <w:rPr>
          <w:rFonts w:ascii="Arial" w:hAnsi="Arial" w:cs="Arial"/>
          <w:sz w:val="22"/>
        </w:rPr>
        <w:t>Overall, Mrs Mann’s case highlights how essential effective communication, strong administrative skills, and collaborative working are within health and social care. Communicating clearly with her and her family promotes equality, supports her understanding, and reduces risks linked to her limited English (NHS England, 2023; Gov.uk, 2010). Good record keeping, supported by legislation such as the Data Protection Act 2018 and UK GDPR, ensures that her care is safe, accurate, and accountable (ICO, 2021; RCN, 2023). Finally, co-ordinated work between her GP, physiotherapist, and care staff helps maintain continuity and prevents avoidable errors (NICE, 2016; SCIE, 2020; Health Foundation, 2021). Reflecting on this case reinforces the idea that every aspect of care</w:t>
      </w:r>
      <w:r>
        <w:rPr>
          <w:rFonts w:ascii="Arial" w:hAnsi="Arial" w:cs="Arial"/>
          <w:sz w:val="22"/>
        </w:rPr>
        <w:t xml:space="preserve">, </w:t>
      </w:r>
      <w:r w:rsidRPr="007D63E3">
        <w:rPr>
          <w:rFonts w:ascii="Arial" w:hAnsi="Arial" w:cs="Arial"/>
          <w:sz w:val="22"/>
        </w:rPr>
        <w:t>from the words used in conversations to the details recorded in notes</w:t>
      </w:r>
      <w:r>
        <w:rPr>
          <w:rFonts w:ascii="Arial" w:hAnsi="Arial" w:cs="Arial"/>
          <w:sz w:val="22"/>
        </w:rPr>
        <w:t>, c</w:t>
      </w:r>
      <w:r w:rsidRPr="007D63E3">
        <w:rPr>
          <w:rFonts w:ascii="Arial" w:hAnsi="Arial" w:cs="Arial"/>
          <w:sz w:val="22"/>
        </w:rPr>
        <w:t>ontributes to a service user’s overall safety and wellbeing. By applying these principles, professionals can provide high-quality, person-centred support that meets the needs of individuals like Mrs Mann and promotes positive outcomes in their recovery.</w:t>
      </w:r>
    </w:p>
    <w:p w14:paraId="637CD77E" w14:textId="77777777" w:rsidR="007D63E3" w:rsidRDefault="007D63E3" w:rsidP="007D63E3">
      <w:pPr>
        <w:spacing w:line="360" w:lineRule="auto"/>
        <w:rPr>
          <w:rFonts w:ascii="Arial" w:hAnsi="Arial" w:cs="Arial"/>
          <w:sz w:val="22"/>
        </w:rPr>
      </w:pPr>
    </w:p>
    <w:p w14:paraId="4763DFC1" w14:textId="77777777" w:rsidR="007D63E3" w:rsidRDefault="007D63E3" w:rsidP="007D63E3">
      <w:pPr>
        <w:spacing w:line="360" w:lineRule="auto"/>
        <w:rPr>
          <w:rFonts w:ascii="Arial" w:hAnsi="Arial" w:cs="Arial"/>
          <w:sz w:val="22"/>
        </w:rPr>
      </w:pPr>
    </w:p>
    <w:p w14:paraId="5D8BC6EE" w14:textId="77777777" w:rsidR="007D63E3" w:rsidRDefault="007D63E3" w:rsidP="007D63E3">
      <w:pPr>
        <w:spacing w:line="360" w:lineRule="auto"/>
        <w:rPr>
          <w:rFonts w:ascii="Arial" w:hAnsi="Arial" w:cs="Arial"/>
          <w:sz w:val="22"/>
        </w:rPr>
      </w:pPr>
    </w:p>
    <w:p w14:paraId="565B6DCE" w14:textId="77777777" w:rsidR="007D63E3" w:rsidRDefault="007D63E3" w:rsidP="007D63E3">
      <w:pPr>
        <w:spacing w:line="360" w:lineRule="auto"/>
        <w:rPr>
          <w:rFonts w:ascii="Arial" w:hAnsi="Arial" w:cs="Arial"/>
          <w:sz w:val="22"/>
        </w:rPr>
      </w:pPr>
    </w:p>
    <w:p w14:paraId="0C904D68" w14:textId="77777777" w:rsidR="007D63E3" w:rsidRDefault="007D63E3" w:rsidP="007D63E3">
      <w:pPr>
        <w:spacing w:line="360" w:lineRule="auto"/>
        <w:rPr>
          <w:rFonts w:ascii="Arial" w:hAnsi="Arial" w:cs="Arial"/>
          <w:sz w:val="22"/>
        </w:rPr>
      </w:pPr>
    </w:p>
    <w:p w14:paraId="16F652E5" w14:textId="77777777" w:rsidR="007D63E3" w:rsidRDefault="007D63E3" w:rsidP="007D63E3">
      <w:pPr>
        <w:spacing w:line="360" w:lineRule="auto"/>
        <w:rPr>
          <w:rFonts w:ascii="Arial" w:hAnsi="Arial" w:cs="Arial"/>
          <w:sz w:val="22"/>
        </w:rPr>
      </w:pPr>
    </w:p>
    <w:p w14:paraId="02D6D2F1" w14:textId="77777777" w:rsidR="007D63E3" w:rsidRPr="007D63E3" w:rsidRDefault="007D63E3" w:rsidP="007D63E3">
      <w:pPr>
        <w:spacing w:line="360" w:lineRule="auto"/>
        <w:rPr>
          <w:rFonts w:ascii="Arial" w:hAnsi="Arial" w:cs="Arial"/>
          <w:sz w:val="22"/>
        </w:rPr>
      </w:pPr>
    </w:p>
    <w:p w14:paraId="0667206D" w14:textId="77777777" w:rsidR="007D63E3" w:rsidRDefault="007D63E3" w:rsidP="007D63E3">
      <w:pPr>
        <w:spacing w:line="360" w:lineRule="auto"/>
        <w:rPr>
          <w:rFonts w:ascii="Arial" w:hAnsi="Arial" w:cs="Arial"/>
          <w:b/>
          <w:bCs/>
          <w:sz w:val="22"/>
        </w:rPr>
      </w:pPr>
      <w:r w:rsidRPr="007D63E3">
        <w:rPr>
          <w:rFonts w:ascii="Arial" w:hAnsi="Arial" w:cs="Arial"/>
          <w:b/>
          <w:bCs/>
          <w:sz w:val="22"/>
        </w:rPr>
        <w:lastRenderedPageBreak/>
        <w:t>Reference List:</w:t>
      </w:r>
    </w:p>
    <w:p w14:paraId="3D53A3E8" w14:textId="77777777" w:rsidR="007D63E3" w:rsidRPr="007D63E3" w:rsidRDefault="007D63E3" w:rsidP="007D63E3">
      <w:pPr>
        <w:spacing w:line="360" w:lineRule="auto"/>
        <w:rPr>
          <w:rFonts w:ascii="Arial" w:hAnsi="Arial" w:cs="Arial"/>
          <w:b/>
          <w:bCs/>
          <w:sz w:val="22"/>
        </w:rPr>
      </w:pPr>
    </w:p>
    <w:p w14:paraId="4CC3CF7F" w14:textId="77777777" w:rsidR="007D63E3" w:rsidRPr="007D63E3" w:rsidRDefault="007D63E3" w:rsidP="007D63E3">
      <w:pPr>
        <w:pStyle w:val="ListParagraph"/>
        <w:numPr>
          <w:ilvl w:val="0"/>
          <w:numId w:val="23"/>
        </w:numPr>
        <w:spacing w:line="360" w:lineRule="auto"/>
        <w:rPr>
          <w:rFonts w:ascii="Arial" w:hAnsi="Arial" w:cs="Arial"/>
          <w:sz w:val="22"/>
        </w:rPr>
      </w:pPr>
      <w:r w:rsidRPr="007D63E3">
        <w:rPr>
          <w:rFonts w:ascii="Arial" w:hAnsi="Arial" w:cs="Arial"/>
          <w:sz w:val="22"/>
        </w:rPr>
        <w:t>Care Quality Commission (CQC) (2022) Fundamental Standards. Available at:</w:t>
      </w:r>
    </w:p>
    <w:p w14:paraId="0EFC13A1" w14:textId="77777777" w:rsidR="007D63E3" w:rsidRPr="007D63E3" w:rsidRDefault="007D63E3" w:rsidP="007D63E3">
      <w:pPr>
        <w:spacing w:line="360" w:lineRule="auto"/>
        <w:rPr>
          <w:rFonts w:ascii="Arial" w:hAnsi="Arial" w:cs="Arial"/>
          <w:sz w:val="22"/>
        </w:rPr>
      </w:pPr>
      <w:hyperlink r:id="rId9" w:history="1">
        <w:r w:rsidRPr="00736E88">
          <w:rPr>
            <w:rStyle w:val="Hyperlink"/>
            <w:rFonts w:ascii="Arial" w:hAnsi="Arial" w:cs="Arial"/>
            <w:sz w:val="22"/>
          </w:rPr>
          <w:t>https://www.cqc.org.uk/about-us/fundamental-standards</w:t>
        </w:r>
      </w:hyperlink>
      <w:r>
        <w:rPr>
          <w:rFonts w:ascii="Arial" w:hAnsi="Arial" w:cs="Arial"/>
          <w:sz w:val="22"/>
        </w:rPr>
        <w:t xml:space="preserve"> </w:t>
      </w:r>
      <w:r w:rsidRPr="007D63E3">
        <w:rPr>
          <w:rFonts w:ascii="Arial" w:hAnsi="Arial" w:cs="Arial"/>
          <w:sz w:val="22"/>
        </w:rPr>
        <w:t>(Accessed: November 2025).</w:t>
      </w:r>
    </w:p>
    <w:p w14:paraId="7789CED1" w14:textId="77777777" w:rsidR="007D63E3" w:rsidRPr="007D63E3" w:rsidRDefault="007D63E3" w:rsidP="007D63E3">
      <w:pPr>
        <w:pStyle w:val="ListParagraph"/>
        <w:numPr>
          <w:ilvl w:val="0"/>
          <w:numId w:val="23"/>
        </w:numPr>
        <w:spacing w:line="360" w:lineRule="auto"/>
        <w:rPr>
          <w:rFonts w:ascii="Arial" w:hAnsi="Arial" w:cs="Arial"/>
          <w:sz w:val="22"/>
        </w:rPr>
      </w:pPr>
      <w:r w:rsidRPr="007D63E3">
        <w:rPr>
          <w:rFonts w:ascii="Arial" w:hAnsi="Arial" w:cs="Arial"/>
          <w:sz w:val="22"/>
        </w:rPr>
        <w:t>Gov.uk (2010) Equality Act 2010. Available at:</w:t>
      </w:r>
    </w:p>
    <w:p w14:paraId="7CD02521" w14:textId="77777777" w:rsidR="007D63E3" w:rsidRPr="007D63E3" w:rsidRDefault="007D63E3" w:rsidP="007D63E3">
      <w:pPr>
        <w:spacing w:line="360" w:lineRule="auto"/>
        <w:rPr>
          <w:rFonts w:ascii="Arial" w:hAnsi="Arial" w:cs="Arial"/>
          <w:sz w:val="22"/>
        </w:rPr>
      </w:pPr>
      <w:hyperlink r:id="rId10" w:history="1">
        <w:r w:rsidRPr="00736E88">
          <w:rPr>
            <w:rStyle w:val="Hyperlink"/>
            <w:rFonts w:ascii="Arial" w:hAnsi="Arial" w:cs="Arial"/>
            <w:sz w:val="22"/>
          </w:rPr>
          <w:t>https://www.legislation.gov.uk/ukpga/2010/15</w:t>
        </w:r>
      </w:hyperlink>
      <w:r>
        <w:rPr>
          <w:rFonts w:ascii="Arial" w:hAnsi="Arial" w:cs="Arial"/>
          <w:sz w:val="22"/>
        </w:rPr>
        <w:t xml:space="preserve"> </w:t>
      </w:r>
      <w:r w:rsidRPr="007D63E3">
        <w:rPr>
          <w:rFonts w:ascii="Arial" w:hAnsi="Arial" w:cs="Arial"/>
          <w:sz w:val="22"/>
        </w:rPr>
        <w:t>(Accessed: November 2025).</w:t>
      </w:r>
    </w:p>
    <w:p w14:paraId="582D50E8" w14:textId="77777777" w:rsidR="007D63E3" w:rsidRPr="007D63E3" w:rsidRDefault="007D63E3" w:rsidP="007D63E3">
      <w:pPr>
        <w:pStyle w:val="ListParagraph"/>
        <w:numPr>
          <w:ilvl w:val="0"/>
          <w:numId w:val="23"/>
        </w:numPr>
        <w:spacing w:line="360" w:lineRule="auto"/>
        <w:rPr>
          <w:rFonts w:ascii="Arial" w:hAnsi="Arial" w:cs="Arial"/>
          <w:sz w:val="22"/>
        </w:rPr>
      </w:pPr>
      <w:r w:rsidRPr="007D63E3">
        <w:rPr>
          <w:rFonts w:ascii="Arial" w:hAnsi="Arial" w:cs="Arial"/>
          <w:sz w:val="22"/>
        </w:rPr>
        <w:t>Gov.uk (2013) Equality Act 2010: Guidance. Available at:</w:t>
      </w:r>
    </w:p>
    <w:p w14:paraId="5D85C01A" w14:textId="77777777" w:rsidR="007D63E3" w:rsidRPr="007D63E3" w:rsidRDefault="007D63E3" w:rsidP="007D63E3">
      <w:pPr>
        <w:spacing w:line="360" w:lineRule="auto"/>
        <w:rPr>
          <w:rFonts w:ascii="Arial" w:hAnsi="Arial" w:cs="Arial"/>
          <w:sz w:val="22"/>
        </w:rPr>
      </w:pPr>
      <w:hyperlink r:id="rId11" w:history="1">
        <w:r w:rsidRPr="00736E88">
          <w:rPr>
            <w:rStyle w:val="Hyperlink"/>
            <w:rFonts w:ascii="Arial" w:hAnsi="Arial" w:cs="Arial"/>
            <w:sz w:val="22"/>
          </w:rPr>
          <w:t>https://www.gov.uk/government/publications/equality-act-guidance</w:t>
        </w:r>
      </w:hyperlink>
      <w:r>
        <w:rPr>
          <w:rFonts w:ascii="Arial" w:hAnsi="Arial" w:cs="Arial"/>
          <w:sz w:val="22"/>
        </w:rPr>
        <w:t xml:space="preserve"> </w:t>
      </w:r>
      <w:r w:rsidRPr="007D63E3">
        <w:rPr>
          <w:rFonts w:ascii="Arial" w:hAnsi="Arial" w:cs="Arial"/>
          <w:sz w:val="22"/>
        </w:rPr>
        <w:t>(Accessed: November 2025).</w:t>
      </w:r>
    </w:p>
    <w:p w14:paraId="6F278DE5" w14:textId="77777777" w:rsidR="007D63E3" w:rsidRDefault="007D63E3" w:rsidP="007D63E3">
      <w:pPr>
        <w:pStyle w:val="ListParagraph"/>
        <w:numPr>
          <w:ilvl w:val="0"/>
          <w:numId w:val="23"/>
        </w:numPr>
        <w:spacing w:line="360" w:lineRule="auto"/>
        <w:rPr>
          <w:rFonts w:ascii="Arial" w:hAnsi="Arial" w:cs="Arial"/>
          <w:sz w:val="22"/>
        </w:rPr>
      </w:pPr>
      <w:r w:rsidRPr="007D63E3">
        <w:rPr>
          <w:rFonts w:ascii="Arial" w:hAnsi="Arial" w:cs="Arial"/>
          <w:sz w:val="22"/>
        </w:rPr>
        <w:t>Griffin, E., Ledbetter, A., &amp; Sparks, G. (2018) A First Look at Communication Theory. 10th Edition. New York: McGraw-Hill.</w:t>
      </w:r>
    </w:p>
    <w:p w14:paraId="5B7B6BF9" w14:textId="77777777" w:rsidR="007D63E3" w:rsidRPr="007D63E3" w:rsidRDefault="007D63E3" w:rsidP="007D63E3">
      <w:pPr>
        <w:pStyle w:val="ListParagraph"/>
        <w:spacing w:line="360" w:lineRule="auto"/>
        <w:rPr>
          <w:rFonts w:ascii="Arial" w:hAnsi="Arial" w:cs="Arial"/>
          <w:sz w:val="22"/>
        </w:rPr>
      </w:pPr>
    </w:p>
    <w:p w14:paraId="28EA0AF2" w14:textId="77777777" w:rsidR="007D63E3" w:rsidRDefault="007D63E3" w:rsidP="007D63E3">
      <w:pPr>
        <w:pStyle w:val="ListParagraph"/>
        <w:numPr>
          <w:ilvl w:val="0"/>
          <w:numId w:val="23"/>
        </w:numPr>
        <w:spacing w:line="360" w:lineRule="auto"/>
        <w:rPr>
          <w:rFonts w:ascii="Arial" w:hAnsi="Arial" w:cs="Arial"/>
          <w:sz w:val="22"/>
        </w:rPr>
      </w:pPr>
      <w:r w:rsidRPr="007D63E3">
        <w:rPr>
          <w:rFonts w:ascii="Arial" w:hAnsi="Arial" w:cs="Arial"/>
          <w:sz w:val="22"/>
        </w:rPr>
        <w:t xml:space="preserve">Health Foundation (2021) Improvement Collaboratives in Health Care: Learning Report. Available at: </w:t>
      </w:r>
      <w:hyperlink r:id="rId12" w:history="1">
        <w:r w:rsidRPr="007D63E3">
          <w:rPr>
            <w:rStyle w:val="Hyperlink"/>
            <w:rFonts w:ascii="Arial" w:hAnsi="Arial" w:cs="Arial"/>
            <w:sz w:val="22"/>
          </w:rPr>
          <w:t>https://www.health.org.uk/reports-and-analysis/reports/improvement-collaboratives-in-health-care</w:t>
        </w:r>
      </w:hyperlink>
      <w:r w:rsidRPr="007D63E3">
        <w:rPr>
          <w:rFonts w:ascii="Arial" w:hAnsi="Arial" w:cs="Arial"/>
          <w:sz w:val="22"/>
        </w:rPr>
        <w:t xml:space="preserve"> (Accessed: November 2025).</w:t>
      </w:r>
    </w:p>
    <w:p w14:paraId="35B2B770" w14:textId="77777777" w:rsidR="007D63E3" w:rsidRPr="007D63E3" w:rsidRDefault="007D63E3" w:rsidP="007D63E3">
      <w:pPr>
        <w:pStyle w:val="ListParagraph"/>
        <w:rPr>
          <w:rFonts w:ascii="Arial" w:hAnsi="Arial" w:cs="Arial"/>
          <w:sz w:val="22"/>
        </w:rPr>
      </w:pPr>
    </w:p>
    <w:p w14:paraId="24340F24" w14:textId="77777777" w:rsidR="007D63E3" w:rsidRPr="007D63E3" w:rsidRDefault="007D63E3" w:rsidP="007D63E3">
      <w:pPr>
        <w:pStyle w:val="ListParagraph"/>
        <w:spacing w:line="360" w:lineRule="auto"/>
        <w:rPr>
          <w:rFonts w:ascii="Arial" w:hAnsi="Arial" w:cs="Arial"/>
          <w:sz w:val="22"/>
        </w:rPr>
      </w:pPr>
    </w:p>
    <w:p w14:paraId="7C35AE8B" w14:textId="77777777" w:rsidR="007D63E3" w:rsidRPr="007D63E3" w:rsidRDefault="007D63E3" w:rsidP="007D63E3">
      <w:pPr>
        <w:pStyle w:val="ListParagraph"/>
        <w:numPr>
          <w:ilvl w:val="0"/>
          <w:numId w:val="23"/>
        </w:numPr>
        <w:spacing w:line="360" w:lineRule="auto"/>
        <w:rPr>
          <w:rFonts w:ascii="Arial" w:hAnsi="Arial" w:cs="Arial"/>
          <w:sz w:val="22"/>
        </w:rPr>
      </w:pPr>
      <w:r w:rsidRPr="007D63E3">
        <w:rPr>
          <w:rFonts w:ascii="Arial" w:hAnsi="Arial" w:cs="Arial"/>
          <w:sz w:val="22"/>
        </w:rPr>
        <w:t>Information Commissioner’s Office (ICO) (2021) Guide to the UK GDPR. Available at:</w:t>
      </w:r>
    </w:p>
    <w:p w14:paraId="3275FBDD" w14:textId="77777777" w:rsidR="007D63E3" w:rsidRPr="007D63E3" w:rsidRDefault="007D63E3" w:rsidP="007D63E3">
      <w:pPr>
        <w:spacing w:line="360" w:lineRule="auto"/>
        <w:rPr>
          <w:rFonts w:ascii="Arial" w:hAnsi="Arial" w:cs="Arial"/>
          <w:sz w:val="22"/>
        </w:rPr>
      </w:pPr>
      <w:hyperlink r:id="rId13" w:history="1">
        <w:r w:rsidRPr="00736E88">
          <w:rPr>
            <w:rStyle w:val="Hyperlink"/>
            <w:rFonts w:ascii="Arial" w:hAnsi="Arial" w:cs="Arial"/>
            <w:sz w:val="22"/>
          </w:rPr>
          <w:t>https://ico.org.uk/for-organisations/uk-gdpr-guidance-and-resources/</w:t>
        </w:r>
      </w:hyperlink>
      <w:r>
        <w:rPr>
          <w:rFonts w:ascii="Arial" w:hAnsi="Arial" w:cs="Arial"/>
          <w:sz w:val="22"/>
        </w:rPr>
        <w:t xml:space="preserve"> </w:t>
      </w:r>
      <w:r w:rsidRPr="007D63E3">
        <w:rPr>
          <w:rFonts w:ascii="Arial" w:hAnsi="Arial" w:cs="Arial"/>
          <w:sz w:val="22"/>
        </w:rPr>
        <w:t>(Accessed: November 2025).</w:t>
      </w:r>
    </w:p>
    <w:p w14:paraId="734C2061" w14:textId="77777777" w:rsidR="007D63E3" w:rsidRDefault="007D63E3" w:rsidP="007D63E3">
      <w:pPr>
        <w:pStyle w:val="ListParagraph"/>
        <w:numPr>
          <w:ilvl w:val="0"/>
          <w:numId w:val="24"/>
        </w:numPr>
        <w:spacing w:line="360" w:lineRule="auto"/>
        <w:rPr>
          <w:rFonts w:ascii="Arial" w:hAnsi="Arial" w:cs="Arial"/>
          <w:sz w:val="22"/>
        </w:rPr>
      </w:pPr>
      <w:r w:rsidRPr="007D63E3">
        <w:rPr>
          <w:rFonts w:ascii="Arial" w:hAnsi="Arial" w:cs="Arial"/>
          <w:sz w:val="22"/>
        </w:rPr>
        <w:t xml:space="preserve">Information Commissioner’s Office (ICO) (2021) Health Data and the Data Protection Act 2018. Available at: </w:t>
      </w:r>
      <w:hyperlink r:id="rId14" w:history="1">
        <w:r w:rsidRPr="007D63E3">
          <w:rPr>
            <w:rStyle w:val="Hyperlink"/>
            <w:rFonts w:ascii="Arial" w:hAnsi="Arial" w:cs="Arial"/>
            <w:sz w:val="22"/>
          </w:rPr>
          <w:t>https://ico.org.uk/for-organisations/uk-gdpr-guidance-and-resources/individual-rights/right-of-access/health-data/</w:t>
        </w:r>
      </w:hyperlink>
      <w:r w:rsidRPr="007D63E3">
        <w:rPr>
          <w:rFonts w:ascii="Arial" w:hAnsi="Arial" w:cs="Arial"/>
          <w:sz w:val="22"/>
        </w:rPr>
        <w:t xml:space="preserve">  (Accessed: November 2025).</w:t>
      </w:r>
    </w:p>
    <w:p w14:paraId="4A8313F0" w14:textId="77777777" w:rsidR="007D63E3" w:rsidRPr="007D63E3" w:rsidRDefault="007D63E3" w:rsidP="007D63E3">
      <w:pPr>
        <w:pStyle w:val="ListParagraph"/>
        <w:spacing w:line="360" w:lineRule="auto"/>
        <w:rPr>
          <w:rFonts w:ascii="Arial" w:hAnsi="Arial" w:cs="Arial"/>
          <w:sz w:val="22"/>
        </w:rPr>
      </w:pPr>
    </w:p>
    <w:p w14:paraId="21A0AAD7" w14:textId="77777777" w:rsidR="007D63E3" w:rsidRPr="007D63E3" w:rsidRDefault="007D63E3" w:rsidP="007D63E3">
      <w:pPr>
        <w:pStyle w:val="ListParagraph"/>
        <w:numPr>
          <w:ilvl w:val="0"/>
          <w:numId w:val="24"/>
        </w:numPr>
        <w:spacing w:line="360" w:lineRule="auto"/>
        <w:rPr>
          <w:rFonts w:ascii="Arial" w:hAnsi="Arial" w:cs="Arial"/>
          <w:sz w:val="22"/>
        </w:rPr>
      </w:pPr>
      <w:r w:rsidRPr="007D63E3">
        <w:rPr>
          <w:rFonts w:ascii="Arial" w:hAnsi="Arial" w:cs="Arial"/>
          <w:sz w:val="22"/>
        </w:rPr>
        <w:t>NHS England (2023) Accessible Information Standard: Guidance. Available at:</w:t>
      </w:r>
    </w:p>
    <w:p w14:paraId="2BC6CCFA" w14:textId="77777777" w:rsidR="007D63E3" w:rsidRPr="007D63E3" w:rsidRDefault="007D63E3" w:rsidP="007D63E3">
      <w:pPr>
        <w:spacing w:line="360" w:lineRule="auto"/>
        <w:rPr>
          <w:rFonts w:ascii="Arial" w:hAnsi="Arial" w:cs="Arial"/>
          <w:sz w:val="22"/>
        </w:rPr>
      </w:pPr>
      <w:hyperlink r:id="rId15" w:history="1">
        <w:r w:rsidRPr="00736E88">
          <w:rPr>
            <w:rStyle w:val="Hyperlink"/>
            <w:rFonts w:ascii="Arial" w:hAnsi="Arial" w:cs="Arial"/>
            <w:sz w:val="22"/>
          </w:rPr>
          <w:t>https://www.england.nhs.uk/publication/accessible-information-standard/</w:t>
        </w:r>
      </w:hyperlink>
      <w:r>
        <w:rPr>
          <w:rFonts w:ascii="Arial" w:hAnsi="Arial" w:cs="Arial"/>
          <w:sz w:val="22"/>
        </w:rPr>
        <w:t xml:space="preserve">  </w:t>
      </w:r>
      <w:r w:rsidRPr="007D63E3">
        <w:rPr>
          <w:rFonts w:ascii="Arial" w:hAnsi="Arial" w:cs="Arial"/>
          <w:sz w:val="22"/>
        </w:rPr>
        <w:t>(Accessed:</w:t>
      </w:r>
      <w:r>
        <w:rPr>
          <w:rFonts w:ascii="Arial" w:hAnsi="Arial" w:cs="Arial"/>
          <w:sz w:val="22"/>
        </w:rPr>
        <w:t xml:space="preserve"> </w:t>
      </w:r>
      <w:r w:rsidRPr="007D63E3">
        <w:rPr>
          <w:rFonts w:ascii="Arial" w:hAnsi="Arial" w:cs="Arial"/>
          <w:sz w:val="22"/>
        </w:rPr>
        <w:t>November 2025).</w:t>
      </w:r>
    </w:p>
    <w:p w14:paraId="04B2689E" w14:textId="77777777" w:rsidR="007D63E3" w:rsidRPr="007D63E3" w:rsidRDefault="007D63E3" w:rsidP="007D63E3">
      <w:pPr>
        <w:spacing w:line="360" w:lineRule="auto"/>
        <w:rPr>
          <w:rFonts w:ascii="Arial" w:hAnsi="Arial" w:cs="Arial"/>
          <w:sz w:val="22"/>
        </w:rPr>
      </w:pPr>
    </w:p>
    <w:p w14:paraId="4B64280D" w14:textId="77777777" w:rsidR="007D63E3" w:rsidRPr="007D63E3" w:rsidRDefault="007D63E3" w:rsidP="007D63E3">
      <w:pPr>
        <w:pStyle w:val="ListParagraph"/>
        <w:numPr>
          <w:ilvl w:val="0"/>
          <w:numId w:val="25"/>
        </w:numPr>
        <w:spacing w:line="360" w:lineRule="auto"/>
        <w:rPr>
          <w:rFonts w:ascii="Arial" w:hAnsi="Arial" w:cs="Arial"/>
          <w:sz w:val="22"/>
        </w:rPr>
      </w:pPr>
      <w:r w:rsidRPr="007D63E3">
        <w:rPr>
          <w:rFonts w:ascii="Arial" w:hAnsi="Arial" w:cs="Arial"/>
          <w:sz w:val="22"/>
        </w:rPr>
        <w:t>NHS England (2017) Accessible Information Standard: Specification v1.1. Available at:</w:t>
      </w:r>
      <w:r>
        <w:rPr>
          <w:rFonts w:ascii="Arial" w:hAnsi="Arial" w:cs="Arial"/>
          <w:sz w:val="22"/>
        </w:rPr>
        <w:t xml:space="preserve"> </w:t>
      </w:r>
      <w:hyperlink r:id="rId16" w:anchor=":~:text=The%20Accessible%20Information%20Standard%20aims,support%20if%20they%20need%20it" w:history="1">
        <w:r w:rsidRPr="00736E88">
          <w:rPr>
            <w:rStyle w:val="Hyperlink"/>
            <w:rFonts w:ascii="Arial" w:hAnsi="Arial" w:cs="Arial"/>
            <w:sz w:val="22"/>
          </w:rPr>
          <w:t>https://www.england.nhs.uk/2016/08/accessible-information-</w:t>
        </w:r>
        <w:r w:rsidRPr="00736E88">
          <w:rPr>
            <w:rStyle w:val="Hyperlink"/>
            <w:rFonts w:ascii="Arial" w:hAnsi="Arial" w:cs="Arial"/>
            <w:sz w:val="22"/>
          </w:rPr>
          <w:lastRenderedPageBreak/>
          <w:t>standard/#:~:text=The%20Accessible%20Information%20Standard%20aims,support%20if%20they%20need%20it</w:t>
        </w:r>
      </w:hyperlink>
      <w:r w:rsidRPr="007D63E3">
        <w:rPr>
          <w:rFonts w:ascii="Arial" w:hAnsi="Arial" w:cs="Arial"/>
          <w:sz w:val="22"/>
        </w:rPr>
        <w:t>.</w:t>
      </w:r>
      <w:r>
        <w:rPr>
          <w:rFonts w:ascii="Arial" w:hAnsi="Arial" w:cs="Arial"/>
          <w:sz w:val="22"/>
        </w:rPr>
        <w:t xml:space="preserve"> </w:t>
      </w:r>
      <w:r w:rsidRPr="007D63E3">
        <w:rPr>
          <w:rFonts w:ascii="Arial" w:hAnsi="Arial" w:cs="Arial"/>
          <w:sz w:val="22"/>
        </w:rPr>
        <w:t xml:space="preserve"> (Accessed: November 2025).</w:t>
      </w:r>
    </w:p>
    <w:p w14:paraId="5C614C78" w14:textId="77777777" w:rsidR="007D63E3" w:rsidRPr="007D63E3" w:rsidRDefault="007D63E3" w:rsidP="007D63E3">
      <w:pPr>
        <w:spacing w:line="360" w:lineRule="auto"/>
        <w:rPr>
          <w:rFonts w:ascii="Arial" w:hAnsi="Arial" w:cs="Arial"/>
          <w:sz w:val="22"/>
        </w:rPr>
      </w:pPr>
    </w:p>
    <w:p w14:paraId="1BBF77F4" w14:textId="77777777" w:rsidR="007D63E3" w:rsidRPr="007D63E3" w:rsidRDefault="007D63E3" w:rsidP="007D63E3">
      <w:pPr>
        <w:pStyle w:val="ListParagraph"/>
        <w:numPr>
          <w:ilvl w:val="0"/>
          <w:numId w:val="25"/>
        </w:numPr>
        <w:spacing w:line="360" w:lineRule="auto"/>
        <w:rPr>
          <w:rFonts w:ascii="Arial" w:hAnsi="Arial" w:cs="Arial"/>
          <w:sz w:val="22"/>
        </w:rPr>
      </w:pPr>
      <w:r w:rsidRPr="007D63E3">
        <w:rPr>
          <w:rFonts w:ascii="Arial" w:hAnsi="Arial" w:cs="Arial"/>
          <w:sz w:val="22"/>
        </w:rPr>
        <w:t>NICE (2016) Multimorbidity: Clinical assessment and management (NG56). Available at:</w:t>
      </w:r>
      <w:r>
        <w:rPr>
          <w:rFonts w:ascii="Arial" w:hAnsi="Arial" w:cs="Arial"/>
          <w:sz w:val="22"/>
        </w:rPr>
        <w:t xml:space="preserve"> </w:t>
      </w:r>
      <w:hyperlink r:id="rId17" w:history="1">
        <w:r w:rsidRPr="00736E88">
          <w:rPr>
            <w:rStyle w:val="Hyperlink"/>
            <w:rFonts w:ascii="Arial" w:hAnsi="Arial" w:cs="Arial"/>
            <w:sz w:val="22"/>
          </w:rPr>
          <w:t>https://www.nice.org.uk/guidance/ng56</w:t>
        </w:r>
      </w:hyperlink>
      <w:r w:rsidRPr="007D63E3">
        <w:rPr>
          <w:rFonts w:ascii="Arial" w:hAnsi="Arial" w:cs="Arial"/>
          <w:sz w:val="22"/>
        </w:rPr>
        <w:t xml:space="preserve"> (Accessed: November 2025).</w:t>
      </w:r>
    </w:p>
    <w:p w14:paraId="1B6995BF" w14:textId="77777777" w:rsidR="007D63E3" w:rsidRPr="007D63E3" w:rsidRDefault="007D63E3" w:rsidP="007D63E3">
      <w:pPr>
        <w:spacing w:line="360" w:lineRule="auto"/>
        <w:rPr>
          <w:rFonts w:ascii="Arial" w:hAnsi="Arial" w:cs="Arial"/>
          <w:sz w:val="22"/>
        </w:rPr>
      </w:pPr>
    </w:p>
    <w:p w14:paraId="3CA28C84" w14:textId="77777777" w:rsidR="007D63E3" w:rsidRPr="007D63E3" w:rsidRDefault="007D63E3" w:rsidP="007D63E3">
      <w:pPr>
        <w:pStyle w:val="ListParagraph"/>
        <w:numPr>
          <w:ilvl w:val="0"/>
          <w:numId w:val="25"/>
        </w:numPr>
        <w:spacing w:line="360" w:lineRule="auto"/>
        <w:rPr>
          <w:rFonts w:ascii="Arial" w:hAnsi="Arial" w:cs="Arial"/>
          <w:sz w:val="22"/>
        </w:rPr>
      </w:pPr>
      <w:r w:rsidRPr="007D63E3">
        <w:rPr>
          <w:rFonts w:ascii="Arial" w:hAnsi="Arial" w:cs="Arial"/>
          <w:sz w:val="22"/>
        </w:rPr>
        <w:t>Royal College of Nursing (RCN) (2023) Record Keeping: The Facts. Available at:</w:t>
      </w:r>
      <w:r>
        <w:rPr>
          <w:rFonts w:ascii="Arial" w:hAnsi="Arial" w:cs="Arial"/>
          <w:sz w:val="22"/>
        </w:rPr>
        <w:t xml:space="preserve"> </w:t>
      </w:r>
      <w:hyperlink r:id="rId18" w:history="1">
        <w:r w:rsidRPr="00736E88">
          <w:rPr>
            <w:rStyle w:val="Hyperlink"/>
            <w:rFonts w:ascii="Arial" w:hAnsi="Arial" w:cs="Arial"/>
            <w:sz w:val="22"/>
          </w:rPr>
          <w:t>https://www.rcn.org.uk/-/media/Royal-College-Of-Nursing/Documents/Publications/2023/July/011-016.pdf</w:t>
        </w:r>
      </w:hyperlink>
      <w:r>
        <w:rPr>
          <w:rFonts w:ascii="Arial" w:hAnsi="Arial" w:cs="Arial"/>
          <w:sz w:val="22"/>
        </w:rPr>
        <w:t xml:space="preserve"> </w:t>
      </w:r>
      <w:r w:rsidRPr="007D63E3">
        <w:rPr>
          <w:rFonts w:ascii="Arial" w:hAnsi="Arial" w:cs="Arial"/>
          <w:sz w:val="22"/>
        </w:rPr>
        <w:t>(Accessed: November 2025).</w:t>
      </w:r>
    </w:p>
    <w:p w14:paraId="42F56C69" w14:textId="77777777" w:rsidR="007D63E3" w:rsidRPr="007D63E3" w:rsidRDefault="007D63E3" w:rsidP="007D63E3">
      <w:pPr>
        <w:spacing w:line="360" w:lineRule="auto"/>
        <w:rPr>
          <w:rFonts w:ascii="Arial" w:hAnsi="Arial" w:cs="Arial"/>
          <w:sz w:val="22"/>
        </w:rPr>
      </w:pPr>
    </w:p>
    <w:p w14:paraId="5C4CC46C" w14:textId="77777777" w:rsidR="007D63E3" w:rsidRPr="007D63E3" w:rsidRDefault="007D63E3" w:rsidP="007D63E3">
      <w:pPr>
        <w:pStyle w:val="ListParagraph"/>
        <w:numPr>
          <w:ilvl w:val="0"/>
          <w:numId w:val="25"/>
        </w:numPr>
        <w:spacing w:line="360" w:lineRule="auto"/>
        <w:rPr>
          <w:rFonts w:ascii="Arial" w:hAnsi="Arial" w:cs="Arial"/>
          <w:sz w:val="22"/>
        </w:rPr>
      </w:pPr>
      <w:r w:rsidRPr="007D63E3">
        <w:rPr>
          <w:rFonts w:ascii="Arial" w:hAnsi="Arial" w:cs="Arial"/>
          <w:sz w:val="22"/>
        </w:rPr>
        <w:t>Social Care Institute for Excellence (SCIE) (2020) Integrated Care. Available at:</w:t>
      </w:r>
      <w:r>
        <w:rPr>
          <w:rFonts w:ascii="Arial" w:hAnsi="Arial" w:cs="Arial"/>
          <w:sz w:val="22"/>
        </w:rPr>
        <w:t xml:space="preserve"> </w:t>
      </w:r>
      <w:hyperlink r:id="rId19" w:history="1">
        <w:r w:rsidRPr="00736E88">
          <w:rPr>
            <w:rStyle w:val="Hyperlink"/>
            <w:rFonts w:ascii="Arial" w:hAnsi="Arial" w:cs="Arial"/>
            <w:sz w:val="22"/>
          </w:rPr>
          <w:t>https://www.scie.org.uk/integrated-care/</w:t>
        </w:r>
      </w:hyperlink>
      <w:r>
        <w:rPr>
          <w:rFonts w:ascii="Arial" w:hAnsi="Arial" w:cs="Arial"/>
          <w:sz w:val="22"/>
        </w:rPr>
        <w:t xml:space="preserve"> </w:t>
      </w:r>
      <w:r w:rsidRPr="007D63E3">
        <w:rPr>
          <w:rFonts w:ascii="Arial" w:hAnsi="Arial" w:cs="Arial"/>
          <w:sz w:val="22"/>
        </w:rPr>
        <w:t>(Accessed: November 2025).</w:t>
      </w:r>
    </w:p>
    <w:p w14:paraId="081839A1" w14:textId="77777777" w:rsidR="007D63E3" w:rsidRPr="007D63E3" w:rsidRDefault="007D63E3" w:rsidP="007D63E3">
      <w:pPr>
        <w:spacing w:line="360" w:lineRule="auto"/>
        <w:rPr>
          <w:rFonts w:ascii="Arial" w:hAnsi="Arial" w:cs="Arial"/>
          <w:sz w:val="22"/>
        </w:rPr>
      </w:pPr>
    </w:p>
    <w:p w14:paraId="24679986" w14:textId="77777777" w:rsidR="007D63E3" w:rsidRPr="007D63E3" w:rsidRDefault="007D63E3" w:rsidP="007D63E3">
      <w:pPr>
        <w:pStyle w:val="ListParagraph"/>
        <w:numPr>
          <w:ilvl w:val="0"/>
          <w:numId w:val="25"/>
        </w:numPr>
        <w:spacing w:line="360" w:lineRule="auto"/>
        <w:rPr>
          <w:rFonts w:ascii="Arial" w:hAnsi="Arial" w:cs="Arial"/>
          <w:sz w:val="22"/>
        </w:rPr>
      </w:pPr>
      <w:r w:rsidRPr="007D63E3">
        <w:rPr>
          <w:rFonts w:ascii="Arial" w:hAnsi="Arial" w:cs="Arial"/>
          <w:sz w:val="22"/>
        </w:rPr>
        <w:t>Social Care Institute for Excellence (SCIE) (2021) Communication in Care Settings. Available at:</w:t>
      </w:r>
      <w:r>
        <w:rPr>
          <w:rFonts w:ascii="Arial" w:hAnsi="Arial" w:cs="Arial"/>
          <w:sz w:val="22"/>
        </w:rPr>
        <w:t xml:space="preserve"> </w:t>
      </w:r>
      <w:hyperlink r:id="rId20" w:history="1">
        <w:r w:rsidRPr="00736E88">
          <w:rPr>
            <w:rStyle w:val="Hyperlink"/>
            <w:rFonts w:ascii="Arial" w:hAnsi="Arial" w:cs="Arial"/>
            <w:sz w:val="22"/>
          </w:rPr>
          <w:t>https://www.scie.org.uk/providing-care/dignity-in-care/communication/</w:t>
        </w:r>
      </w:hyperlink>
      <w:r>
        <w:rPr>
          <w:rFonts w:ascii="Arial" w:hAnsi="Arial" w:cs="Arial"/>
          <w:sz w:val="22"/>
        </w:rPr>
        <w:t xml:space="preserve"> </w:t>
      </w:r>
      <w:r w:rsidRPr="007D63E3">
        <w:rPr>
          <w:rFonts w:ascii="Arial" w:hAnsi="Arial" w:cs="Arial"/>
          <w:sz w:val="22"/>
        </w:rPr>
        <w:t>(Accessed: 20 November 2025).</w:t>
      </w:r>
    </w:p>
    <w:sectPr w:rsidR="007D63E3" w:rsidRPr="007D63E3">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01AFA" w14:textId="77777777" w:rsidR="00B72D94" w:rsidRDefault="00B72D94" w:rsidP="003C7C97">
      <w:pPr>
        <w:spacing w:after="0" w:line="240" w:lineRule="auto"/>
      </w:pPr>
      <w:r>
        <w:separator/>
      </w:r>
    </w:p>
  </w:endnote>
  <w:endnote w:type="continuationSeparator" w:id="0">
    <w:p w14:paraId="53B99ADF" w14:textId="77777777" w:rsidR="00B72D94" w:rsidRDefault="00B72D9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7305171"/>
      <w:docPartObj>
        <w:docPartGallery w:val="Page Numbers (Bottom of Page)"/>
        <w:docPartUnique/>
      </w:docPartObj>
    </w:sdtPr>
    <w:sdtEndPr>
      <w:rPr>
        <w:rStyle w:val="PageNumber"/>
      </w:rPr>
    </w:sdtEndPr>
    <w:sdtContent>
      <w:p w14:paraId="02FBC0C6" w14:textId="77777777" w:rsidR="00E7130C" w:rsidRDefault="00E7130C" w:rsidP="00736E8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1F258E" w14:textId="77777777" w:rsidR="00E7130C" w:rsidRDefault="00E71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9918169"/>
      <w:docPartObj>
        <w:docPartGallery w:val="Page Numbers (Bottom of Page)"/>
        <w:docPartUnique/>
      </w:docPartObj>
    </w:sdtPr>
    <w:sdtEndPr>
      <w:rPr>
        <w:rStyle w:val="PageNumber"/>
      </w:rPr>
    </w:sdtEndPr>
    <w:sdtContent>
      <w:p w14:paraId="7899FF90" w14:textId="77777777" w:rsidR="00E7130C" w:rsidRDefault="00E7130C" w:rsidP="00736E8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6EE418E" w14:textId="77777777" w:rsidR="00E7130C" w:rsidRDefault="00E71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06DE5" w14:textId="77777777" w:rsidR="00B72D94" w:rsidRDefault="00B72D94" w:rsidP="003C7C97">
      <w:pPr>
        <w:spacing w:after="0" w:line="240" w:lineRule="auto"/>
      </w:pPr>
      <w:r>
        <w:separator/>
      </w:r>
    </w:p>
  </w:footnote>
  <w:footnote w:type="continuationSeparator" w:id="0">
    <w:p w14:paraId="1674FA94" w14:textId="77777777" w:rsidR="00B72D94" w:rsidRDefault="00B72D9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C2FBF"/>
    <w:multiLevelType w:val="hybridMultilevel"/>
    <w:tmpl w:val="2374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2B44AD"/>
    <w:multiLevelType w:val="hybridMultilevel"/>
    <w:tmpl w:val="D1B0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82289"/>
    <w:multiLevelType w:val="hybridMultilevel"/>
    <w:tmpl w:val="80DA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10"/>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4"/>
  </w:num>
  <w:num w:numId="9" w16cid:durableId="1393503788">
    <w:abstractNumId w:val="4"/>
  </w:num>
  <w:num w:numId="10" w16cid:durableId="1579359955">
    <w:abstractNumId w:val="12"/>
  </w:num>
  <w:num w:numId="11" w16cid:durableId="806699681">
    <w:abstractNumId w:val="13"/>
  </w:num>
  <w:num w:numId="12" w16cid:durableId="1314750107">
    <w:abstractNumId w:val="11"/>
  </w:num>
  <w:num w:numId="13" w16cid:durableId="1766919701">
    <w:abstractNumId w:val="17"/>
  </w:num>
  <w:num w:numId="14" w16cid:durableId="1957908719">
    <w:abstractNumId w:val="9"/>
  </w:num>
  <w:num w:numId="15" w16cid:durableId="1132019979">
    <w:abstractNumId w:val="2"/>
  </w:num>
  <w:num w:numId="16" w16cid:durableId="1457524365">
    <w:abstractNumId w:val="5"/>
  </w:num>
  <w:num w:numId="17" w16cid:durableId="1386294306">
    <w:abstractNumId w:val="23"/>
  </w:num>
  <w:num w:numId="18" w16cid:durableId="1838374920">
    <w:abstractNumId w:val="20"/>
  </w:num>
  <w:num w:numId="19" w16cid:durableId="1827044992">
    <w:abstractNumId w:val="8"/>
  </w:num>
  <w:num w:numId="20" w16cid:durableId="895820667">
    <w:abstractNumId w:val="16"/>
  </w:num>
  <w:num w:numId="21" w16cid:durableId="817497522">
    <w:abstractNumId w:val="24"/>
  </w:num>
  <w:num w:numId="22" w16cid:durableId="725690465">
    <w:abstractNumId w:val="0"/>
  </w:num>
  <w:num w:numId="23" w16cid:durableId="569194990">
    <w:abstractNumId w:val="3"/>
  </w:num>
  <w:num w:numId="24" w16cid:durableId="1055352132">
    <w:abstractNumId w:val="7"/>
  </w:num>
  <w:num w:numId="25" w16cid:durableId="21182154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D94"/>
    <w:rsid w:val="0001715D"/>
    <w:rsid w:val="00022C42"/>
    <w:rsid w:val="00027B15"/>
    <w:rsid w:val="00030A05"/>
    <w:rsid w:val="00070818"/>
    <w:rsid w:val="0008238F"/>
    <w:rsid w:val="00082EC6"/>
    <w:rsid w:val="00085388"/>
    <w:rsid w:val="000C385F"/>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B443D"/>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07A9"/>
    <w:rsid w:val="006A5CFC"/>
    <w:rsid w:val="006C394C"/>
    <w:rsid w:val="006C5138"/>
    <w:rsid w:val="006C689B"/>
    <w:rsid w:val="006E005C"/>
    <w:rsid w:val="006E6EE5"/>
    <w:rsid w:val="006F0029"/>
    <w:rsid w:val="007138EF"/>
    <w:rsid w:val="00731BD0"/>
    <w:rsid w:val="007632A9"/>
    <w:rsid w:val="00774092"/>
    <w:rsid w:val="00782830"/>
    <w:rsid w:val="0078664A"/>
    <w:rsid w:val="007B0F6D"/>
    <w:rsid w:val="007C62C3"/>
    <w:rsid w:val="007D25AA"/>
    <w:rsid w:val="007D63E3"/>
    <w:rsid w:val="007F0873"/>
    <w:rsid w:val="00805726"/>
    <w:rsid w:val="00815117"/>
    <w:rsid w:val="008248AF"/>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33890"/>
    <w:rsid w:val="00B72D94"/>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7130C"/>
    <w:rsid w:val="00E811D2"/>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2C91C"/>
  <w15:chartTrackingRefBased/>
  <w15:docId w15:val="{FD1651A9-5C55-2949-8908-CAB707CAB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E7130C"/>
  </w:style>
  <w:style w:type="character" w:styleId="UnresolvedMention">
    <w:name w:val="Unresolved Mention"/>
    <w:basedOn w:val="DefaultParagraphFont"/>
    <w:uiPriority w:val="99"/>
    <w:semiHidden/>
    <w:unhideWhenUsed/>
    <w:rsid w:val="007D63E3"/>
    <w:rPr>
      <w:color w:val="605E5C"/>
      <w:shd w:val="clear" w:color="auto" w:fill="E1DFDD"/>
    </w:rPr>
  </w:style>
  <w:style w:type="character" w:styleId="FollowedHyperlink">
    <w:name w:val="FollowedHyperlink"/>
    <w:basedOn w:val="DefaultParagraphFont"/>
    <w:uiPriority w:val="99"/>
    <w:semiHidden/>
    <w:unhideWhenUsed/>
    <w:rsid w:val="007D63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uk-gdpr-guidance-and-resources/" TargetMode="External"/><Relationship Id="rId18" Type="http://schemas.openxmlformats.org/officeDocument/2006/relationships/hyperlink" Target="https://www.rcn.org.uk/-/media/Royal-College-Of-Nursing/Documents/Publications/2023/July/011-016.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health.org.uk/reports-and-analysis/reports/improvement-collaboratives-in-health-care" TargetMode="External"/><Relationship Id="rId17" Type="http://schemas.openxmlformats.org/officeDocument/2006/relationships/hyperlink" Target="https://www.nice.org.uk/guidance/ng56" TargetMode="External"/><Relationship Id="rId2" Type="http://schemas.openxmlformats.org/officeDocument/2006/relationships/numbering" Target="numbering.xml"/><Relationship Id="rId16" Type="http://schemas.openxmlformats.org/officeDocument/2006/relationships/hyperlink" Target="https://www.england.nhs.uk/2016/08/accessible-information-standard/" TargetMode="External"/><Relationship Id="rId20" Type="http://schemas.openxmlformats.org/officeDocument/2006/relationships/hyperlink" Target="https://www.scie.org.uk/providing-care/dignity-in-care/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guidan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publication/accessible-information-standard/" TargetMode="External"/><Relationship Id="rId23" Type="http://schemas.openxmlformats.org/officeDocument/2006/relationships/fontTable" Target="fontTable.xml"/><Relationship Id="rId10" Type="http://schemas.openxmlformats.org/officeDocument/2006/relationships/hyperlink" Target="https://www.legislation.gov.uk/ukpga/2010/15" TargetMode="External"/><Relationship Id="rId19" Type="http://schemas.openxmlformats.org/officeDocument/2006/relationships/hyperlink" Target="https://www.scie.org.uk/integrated-care/" TargetMode="External"/><Relationship Id="rId4" Type="http://schemas.openxmlformats.org/officeDocument/2006/relationships/settings" Target="settings.xml"/><Relationship Id="rId9" Type="http://schemas.openxmlformats.org/officeDocument/2006/relationships/hyperlink" Target="https://www.cqc.org.uk/about-us/fundamental-standards" TargetMode="External"/><Relationship Id="rId14" Type="http://schemas.openxmlformats.org/officeDocument/2006/relationships/hyperlink" Target="https://ico.org.uk/for-organisations/uk-gdpr-guidance-and-resources/individual-rights/right-of-access/health-data/"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amaiyasmith/Downloads/62675_Lamaiya_Smith_FINAL_-_LCHS4003_-_Written_Assignment_683938_30968128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62675_Lamaiya_Smith_FINAL_-_LCHS4003_-_Written_Assignment_683938_309681283.dotx</Template>
  <TotalTime>1</TotalTime>
  <Pages>7</Pages>
  <Words>2034</Words>
  <Characters>11596</Characters>
  <Application>Microsoft Office Word</Application>
  <DocSecurity>0</DocSecurity>
  <Lines>96</Lines>
  <Paragraphs>27</Paragraphs>
  <ScaleCrop>false</ScaleCrop>
  <Company>University of Wales Trinity Saint David</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Lamaiya Smith</dc:creator>
  <cp:keywords/>
  <dc:description/>
  <cp:lastModifiedBy>Lamaiya Smith (1815074)</cp:lastModifiedBy>
  <cp:revision>1</cp:revision>
  <dcterms:created xsi:type="dcterms:W3CDTF">2025-11-20T23:38:00Z</dcterms:created>
  <dcterms:modified xsi:type="dcterms:W3CDTF">2025-11-20T23:39:00Z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