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44C7EB" w14:textId="77777777" w:rsidR="00CC7B77" w:rsidRPr="00BB5579" w:rsidRDefault="00CC7B77" w:rsidP="00622487">
      <w:pPr>
        <w:spacing w:line="360" w:lineRule="auto"/>
        <w:rPr>
          <w:rFonts w:ascii="Arial" w:hAnsi="Arial" w:cs="Arial"/>
          <w:b/>
          <w:bCs/>
          <w:i/>
          <w:iCs/>
          <w:u w:val="single"/>
        </w:rPr>
      </w:pPr>
      <w:r w:rsidRPr="00BB5579">
        <w:rPr>
          <w:rFonts w:ascii="Arial" w:hAnsi="Arial" w:cs="Arial"/>
          <w:b/>
          <w:bCs/>
          <w:i/>
          <w:iCs/>
          <w:u w:val="single"/>
        </w:rPr>
        <w:t xml:space="preserve">Section1 </w:t>
      </w:r>
    </w:p>
    <w:p w14:paraId="27889456" w14:textId="7BAAF33E" w:rsidR="00622487" w:rsidRPr="00BB5579" w:rsidRDefault="00622487" w:rsidP="00622487">
      <w:pPr>
        <w:spacing w:line="360" w:lineRule="auto"/>
        <w:rPr>
          <w:rFonts w:ascii="Arial" w:hAnsi="Arial" w:cs="Arial"/>
          <w:b/>
          <w:bCs/>
          <w:i/>
          <w:iCs/>
        </w:rPr>
      </w:pPr>
      <w:r w:rsidRPr="00BB5579">
        <w:rPr>
          <w:rFonts w:ascii="Arial" w:hAnsi="Arial" w:cs="Arial"/>
          <w:b/>
          <w:bCs/>
          <w:i/>
          <w:iCs/>
        </w:rPr>
        <w:t>The research paper Witness to Harm – Holding to Account (2025) investigates how members of the public, families, and colleagues experience the Fitness to Practise processes used by UK health and social care regulators. These regulators oversee more than 2.5 million registered professionals, and when concerns are raised about a practitioner’s conduct, competence, or health, an investigation may follow. In serious cases, witnesses</w:t>
      </w:r>
      <w:r w:rsidR="00104665" w:rsidRPr="00BB5579">
        <w:rPr>
          <w:rFonts w:ascii="Arial" w:hAnsi="Arial" w:cs="Arial"/>
          <w:b/>
          <w:bCs/>
          <w:i/>
          <w:iCs/>
        </w:rPr>
        <w:t xml:space="preserve"> </w:t>
      </w:r>
      <w:r w:rsidRPr="00BB5579">
        <w:rPr>
          <w:rFonts w:ascii="Arial" w:hAnsi="Arial" w:cs="Arial"/>
          <w:b/>
          <w:bCs/>
          <w:i/>
          <w:iCs/>
        </w:rPr>
        <w:t>often ordinary members of the public</w:t>
      </w:r>
      <w:r w:rsidR="008B7F04" w:rsidRPr="00BB5579">
        <w:rPr>
          <w:rFonts w:ascii="Arial" w:hAnsi="Arial" w:cs="Arial"/>
          <w:b/>
          <w:bCs/>
          <w:i/>
          <w:iCs/>
        </w:rPr>
        <w:t xml:space="preserve"> </w:t>
      </w:r>
      <w:r w:rsidRPr="00BB5579">
        <w:rPr>
          <w:rFonts w:ascii="Arial" w:hAnsi="Arial" w:cs="Arial"/>
          <w:b/>
          <w:bCs/>
          <w:i/>
          <w:iCs/>
        </w:rPr>
        <w:t xml:space="preserve">are required to give evidence in formal hearings. The study highlights that this process can be distressing, retraumatising, and confusing, yet it remains a crucial part of maintaining public trust in professional </w:t>
      </w:r>
      <w:r w:rsidRPr="00BB5579">
        <w:rPr>
          <w:rFonts w:ascii="Arial" w:hAnsi="Arial" w:cs="Arial"/>
          <w:b/>
          <w:bCs/>
          <w:i/>
          <w:iCs/>
        </w:rPr>
        <w:t xml:space="preserve">sector </w:t>
      </w:r>
    </w:p>
    <w:p w14:paraId="3DAF7FBC" w14:textId="77777777" w:rsidR="00622487" w:rsidRPr="00BB5579" w:rsidRDefault="00622487" w:rsidP="00622487">
      <w:pPr>
        <w:spacing w:line="360" w:lineRule="auto"/>
        <w:rPr>
          <w:rFonts w:ascii="Arial" w:hAnsi="Arial" w:cs="Arial"/>
          <w:b/>
          <w:bCs/>
          <w:i/>
          <w:iCs/>
        </w:rPr>
      </w:pPr>
      <w:r w:rsidRPr="00BB5579">
        <w:rPr>
          <w:rFonts w:ascii="Arial" w:hAnsi="Arial" w:cs="Arial"/>
          <w:b/>
          <w:bCs/>
          <w:i/>
          <w:iCs/>
        </w:rPr>
        <w:t>The authors emphasise that witness cross</w:t>
      </w:r>
      <w:r w:rsidRPr="00BB5579">
        <w:rPr>
          <w:rFonts w:ascii="Arial" w:hAnsi="Arial" w:cs="Arial"/>
          <w:b/>
          <w:bCs/>
          <w:i/>
          <w:iCs/>
        </w:rPr>
        <w:noBreakHyphen/>
        <w:t xml:space="preserve">examination, already known to be traumatic in criminal courts, can have similar emotional impacts within regulatory hearings. Witnesses may need to repeatedly retell their experiences, face adversarial questioning, and navigate complex legal procedures. Many participants reported feeling unsupported, overwhelmed, and uncertain about what would happen at each stage of the process. The study therefore aims to understand these experiences in depth and identify how regulatory bodies can improve their communication, guidance, and support for witnesses. </w:t>
      </w:r>
    </w:p>
    <w:p w14:paraId="10C416A2" w14:textId="054D6445" w:rsidR="00622487" w:rsidRPr="00BB5579" w:rsidRDefault="00622487" w:rsidP="00622487">
      <w:pPr>
        <w:spacing w:line="360" w:lineRule="auto"/>
        <w:rPr>
          <w:rFonts w:ascii="Arial" w:hAnsi="Arial" w:cs="Arial"/>
          <w:b/>
          <w:bCs/>
          <w:i/>
          <w:iCs/>
        </w:rPr>
      </w:pPr>
      <w:r w:rsidRPr="00BB5579">
        <w:rPr>
          <w:rFonts w:ascii="Arial" w:hAnsi="Arial" w:cs="Arial"/>
          <w:b/>
          <w:bCs/>
          <w:i/>
          <w:iCs/>
        </w:rPr>
        <w:t>To explore these issues, the research team used a mixed</w:t>
      </w:r>
      <w:r w:rsidRPr="00BB5579">
        <w:rPr>
          <w:rFonts w:ascii="Arial" w:hAnsi="Arial" w:cs="Arial"/>
          <w:b/>
          <w:bCs/>
          <w:i/>
          <w:iCs/>
        </w:rPr>
        <w:noBreakHyphen/>
        <w:t>methods approach, including thematic analysis of regulator websites, surveys, interviews, and ethnographic observations of hearings. They reviewed 146 public</w:t>
      </w:r>
      <w:r w:rsidRPr="00BB5579">
        <w:rPr>
          <w:rFonts w:ascii="Arial" w:hAnsi="Arial" w:cs="Arial"/>
          <w:b/>
          <w:bCs/>
          <w:i/>
          <w:iCs/>
        </w:rPr>
        <w:noBreakHyphen/>
        <w:t>facing resources</w:t>
      </w:r>
      <w:r w:rsidRPr="00BB5579">
        <w:rPr>
          <w:rFonts w:ascii="Arial" w:hAnsi="Arial" w:cs="Arial"/>
          <w:b/>
          <w:bCs/>
          <w:i/>
          <w:iCs/>
        </w:rPr>
        <w:t xml:space="preserve"> </w:t>
      </w:r>
      <w:r w:rsidRPr="00BB5579">
        <w:rPr>
          <w:rFonts w:ascii="Arial" w:hAnsi="Arial" w:cs="Arial"/>
          <w:b/>
          <w:bCs/>
          <w:i/>
          <w:iCs/>
        </w:rPr>
        <w:t>webpages, documents, videos, and “easy read” materials</w:t>
      </w:r>
      <w:r w:rsidRPr="00BB5579">
        <w:rPr>
          <w:rFonts w:ascii="Arial" w:hAnsi="Arial" w:cs="Arial"/>
          <w:b/>
          <w:bCs/>
          <w:i/>
          <w:iCs/>
        </w:rPr>
        <w:t xml:space="preserve"> </w:t>
      </w:r>
      <w:r w:rsidRPr="00BB5579">
        <w:rPr>
          <w:rFonts w:ascii="Arial" w:hAnsi="Arial" w:cs="Arial"/>
          <w:b/>
          <w:bCs/>
          <w:i/>
          <w:iCs/>
        </w:rPr>
        <w:t xml:space="preserve">to assess how accessible and helpful the information is for people preparing to give evidence. Their findings show that information is often inconsistent, overly complex, or insufficient, requiring high literacy and digital skills that many witnesses may not have. </w:t>
      </w:r>
    </w:p>
    <w:p w14:paraId="4DA4F554" w14:textId="7C326C42" w:rsidR="00622487" w:rsidRPr="00BB5579" w:rsidRDefault="00622487" w:rsidP="00622487">
      <w:pPr>
        <w:spacing w:line="360" w:lineRule="auto"/>
        <w:rPr>
          <w:rFonts w:ascii="Arial" w:hAnsi="Arial" w:cs="Arial"/>
          <w:b/>
          <w:bCs/>
          <w:i/>
          <w:iCs/>
        </w:rPr>
      </w:pPr>
      <w:r w:rsidRPr="00BB5579">
        <w:rPr>
          <w:rFonts w:ascii="Arial" w:hAnsi="Arial" w:cs="Arial"/>
          <w:b/>
          <w:bCs/>
          <w:i/>
          <w:iCs/>
        </w:rPr>
        <w:t>Overall, this paper provides unique and important evidence about the emotional, practical, and procedural challenges faced by public witnesses in hearings. It argues that regulators must adopt more compassionate, trauma</w:t>
      </w:r>
      <w:r w:rsidRPr="00BB5579">
        <w:rPr>
          <w:rFonts w:ascii="Arial" w:hAnsi="Arial" w:cs="Arial"/>
          <w:b/>
          <w:bCs/>
          <w:i/>
          <w:iCs/>
        </w:rPr>
        <w:noBreakHyphen/>
        <w:t>informed, and accessible approaches to support those who come forward. The study’s recommendations aim to improve fairness, reduce harm, and strengthen public confidence in health and social care regulation</w:t>
      </w:r>
    </w:p>
    <w:p w14:paraId="041D92ED" w14:textId="77777777" w:rsidR="00622487" w:rsidRDefault="00622487" w:rsidP="00144C57">
      <w:pPr>
        <w:spacing w:line="360" w:lineRule="auto"/>
        <w:rPr>
          <w:rFonts w:ascii="Arial" w:hAnsi="Arial" w:cs="Arial"/>
          <w:b/>
          <w:bCs/>
          <w:i/>
          <w:iCs/>
          <w:sz w:val="20"/>
          <w:szCs w:val="20"/>
          <w:u w:val="single"/>
        </w:rPr>
      </w:pPr>
    </w:p>
    <w:p w14:paraId="1F659203" w14:textId="77777777" w:rsidR="00622487" w:rsidRDefault="00622487" w:rsidP="00144C57">
      <w:pPr>
        <w:spacing w:line="360" w:lineRule="auto"/>
        <w:rPr>
          <w:rFonts w:ascii="Arial" w:hAnsi="Arial" w:cs="Arial"/>
          <w:b/>
          <w:bCs/>
          <w:i/>
          <w:iCs/>
          <w:sz w:val="20"/>
          <w:szCs w:val="20"/>
          <w:u w:val="single"/>
        </w:rPr>
      </w:pPr>
    </w:p>
    <w:p w14:paraId="75366F6A" w14:textId="77777777" w:rsidR="00622487" w:rsidRDefault="00622487" w:rsidP="00144C57">
      <w:pPr>
        <w:spacing w:line="360" w:lineRule="auto"/>
        <w:rPr>
          <w:rFonts w:ascii="Arial" w:hAnsi="Arial" w:cs="Arial"/>
          <w:b/>
          <w:bCs/>
          <w:i/>
          <w:iCs/>
          <w:sz w:val="20"/>
          <w:szCs w:val="20"/>
          <w:u w:val="single"/>
        </w:rPr>
      </w:pPr>
    </w:p>
    <w:p w14:paraId="428CCAC9" w14:textId="77777777" w:rsidR="00622487" w:rsidRDefault="00622487" w:rsidP="00144C57">
      <w:pPr>
        <w:spacing w:line="360" w:lineRule="auto"/>
        <w:rPr>
          <w:rFonts w:ascii="Arial" w:hAnsi="Arial" w:cs="Arial"/>
          <w:b/>
          <w:bCs/>
          <w:i/>
          <w:iCs/>
          <w:sz w:val="20"/>
          <w:szCs w:val="20"/>
          <w:u w:val="single"/>
        </w:rPr>
      </w:pPr>
    </w:p>
    <w:p w14:paraId="402CF3C7" w14:textId="77777777" w:rsidR="00622487" w:rsidRDefault="00622487" w:rsidP="00144C57">
      <w:pPr>
        <w:spacing w:line="360" w:lineRule="auto"/>
        <w:rPr>
          <w:rFonts w:ascii="Arial" w:hAnsi="Arial" w:cs="Arial"/>
          <w:b/>
          <w:bCs/>
          <w:i/>
          <w:iCs/>
          <w:sz w:val="20"/>
          <w:szCs w:val="20"/>
          <w:u w:val="single"/>
        </w:rPr>
      </w:pPr>
    </w:p>
    <w:p w14:paraId="2F3C4BFB" w14:textId="77777777" w:rsidR="00622487" w:rsidRDefault="00622487" w:rsidP="00144C57">
      <w:pPr>
        <w:spacing w:line="360" w:lineRule="auto"/>
        <w:rPr>
          <w:rFonts w:ascii="Arial" w:hAnsi="Arial" w:cs="Arial"/>
          <w:b/>
          <w:bCs/>
          <w:i/>
          <w:iCs/>
          <w:sz w:val="20"/>
          <w:szCs w:val="20"/>
          <w:u w:val="single"/>
        </w:rPr>
      </w:pPr>
    </w:p>
    <w:p w14:paraId="079AC32D" w14:textId="77777777" w:rsidR="00622487" w:rsidRDefault="00622487" w:rsidP="00144C57">
      <w:pPr>
        <w:spacing w:line="360" w:lineRule="auto"/>
        <w:rPr>
          <w:rFonts w:ascii="Arial" w:hAnsi="Arial" w:cs="Arial"/>
          <w:b/>
          <w:bCs/>
          <w:i/>
          <w:iCs/>
          <w:sz w:val="20"/>
          <w:szCs w:val="20"/>
          <w:u w:val="single"/>
        </w:rPr>
      </w:pPr>
    </w:p>
    <w:p w14:paraId="0BCA34D6" w14:textId="77777777" w:rsidR="00622487" w:rsidRDefault="00622487" w:rsidP="00144C57">
      <w:pPr>
        <w:spacing w:line="360" w:lineRule="auto"/>
        <w:rPr>
          <w:rFonts w:ascii="Arial" w:hAnsi="Arial" w:cs="Arial"/>
          <w:b/>
          <w:bCs/>
          <w:i/>
          <w:iCs/>
          <w:sz w:val="20"/>
          <w:szCs w:val="20"/>
          <w:u w:val="single"/>
        </w:rPr>
      </w:pPr>
    </w:p>
    <w:p w14:paraId="763EF531" w14:textId="77777777" w:rsidR="00622487" w:rsidRDefault="00622487" w:rsidP="00144C57">
      <w:pPr>
        <w:spacing w:line="360" w:lineRule="auto"/>
        <w:rPr>
          <w:rFonts w:ascii="Arial" w:hAnsi="Arial" w:cs="Arial"/>
          <w:b/>
          <w:bCs/>
          <w:i/>
          <w:iCs/>
          <w:sz w:val="20"/>
          <w:szCs w:val="20"/>
          <w:u w:val="single"/>
        </w:rPr>
      </w:pPr>
    </w:p>
    <w:p w14:paraId="26B80C55" w14:textId="0A543AF3" w:rsidR="00675E34" w:rsidRPr="00BB5579" w:rsidRDefault="00675E34" w:rsidP="00144C57">
      <w:pPr>
        <w:spacing w:line="360" w:lineRule="auto"/>
        <w:rPr>
          <w:rFonts w:ascii="Arial" w:hAnsi="Arial" w:cs="Arial"/>
          <w:b/>
          <w:bCs/>
          <w:i/>
          <w:iCs/>
          <w:u w:val="single"/>
        </w:rPr>
      </w:pPr>
      <w:r w:rsidRPr="00BB5579">
        <w:rPr>
          <w:rFonts w:ascii="Arial" w:hAnsi="Arial" w:cs="Arial"/>
          <w:b/>
          <w:bCs/>
          <w:i/>
          <w:iCs/>
          <w:u w:val="single"/>
        </w:rPr>
        <w:t>Section 2</w:t>
      </w:r>
    </w:p>
    <w:p w14:paraId="62074CBD" w14:textId="59EEF03C" w:rsidR="008407F9" w:rsidRPr="00BB5579" w:rsidRDefault="00144C57" w:rsidP="008407F9">
      <w:pPr>
        <w:spacing w:line="360" w:lineRule="auto"/>
        <w:rPr>
          <w:rFonts w:ascii="Arial" w:hAnsi="Arial" w:cs="Arial"/>
          <w:b/>
          <w:bCs/>
          <w:i/>
          <w:iCs/>
        </w:rPr>
      </w:pPr>
      <w:r w:rsidRPr="00BB5579">
        <w:rPr>
          <w:rFonts w:ascii="Arial" w:hAnsi="Arial" w:cs="Arial"/>
          <w:b/>
          <w:bCs/>
          <w:i/>
          <w:iCs/>
        </w:rPr>
        <w:t>The purpose of this report is to analyse real</w:t>
      </w:r>
      <w:r w:rsidRPr="00BB5579">
        <w:rPr>
          <w:rFonts w:ascii="Arial" w:hAnsi="Arial" w:cs="Arial"/>
          <w:b/>
          <w:bCs/>
          <w:i/>
          <w:iCs/>
        </w:rPr>
        <w:noBreakHyphen/>
        <w:t>world practice within health and social care, evaluate how services work together, and consider how professionals uphold values such as dignity, compassion and person</w:t>
      </w:r>
      <w:r w:rsidRPr="00BB5579">
        <w:rPr>
          <w:rFonts w:ascii="Arial" w:hAnsi="Arial" w:cs="Arial"/>
          <w:b/>
          <w:bCs/>
          <w:i/>
          <w:iCs/>
        </w:rPr>
        <w:noBreakHyphen/>
        <w:t>centred care. By doing so, the report aims to demonstrate a clear understanding of how high</w:t>
      </w:r>
      <w:r w:rsidRPr="00BB5579">
        <w:rPr>
          <w:rFonts w:ascii="Arial" w:hAnsi="Arial" w:cs="Arial"/>
          <w:b/>
          <w:bCs/>
          <w:i/>
          <w:iCs/>
        </w:rPr>
        <w:noBreakHyphen/>
        <w:t>quality care is delivered, the challenges individuals may face, and the strategies used to overcome these challenges. This introduction sets the foundation for a detailed examination of service provision, barriers to access, and the professional behaviours required to support individuals effectively within a modern health and social care environment.</w:t>
      </w:r>
      <w:r w:rsidR="00675E34" w:rsidRPr="00BB5579">
        <w:rPr>
          <w:rFonts w:ascii="Arial" w:hAnsi="Arial" w:cs="Arial"/>
          <w:b/>
          <w:bCs/>
          <w:i/>
          <w:iCs/>
        </w:rPr>
        <w:t xml:space="preserve"> </w:t>
      </w:r>
      <w:r w:rsidR="008407F9" w:rsidRPr="00BB5579">
        <w:rPr>
          <w:rFonts w:ascii="Arial" w:hAnsi="Arial" w:cs="Arial"/>
          <w:b/>
          <w:bCs/>
          <w:i/>
          <w:iCs/>
        </w:rPr>
        <w:t>Health and social care exists to support people’s physical, mental, and social wellbeing throughout their lives. Its purpose is to prevent illness, provide treatment, and promote independence for individuals with short</w:t>
      </w:r>
      <w:r w:rsidR="008407F9" w:rsidRPr="00BB5579">
        <w:rPr>
          <w:rFonts w:ascii="Arial" w:hAnsi="Arial" w:cs="Arial"/>
          <w:b/>
          <w:bCs/>
          <w:i/>
          <w:iCs/>
        </w:rPr>
        <w:noBreakHyphen/>
        <w:t>term or long</w:t>
      </w:r>
      <w:r w:rsidR="008407F9" w:rsidRPr="00BB5579">
        <w:rPr>
          <w:rFonts w:ascii="Arial" w:hAnsi="Arial" w:cs="Arial"/>
          <w:b/>
          <w:bCs/>
          <w:i/>
          <w:iCs/>
        </w:rPr>
        <w:noBreakHyphen/>
        <w:t>term needs. Health care focuses on diagnosing and treating medical conditions, while social care helps people with daily living, safeguarding, and maintaining quality of life. Together, they protect vulnerable individuals, reduce health inequalities, and ensure people receive person</w:t>
      </w:r>
      <w:r w:rsidR="008407F9" w:rsidRPr="00BB5579">
        <w:rPr>
          <w:rFonts w:ascii="Arial" w:hAnsi="Arial" w:cs="Arial"/>
          <w:b/>
          <w:bCs/>
          <w:i/>
          <w:iCs/>
        </w:rPr>
        <w:noBreakHyphen/>
        <w:t>centred support. In the UK, services work in partnership across the NHS and local authorities to improve outcomes and help people live safely and independently.</w:t>
      </w:r>
    </w:p>
    <w:p w14:paraId="267F041C" w14:textId="77777777" w:rsidR="00622487" w:rsidRDefault="00622487" w:rsidP="008407F9">
      <w:pPr>
        <w:spacing w:line="360" w:lineRule="auto"/>
        <w:rPr>
          <w:rFonts w:ascii="Arial" w:hAnsi="Arial" w:cs="Arial"/>
          <w:b/>
          <w:bCs/>
          <w:i/>
          <w:iCs/>
          <w:u w:val="single"/>
        </w:rPr>
      </w:pPr>
    </w:p>
    <w:p w14:paraId="7136B879" w14:textId="77777777" w:rsidR="00622487" w:rsidRDefault="00622487" w:rsidP="008407F9">
      <w:pPr>
        <w:spacing w:line="360" w:lineRule="auto"/>
        <w:rPr>
          <w:rFonts w:ascii="Arial" w:hAnsi="Arial" w:cs="Arial"/>
          <w:b/>
          <w:bCs/>
          <w:i/>
          <w:iCs/>
          <w:u w:val="single"/>
        </w:rPr>
      </w:pPr>
    </w:p>
    <w:p w14:paraId="23F26307" w14:textId="77777777" w:rsidR="00622487" w:rsidRDefault="00622487" w:rsidP="008407F9">
      <w:pPr>
        <w:spacing w:line="360" w:lineRule="auto"/>
        <w:rPr>
          <w:rFonts w:ascii="Arial" w:hAnsi="Arial" w:cs="Arial"/>
          <w:b/>
          <w:bCs/>
          <w:i/>
          <w:iCs/>
          <w:u w:val="single"/>
        </w:rPr>
      </w:pPr>
    </w:p>
    <w:p w14:paraId="036EA6EE" w14:textId="77777777" w:rsidR="00622487" w:rsidRDefault="00622487" w:rsidP="008407F9">
      <w:pPr>
        <w:spacing w:line="360" w:lineRule="auto"/>
        <w:rPr>
          <w:rFonts w:ascii="Arial" w:hAnsi="Arial" w:cs="Arial"/>
          <w:b/>
          <w:bCs/>
          <w:i/>
          <w:iCs/>
          <w:u w:val="single"/>
        </w:rPr>
      </w:pPr>
    </w:p>
    <w:p w14:paraId="681E2F6A" w14:textId="77777777" w:rsidR="00622487" w:rsidRDefault="00622487" w:rsidP="008407F9">
      <w:pPr>
        <w:spacing w:line="360" w:lineRule="auto"/>
        <w:rPr>
          <w:rFonts w:ascii="Arial" w:hAnsi="Arial" w:cs="Arial"/>
          <w:b/>
          <w:bCs/>
          <w:i/>
          <w:iCs/>
          <w:u w:val="single"/>
        </w:rPr>
      </w:pPr>
    </w:p>
    <w:p w14:paraId="55C94D9C" w14:textId="77777777" w:rsidR="00622487" w:rsidRDefault="00622487" w:rsidP="008407F9">
      <w:pPr>
        <w:spacing w:line="360" w:lineRule="auto"/>
        <w:rPr>
          <w:rFonts w:ascii="Arial" w:hAnsi="Arial" w:cs="Arial"/>
          <w:b/>
          <w:bCs/>
          <w:i/>
          <w:iCs/>
          <w:u w:val="single"/>
        </w:rPr>
      </w:pPr>
    </w:p>
    <w:p w14:paraId="456CC782" w14:textId="77777777" w:rsidR="00622487" w:rsidRDefault="00622487" w:rsidP="008407F9">
      <w:pPr>
        <w:spacing w:line="360" w:lineRule="auto"/>
        <w:rPr>
          <w:rFonts w:ascii="Arial" w:hAnsi="Arial" w:cs="Arial"/>
          <w:b/>
          <w:bCs/>
          <w:i/>
          <w:iCs/>
          <w:u w:val="single"/>
        </w:rPr>
      </w:pPr>
    </w:p>
    <w:p w14:paraId="0F1E0290" w14:textId="77777777" w:rsidR="00622487" w:rsidRDefault="00622487" w:rsidP="008407F9">
      <w:pPr>
        <w:spacing w:line="360" w:lineRule="auto"/>
        <w:rPr>
          <w:rFonts w:ascii="Arial" w:hAnsi="Arial" w:cs="Arial"/>
          <w:b/>
          <w:bCs/>
          <w:i/>
          <w:iCs/>
          <w:u w:val="single"/>
        </w:rPr>
      </w:pPr>
    </w:p>
    <w:p w14:paraId="130F9E97" w14:textId="77777777" w:rsidR="00622487" w:rsidRDefault="00622487" w:rsidP="008407F9">
      <w:pPr>
        <w:spacing w:line="360" w:lineRule="auto"/>
        <w:rPr>
          <w:rFonts w:ascii="Arial" w:hAnsi="Arial" w:cs="Arial"/>
          <w:b/>
          <w:bCs/>
          <w:i/>
          <w:iCs/>
          <w:u w:val="single"/>
        </w:rPr>
      </w:pPr>
    </w:p>
    <w:p w14:paraId="1F32C753" w14:textId="7E524C1D" w:rsidR="00CC7B77" w:rsidRPr="00BB5579" w:rsidRDefault="00622487" w:rsidP="00675E34">
      <w:pPr>
        <w:spacing w:line="360" w:lineRule="auto"/>
        <w:rPr>
          <w:rFonts w:ascii="Arial" w:hAnsi="Arial" w:cs="Arial"/>
          <w:b/>
          <w:bCs/>
          <w:i/>
          <w:iCs/>
          <w:u w:val="single"/>
        </w:rPr>
      </w:pPr>
      <w:r w:rsidRPr="00BB5579">
        <w:rPr>
          <w:rFonts w:ascii="Arial" w:hAnsi="Arial" w:cs="Arial"/>
          <w:b/>
          <w:bCs/>
          <w:i/>
          <w:iCs/>
          <w:u w:val="single"/>
        </w:rPr>
        <w:t xml:space="preserve">Section 3 </w:t>
      </w:r>
    </w:p>
    <w:p w14:paraId="39FAF1E3" w14:textId="35471AF0" w:rsidR="00675E34" w:rsidRPr="00BB5579" w:rsidRDefault="00675E34" w:rsidP="00675E34">
      <w:pPr>
        <w:spacing w:line="360" w:lineRule="auto"/>
        <w:rPr>
          <w:rFonts w:ascii="Arial" w:hAnsi="Arial" w:cs="Arial"/>
          <w:b/>
          <w:bCs/>
          <w:i/>
          <w:iCs/>
        </w:rPr>
      </w:pPr>
      <w:r w:rsidRPr="00BB5579">
        <w:rPr>
          <w:rFonts w:ascii="Arial" w:hAnsi="Arial" w:cs="Arial"/>
          <w:b/>
          <w:bCs/>
          <w:i/>
          <w:iCs/>
        </w:rPr>
        <w:t>Qualitative research focuses on exploring experiences, emotions, and behaviours through non</w:t>
      </w:r>
      <w:r w:rsidRPr="00BB5579">
        <w:rPr>
          <w:rFonts w:ascii="Arial" w:hAnsi="Arial" w:cs="Arial"/>
          <w:b/>
          <w:bCs/>
          <w:i/>
          <w:iCs/>
        </w:rPr>
        <w:noBreakHyphen/>
        <w:t>numerical data. It is widely used in health and social care because it helps practitioners understand how individuals interpret their health conditions, services, and support systems.</w:t>
      </w:r>
      <w:r w:rsidR="008B7F04" w:rsidRPr="00BB5579">
        <w:rPr>
          <w:rFonts w:ascii="Arial" w:hAnsi="Arial" w:cs="Arial"/>
          <w:b/>
          <w:bCs/>
          <w:i/>
          <w:iCs/>
        </w:rPr>
        <w:t xml:space="preserve"> </w:t>
      </w:r>
      <w:r w:rsidRPr="00BB5579">
        <w:rPr>
          <w:rFonts w:ascii="Arial" w:hAnsi="Arial" w:cs="Arial"/>
          <w:b/>
          <w:bCs/>
          <w:i/>
          <w:iCs/>
        </w:rPr>
        <w:t xml:space="preserve">include interviews, focus groups, observations, and case studies. These methods allow researchers to gather rich, detailed information about </w:t>
      </w:r>
      <w:r w:rsidR="008B7F04" w:rsidRPr="00BB5579">
        <w:rPr>
          <w:rFonts w:ascii="Arial" w:hAnsi="Arial" w:cs="Arial"/>
          <w:b/>
          <w:bCs/>
          <w:i/>
          <w:iCs/>
        </w:rPr>
        <w:t>peoples</w:t>
      </w:r>
      <w:r w:rsidRPr="00BB5579">
        <w:rPr>
          <w:rFonts w:ascii="Arial" w:hAnsi="Arial" w:cs="Arial"/>
          <w:b/>
          <w:bCs/>
          <w:i/>
          <w:iCs/>
        </w:rPr>
        <w:t xml:space="preserve"> lived experiences. For example, interviews can explore how patients feel about long</w:t>
      </w:r>
      <w:r w:rsidRPr="00BB5579">
        <w:rPr>
          <w:rFonts w:ascii="Arial" w:hAnsi="Arial" w:cs="Arial"/>
          <w:b/>
          <w:bCs/>
          <w:i/>
          <w:iCs/>
        </w:rPr>
        <w:noBreakHyphen/>
        <w:t>term conditions or how carers cope with stress. Observations can reveal how staff interact with service users in residential care settings.</w:t>
      </w:r>
      <w:r w:rsidR="008B7F04" w:rsidRPr="00BB5579">
        <w:rPr>
          <w:rFonts w:ascii="Arial" w:hAnsi="Arial" w:cs="Arial"/>
          <w:b/>
          <w:bCs/>
          <w:i/>
          <w:iCs/>
        </w:rPr>
        <w:t xml:space="preserve"> </w:t>
      </w:r>
      <w:r w:rsidRPr="00BB5579">
        <w:rPr>
          <w:rFonts w:ascii="Arial" w:hAnsi="Arial" w:cs="Arial"/>
          <w:b/>
          <w:bCs/>
          <w:i/>
          <w:iCs/>
        </w:rPr>
        <w:t xml:space="preserve">is typically interpretive, meaning researchers analyse themes and patterns rather than statistics. It is especially useful when exploring complex issues such as safeguarding concerns, mental health stigma, or barriers to accessing services. According to GOV.UK, qualitative research helps practitioners gain deeper insights into how people make sense of their situations and manage health challenges </w:t>
      </w:r>
    </w:p>
    <w:p w14:paraId="4009216E" w14:textId="77777777" w:rsidR="00675E34" w:rsidRPr="00BB5579" w:rsidRDefault="00675E34" w:rsidP="00675E34">
      <w:pPr>
        <w:spacing w:line="360" w:lineRule="auto"/>
        <w:rPr>
          <w:rFonts w:ascii="Arial" w:hAnsi="Arial" w:cs="Arial"/>
          <w:b/>
          <w:bCs/>
          <w:i/>
          <w:iCs/>
        </w:rPr>
      </w:pPr>
    </w:p>
    <w:p w14:paraId="76178517" w14:textId="060E7FC7" w:rsidR="00CC7B77" w:rsidRPr="00BB5579" w:rsidRDefault="00675E34" w:rsidP="00CC7B77">
      <w:pPr>
        <w:spacing w:line="360" w:lineRule="auto"/>
        <w:rPr>
          <w:rFonts w:ascii="Arial" w:hAnsi="Arial" w:cs="Arial"/>
          <w:b/>
          <w:bCs/>
          <w:i/>
          <w:iCs/>
        </w:rPr>
      </w:pPr>
      <w:r w:rsidRPr="00BB5579">
        <w:rPr>
          <w:rFonts w:ascii="Arial" w:hAnsi="Arial" w:cs="Arial"/>
          <w:b/>
          <w:bCs/>
          <w:i/>
          <w:iCs/>
        </w:rPr>
        <w:t>Quantitative research involves collecting numerical data to measure variables, identify patterns, and test hypotheses. It is often used in large</w:t>
      </w:r>
      <w:r w:rsidRPr="00BB5579">
        <w:rPr>
          <w:rFonts w:ascii="Arial" w:hAnsi="Arial" w:cs="Arial"/>
          <w:b/>
          <w:bCs/>
          <w:i/>
          <w:iCs/>
        </w:rPr>
        <w:noBreakHyphen/>
        <w:t>scale studies such as patient satisfaction surveys, public health monitoring, or evaluating treatment outcomes.</w:t>
      </w:r>
      <w:r w:rsidR="008B7F04" w:rsidRPr="00BB5579">
        <w:rPr>
          <w:rFonts w:ascii="Arial" w:hAnsi="Arial" w:cs="Arial"/>
          <w:b/>
          <w:bCs/>
          <w:i/>
          <w:iCs/>
        </w:rPr>
        <w:t xml:space="preserve"> </w:t>
      </w:r>
      <w:r w:rsidRPr="00BB5579">
        <w:rPr>
          <w:rFonts w:ascii="Arial" w:hAnsi="Arial" w:cs="Arial"/>
          <w:b/>
          <w:bCs/>
          <w:i/>
          <w:iCs/>
        </w:rPr>
        <w:t>Common quantitative methods include surveys, structured questionnaires, experiments, and statistical analysis. These methods provide objective data that can be generalised to wider populations. For example, a hospital may use a questionnaire to measure patient satisfaction or conduct an experiment to test whether a new intervention improves recovery times.</w:t>
      </w:r>
      <w:r w:rsidR="008B7F04" w:rsidRPr="00BB5579">
        <w:rPr>
          <w:rFonts w:ascii="Arial" w:hAnsi="Arial" w:cs="Arial"/>
          <w:b/>
          <w:bCs/>
          <w:i/>
          <w:iCs/>
        </w:rPr>
        <w:t xml:space="preserve"> </w:t>
      </w:r>
      <w:r w:rsidRPr="00BB5579">
        <w:rPr>
          <w:rFonts w:ascii="Arial" w:hAnsi="Arial" w:cs="Arial"/>
          <w:b/>
          <w:bCs/>
          <w:i/>
          <w:iCs/>
        </w:rPr>
        <w:t>Quantitative research is structured and controlled, making it useful for identifying trends and relationships. Care Learning highlights that quantitative methods allow researchers to compare results, generalise findings, and produce reliable data for decision</w:t>
      </w:r>
      <w:r w:rsidRPr="00BB5579">
        <w:rPr>
          <w:rFonts w:ascii="Arial" w:hAnsi="Arial" w:cs="Arial"/>
          <w:b/>
          <w:bCs/>
          <w:i/>
          <w:iCs/>
        </w:rPr>
        <w:noBreakHyphen/>
        <w:t>making</w:t>
      </w:r>
      <w:r w:rsidR="008B7F04" w:rsidRPr="00BB5579">
        <w:rPr>
          <w:rFonts w:ascii="Arial" w:hAnsi="Arial" w:cs="Arial"/>
          <w:b/>
          <w:bCs/>
          <w:i/>
          <w:iCs/>
        </w:rPr>
        <w:t xml:space="preserve"> </w:t>
      </w:r>
      <w:r w:rsidR="00CC7B77" w:rsidRPr="00BB5579">
        <w:rPr>
          <w:rFonts w:ascii="Arial" w:hAnsi="Arial" w:cs="Arial"/>
          <w:b/>
          <w:bCs/>
          <w:i/>
          <w:iCs/>
        </w:rPr>
        <w:t xml:space="preserve">The findings of this research highlight the complex and interconnected factors that shape how </w:t>
      </w:r>
      <w:r w:rsidR="00CC7B77" w:rsidRPr="00BB5579">
        <w:rPr>
          <w:rFonts w:ascii="Arial" w:hAnsi="Arial" w:cs="Arial"/>
          <w:b/>
          <w:bCs/>
          <w:i/>
          <w:iCs/>
        </w:rPr>
        <w:t>individuals’</w:t>
      </w:r>
      <w:r w:rsidR="00CC7B77" w:rsidRPr="00BB5579">
        <w:rPr>
          <w:rFonts w:ascii="Arial" w:hAnsi="Arial" w:cs="Arial"/>
          <w:b/>
          <w:bCs/>
          <w:i/>
          <w:iCs/>
        </w:rPr>
        <w:t xml:space="preserve"> access and experience health and social care services. </w:t>
      </w:r>
    </w:p>
    <w:p w14:paraId="68732A12" w14:textId="77777777" w:rsidR="00CC7B77" w:rsidRDefault="00CC7B77" w:rsidP="00CC7B77">
      <w:pPr>
        <w:spacing w:line="360" w:lineRule="auto"/>
        <w:rPr>
          <w:rFonts w:ascii="Arial" w:hAnsi="Arial" w:cs="Arial"/>
          <w:b/>
          <w:bCs/>
          <w:i/>
          <w:iCs/>
          <w:u w:val="single"/>
        </w:rPr>
      </w:pPr>
    </w:p>
    <w:p w14:paraId="1FB1B17C" w14:textId="77777777" w:rsidR="00CC7B77" w:rsidRDefault="00CC7B77" w:rsidP="00CC7B77">
      <w:pPr>
        <w:spacing w:line="360" w:lineRule="auto"/>
        <w:rPr>
          <w:rFonts w:ascii="Arial" w:hAnsi="Arial" w:cs="Arial"/>
          <w:b/>
          <w:bCs/>
          <w:i/>
          <w:iCs/>
          <w:u w:val="single"/>
        </w:rPr>
      </w:pPr>
    </w:p>
    <w:p w14:paraId="40752CC4" w14:textId="77777777" w:rsidR="00CC7B77" w:rsidRDefault="00CC7B77" w:rsidP="00CC7B77">
      <w:pPr>
        <w:spacing w:line="360" w:lineRule="auto"/>
        <w:rPr>
          <w:rFonts w:ascii="Arial" w:hAnsi="Arial" w:cs="Arial"/>
          <w:b/>
          <w:bCs/>
          <w:i/>
          <w:iCs/>
          <w:u w:val="single"/>
        </w:rPr>
      </w:pPr>
    </w:p>
    <w:p w14:paraId="3139A2F1" w14:textId="77777777" w:rsidR="00CC7B77" w:rsidRDefault="00CC7B77" w:rsidP="00CC7B77">
      <w:pPr>
        <w:spacing w:line="360" w:lineRule="auto"/>
        <w:rPr>
          <w:rFonts w:ascii="Arial" w:hAnsi="Arial" w:cs="Arial"/>
          <w:b/>
          <w:bCs/>
          <w:i/>
          <w:iCs/>
          <w:u w:val="single"/>
        </w:rPr>
      </w:pPr>
    </w:p>
    <w:p w14:paraId="51137EE1" w14:textId="77777777" w:rsidR="00CC7B77" w:rsidRDefault="00CC7B77" w:rsidP="00CC7B77">
      <w:pPr>
        <w:spacing w:line="360" w:lineRule="auto"/>
        <w:rPr>
          <w:rFonts w:ascii="Arial" w:hAnsi="Arial" w:cs="Arial"/>
          <w:b/>
          <w:bCs/>
          <w:i/>
          <w:iCs/>
          <w:u w:val="single"/>
        </w:rPr>
      </w:pPr>
    </w:p>
    <w:p w14:paraId="559C821B" w14:textId="77777777" w:rsidR="00BB5579" w:rsidRPr="00BB5579" w:rsidRDefault="00BB5579" w:rsidP="00BB5579">
      <w:pPr>
        <w:spacing w:line="360" w:lineRule="auto"/>
        <w:rPr>
          <w:rFonts w:ascii="Arial" w:hAnsi="Arial" w:cs="Arial"/>
          <w:b/>
          <w:bCs/>
          <w:i/>
          <w:iCs/>
        </w:rPr>
      </w:pPr>
      <w:r w:rsidRPr="00BB5579">
        <w:rPr>
          <w:rFonts w:ascii="Arial" w:hAnsi="Arial" w:cs="Arial"/>
          <w:b/>
          <w:bCs/>
          <w:i/>
          <w:iCs/>
        </w:rPr>
        <w:t>Primary research involves collecting new, original data directly from individuals or groups. In health and social care, this often includes methods such as interviews, questionnaires, observations, case studies, and focus groups. Because the data is gathered first</w:t>
      </w:r>
      <w:r w:rsidRPr="00BB5579">
        <w:rPr>
          <w:rFonts w:ascii="Arial" w:hAnsi="Arial" w:cs="Arial"/>
          <w:b/>
          <w:bCs/>
          <w:i/>
          <w:iCs/>
        </w:rPr>
        <w:noBreakHyphen/>
        <w:t>hand, it is highly specific to the research question and reflects real experiences of service users, carers, or professionals.</w:t>
      </w:r>
    </w:p>
    <w:p w14:paraId="70383334" w14:textId="77777777" w:rsidR="00BB5579" w:rsidRPr="00BB5579" w:rsidRDefault="00BB5579" w:rsidP="00BB5579">
      <w:pPr>
        <w:spacing w:line="360" w:lineRule="auto"/>
        <w:rPr>
          <w:rFonts w:ascii="Arial" w:hAnsi="Arial" w:cs="Arial"/>
          <w:b/>
          <w:bCs/>
          <w:i/>
          <w:iCs/>
        </w:rPr>
      </w:pPr>
      <w:r w:rsidRPr="00BB5579">
        <w:rPr>
          <w:rFonts w:ascii="Arial" w:hAnsi="Arial" w:cs="Arial"/>
          <w:b/>
          <w:bCs/>
          <w:i/>
          <w:iCs/>
        </w:rPr>
        <w:t>Primary research is particularly valuable when exploring sensitive issues such as patient satisfaction, barriers to accessing care, or the lived experiences of individuals with long</w:t>
      </w:r>
      <w:r w:rsidRPr="00BB5579">
        <w:rPr>
          <w:rFonts w:ascii="Arial" w:hAnsi="Arial" w:cs="Arial"/>
          <w:b/>
          <w:bCs/>
          <w:i/>
          <w:iCs/>
        </w:rPr>
        <w:noBreakHyphen/>
        <w:t>term conditions. For example, conducting semi</w:t>
      </w:r>
      <w:r w:rsidRPr="00BB5579">
        <w:rPr>
          <w:rFonts w:ascii="Arial" w:hAnsi="Arial" w:cs="Arial"/>
          <w:b/>
          <w:bCs/>
          <w:i/>
          <w:iCs/>
        </w:rPr>
        <w:noBreakHyphen/>
        <w:t>structured interviews with patients receiving home</w:t>
      </w:r>
      <w:r w:rsidRPr="00BB5579">
        <w:rPr>
          <w:rFonts w:ascii="Arial" w:hAnsi="Arial" w:cs="Arial"/>
          <w:b/>
          <w:bCs/>
          <w:i/>
          <w:iCs/>
        </w:rPr>
        <w:noBreakHyphen/>
        <w:t>care support can reveal personal insights that statistics alone cannot capture. This makes primary research essential for developing person</w:t>
      </w:r>
      <w:r w:rsidRPr="00BB5579">
        <w:rPr>
          <w:rFonts w:ascii="Arial" w:hAnsi="Arial" w:cs="Arial"/>
          <w:b/>
          <w:bCs/>
          <w:i/>
          <w:iCs/>
        </w:rPr>
        <w:noBreakHyphen/>
        <w:t>centred interventions and improving service quality.</w:t>
      </w:r>
    </w:p>
    <w:p w14:paraId="37113339" w14:textId="77777777" w:rsidR="00BB5579" w:rsidRPr="00BB5579" w:rsidRDefault="00BB5579" w:rsidP="00BB5579">
      <w:pPr>
        <w:spacing w:line="360" w:lineRule="auto"/>
        <w:rPr>
          <w:rFonts w:ascii="Arial" w:hAnsi="Arial" w:cs="Arial"/>
          <w:b/>
          <w:bCs/>
          <w:i/>
          <w:iCs/>
        </w:rPr>
      </w:pPr>
      <w:r w:rsidRPr="00BB5579">
        <w:rPr>
          <w:rFonts w:ascii="Arial" w:hAnsi="Arial" w:cs="Arial"/>
          <w:b/>
          <w:bCs/>
          <w:i/>
          <w:iCs/>
        </w:rPr>
        <w:t>However, primary research can be time</w:t>
      </w:r>
      <w:r w:rsidRPr="00BB5579">
        <w:rPr>
          <w:rFonts w:ascii="Arial" w:hAnsi="Arial" w:cs="Arial"/>
          <w:b/>
          <w:bCs/>
          <w:i/>
          <w:iCs/>
        </w:rPr>
        <w:noBreakHyphen/>
        <w:t>consuming and resource</w:t>
      </w:r>
      <w:r w:rsidRPr="00BB5579">
        <w:rPr>
          <w:rFonts w:ascii="Arial" w:hAnsi="Arial" w:cs="Arial"/>
          <w:b/>
          <w:bCs/>
          <w:i/>
          <w:iCs/>
        </w:rPr>
        <w:noBreakHyphen/>
        <w:t>intensive. Ethical considerations are also crucial, especially when working with vulnerable groups. Researchers must ensure confidentiality, informed consent, and safeguarding procedures are followed throughout the process.</w:t>
      </w:r>
    </w:p>
    <w:p w14:paraId="4FA9B0F5" w14:textId="77777777" w:rsidR="001B25F7" w:rsidRDefault="001B25F7" w:rsidP="00CC7B77">
      <w:pPr>
        <w:spacing w:line="360" w:lineRule="auto"/>
        <w:rPr>
          <w:rFonts w:ascii="Arial" w:hAnsi="Arial" w:cs="Arial"/>
          <w:b/>
          <w:bCs/>
          <w:i/>
          <w:iCs/>
        </w:rPr>
      </w:pPr>
    </w:p>
    <w:p w14:paraId="1FA22816" w14:textId="77777777" w:rsidR="001B25F7" w:rsidRPr="001B25F7" w:rsidRDefault="001B25F7" w:rsidP="001B25F7">
      <w:pPr>
        <w:spacing w:line="360" w:lineRule="auto"/>
        <w:rPr>
          <w:rFonts w:ascii="Arial" w:hAnsi="Arial" w:cs="Arial"/>
          <w:b/>
          <w:bCs/>
          <w:i/>
          <w:iCs/>
        </w:rPr>
      </w:pPr>
      <w:r w:rsidRPr="001B25F7">
        <w:rPr>
          <w:rFonts w:ascii="Arial" w:hAnsi="Arial" w:cs="Arial"/>
          <w:b/>
          <w:bCs/>
          <w:i/>
          <w:iCs/>
        </w:rPr>
        <w:t>Secondary research involves analysing existing information that has already been collected, published, or recorded by other researchers, organisations, or government bodies. Common sources include academic journals, policy documents, government statistics, organisational reports, and systematic reviews.</w:t>
      </w:r>
    </w:p>
    <w:p w14:paraId="2AE8A4C4" w14:textId="77777777" w:rsidR="001B25F7" w:rsidRPr="001B25F7" w:rsidRDefault="001B25F7" w:rsidP="001B25F7">
      <w:pPr>
        <w:spacing w:line="360" w:lineRule="auto"/>
        <w:rPr>
          <w:rFonts w:ascii="Arial" w:hAnsi="Arial" w:cs="Arial"/>
          <w:b/>
          <w:bCs/>
          <w:i/>
          <w:iCs/>
        </w:rPr>
      </w:pPr>
      <w:r w:rsidRPr="001B25F7">
        <w:rPr>
          <w:rFonts w:ascii="Arial" w:hAnsi="Arial" w:cs="Arial"/>
          <w:b/>
          <w:bCs/>
          <w:i/>
          <w:iCs/>
        </w:rPr>
        <w:t>Secondary research is essential for gaining a broad understanding of health trends, service outcomes, and evidence</w:t>
      </w:r>
      <w:r w:rsidRPr="001B25F7">
        <w:rPr>
          <w:rFonts w:ascii="Arial" w:hAnsi="Arial" w:cs="Arial"/>
          <w:b/>
          <w:bCs/>
          <w:i/>
          <w:iCs/>
        </w:rPr>
        <w:noBreakHyphen/>
        <w:t>based practice. For example, analysing NHS data on hospital admissions can help identify patterns in chronic illness, while reviewing published studies on mental</w:t>
      </w:r>
      <w:r w:rsidRPr="001B25F7">
        <w:rPr>
          <w:rFonts w:ascii="Arial" w:hAnsi="Arial" w:cs="Arial"/>
          <w:b/>
          <w:bCs/>
          <w:i/>
          <w:iCs/>
        </w:rPr>
        <w:noBreakHyphen/>
        <w:t>health interventions can highlight which approaches are most effective. Secondary research is efficient, cost</w:t>
      </w:r>
      <w:r w:rsidRPr="001B25F7">
        <w:rPr>
          <w:rFonts w:ascii="Arial" w:hAnsi="Arial" w:cs="Arial"/>
          <w:b/>
          <w:bCs/>
          <w:i/>
          <w:iCs/>
        </w:rPr>
        <w:noBreakHyphen/>
        <w:t>effective, and provides access to large datasets that would be difficult to collect independently.</w:t>
      </w:r>
    </w:p>
    <w:p w14:paraId="3A05C5B3" w14:textId="77777777" w:rsidR="001B25F7" w:rsidRPr="001B25F7" w:rsidRDefault="001B25F7" w:rsidP="001B25F7">
      <w:pPr>
        <w:spacing w:line="360" w:lineRule="auto"/>
        <w:rPr>
          <w:rFonts w:ascii="Arial" w:hAnsi="Arial" w:cs="Arial"/>
          <w:b/>
          <w:bCs/>
          <w:i/>
          <w:iCs/>
        </w:rPr>
      </w:pPr>
      <w:r w:rsidRPr="001B25F7">
        <w:rPr>
          <w:rFonts w:ascii="Arial" w:hAnsi="Arial" w:cs="Arial"/>
          <w:b/>
          <w:bCs/>
          <w:i/>
          <w:iCs/>
        </w:rPr>
        <w:t>A key strength of secondary research is its ability to place primary findings into a wider context. It allows researchers to compare their own results with national statistics, established theories, or previous studies. However, secondary sources may vary in quality, and researchers must evaluate whether the information is reliable, up</w:t>
      </w:r>
      <w:r w:rsidRPr="001B25F7">
        <w:rPr>
          <w:rFonts w:ascii="Arial" w:hAnsi="Arial" w:cs="Arial"/>
          <w:b/>
          <w:bCs/>
          <w:i/>
          <w:iCs/>
        </w:rPr>
        <w:noBreakHyphen/>
        <w:t>to</w:t>
      </w:r>
      <w:r w:rsidRPr="001B25F7">
        <w:rPr>
          <w:rFonts w:ascii="Arial" w:hAnsi="Arial" w:cs="Arial"/>
          <w:b/>
          <w:bCs/>
          <w:i/>
          <w:iCs/>
        </w:rPr>
        <w:noBreakHyphen/>
        <w:t>date, and relevant to their aims.</w:t>
      </w:r>
    </w:p>
    <w:p w14:paraId="3EEA5A9B" w14:textId="28839340" w:rsidR="001B25F7" w:rsidRDefault="001B25F7" w:rsidP="00CC7B77">
      <w:pPr>
        <w:spacing w:line="360" w:lineRule="auto"/>
        <w:rPr>
          <w:rFonts w:ascii="Arial" w:hAnsi="Arial" w:cs="Arial"/>
          <w:b/>
          <w:bCs/>
          <w:i/>
          <w:iCs/>
        </w:rPr>
      </w:pPr>
    </w:p>
    <w:p w14:paraId="786C4CDC" w14:textId="1682F1BF" w:rsidR="00FB18C1" w:rsidRDefault="00FB18C1" w:rsidP="00CC7B77">
      <w:pPr>
        <w:spacing w:line="360" w:lineRule="auto"/>
        <w:rPr>
          <w:rFonts w:ascii="Arial" w:hAnsi="Arial" w:cs="Arial"/>
          <w:b/>
          <w:bCs/>
          <w:i/>
          <w:iCs/>
        </w:rPr>
      </w:pPr>
      <w:r w:rsidRPr="00FB18C1">
        <w:rPr>
          <w:rFonts w:ascii="Arial" w:hAnsi="Arial" w:cs="Arial"/>
          <w:b/>
          <w:bCs/>
          <w:i/>
          <w:iCs/>
        </w:rPr>
        <w:lastRenderedPageBreak/>
        <w:t>conclusion of this research paper brings together the key insights developed throughout the study and reflects on their wider significance for health and social care practice, policy, and future research. A strong conclusion does not merely restate earlier points; instead, it synthesises the findings, highlights what has been learned, and demonstrates how the research contributes to a deeper understanding the issues explored. In this study, the central aim was to examine the experiences patients accessing health and social care services, identify the barriers they encounter, and consider how these challenges shape outcomes and engagement. evidence gathered across the report shows that patient experiences are shaped by complex interplay of structural, social, and personal factors, all of which must be addressed to improve service accessibility and effectiveness</w:t>
      </w:r>
      <w:r>
        <w:rPr>
          <w:rFonts w:ascii="Arial" w:hAnsi="Arial" w:cs="Arial"/>
          <w:b/>
          <w:bCs/>
          <w:i/>
          <w:iCs/>
        </w:rPr>
        <w:t xml:space="preserve"> </w:t>
      </w:r>
      <w:r w:rsidRPr="00FB18C1">
        <w:rPr>
          <w:rFonts w:ascii="Arial" w:hAnsi="Arial" w:cs="Arial"/>
          <w:b/>
          <w:bCs/>
          <w:i/>
          <w:iCs/>
        </w:rPr>
        <w:t>One of the most significant findings emerging from the research is the persistent inequality in access to services. Despite ongoing efforts within the UK health and social care system to promote fairness and inclusivity, many individuals continue to face obstacles linked to socioeconomic</w:t>
      </w:r>
      <w:r>
        <w:rPr>
          <w:rFonts w:ascii="Arial" w:hAnsi="Arial" w:cs="Arial"/>
          <w:b/>
          <w:bCs/>
          <w:i/>
          <w:iCs/>
        </w:rPr>
        <w:t xml:space="preserve"> </w:t>
      </w:r>
      <w:r w:rsidRPr="00FB18C1">
        <w:rPr>
          <w:rFonts w:ascii="Arial" w:hAnsi="Arial" w:cs="Arial"/>
          <w:b/>
          <w:bCs/>
          <w:i/>
          <w:iCs/>
        </w:rPr>
        <w:t>Another key conclusion relates to the role of communication. Effective communication between professionals and patients is essential for building trust, ensuring understanding</w:t>
      </w:r>
      <w:r>
        <w:rPr>
          <w:rFonts w:ascii="Arial" w:hAnsi="Arial" w:cs="Arial"/>
          <w:b/>
          <w:bCs/>
          <w:i/>
          <w:iCs/>
        </w:rPr>
        <w:t xml:space="preserve"> </w:t>
      </w:r>
      <w:r w:rsidRPr="00FB18C1">
        <w:rPr>
          <w:rFonts w:ascii="Arial" w:hAnsi="Arial" w:cs="Arial"/>
          <w:b/>
          <w:bCs/>
          <w:i/>
          <w:iCs/>
        </w:rPr>
        <w:t>and supporting informed decision</w:t>
      </w:r>
      <w:r w:rsidRPr="00FB18C1">
        <w:rPr>
          <w:rFonts w:ascii="Arial" w:hAnsi="Arial" w:cs="Arial"/>
          <w:b/>
          <w:bCs/>
          <w:i/>
          <w:iCs/>
        </w:rPr>
        <w:noBreakHyphen/>
        <w:t>making</w:t>
      </w:r>
      <w:r>
        <w:rPr>
          <w:rFonts w:ascii="Arial" w:hAnsi="Arial" w:cs="Arial"/>
          <w:b/>
          <w:bCs/>
          <w:i/>
          <w:iCs/>
        </w:rPr>
        <w:t xml:space="preserve"> </w:t>
      </w:r>
      <w:r w:rsidRPr="00FB18C1">
        <w:rPr>
          <w:rFonts w:ascii="Arial" w:hAnsi="Arial" w:cs="Arial"/>
          <w:b/>
          <w:bCs/>
          <w:i/>
          <w:iCs/>
        </w:rPr>
        <w:t>the</w:t>
      </w:r>
      <w:r w:rsidRPr="00FB18C1">
        <w:rPr>
          <w:rFonts w:ascii="Arial" w:hAnsi="Arial" w:cs="Arial"/>
          <w:b/>
          <w:bCs/>
          <w:i/>
          <w:iCs/>
        </w:rPr>
        <w:t xml:space="preserve"> research highlights that communication barriers</w:t>
      </w:r>
      <w:r>
        <w:rPr>
          <w:rFonts w:ascii="Arial" w:hAnsi="Arial" w:cs="Arial"/>
          <w:b/>
          <w:bCs/>
          <w:i/>
          <w:iCs/>
        </w:rPr>
        <w:t xml:space="preserve"> </w:t>
      </w:r>
      <w:r w:rsidRPr="00FB18C1">
        <w:rPr>
          <w:rFonts w:ascii="Arial" w:hAnsi="Arial" w:cs="Arial"/>
          <w:b/>
          <w:bCs/>
          <w:i/>
          <w:iCs/>
        </w:rPr>
        <w:t>Reflecting on the methodology used in this research, the study demonstrates the value of combining qualitative and contextual analysis to understand patient experiences. While quantitative data can reveal patterns and trends, qualitative insights provide depth, nuance, and personal perspective. This mixed approach ensures that the findings are both evidence</w:t>
      </w:r>
      <w:r w:rsidRPr="00FB18C1">
        <w:rPr>
          <w:rFonts w:ascii="Arial" w:hAnsi="Arial" w:cs="Arial"/>
          <w:b/>
          <w:bCs/>
          <w:i/>
          <w:iCs/>
        </w:rPr>
        <w:noBreakHyphen/>
        <w:t>based and grounded in real</w:t>
      </w:r>
      <w:r w:rsidRPr="00FB18C1">
        <w:rPr>
          <w:rFonts w:ascii="Arial" w:hAnsi="Arial" w:cs="Arial"/>
          <w:b/>
          <w:bCs/>
          <w:i/>
          <w:iCs/>
        </w:rPr>
        <w:noBreakHyphen/>
        <w:t>world experiences. The conclusion emphasises that future research should continue to adopt methods that capture the voices of patients, particularly those from marginalised or underrepresented groups. Their perspectives are essential for designing services that are truly inclusive and effective</w:t>
      </w:r>
      <w:r>
        <w:rPr>
          <w:rFonts w:ascii="Arial" w:hAnsi="Arial" w:cs="Arial"/>
          <w:b/>
          <w:bCs/>
          <w:i/>
          <w:iCs/>
        </w:rPr>
        <w:t xml:space="preserve"> </w:t>
      </w:r>
      <w:r w:rsidRPr="00FB18C1">
        <w:rPr>
          <w:rFonts w:ascii="Arial" w:hAnsi="Arial" w:cs="Arial"/>
          <w:b/>
          <w:bCs/>
          <w:i/>
          <w:iCs/>
        </w:rPr>
        <w:t>Overall, this research contributes to a growing body of knowledge highlighting the need for accessible, equitable, and person</w:t>
      </w:r>
      <w:r w:rsidRPr="00FB18C1">
        <w:rPr>
          <w:rFonts w:ascii="Arial" w:hAnsi="Arial" w:cs="Arial"/>
          <w:b/>
          <w:bCs/>
          <w:i/>
          <w:iCs/>
        </w:rPr>
        <w:noBreakHyphen/>
        <w:t>centred health and social care services. The findings reinforce that improving patient experiences requires systemic change, professional development, and ongoing commitment to collaboration and communication. While progress has been made, significant work remains to ensure that all individuals</w:t>
      </w:r>
      <w:r>
        <w:rPr>
          <w:rFonts w:ascii="Arial" w:hAnsi="Arial" w:cs="Arial"/>
          <w:b/>
          <w:bCs/>
          <w:i/>
          <w:iCs/>
        </w:rPr>
        <w:t xml:space="preserve"> </w:t>
      </w:r>
      <w:r w:rsidRPr="00FB18C1">
        <w:rPr>
          <w:rFonts w:ascii="Arial" w:hAnsi="Arial" w:cs="Arial"/>
          <w:b/>
          <w:bCs/>
          <w:i/>
          <w:iCs/>
        </w:rPr>
        <w:t xml:space="preserve">This research shows that good health and social care depends on clear communication, fair access to services, and understanding people’s needs. By improving support and reducing barriers, services can help individuals live healthier, safer lives. Overall, the findings highlight the importance of making care more </w:t>
      </w:r>
      <w:r w:rsidR="00932AC7">
        <w:rPr>
          <w:rFonts w:ascii="Arial" w:hAnsi="Arial" w:cs="Arial"/>
          <w:b/>
          <w:bCs/>
          <w:i/>
          <w:iCs/>
        </w:rPr>
        <w:t xml:space="preserve"> </w:t>
      </w:r>
      <w:r w:rsidRPr="00FB18C1">
        <w:rPr>
          <w:rFonts w:ascii="Arial" w:hAnsi="Arial" w:cs="Arial"/>
          <w:b/>
          <w:bCs/>
          <w:i/>
          <w:iCs/>
        </w:rPr>
        <w:t>equal for everyone</w:t>
      </w:r>
      <w:r w:rsidR="00932AC7">
        <w:rPr>
          <w:rFonts w:ascii="Arial" w:hAnsi="Arial" w:cs="Arial"/>
          <w:b/>
          <w:bCs/>
          <w:i/>
          <w:iCs/>
        </w:rPr>
        <w:t xml:space="preserve">  </w:t>
      </w:r>
      <w:r w:rsidR="00932AC7" w:rsidRPr="00932AC7">
        <w:rPr>
          <w:rFonts w:ascii="Arial" w:hAnsi="Arial" w:cs="Arial"/>
          <w:b/>
          <w:bCs/>
          <w:i/>
          <w:iCs/>
        </w:rPr>
        <w:t>service coordination</w:t>
      </w:r>
      <w:r w:rsidR="00932AC7">
        <w:rPr>
          <w:rFonts w:ascii="Arial" w:hAnsi="Arial" w:cs="Arial"/>
          <w:b/>
          <w:bCs/>
          <w:i/>
          <w:iCs/>
        </w:rPr>
        <w:t xml:space="preserve"> </w:t>
      </w:r>
      <w:r w:rsidR="00932AC7" w:rsidRPr="00932AC7">
        <w:rPr>
          <w:rFonts w:ascii="Arial" w:hAnsi="Arial" w:cs="Arial"/>
          <w:b/>
          <w:bCs/>
          <w:i/>
          <w:iCs/>
        </w:rPr>
        <w:t>the research necessity continuous evaluation and development to ensure that health and social care systems remain responsive</w:t>
      </w:r>
    </w:p>
    <w:p w14:paraId="2BB9FB1A" w14:textId="77777777" w:rsidR="001B25F7" w:rsidRDefault="001B25F7" w:rsidP="00CC7B77">
      <w:pPr>
        <w:spacing w:line="360" w:lineRule="auto"/>
        <w:rPr>
          <w:rFonts w:ascii="Arial" w:hAnsi="Arial" w:cs="Arial"/>
          <w:b/>
          <w:bCs/>
          <w:i/>
          <w:iCs/>
        </w:rPr>
      </w:pPr>
    </w:p>
    <w:p w14:paraId="54EA978B" w14:textId="77777777" w:rsidR="001B25F7" w:rsidRDefault="001B25F7" w:rsidP="00CC7B77">
      <w:pPr>
        <w:spacing w:line="360" w:lineRule="auto"/>
        <w:rPr>
          <w:rFonts w:ascii="Arial" w:hAnsi="Arial" w:cs="Arial"/>
          <w:b/>
          <w:bCs/>
          <w:i/>
          <w:iCs/>
        </w:rPr>
      </w:pPr>
    </w:p>
    <w:p w14:paraId="7F6D7C09" w14:textId="77777777" w:rsidR="001B25F7" w:rsidRDefault="001B25F7" w:rsidP="00CC7B77">
      <w:pPr>
        <w:spacing w:line="360" w:lineRule="auto"/>
        <w:rPr>
          <w:rFonts w:ascii="Arial" w:hAnsi="Arial" w:cs="Arial"/>
          <w:b/>
          <w:bCs/>
          <w:i/>
          <w:iCs/>
        </w:rPr>
      </w:pPr>
    </w:p>
    <w:p w14:paraId="770D791E" w14:textId="77777777" w:rsidR="001B25F7" w:rsidRDefault="001B25F7" w:rsidP="00CC7B77">
      <w:pPr>
        <w:spacing w:line="360" w:lineRule="auto"/>
        <w:rPr>
          <w:rFonts w:ascii="Arial" w:hAnsi="Arial" w:cs="Arial"/>
          <w:b/>
          <w:bCs/>
          <w:i/>
          <w:iCs/>
        </w:rPr>
      </w:pPr>
    </w:p>
    <w:p w14:paraId="38E4A129" w14:textId="77777777" w:rsidR="001B25F7" w:rsidRDefault="001B25F7" w:rsidP="00CC7B77">
      <w:pPr>
        <w:spacing w:line="360" w:lineRule="auto"/>
        <w:rPr>
          <w:rFonts w:ascii="Arial" w:hAnsi="Arial" w:cs="Arial"/>
          <w:b/>
          <w:bCs/>
          <w:i/>
          <w:iCs/>
        </w:rPr>
      </w:pPr>
    </w:p>
    <w:p w14:paraId="5722D87A" w14:textId="77777777" w:rsidR="001B25F7" w:rsidRDefault="001B25F7" w:rsidP="00CC7B77">
      <w:pPr>
        <w:spacing w:line="360" w:lineRule="auto"/>
        <w:rPr>
          <w:rFonts w:ascii="Arial" w:hAnsi="Arial" w:cs="Arial"/>
          <w:b/>
          <w:bCs/>
          <w:i/>
          <w:iCs/>
        </w:rPr>
      </w:pPr>
    </w:p>
    <w:p w14:paraId="6369A439" w14:textId="77777777" w:rsidR="001B25F7" w:rsidRDefault="001B25F7" w:rsidP="00CC7B77">
      <w:pPr>
        <w:spacing w:line="360" w:lineRule="auto"/>
        <w:rPr>
          <w:rFonts w:ascii="Arial" w:hAnsi="Arial" w:cs="Arial"/>
          <w:b/>
          <w:bCs/>
          <w:i/>
          <w:iCs/>
        </w:rPr>
      </w:pPr>
    </w:p>
    <w:p w14:paraId="0B652F41" w14:textId="77777777" w:rsidR="001B25F7" w:rsidRDefault="001B25F7" w:rsidP="00CC7B77">
      <w:pPr>
        <w:spacing w:line="360" w:lineRule="auto"/>
        <w:rPr>
          <w:rFonts w:ascii="Arial" w:hAnsi="Arial" w:cs="Arial"/>
          <w:b/>
          <w:bCs/>
          <w:i/>
          <w:iCs/>
        </w:rPr>
      </w:pPr>
    </w:p>
    <w:p w14:paraId="7C9589DF" w14:textId="77777777" w:rsidR="001B25F7" w:rsidRDefault="001B25F7" w:rsidP="00CC7B77">
      <w:pPr>
        <w:spacing w:line="360" w:lineRule="auto"/>
        <w:rPr>
          <w:rFonts w:ascii="Arial" w:hAnsi="Arial" w:cs="Arial"/>
          <w:b/>
          <w:bCs/>
          <w:i/>
          <w:iCs/>
        </w:rPr>
      </w:pPr>
    </w:p>
    <w:p w14:paraId="4C4D8C24" w14:textId="77777777" w:rsidR="001B25F7" w:rsidRDefault="001B25F7" w:rsidP="00CC7B77">
      <w:pPr>
        <w:spacing w:line="360" w:lineRule="auto"/>
        <w:rPr>
          <w:rFonts w:ascii="Arial" w:hAnsi="Arial" w:cs="Arial"/>
          <w:b/>
          <w:bCs/>
          <w:i/>
          <w:iCs/>
        </w:rPr>
      </w:pPr>
    </w:p>
    <w:p w14:paraId="4E2EE253" w14:textId="77777777" w:rsidR="001B25F7" w:rsidRDefault="001B25F7" w:rsidP="00CC7B77">
      <w:pPr>
        <w:spacing w:line="360" w:lineRule="auto"/>
        <w:rPr>
          <w:rFonts w:ascii="Arial" w:hAnsi="Arial" w:cs="Arial"/>
          <w:b/>
          <w:bCs/>
          <w:i/>
          <w:iCs/>
        </w:rPr>
      </w:pPr>
    </w:p>
    <w:p w14:paraId="7B10168E" w14:textId="77777777" w:rsidR="00622487" w:rsidRPr="00675E34" w:rsidRDefault="00622487" w:rsidP="00675E34">
      <w:pPr>
        <w:spacing w:line="360" w:lineRule="auto"/>
        <w:rPr>
          <w:rFonts w:ascii="Arial" w:hAnsi="Arial" w:cs="Arial"/>
          <w:b/>
          <w:bCs/>
          <w:i/>
          <w:iCs/>
        </w:rPr>
      </w:pPr>
    </w:p>
    <w:p w14:paraId="50A9B336" w14:textId="77777777" w:rsidR="00675E34" w:rsidRPr="00675E34" w:rsidRDefault="00675E34" w:rsidP="00675E34">
      <w:pPr>
        <w:spacing w:line="360" w:lineRule="auto"/>
        <w:rPr>
          <w:rFonts w:ascii="Arial" w:hAnsi="Arial" w:cs="Arial"/>
          <w:b/>
          <w:bCs/>
          <w:i/>
          <w:iCs/>
        </w:rPr>
      </w:pPr>
    </w:p>
    <w:p w14:paraId="54D80023" w14:textId="77777777" w:rsidR="008407F9" w:rsidRPr="008407F9" w:rsidRDefault="008407F9" w:rsidP="008407F9">
      <w:pPr>
        <w:spacing w:line="360" w:lineRule="auto"/>
        <w:rPr>
          <w:rFonts w:ascii="Arial" w:hAnsi="Arial" w:cs="Arial"/>
          <w:b/>
          <w:bCs/>
          <w:i/>
          <w:iCs/>
        </w:rPr>
      </w:pPr>
    </w:p>
    <w:p w14:paraId="3E0C8C4C" w14:textId="77777777" w:rsidR="008407F9" w:rsidRPr="00144C57" w:rsidRDefault="008407F9" w:rsidP="00144C57">
      <w:pPr>
        <w:spacing w:line="360" w:lineRule="auto"/>
        <w:rPr>
          <w:rFonts w:ascii="Arial" w:hAnsi="Arial" w:cs="Arial"/>
          <w:b/>
          <w:bCs/>
          <w:i/>
          <w:iCs/>
        </w:rPr>
      </w:pPr>
    </w:p>
    <w:p w14:paraId="22CD4E5B" w14:textId="77777777" w:rsidR="003D03B0" w:rsidRDefault="003D03B0"/>
    <w:sectPr w:rsidR="003D03B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EA8167" w14:textId="77777777" w:rsidR="002E43A0" w:rsidRDefault="002E43A0" w:rsidP="00675E34">
      <w:pPr>
        <w:spacing w:after="0" w:line="240" w:lineRule="auto"/>
      </w:pPr>
      <w:r>
        <w:separator/>
      </w:r>
    </w:p>
  </w:endnote>
  <w:endnote w:type="continuationSeparator" w:id="0">
    <w:p w14:paraId="11312A73" w14:textId="77777777" w:rsidR="002E43A0" w:rsidRDefault="002E43A0" w:rsidP="00675E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494345" w14:textId="77777777" w:rsidR="002E43A0" w:rsidRDefault="002E43A0" w:rsidP="00675E34">
      <w:pPr>
        <w:spacing w:after="0" w:line="240" w:lineRule="auto"/>
      </w:pPr>
      <w:r>
        <w:separator/>
      </w:r>
    </w:p>
  </w:footnote>
  <w:footnote w:type="continuationSeparator" w:id="0">
    <w:p w14:paraId="3DBC5A60" w14:textId="77777777" w:rsidR="002E43A0" w:rsidRDefault="002E43A0" w:rsidP="00675E3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4C57"/>
    <w:rsid w:val="000F3806"/>
    <w:rsid w:val="00104665"/>
    <w:rsid w:val="00144C57"/>
    <w:rsid w:val="001B25F7"/>
    <w:rsid w:val="002E43A0"/>
    <w:rsid w:val="003D03B0"/>
    <w:rsid w:val="00622487"/>
    <w:rsid w:val="00675E34"/>
    <w:rsid w:val="008407F9"/>
    <w:rsid w:val="008B7F04"/>
    <w:rsid w:val="00932AC7"/>
    <w:rsid w:val="00A46B22"/>
    <w:rsid w:val="00BB5579"/>
    <w:rsid w:val="00CC7B77"/>
    <w:rsid w:val="00EE6E71"/>
    <w:rsid w:val="00FB18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90BC61"/>
  <w15:chartTrackingRefBased/>
  <w15:docId w15:val="{E303F629-8176-4223-9F30-31107304AD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44C5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44C5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44C5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44C5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44C5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44C5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44C5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44C5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44C5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4C5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44C5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44C5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44C5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44C5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44C5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44C5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44C5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44C57"/>
    <w:rPr>
      <w:rFonts w:eastAsiaTheme="majorEastAsia" w:cstheme="majorBidi"/>
      <w:color w:val="272727" w:themeColor="text1" w:themeTint="D8"/>
    </w:rPr>
  </w:style>
  <w:style w:type="paragraph" w:styleId="Title">
    <w:name w:val="Title"/>
    <w:basedOn w:val="Normal"/>
    <w:next w:val="Normal"/>
    <w:link w:val="TitleChar"/>
    <w:uiPriority w:val="10"/>
    <w:qFormat/>
    <w:rsid w:val="00144C5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4C5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44C5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44C5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44C57"/>
    <w:pPr>
      <w:spacing w:before="160"/>
      <w:jc w:val="center"/>
    </w:pPr>
    <w:rPr>
      <w:i/>
      <w:iCs/>
      <w:color w:val="404040" w:themeColor="text1" w:themeTint="BF"/>
    </w:rPr>
  </w:style>
  <w:style w:type="character" w:customStyle="1" w:styleId="QuoteChar">
    <w:name w:val="Quote Char"/>
    <w:basedOn w:val="DefaultParagraphFont"/>
    <w:link w:val="Quote"/>
    <w:uiPriority w:val="29"/>
    <w:rsid w:val="00144C57"/>
    <w:rPr>
      <w:i/>
      <w:iCs/>
      <w:color w:val="404040" w:themeColor="text1" w:themeTint="BF"/>
    </w:rPr>
  </w:style>
  <w:style w:type="paragraph" w:styleId="ListParagraph">
    <w:name w:val="List Paragraph"/>
    <w:basedOn w:val="Normal"/>
    <w:uiPriority w:val="34"/>
    <w:qFormat/>
    <w:rsid w:val="00144C57"/>
    <w:pPr>
      <w:ind w:left="720"/>
      <w:contextualSpacing/>
    </w:pPr>
  </w:style>
  <w:style w:type="character" w:styleId="IntenseEmphasis">
    <w:name w:val="Intense Emphasis"/>
    <w:basedOn w:val="DefaultParagraphFont"/>
    <w:uiPriority w:val="21"/>
    <w:qFormat/>
    <w:rsid w:val="00144C57"/>
    <w:rPr>
      <w:i/>
      <w:iCs/>
      <w:color w:val="0F4761" w:themeColor="accent1" w:themeShade="BF"/>
    </w:rPr>
  </w:style>
  <w:style w:type="paragraph" w:styleId="IntenseQuote">
    <w:name w:val="Intense Quote"/>
    <w:basedOn w:val="Normal"/>
    <w:next w:val="Normal"/>
    <w:link w:val="IntenseQuoteChar"/>
    <w:uiPriority w:val="30"/>
    <w:qFormat/>
    <w:rsid w:val="00144C5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44C57"/>
    <w:rPr>
      <w:i/>
      <w:iCs/>
      <w:color w:val="0F4761" w:themeColor="accent1" w:themeShade="BF"/>
    </w:rPr>
  </w:style>
  <w:style w:type="character" w:styleId="IntenseReference">
    <w:name w:val="Intense Reference"/>
    <w:basedOn w:val="DefaultParagraphFont"/>
    <w:uiPriority w:val="32"/>
    <w:qFormat/>
    <w:rsid w:val="00144C57"/>
    <w:rPr>
      <w:b/>
      <w:bCs/>
      <w:smallCaps/>
      <w:color w:val="0F4761" w:themeColor="accent1" w:themeShade="BF"/>
      <w:spacing w:val="5"/>
    </w:rPr>
  </w:style>
  <w:style w:type="paragraph" w:styleId="Header">
    <w:name w:val="header"/>
    <w:basedOn w:val="Normal"/>
    <w:link w:val="HeaderChar"/>
    <w:uiPriority w:val="99"/>
    <w:unhideWhenUsed/>
    <w:rsid w:val="00675E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5E34"/>
  </w:style>
  <w:style w:type="paragraph" w:styleId="Footer">
    <w:name w:val="footer"/>
    <w:basedOn w:val="Normal"/>
    <w:link w:val="FooterChar"/>
    <w:uiPriority w:val="99"/>
    <w:unhideWhenUsed/>
    <w:rsid w:val="00675E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5E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1214</TotalTime>
  <Pages>6</Pages>
  <Words>1657</Words>
  <Characters>9445</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Krishan Mohindru</dc:creator>
  <cp:keywords/>
  <dc:description/>
  <cp:lastModifiedBy>Krishan Mohindru</cp:lastModifiedBy>
  <cp:revision>2</cp:revision>
  <dcterms:created xsi:type="dcterms:W3CDTF">2026-07-12T15:06:00Z</dcterms:created>
  <dcterms:modified xsi:type="dcterms:W3CDTF">2026-07-13T11:20:00Z</dcterms:modified>
</cp:coreProperties>
</file>