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9F59B9" w14:textId="49303DA2" w:rsidR="00591708" w:rsidRPr="00911108" w:rsidRDefault="00591708" w:rsidP="00911108">
      <w:pPr>
        <w:spacing w:line="276" w:lineRule="auto"/>
        <w:jc w:val="center"/>
        <w:rPr>
          <w:rFonts w:ascii="Arial" w:hAnsi="Arial" w:cs="Arial"/>
          <w:b/>
          <w:bCs/>
          <w:sz w:val="28"/>
          <w:szCs w:val="28"/>
          <w:lang w:val="en-GB"/>
        </w:rPr>
      </w:pPr>
      <w:r w:rsidRPr="00911108">
        <w:rPr>
          <w:rFonts w:ascii="Arial" w:hAnsi="Arial" w:cs="Arial"/>
          <w:b/>
          <w:bCs/>
          <w:noProof/>
          <w:sz w:val="28"/>
          <w:szCs w:val="28"/>
          <w:lang w:eastAsia="en-IN" w:bidi="gu-IN"/>
        </w:rPr>
        <w:drawing>
          <wp:inline distT="0" distB="0" distL="0" distR="0" wp14:anchorId="7ADCA47D" wp14:editId="2504EE21">
            <wp:extent cx="2209800" cy="781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81050"/>
                    </a:xfrm>
                    <a:prstGeom prst="rect">
                      <a:avLst/>
                    </a:prstGeom>
                    <a:noFill/>
                    <a:ln>
                      <a:noFill/>
                    </a:ln>
                  </pic:spPr>
                </pic:pic>
              </a:graphicData>
            </a:graphic>
          </wp:inline>
        </w:drawing>
      </w:r>
    </w:p>
    <w:p w14:paraId="65421A65" w14:textId="77777777" w:rsidR="00591708" w:rsidRPr="00911108" w:rsidRDefault="00591708" w:rsidP="00911108">
      <w:pPr>
        <w:spacing w:line="276" w:lineRule="auto"/>
        <w:jc w:val="center"/>
        <w:rPr>
          <w:rFonts w:ascii="Arial" w:hAnsi="Arial" w:cs="Arial"/>
          <w:b/>
          <w:bCs/>
          <w:sz w:val="28"/>
          <w:szCs w:val="28"/>
          <w:lang w:val="en-GB"/>
        </w:rPr>
      </w:pPr>
    </w:p>
    <w:p w14:paraId="54B170B1" w14:textId="6C67A2C6" w:rsidR="00591708" w:rsidRPr="00911108" w:rsidRDefault="00591708" w:rsidP="00911108">
      <w:pPr>
        <w:pStyle w:val="NoSpacing"/>
        <w:spacing w:line="276" w:lineRule="auto"/>
        <w:jc w:val="center"/>
        <w:rPr>
          <w:rFonts w:ascii="Arial" w:hAnsi="Arial" w:cs="Arial"/>
          <w:sz w:val="32"/>
          <w:szCs w:val="32"/>
        </w:rPr>
      </w:pPr>
      <w:r w:rsidRPr="00911108">
        <w:rPr>
          <w:rFonts w:ascii="Arial" w:hAnsi="Arial" w:cs="Arial"/>
          <w:b/>
          <w:bCs/>
          <w:sz w:val="32"/>
          <w:szCs w:val="32"/>
        </w:rPr>
        <w:t>Student Name</w:t>
      </w:r>
      <w:r w:rsidRPr="00911108">
        <w:rPr>
          <w:rFonts w:ascii="Arial" w:hAnsi="Arial" w:cs="Arial"/>
          <w:sz w:val="32"/>
          <w:szCs w:val="32"/>
        </w:rPr>
        <w:t>: RUPANSHI ARPANBHAI SETALVAD</w:t>
      </w:r>
    </w:p>
    <w:p w14:paraId="363D15FC" w14:textId="77777777" w:rsidR="00591708" w:rsidRPr="00911108" w:rsidRDefault="00591708" w:rsidP="00911108">
      <w:pPr>
        <w:pStyle w:val="NoSpacing"/>
        <w:spacing w:line="276" w:lineRule="auto"/>
        <w:jc w:val="center"/>
        <w:rPr>
          <w:rFonts w:ascii="Arial" w:hAnsi="Arial" w:cs="Arial"/>
          <w:b/>
          <w:bCs/>
          <w:sz w:val="32"/>
          <w:szCs w:val="32"/>
        </w:rPr>
      </w:pPr>
    </w:p>
    <w:p w14:paraId="6BAE212A" w14:textId="77777777" w:rsidR="00591708" w:rsidRPr="00911108" w:rsidRDefault="00591708" w:rsidP="00911108">
      <w:pPr>
        <w:pStyle w:val="NoSpacing"/>
        <w:spacing w:line="276" w:lineRule="auto"/>
        <w:jc w:val="center"/>
        <w:rPr>
          <w:rFonts w:ascii="Arial" w:hAnsi="Arial" w:cs="Arial"/>
          <w:b/>
          <w:bCs/>
          <w:sz w:val="32"/>
          <w:szCs w:val="32"/>
        </w:rPr>
      </w:pPr>
    </w:p>
    <w:p w14:paraId="60813CA9" w14:textId="48724D61" w:rsidR="00591708" w:rsidRPr="00911108" w:rsidRDefault="00591708" w:rsidP="00911108">
      <w:pPr>
        <w:pStyle w:val="NoSpacing"/>
        <w:spacing w:line="276" w:lineRule="auto"/>
        <w:jc w:val="center"/>
        <w:rPr>
          <w:rFonts w:ascii="Arial" w:hAnsi="Arial" w:cs="Arial"/>
          <w:sz w:val="32"/>
          <w:szCs w:val="32"/>
        </w:rPr>
      </w:pPr>
      <w:r w:rsidRPr="00911108">
        <w:rPr>
          <w:rFonts w:ascii="Arial" w:hAnsi="Arial" w:cs="Arial"/>
          <w:b/>
          <w:bCs/>
          <w:sz w:val="32"/>
          <w:szCs w:val="32"/>
        </w:rPr>
        <w:t xml:space="preserve">Student ID </w:t>
      </w:r>
      <w:r w:rsidRPr="00911108">
        <w:rPr>
          <w:rFonts w:ascii="Arial" w:hAnsi="Arial" w:cs="Arial"/>
          <w:sz w:val="32"/>
          <w:szCs w:val="32"/>
        </w:rPr>
        <w:t>: 2521736</w:t>
      </w:r>
    </w:p>
    <w:p w14:paraId="5901109C" w14:textId="77777777" w:rsidR="00591708" w:rsidRPr="00911108" w:rsidRDefault="00591708" w:rsidP="00911108">
      <w:pPr>
        <w:pStyle w:val="NoSpacing"/>
        <w:spacing w:line="276" w:lineRule="auto"/>
        <w:jc w:val="center"/>
        <w:rPr>
          <w:rFonts w:ascii="Arial" w:hAnsi="Arial" w:cs="Arial"/>
          <w:sz w:val="32"/>
          <w:szCs w:val="32"/>
        </w:rPr>
      </w:pPr>
    </w:p>
    <w:p w14:paraId="18E71C1F" w14:textId="77777777" w:rsidR="00591708" w:rsidRPr="00911108" w:rsidRDefault="00591708" w:rsidP="00911108">
      <w:pPr>
        <w:pStyle w:val="NoSpacing"/>
        <w:spacing w:line="276" w:lineRule="auto"/>
        <w:jc w:val="center"/>
        <w:rPr>
          <w:rFonts w:ascii="Arial" w:hAnsi="Arial" w:cs="Arial"/>
          <w:b/>
          <w:bCs/>
          <w:sz w:val="32"/>
          <w:szCs w:val="32"/>
        </w:rPr>
      </w:pPr>
    </w:p>
    <w:p w14:paraId="752E96DE" w14:textId="0FA7F68E" w:rsidR="00591708" w:rsidRPr="00911108" w:rsidRDefault="00591708" w:rsidP="00911108">
      <w:pPr>
        <w:pStyle w:val="NoSpacing"/>
        <w:spacing w:line="276" w:lineRule="auto"/>
        <w:jc w:val="center"/>
        <w:rPr>
          <w:rFonts w:ascii="Arial" w:hAnsi="Arial" w:cs="Arial"/>
          <w:sz w:val="32"/>
          <w:szCs w:val="32"/>
        </w:rPr>
      </w:pPr>
      <w:r w:rsidRPr="00911108">
        <w:rPr>
          <w:rFonts w:ascii="Arial" w:hAnsi="Arial" w:cs="Arial"/>
          <w:b/>
          <w:bCs/>
          <w:sz w:val="32"/>
          <w:szCs w:val="32"/>
        </w:rPr>
        <w:t xml:space="preserve">Module Name </w:t>
      </w:r>
      <w:r w:rsidRPr="00911108">
        <w:rPr>
          <w:rFonts w:ascii="Arial" w:hAnsi="Arial" w:cs="Arial"/>
          <w:sz w:val="32"/>
          <w:szCs w:val="32"/>
        </w:rPr>
        <w:t xml:space="preserve">: Marketing Management </w:t>
      </w:r>
    </w:p>
    <w:p w14:paraId="175EB90A" w14:textId="77777777" w:rsidR="00591708" w:rsidRPr="00911108" w:rsidRDefault="00591708" w:rsidP="00911108">
      <w:pPr>
        <w:pStyle w:val="NoSpacing"/>
        <w:spacing w:line="276" w:lineRule="auto"/>
        <w:jc w:val="center"/>
        <w:rPr>
          <w:rFonts w:ascii="Arial" w:hAnsi="Arial" w:cs="Arial"/>
          <w:sz w:val="32"/>
          <w:szCs w:val="32"/>
        </w:rPr>
      </w:pPr>
    </w:p>
    <w:p w14:paraId="27ED67D0" w14:textId="77777777" w:rsidR="00591708" w:rsidRPr="00911108" w:rsidRDefault="00591708" w:rsidP="00911108">
      <w:pPr>
        <w:pStyle w:val="NoSpacing"/>
        <w:spacing w:line="276" w:lineRule="auto"/>
        <w:jc w:val="center"/>
        <w:rPr>
          <w:rFonts w:ascii="Arial" w:hAnsi="Arial" w:cs="Arial"/>
          <w:b/>
          <w:bCs/>
          <w:sz w:val="32"/>
          <w:szCs w:val="32"/>
        </w:rPr>
      </w:pPr>
    </w:p>
    <w:p w14:paraId="59B44C5C" w14:textId="7FE3599C" w:rsidR="00591708" w:rsidRPr="00911108" w:rsidRDefault="00591708" w:rsidP="00911108">
      <w:pPr>
        <w:pStyle w:val="NoSpacing"/>
        <w:spacing w:line="276" w:lineRule="auto"/>
        <w:jc w:val="center"/>
        <w:rPr>
          <w:rFonts w:ascii="Arial" w:hAnsi="Arial" w:cs="Arial"/>
          <w:sz w:val="32"/>
          <w:szCs w:val="32"/>
        </w:rPr>
      </w:pPr>
      <w:r w:rsidRPr="00911108">
        <w:rPr>
          <w:rFonts w:ascii="Arial" w:hAnsi="Arial" w:cs="Arial"/>
          <w:b/>
          <w:bCs/>
          <w:sz w:val="32"/>
          <w:szCs w:val="32"/>
        </w:rPr>
        <w:t xml:space="preserve">Module Code </w:t>
      </w:r>
      <w:r w:rsidRPr="00911108">
        <w:rPr>
          <w:rFonts w:ascii="Arial" w:hAnsi="Arial" w:cs="Arial"/>
          <w:sz w:val="32"/>
          <w:szCs w:val="32"/>
        </w:rPr>
        <w:t xml:space="preserve">: LCMB7024 </w:t>
      </w:r>
    </w:p>
    <w:p w14:paraId="74E24F4B" w14:textId="77777777" w:rsidR="00591708" w:rsidRPr="00911108" w:rsidRDefault="00591708" w:rsidP="00911108">
      <w:pPr>
        <w:pStyle w:val="NoSpacing"/>
        <w:spacing w:line="276" w:lineRule="auto"/>
        <w:jc w:val="center"/>
        <w:rPr>
          <w:rFonts w:ascii="Arial" w:hAnsi="Arial" w:cs="Arial"/>
          <w:sz w:val="32"/>
          <w:szCs w:val="32"/>
        </w:rPr>
      </w:pPr>
    </w:p>
    <w:p w14:paraId="2908E356" w14:textId="77777777" w:rsidR="00591708" w:rsidRPr="00911108" w:rsidRDefault="00591708" w:rsidP="00911108">
      <w:pPr>
        <w:pStyle w:val="NoSpacing"/>
        <w:spacing w:line="276" w:lineRule="auto"/>
        <w:jc w:val="center"/>
        <w:rPr>
          <w:rFonts w:ascii="Arial" w:hAnsi="Arial" w:cs="Arial"/>
          <w:b/>
          <w:bCs/>
          <w:sz w:val="32"/>
          <w:szCs w:val="32"/>
        </w:rPr>
      </w:pPr>
    </w:p>
    <w:p w14:paraId="55063415" w14:textId="0008C65A" w:rsidR="00591708" w:rsidRPr="00911108" w:rsidRDefault="00591708" w:rsidP="00911108">
      <w:pPr>
        <w:pStyle w:val="NoSpacing"/>
        <w:spacing w:line="276" w:lineRule="auto"/>
        <w:jc w:val="center"/>
        <w:rPr>
          <w:rFonts w:ascii="Arial" w:hAnsi="Arial" w:cs="Arial"/>
          <w:sz w:val="32"/>
          <w:szCs w:val="32"/>
        </w:rPr>
      </w:pPr>
      <w:r w:rsidRPr="00911108">
        <w:rPr>
          <w:rFonts w:ascii="Arial" w:hAnsi="Arial" w:cs="Arial"/>
          <w:b/>
          <w:bCs/>
          <w:sz w:val="32"/>
          <w:szCs w:val="32"/>
        </w:rPr>
        <w:t xml:space="preserve">Lecturer’s Name </w:t>
      </w:r>
      <w:r w:rsidRPr="00911108">
        <w:rPr>
          <w:rFonts w:ascii="Arial" w:hAnsi="Arial" w:cs="Arial"/>
          <w:sz w:val="32"/>
          <w:szCs w:val="32"/>
        </w:rPr>
        <w:t xml:space="preserve">: Laila Maazouz </w:t>
      </w:r>
    </w:p>
    <w:p w14:paraId="6A08DB4C" w14:textId="77777777" w:rsidR="00591708" w:rsidRPr="00911108" w:rsidRDefault="00591708" w:rsidP="00911108">
      <w:pPr>
        <w:pStyle w:val="NoSpacing"/>
        <w:spacing w:line="276" w:lineRule="auto"/>
        <w:jc w:val="center"/>
        <w:rPr>
          <w:rFonts w:ascii="Arial" w:hAnsi="Arial" w:cs="Arial"/>
          <w:b/>
          <w:bCs/>
          <w:sz w:val="32"/>
          <w:szCs w:val="32"/>
        </w:rPr>
      </w:pPr>
    </w:p>
    <w:p w14:paraId="70D1F25C" w14:textId="77777777" w:rsidR="00591708" w:rsidRPr="00911108" w:rsidRDefault="00591708" w:rsidP="00911108">
      <w:pPr>
        <w:pStyle w:val="NoSpacing"/>
        <w:spacing w:line="276" w:lineRule="auto"/>
        <w:jc w:val="center"/>
        <w:rPr>
          <w:rFonts w:ascii="Arial" w:hAnsi="Arial" w:cs="Arial"/>
          <w:b/>
          <w:bCs/>
          <w:sz w:val="32"/>
          <w:szCs w:val="32"/>
        </w:rPr>
      </w:pPr>
    </w:p>
    <w:p w14:paraId="414BA803" w14:textId="77777777" w:rsidR="00591708" w:rsidRPr="00911108" w:rsidRDefault="00591708" w:rsidP="00911108">
      <w:pPr>
        <w:pStyle w:val="NoSpacing"/>
        <w:spacing w:line="276" w:lineRule="auto"/>
        <w:jc w:val="center"/>
        <w:rPr>
          <w:rFonts w:ascii="Arial" w:hAnsi="Arial" w:cs="Arial"/>
          <w:b/>
          <w:bCs/>
          <w:sz w:val="32"/>
          <w:szCs w:val="32"/>
        </w:rPr>
      </w:pPr>
      <w:r w:rsidRPr="00911108">
        <w:rPr>
          <w:rFonts w:ascii="Arial" w:hAnsi="Arial" w:cs="Arial"/>
          <w:b/>
          <w:bCs/>
          <w:sz w:val="32"/>
          <w:szCs w:val="32"/>
        </w:rPr>
        <w:t>Term 1</w:t>
      </w:r>
    </w:p>
    <w:p w14:paraId="2567168B" w14:textId="47B495F0" w:rsidR="000C37C5" w:rsidRPr="00911108" w:rsidRDefault="000C37C5" w:rsidP="00911108">
      <w:pPr>
        <w:spacing w:line="276" w:lineRule="auto"/>
        <w:rPr>
          <w:rFonts w:ascii="Arial" w:hAnsi="Arial" w:cs="Arial"/>
        </w:rPr>
      </w:pPr>
    </w:p>
    <w:p w14:paraId="5DE3C8E8" w14:textId="6CB522A9" w:rsidR="00591708" w:rsidRPr="00911108" w:rsidRDefault="00591708" w:rsidP="00911108">
      <w:pPr>
        <w:spacing w:line="276" w:lineRule="auto"/>
        <w:jc w:val="both"/>
        <w:rPr>
          <w:rFonts w:ascii="Arial" w:hAnsi="Arial" w:cs="Arial"/>
          <w:b/>
          <w:bCs/>
          <w:sz w:val="24"/>
          <w:szCs w:val="24"/>
        </w:rPr>
      </w:pPr>
    </w:p>
    <w:p w14:paraId="7BFFA101" w14:textId="77777777" w:rsidR="00591708" w:rsidRPr="00911108" w:rsidRDefault="00591708" w:rsidP="00911108">
      <w:pPr>
        <w:spacing w:line="276" w:lineRule="auto"/>
        <w:rPr>
          <w:rFonts w:ascii="Arial" w:hAnsi="Arial" w:cs="Arial"/>
          <w:b/>
          <w:bCs/>
          <w:sz w:val="24"/>
          <w:szCs w:val="24"/>
        </w:rPr>
      </w:pPr>
      <w:r w:rsidRPr="00911108">
        <w:rPr>
          <w:rFonts w:ascii="Arial" w:hAnsi="Arial" w:cs="Arial"/>
          <w:b/>
          <w:bCs/>
          <w:sz w:val="24"/>
          <w:szCs w:val="24"/>
        </w:rPr>
        <w:br w:type="page"/>
      </w:r>
    </w:p>
    <w:sdt>
      <w:sdtPr>
        <w:rPr>
          <w:rFonts w:ascii="Arial" w:eastAsiaTheme="minorHAnsi" w:hAnsi="Arial" w:cs="Arial"/>
          <w:color w:val="auto"/>
          <w:kern w:val="2"/>
          <w:sz w:val="22"/>
          <w:szCs w:val="22"/>
          <w:lang w:val="en-IN"/>
          <w14:ligatures w14:val="standardContextual"/>
        </w:rPr>
        <w:id w:val="-477071816"/>
        <w:docPartObj>
          <w:docPartGallery w:val="Table of Contents"/>
          <w:docPartUnique/>
        </w:docPartObj>
      </w:sdtPr>
      <w:sdtEndPr>
        <w:rPr>
          <w:b/>
          <w:bCs/>
          <w:noProof/>
        </w:rPr>
      </w:sdtEndPr>
      <w:sdtContent>
        <w:p w14:paraId="75E8E12A" w14:textId="77777777" w:rsidR="00591708" w:rsidRPr="00911108" w:rsidRDefault="00591708" w:rsidP="00911108">
          <w:pPr>
            <w:pStyle w:val="TOCHeading"/>
            <w:spacing w:line="276" w:lineRule="auto"/>
            <w:rPr>
              <w:rFonts w:ascii="Arial" w:hAnsi="Arial" w:cs="Arial"/>
            </w:rPr>
          </w:pPr>
          <w:r w:rsidRPr="00911108">
            <w:rPr>
              <w:rFonts w:ascii="Arial" w:hAnsi="Arial" w:cs="Arial"/>
            </w:rPr>
            <w:t>Contents</w:t>
          </w:r>
        </w:p>
        <w:p w14:paraId="02130551" w14:textId="77777777" w:rsidR="00591708" w:rsidRPr="00911108" w:rsidRDefault="00591708" w:rsidP="00911108">
          <w:pPr>
            <w:pStyle w:val="TOC1"/>
            <w:tabs>
              <w:tab w:val="right" w:leader="dot" w:pos="9016"/>
            </w:tabs>
            <w:spacing w:line="276" w:lineRule="auto"/>
            <w:rPr>
              <w:rFonts w:ascii="Arial" w:eastAsiaTheme="minorEastAsia" w:hAnsi="Arial" w:cs="Arial"/>
              <w:noProof/>
              <w:kern w:val="0"/>
              <w:lang w:eastAsia="en-IN" w:bidi="gu-IN"/>
              <w14:ligatures w14:val="none"/>
            </w:rPr>
          </w:pPr>
          <w:r w:rsidRPr="00911108">
            <w:rPr>
              <w:rFonts w:ascii="Arial" w:hAnsi="Arial" w:cs="Arial"/>
              <w:b/>
              <w:bCs/>
              <w:noProof/>
            </w:rPr>
            <w:fldChar w:fldCharType="begin"/>
          </w:r>
          <w:r w:rsidRPr="00911108">
            <w:rPr>
              <w:rFonts w:ascii="Arial" w:hAnsi="Arial" w:cs="Arial"/>
              <w:b/>
              <w:bCs/>
              <w:noProof/>
            </w:rPr>
            <w:instrText xml:space="preserve"> TOC \o "1-3" \h \z \u </w:instrText>
          </w:r>
          <w:r w:rsidRPr="00911108">
            <w:rPr>
              <w:rFonts w:ascii="Arial" w:hAnsi="Arial" w:cs="Arial"/>
              <w:b/>
              <w:bCs/>
              <w:noProof/>
            </w:rPr>
            <w:fldChar w:fldCharType="separate"/>
          </w:r>
          <w:hyperlink w:anchor="_Toc235740013" w:history="1">
            <w:r w:rsidRPr="00911108">
              <w:rPr>
                <w:rStyle w:val="Hyperlink"/>
                <w:rFonts w:ascii="Arial" w:hAnsi="Arial" w:cs="Arial"/>
                <w:b/>
                <w:bCs/>
                <w:noProof/>
              </w:rPr>
              <w:t>INTRODUCTION</w:t>
            </w:r>
            <w:r w:rsidRPr="00911108">
              <w:rPr>
                <w:rFonts w:ascii="Arial" w:hAnsi="Arial" w:cs="Arial"/>
                <w:noProof/>
                <w:webHidden/>
              </w:rPr>
              <w:tab/>
            </w:r>
            <w:r w:rsidRPr="00911108">
              <w:rPr>
                <w:rFonts w:ascii="Arial" w:hAnsi="Arial" w:cs="Arial"/>
                <w:noProof/>
                <w:webHidden/>
              </w:rPr>
              <w:fldChar w:fldCharType="begin"/>
            </w:r>
            <w:r w:rsidRPr="00911108">
              <w:rPr>
                <w:rFonts w:ascii="Arial" w:hAnsi="Arial" w:cs="Arial"/>
                <w:noProof/>
                <w:webHidden/>
              </w:rPr>
              <w:instrText xml:space="preserve"> PAGEREF _Toc235740013 \h </w:instrText>
            </w:r>
            <w:r w:rsidRPr="00911108">
              <w:rPr>
                <w:rFonts w:ascii="Arial" w:hAnsi="Arial" w:cs="Arial"/>
                <w:noProof/>
                <w:webHidden/>
              </w:rPr>
            </w:r>
            <w:r w:rsidRPr="00911108">
              <w:rPr>
                <w:rFonts w:ascii="Arial" w:hAnsi="Arial" w:cs="Arial"/>
                <w:noProof/>
                <w:webHidden/>
              </w:rPr>
              <w:fldChar w:fldCharType="separate"/>
            </w:r>
            <w:r w:rsidRPr="00911108">
              <w:rPr>
                <w:rFonts w:ascii="Arial" w:hAnsi="Arial" w:cs="Arial"/>
                <w:noProof/>
                <w:webHidden/>
              </w:rPr>
              <w:t>2</w:t>
            </w:r>
            <w:r w:rsidRPr="00911108">
              <w:rPr>
                <w:rFonts w:ascii="Arial" w:hAnsi="Arial" w:cs="Arial"/>
                <w:noProof/>
                <w:webHidden/>
              </w:rPr>
              <w:fldChar w:fldCharType="end"/>
            </w:r>
          </w:hyperlink>
        </w:p>
        <w:p w14:paraId="2EBFAE0C" w14:textId="77777777" w:rsidR="00591708" w:rsidRPr="00911108" w:rsidRDefault="004660A7" w:rsidP="00911108">
          <w:pPr>
            <w:pStyle w:val="TOC1"/>
            <w:tabs>
              <w:tab w:val="right" w:leader="dot" w:pos="9016"/>
            </w:tabs>
            <w:spacing w:line="276" w:lineRule="auto"/>
            <w:rPr>
              <w:rFonts w:ascii="Arial" w:eastAsiaTheme="minorEastAsia" w:hAnsi="Arial" w:cs="Arial"/>
              <w:noProof/>
              <w:kern w:val="0"/>
              <w:lang w:eastAsia="en-IN" w:bidi="gu-IN"/>
              <w14:ligatures w14:val="none"/>
            </w:rPr>
          </w:pPr>
          <w:hyperlink w:anchor="_Toc235740014" w:history="1">
            <w:r w:rsidR="00591708" w:rsidRPr="00911108">
              <w:rPr>
                <w:rStyle w:val="Hyperlink"/>
                <w:rFonts w:ascii="Arial" w:hAnsi="Arial" w:cs="Arial"/>
                <w:b/>
                <w:bCs/>
                <w:noProof/>
              </w:rPr>
              <w:t>Task 1: Marketing Environment Analysis</w:t>
            </w:r>
            <w:r w:rsidR="00591708" w:rsidRPr="00911108">
              <w:rPr>
                <w:rFonts w:ascii="Arial" w:hAnsi="Arial" w:cs="Arial"/>
                <w:noProof/>
                <w:webHidden/>
              </w:rPr>
              <w:tab/>
            </w:r>
            <w:r w:rsidR="00591708" w:rsidRPr="00911108">
              <w:rPr>
                <w:rFonts w:ascii="Arial" w:hAnsi="Arial" w:cs="Arial"/>
                <w:noProof/>
                <w:webHidden/>
              </w:rPr>
              <w:fldChar w:fldCharType="begin"/>
            </w:r>
            <w:r w:rsidR="00591708" w:rsidRPr="00911108">
              <w:rPr>
                <w:rFonts w:ascii="Arial" w:hAnsi="Arial" w:cs="Arial"/>
                <w:noProof/>
                <w:webHidden/>
              </w:rPr>
              <w:instrText xml:space="preserve"> PAGEREF _Toc235740014 \h </w:instrText>
            </w:r>
            <w:r w:rsidR="00591708" w:rsidRPr="00911108">
              <w:rPr>
                <w:rFonts w:ascii="Arial" w:hAnsi="Arial" w:cs="Arial"/>
                <w:noProof/>
                <w:webHidden/>
              </w:rPr>
            </w:r>
            <w:r w:rsidR="00591708" w:rsidRPr="00911108">
              <w:rPr>
                <w:rFonts w:ascii="Arial" w:hAnsi="Arial" w:cs="Arial"/>
                <w:noProof/>
                <w:webHidden/>
              </w:rPr>
              <w:fldChar w:fldCharType="separate"/>
            </w:r>
            <w:r w:rsidR="00591708" w:rsidRPr="00911108">
              <w:rPr>
                <w:rFonts w:ascii="Arial" w:hAnsi="Arial" w:cs="Arial"/>
                <w:noProof/>
                <w:webHidden/>
              </w:rPr>
              <w:t>2</w:t>
            </w:r>
            <w:r w:rsidR="00591708" w:rsidRPr="00911108">
              <w:rPr>
                <w:rFonts w:ascii="Arial" w:hAnsi="Arial" w:cs="Arial"/>
                <w:noProof/>
                <w:webHidden/>
              </w:rPr>
              <w:fldChar w:fldCharType="end"/>
            </w:r>
          </w:hyperlink>
        </w:p>
        <w:p w14:paraId="0A84CFFE" w14:textId="77777777" w:rsidR="00591708" w:rsidRPr="00911108" w:rsidRDefault="004660A7" w:rsidP="00911108">
          <w:pPr>
            <w:pStyle w:val="TOC1"/>
            <w:tabs>
              <w:tab w:val="right" w:leader="dot" w:pos="9016"/>
            </w:tabs>
            <w:spacing w:line="276" w:lineRule="auto"/>
            <w:rPr>
              <w:rFonts w:ascii="Arial" w:eastAsiaTheme="minorEastAsia" w:hAnsi="Arial" w:cs="Arial"/>
              <w:noProof/>
              <w:kern w:val="0"/>
              <w:lang w:eastAsia="en-IN" w:bidi="gu-IN"/>
              <w14:ligatures w14:val="none"/>
            </w:rPr>
          </w:pPr>
          <w:hyperlink w:anchor="_Toc235740015" w:history="1">
            <w:r w:rsidR="00591708" w:rsidRPr="00911108">
              <w:rPr>
                <w:rStyle w:val="Hyperlink"/>
                <w:rFonts w:ascii="Arial" w:hAnsi="Arial" w:cs="Arial"/>
                <w:b/>
                <w:bCs/>
                <w:noProof/>
              </w:rPr>
              <w:t>Task 2: Strategic Growth Using the Ansoff Matrix</w:t>
            </w:r>
            <w:r w:rsidR="00591708" w:rsidRPr="00911108">
              <w:rPr>
                <w:rFonts w:ascii="Arial" w:hAnsi="Arial" w:cs="Arial"/>
                <w:noProof/>
                <w:webHidden/>
              </w:rPr>
              <w:tab/>
            </w:r>
            <w:r w:rsidR="00591708" w:rsidRPr="00911108">
              <w:rPr>
                <w:rFonts w:ascii="Arial" w:hAnsi="Arial" w:cs="Arial"/>
                <w:noProof/>
                <w:webHidden/>
              </w:rPr>
              <w:fldChar w:fldCharType="begin"/>
            </w:r>
            <w:r w:rsidR="00591708" w:rsidRPr="00911108">
              <w:rPr>
                <w:rFonts w:ascii="Arial" w:hAnsi="Arial" w:cs="Arial"/>
                <w:noProof/>
                <w:webHidden/>
              </w:rPr>
              <w:instrText xml:space="preserve"> PAGEREF _Toc235740015 \h </w:instrText>
            </w:r>
            <w:r w:rsidR="00591708" w:rsidRPr="00911108">
              <w:rPr>
                <w:rFonts w:ascii="Arial" w:hAnsi="Arial" w:cs="Arial"/>
                <w:noProof/>
                <w:webHidden/>
              </w:rPr>
            </w:r>
            <w:r w:rsidR="00591708" w:rsidRPr="00911108">
              <w:rPr>
                <w:rFonts w:ascii="Arial" w:hAnsi="Arial" w:cs="Arial"/>
                <w:noProof/>
                <w:webHidden/>
              </w:rPr>
              <w:fldChar w:fldCharType="separate"/>
            </w:r>
            <w:r w:rsidR="00591708" w:rsidRPr="00911108">
              <w:rPr>
                <w:rFonts w:ascii="Arial" w:hAnsi="Arial" w:cs="Arial"/>
                <w:noProof/>
                <w:webHidden/>
              </w:rPr>
              <w:t>5</w:t>
            </w:r>
            <w:r w:rsidR="00591708" w:rsidRPr="00911108">
              <w:rPr>
                <w:rFonts w:ascii="Arial" w:hAnsi="Arial" w:cs="Arial"/>
                <w:noProof/>
                <w:webHidden/>
              </w:rPr>
              <w:fldChar w:fldCharType="end"/>
            </w:r>
          </w:hyperlink>
        </w:p>
        <w:p w14:paraId="242BEE49" w14:textId="77777777" w:rsidR="00591708" w:rsidRPr="00911108" w:rsidRDefault="004660A7" w:rsidP="00911108">
          <w:pPr>
            <w:pStyle w:val="TOC1"/>
            <w:tabs>
              <w:tab w:val="right" w:leader="dot" w:pos="9016"/>
            </w:tabs>
            <w:spacing w:line="276" w:lineRule="auto"/>
            <w:rPr>
              <w:rFonts w:ascii="Arial" w:eastAsiaTheme="minorEastAsia" w:hAnsi="Arial" w:cs="Arial"/>
              <w:noProof/>
              <w:kern w:val="0"/>
              <w:lang w:eastAsia="en-IN" w:bidi="gu-IN"/>
              <w14:ligatures w14:val="none"/>
            </w:rPr>
          </w:pPr>
          <w:hyperlink w:anchor="_Toc235740016" w:history="1">
            <w:r w:rsidR="00591708" w:rsidRPr="00911108">
              <w:rPr>
                <w:rStyle w:val="Hyperlink"/>
                <w:rFonts w:ascii="Arial" w:eastAsia="Times New Roman" w:hAnsi="Arial" w:cs="Arial"/>
                <w:b/>
                <w:bCs/>
                <w:noProof/>
                <w:lang w:eastAsia="en-IN"/>
              </w:rPr>
              <w:t>Task 3: Critical Reflection on AI Usage</w:t>
            </w:r>
            <w:r w:rsidR="00591708" w:rsidRPr="00911108">
              <w:rPr>
                <w:rFonts w:ascii="Arial" w:hAnsi="Arial" w:cs="Arial"/>
                <w:noProof/>
                <w:webHidden/>
              </w:rPr>
              <w:tab/>
            </w:r>
            <w:r w:rsidR="00591708" w:rsidRPr="00911108">
              <w:rPr>
                <w:rFonts w:ascii="Arial" w:hAnsi="Arial" w:cs="Arial"/>
                <w:noProof/>
                <w:webHidden/>
              </w:rPr>
              <w:fldChar w:fldCharType="begin"/>
            </w:r>
            <w:r w:rsidR="00591708" w:rsidRPr="00911108">
              <w:rPr>
                <w:rFonts w:ascii="Arial" w:hAnsi="Arial" w:cs="Arial"/>
                <w:noProof/>
                <w:webHidden/>
              </w:rPr>
              <w:instrText xml:space="preserve"> PAGEREF _Toc235740016 \h </w:instrText>
            </w:r>
            <w:r w:rsidR="00591708" w:rsidRPr="00911108">
              <w:rPr>
                <w:rFonts w:ascii="Arial" w:hAnsi="Arial" w:cs="Arial"/>
                <w:noProof/>
                <w:webHidden/>
              </w:rPr>
            </w:r>
            <w:r w:rsidR="00591708" w:rsidRPr="00911108">
              <w:rPr>
                <w:rFonts w:ascii="Arial" w:hAnsi="Arial" w:cs="Arial"/>
                <w:noProof/>
                <w:webHidden/>
              </w:rPr>
              <w:fldChar w:fldCharType="separate"/>
            </w:r>
            <w:r w:rsidR="00591708" w:rsidRPr="00911108">
              <w:rPr>
                <w:rFonts w:ascii="Arial" w:hAnsi="Arial" w:cs="Arial"/>
                <w:noProof/>
                <w:webHidden/>
              </w:rPr>
              <w:t>7</w:t>
            </w:r>
            <w:r w:rsidR="00591708" w:rsidRPr="00911108">
              <w:rPr>
                <w:rFonts w:ascii="Arial" w:hAnsi="Arial" w:cs="Arial"/>
                <w:noProof/>
                <w:webHidden/>
              </w:rPr>
              <w:fldChar w:fldCharType="end"/>
            </w:r>
          </w:hyperlink>
        </w:p>
        <w:p w14:paraId="44612409" w14:textId="77777777" w:rsidR="00591708" w:rsidRPr="00911108" w:rsidRDefault="004660A7" w:rsidP="00911108">
          <w:pPr>
            <w:pStyle w:val="TOC1"/>
            <w:tabs>
              <w:tab w:val="right" w:leader="dot" w:pos="9016"/>
            </w:tabs>
            <w:spacing w:line="276" w:lineRule="auto"/>
            <w:rPr>
              <w:rFonts w:ascii="Arial" w:eastAsiaTheme="minorEastAsia" w:hAnsi="Arial" w:cs="Arial"/>
              <w:noProof/>
              <w:kern w:val="0"/>
              <w:lang w:eastAsia="en-IN" w:bidi="gu-IN"/>
              <w14:ligatures w14:val="none"/>
            </w:rPr>
          </w:pPr>
          <w:hyperlink w:anchor="_Toc235740017" w:history="1">
            <w:r w:rsidR="00591708" w:rsidRPr="00911108">
              <w:rPr>
                <w:rStyle w:val="Hyperlink"/>
                <w:rFonts w:ascii="Arial" w:hAnsi="Arial" w:cs="Arial"/>
                <w:b/>
                <w:bCs/>
                <w:noProof/>
              </w:rPr>
              <w:t>References</w:t>
            </w:r>
            <w:r w:rsidR="00591708" w:rsidRPr="00911108">
              <w:rPr>
                <w:rFonts w:ascii="Arial" w:hAnsi="Arial" w:cs="Arial"/>
                <w:noProof/>
                <w:webHidden/>
              </w:rPr>
              <w:tab/>
            </w:r>
            <w:r w:rsidR="00591708" w:rsidRPr="00911108">
              <w:rPr>
                <w:rFonts w:ascii="Arial" w:hAnsi="Arial" w:cs="Arial"/>
                <w:noProof/>
                <w:webHidden/>
              </w:rPr>
              <w:fldChar w:fldCharType="begin"/>
            </w:r>
            <w:r w:rsidR="00591708" w:rsidRPr="00911108">
              <w:rPr>
                <w:rFonts w:ascii="Arial" w:hAnsi="Arial" w:cs="Arial"/>
                <w:noProof/>
                <w:webHidden/>
              </w:rPr>
              <w:instrText xml:space="preserve"> PAGEREF _Toc235740017 \h </w:instrText>
            </w:r>
            <w:r w:rsidR="00591708" w:rsidRPr="00911108">
              <w:rPr>
                <w:rFonts w:ascii="Arial" w:hAnsi="Arial" w:cs="Arial"/>
                <w:noProof/>
                <w:webHidden/>
              </w:rPr>
            </w:r>
            <w:r w:rsidR="00591708" w:rsidRPr="00911108">
              <w:rPr>
                <w:rFonts w:ascii="Arial" w:hAnsi="Arial" w:cs="Arial"/>
                <w:noProof/>
                <w:webHidden/>
              </w:rPr>
              <w:fldChar w:fldCharType="separate"/>
            </w:r>
            <w:r w:rsidR="00591708" w:rsidRPr="00911108">
              <w:rPr>
                <w:rFonts w:ascii="Arial" w:hAnsi="Arial" w:cs="Arial"/>
                <w:noProof/>
                <w:webHidden/>
              </w:rPr>
              <w:t>9</w:t>
            </w:r>
            <w:r w:rsidR="00591708" w:rsidRPr="00911108">
              <w:rPr>
                <w:rFonts w:ascii="Arial" w:hAnsi="Arial" w:cs="Arial"/>
                <w:noProof/>
                <w:webHidden/>
              </w:rPr>
              <w:fldChar w:fldCharType="end"/>
            </w:r>
          </w:hyperlink>
        </w:p>
        <w:p w14:paraId="5DB04BFA" w14:textId="77777777" w:rsidR="00591708" w:rsidRPr="00911108" w:rsidRDefault="00591708" w:rsidP="00911108">
          <w:pPr>
            <w:spacing w:line="276" w:lineRule="auto"/>
            <w:rPr>
              <w:rFonts w:ascii="Arial" w:hAnsi="Arial" w:cs="Arial"/>
              <w:b/>
              <w:bCs/>
              <w:noProof/>
            </w:rPr>
          </w:pPr>
          <w:r w:rsidRPr="00911108">
            <w:rPr>
              <w:rFonts w:ascii="Arial" w:hAnsi="Arial" w:cs="Arial"/>
              <w:b/>
              <w:bCs/>
              <w:noProof/>
            </w:rPr>
            <w:fldChar w:fldCharType="end"/>
          </w:r>
        </w:p>
      </w:sdtContent>
    </w:sdt>
    <w:p w14:paraId="3CB451DB" w14:textId="77777777" w:rsidR="000C37C5" w:rsidRPr="00911108" w:rsidRDefault="000C37C5" w:rsidP="00911108">
      <w:pPr>
        <w:spacing w:line="276" w:lineRule="auto"/>
        <w:jc w:val="both"/>
        <w:rPr>
          <w:rFonts w:ascii="Arial" w:hAnsi="Arial" w:cs="Arial"/>
          <w:b/>
          <w:bCs/>
          <w:sz w:val="24"/>
          <w:szCs w:val="24"/>
        </w:rPr>
      </w:pPr>
    </w:p>
    <w:p w14:paraId="2BD570F2" w14:textId="77777777" w:rsidR="000C37C5" w:rsidRPr="00911108" w:rsidRDefault="000C37C5" w:rsidP="00911108">
      <w:pPr>
        <w:spacing w:line="276" w:lineRule="auto"/>
        <w:rPr>
          <w:rFonts w:ascii="Arial" w:hAnsi="Arial" w:cs="Arial"/>
          <w:b/>
          <w:bCs/>
          <w:sz w:val="24"/>
          <w:szCs w:val="24"/>
        </w:rPr>
      </w:pPr>
      <w:r w:rsidRPr="00911108">
        <w:rPr>
          <w:rFonts w:ascii="Arial" w:hAnsi="Arial" w:cs="Arial"/>
          <w:b/>
          <w:bCs/>
          <w:sz w:val="24"/>
          <w:szCs w:val="24"/>
        </w:rPr>
        <w:br w:type="page"/>
      </w:r>
    </w:p>
    <w:p w14:paraId="0CEE0168" w14:textId="069F643F" w:rsidR="005F4626" w:rsidRPr="00911108" w:rsidRDefault="00C05CE8" w:rsidP="00911108">
      <w:pPr>
        <w:pStyle w:val="Heading1"/>
        <w:spacing w:line="276" w:lineRule="auto"/>
        <w:rPr>
          <w:rFonts w:ascii="Arial" w:hAnsi="Arial" w:cs="Arial"/>
          <w:b/>
          <w:bCs/>
          <w:sz w:val="24"/>
          <w:szCs w:val="24"/>
        </w:rPr>
      </w:pPr>
      <w:bookmarkStart w:id="0" w:name="_Toc235740013"/>
      <w:r w:rsidRPr="00911108">
        <w:rPr>
          <w:rFonts w:ascii="Arial" w:hAnsi="Arial" w:cs="Arial"/>
          <w:b/>
          <w:bCs/>
          <w:sz w:val="24"/>
          <w:szCs w:val="24"/>
        </w:rPr>
        <w:lastRenderedPageBreak/>
        <w:t>INTRODUCTION</w:t>
      </w:r>
      <w:bookmarkEnd w:id="0"/>
    </w:p>
    <w:p w14:paraId="3213BFC4" w14:textId="5A44DAA0" w:rsidR="001F3EB4" w:rsidRPr="00911108" w:rsidRDefault="00911108" w:rsidP="00911108">
      <w:pPr>
        <w:spacing w:line="276" w:lineRule="auto"/>
        <w:jc w:val="both"/>
        <w:rPr>
          <w:rFonts w:ascii="Arial" w:eastAsia="Times New Roman" w:hAnsi="Arial" w:cs="Arial"/>
          <w:kern w:val="0"/>
          <w:sz w:val="24"/>
          <w:szCs w:val="24"/>
          <w:lang w:eastAsia="en-IN" w:bidi="gu-IN"/>
          <w14:ligatures w14:val="none"/>
        </w:rPr>
      </w:pPr>
      <w:r w:rsidRPr="00911108">
        <w:rPr>
          <w:rFonts w:ascii="Arial" w:hAnsi="Arial" w:cs="Arial"/>
          <w:sz w:val="24"/>
          <w:szCs w:val="24"/>
        </w:rPr>
        <w:t>BHP is an internationally based, diversified mining and metals firm with its headquarters in Melbourne, Australia. It was founded in 1885 and is one of the world's leading providers of natural resources in multiple countries throughout Australia, North and South America, Asia and more</w:t>
      </w:r>
      <w:r w:rsidR="001F3EB4" w:rsidRPr="00911108">
        <w:rPr>
          <w:rFonts w:ascii="Arial" w:hAnsi="Arial" w:cs="Arial"/>
          <w:sz w:val="24"/>
          <w:szCs w:val="24"/>
        </w:rPr>
        <w:t>. From iron ore to copper, metallurgical coal, nickel and potash, BHP supplies a variety of key commodities that are vital to industries like construction, steel production, transportation, renewable energy, agriculture and advanced technology. With global demand for sustainable energy on the rise, BHP has been prioritising the supply of minerals for decarbonisation, electrification and digitalisation as part of its business strategy</w:t>
      </w:r>
      <w:r w:rsidR="00226496" w:rsidRPr="00911108">
        <w:rPr>
          <w:rFonts w:ascii="Arial" w:hAnsi="Arial" w:cs="Arial"/>
          <w:sz w:val="24"/>
          <w:szCs w:val="24"/>
        </w:rPr>
        <w:t xml:space="preserve"> </w:t>
      </w:r>
      <w:r w:rsidR="00226496" w:rsidRPr="00911108">
        <w:rPr>
          <w:rFonts w:ascii="Arial" w:eastAsia="Times New Roman" w:hAnsi="Arial" w:cs="Arial"/>
          <w:kern w:val="0"/>
          <w:sz w:val="24"/>
          <w:szCs w:val="24"/>
          <w:lang w:eastAsia="en-IN" w:bidi="gu-IN"/>
          <w14:ligatures w14:val="none"/>
        </w:rPr>
        <w:t>(</w:t>
      </w:r>
      <w:r w:rsidR="00226496" w:rsidRPr="00911108">
        <w:rPr>
          <w:rFonts w:ascii="Arial" w:eastAsia="Times New Roman" w:hAnsi="Arial" w:cs="Arial"/>
          <w:i/>
          <w:iCs/>
          <w:kern w:val="0"/>
          <w:sz w:val="24"/>
          <w:szCs w:val="24"/>
          <w:lang w:eastAsia="en-IN" w:bidi="gu-IN"/>
          <w14:ligatures w14:val="none"/>
        </w:rPr>
        <w:t>BHP Billiton Ltd. | Mining and Mineral Resources | Research Starters | EBSCO Research</w:t>
      </w:r>
      <w:r w:rsidR="00226496" w:rsidRPr="00911108">
        <w:rPr>
          <w:rFonts w:ascii="Arial" w:eastAsia="Times New Roman" w:hAnsi="Arial" w:cs="Arial"/>
          <w:kern w:val="0"/>
          <w:sz w:val="24"/>
          <w:szCs w:val="24"/>
          <w:lang w:eastAsia="en-IN" w:bidi="gu-IN"/>
          <w14:ligatures w14:val="none"/>
        </w:rPr>
        <w:t>, n.d.-b)</w:t>
      </w:r>
      <w:r w:rsidR="001F3EB4" w:rsidRPr="00911108">
        <w:rPr>
          <w:rFonts w:ascii="Arial" w:hAnsi="Arial" w:cs="Arial"/>
          <w:sz w:val="24"/>
          <w:szCs w:val="24"/>
        </w:rPr>
        <w:t>. Copper and nickel, for instance, are essential to the construction of electric vehicles, batteries and renewable energy systems, and potash is used to boost the productivity of agriculture sustainably by enhancing crop yields. BHP has seen the rising significance of environmental responsibility and sustainability is now a long-term goal in the company's strategic plan, which is funded with substantial investments in renewable energy, emissions reduction technologies, water stewardship and biodiversity conservation. The company has promised to achieve operational net zero greenhouse gas emissions by 2050, and has adopted its Climate Transition Action Plan to help ensure the implementation of cleaner technologies and carbon reduction efforts. BHP is also strongly engaged in partnerships with governments, industry partners and local communities for responsible mining, and its transition to a low carbon economy. The actions will enable BHP to be both a successful business and an environmental steward, while building trust with customers, investors, employees and society in the long-term.</w:t>
      </w:r>
    </w:p>
    <w:p w14:paraId="78393082" w14:textId="26AF671E" w:rsidR="00A54CC9" w:rsidRPr="00911108" w:rsidRDefault="00A54CC9" w:rsidP="00911108">
      <w:pPr>
        <w:pStyle w:val="Heading1"/>
        <w:spacing w:line="276" w:lineRule="auto"/>
        <w:rPr>
          <w:rFonts w:ascii="Arial" w:hAnsi="Arial" w:cs="Arial"/>
          <w:b/>
          <w:bCs/>
          <w:sz w:val="24"/>
          <w:szCs w:val="24"/>
        </w:rPr>
      </w:pPr>
      <w:bookmarkStart w:id="1" w:name="_Toc235740014"/>
      <w:r w:rsidRPr="00911108">
        <w:rPr>
          <w:rFonts w:ascii="Arial" w:hAnsi="Arial" w:cs="Arial"/>
          <w:b/>
          <w:bCs/>
          <w:sz w:val="24"/>
          <w:szCs w:val="24"/>
        </w:rPr>
        <w:t>Task 1: Marketing Environment Analysis</w:t>
      </w:r>
      <w:bookmarkEnd w:id="1"/>
    </w:p>
    <w:p w14:paraId="39A396D8" w14:textId="133DC09F" w:rsidR="00C05CE8" w:rsidRPr="00911108" w:rsidRDefault="00F73B28" w:rsidP="00911108">
      <w:pPr>
        <w:spacing w:line="276" w:lineRule="auto"/>
        <w:jc w:val="both"/>
        <w:rPr>
          <w:rFonts w:ascii="Arial" w:eastAsia="Times New Roman" w:hAnsi="Arial" w:cs="Arial"/>
          <w:kern w:val="0"/>
          <w:sz w:val="24"/>
          <w:szCs w:val="24"/>
          <w:lang w:eastAsia="en-IN" w:bidi="gu-IN"/>
          <w14:ligatures w14:val="none"/>
        </w:rPr>
      </w:pPr>
      <w:r w:rsidRPr="00911108">
        <w:rPr>
          <w:rFonts w:ascii="Arial" w:hAnsi="Arial" w:cs="Arial"/>
          <w:sz w:val="24"/>
          <w:szCs w:val="24"/>
        </w:rPr>
        <w:t>The natural environment is the most important external marketing environment key influencing BHP because the company's operations are directly reliant on natural resources, land, biodiversity, and the availability of water, as well as the stability of climatic conditions</w:t>
      </w:r>
      <w:r w:rsidR="006D76A8" w:rsidRPr="00911108">
        <w:rPr>
          <w:rFonts w:ascii="Arial" w:eastAsia="Times New Roman" w:hAnsi="Arial" w:cs="Arial"/>
          <w:kern w:val="0"/>
          <w:sz w:val="24"/>
          <w:szCs w:val="24"/>
          <w:lang w:eastAsia="en-IN" w:bidi="gu-IN"/>
          <w14:ligatures w14:val="none"/>
        </w:rPr>
        <w:t>(ISO20400.org, 2026)</w:t>
      </w:r>
      <w:r w:rsidRPr="00911108">
        <w:rPr>
          <w:rFonts w:ascii="Arial" w:hAnsi="Arial" w:cs="Arial"/>
          <w:sz w:val="24"/>
          <w:szCs w:val="24"/>
        </w:rPr>
        <w:t xml:space="preserve">. BHP is one of the world's biggest miners, and its operations provide rocks that are vital for the world's economic development. </w:t>
      </w:r>
      <w:r w:rsidR="00911108" w:rsidRPr="00911108">
        <w:rPr>
          <w:rFonts w:ascii="Arial" w:hAnsi="Arial" w:cs="Arial"/>
          <w:sz w:val="24"/>
          <w:szCs w:val="24"/>
        </w:rPr>
        <w:t>Mining operations, however, do require a significant amount of energy and water, and also emit greenhouse gases and impact on the surrounding ecosystem. In recent years, climate change has grown to be one of the most pressing challenges in the mining industry, in addition to the growing demand for critical minerals globally, businesses are striving to reduce the environmental impact of their operations. Mining companies have been placed under a microscope by customers, governments, investors and local communities who all expect them to show that they are environmentally responsible and driving the low carbon economy (Franken &amp; Schütte, 2022).</w:t>
      </w:r>
    </w:p>
    <w:p w14:paraId="40869F6E" w14:textId="207C83B4" w:rsidR="00F73B28" w:rsidRPr="00911108" w:rsidRDefault="00F73B28" w:rsidP="00911108">
      <w:pPr>
        <w:spacing w:line="276" w:lineRule="auto"/>
        <w:jc w:val="both"/>
        <w:rPr>
          <w:rFonts w:ascii="Arial" w:eastAsia="Times New Roman" w:hAnsi="Arial" w:cs="Arial"/>
          <w:kern w:val="0"/>
          <w:sz w:val="24"/>
          <w:szCs w:val="24"/>
          <w:lang w:eastAsia="en-IN" w:bidi="gu-IN"/>
          <w14:ligatures w14:val="none"/>
        </w:rPr>
      </w:pPr>
      <w:r w:rsidRPr="00911108">
        <w:rPr>
          <w:rFonts w:ascii="Arial" w:hAnsi="Arial" w:cs="Arial"/>
          <w:sz w:val="24"/>
          <w:szCs w:val="24"/>
        </w:rPr>
        <w:lastRenderedPageBreak/>
        <w:t>Recognising these environmental issues, BHP has embedded sustainability into its business strategy for the long-term</w:t>
      </w:r>
      <w:r w:rsidR="00F467F6" w:rsidRPr="00911108">
        <w:rPr>
          <w:rFonts w:ascii="Arial" w:hAnsi="Arial" w:cs="Arial"/>
          <w:sz w:val="24"/>
          <w:szCs w:val="24"/>
        </w:rPr>
        <w:t xml:space="preserve"> </w:t>
      </w:r>
      <w:r w:rsidR="00F467F6" w:rsidRPr="00911108">
        <w:rPr>
          <w:rFonts w:ascii="Arial" w:eastAsia="Times New Roman" w:hAnsi="Arial" w:cs="Arial"/>
          <w:kern w:val="0"/>
          <w:sz w:val="24"/>
          <w:szCs w:val="24"/>
          <w:lang w:eastAsia="en-IN" w:bidi="gu-IN"/>
          <w14:ligatures w14:val="none"/>
        </w:rPr>
        <w:t>(</w:t>
      </w:r>
      <w:r w:rsidR="00F467F6" w:rsidRPr="00911108">
        <w:rPr>
          <w:rFonts w:ascii="Arial" w:eastAsia="Times New Roman" w:hAnsi="Arial" w:cs="Arial"/>
          <w:i/>
          <w:iCs/>
          <w:kern w:val="0"/>
          <w:sz w:val="24"/>
          <w:szCs w:val="24"/>
          <w:lang w:eastAsia="en-IN" w:bidi="gu-IN"/>
          <w14:ligatures w14:val="none"/>
        </w:rPr>
        <w:t>Sustainability –| Esri UK</w:t>
      </w:r>
      <w:r w:rsidR="00F467F6" w:rsidRPr="00911108">
        <w:rPr>
          <w:rFonts w:ascii="Arial" w:eastAsia="Times New Roman" w:hAnsi="Arial" w:cs="Arial"/>
          <w:kern w:val="0"/>
          <w:sz w:val="24"/>
          <w:szCs w:val="24"/>
          <w:lang w:eastAsia="en-IN" w:bidi="gu-IN"/>
          <w14:ligatures w14:val="none"/>
        </w:rPr>
        <w:t>, n.d.)</w:t>
      </w:r>
      <w:r w:rsidRPr="00911108">
        <w:rPr>
          <w:rFonts w:ascii="Arial" w:hAnsi="Arial" w:cs="Arial"/>
          <w:sz w:val="24"/>
          <w:szCs w:val="24"/>
        </w:rPr>
        <w:t>. The company has made the move towards Net Zero operational GHG emissions by 2050 and launched a Climate Transition Action Plan to help it take action to lower GHG emissions from its operations. BHP remains committed to investing in renewable energy initiatives, electrifying mining equipment, carbon reduction technology, biodiversity conservation programmes and water stewardship initiatives. Such investments enable the optimization of operations and contribute to the reduction of the company's environmental impact. Moreover, BHP has upped its investment in commodities of the future like copper, nickel and potash, which are vital in the manufacture of electric vehicles, renewable energy systems, battery storage technology and other sustainable agriculture products. BHP's investment strategy aims to capture the opportunities of the rising global demand for these strategic minerals through a strategy that emphasises decarbonisation, electrification and technological innovation.</w:t>
      </w:r>
    </w:p>
    <w:p w14:paraId="6FE00973" w14:textId="448E648D" w:rsidR="00A54CC9" w:rsidRPr="00911108" w:rsidRDefault="00F73B28" w:rsidP="00911108">
      <w:pPr>
        <w:spacing w:line="276" w:lineRule="auto"/>
        <w:jc w:val="both"/>
        <w:rPr>
          <w:rFonts w:ascii="Arial" w:eastAsia="Times New Roman" w:hAnsi="Arial" w:cs="Arial"/>
          <w:kern w:val="0"/>
          <w:sz w:val="24"/>
          <w:szCs w:val="24"/>
          <w:lang w:eastAsia="en-IN" w:bidi="gu-IN"/>
          <w14:ligatures w14:val="none"/>
        </w:rPr>
      </w:pPr>
      <w:r w:rsidRPr="00911108">
        <w:rPr>
          <w:rFonts w:ascii="Arial" w:hAnsi="Arial" w:cs="Arial"/>
          <w:sz w:val="24"/>
          <w:szCs w:val="24"/>
        </w:rPr>
        <w:t>However, BHP still has some environmental issues which could impact their performance and reputation in the long term.</w:t>
      </w:r>
      <w:r w:rsidR="00911108" w:rsidRPr="00911108">
        <w:t xml:space="preserve"> </w:t>
      </w:r>
      <w:r w:rsidR="00911108" w:rsidRPr="00911108">
        <w:rPr>
          <w:rFonts w:ascii="Arial" w:hAnsi="Arial" w:cs="Arial"/>
          <w:sz w:val="24"/>
          <w:szCs w:val="24"/>
        </w:rPr>
        <w:t>Mining activities result in substantial greenhouse gas emissions, and require large amounts of water; also, if not managed properly, mining can have a negative impact on biodiversity and surrounding ecosystems. In addition, a number of decarbonisation projects have been postponed due to technical, infrastructure and financial difficulties for the company. The delays have been criticised by environmental groups, investors and climate change campaigners who have argued that the companies should speed up their shift to cleaner mining Knaus and Morton (2026). Furthermore, the governments around the world are imposing more stringent environmental requirements, carbon pricing and sustainability reporting standards, which also increase the cost of compliance for mining companies.</w:t>
      </w:r>
      <w:r w:rsidRPr="00911108">
        <w:rPr>
          <w:rFonts w:ascii="Arial" w:hAnsi="Arial" w:cs="Arial"/>
          <w:sz w:val="24"/>
          <w:szCs w:val="24"/>
        </w:rPr>
        <w:t>This results in opportunities and threats for BHP in the natural environment. The demand for low carbon minerals opens up opportunities for business expansion and innovation, but to continue to meet growing environmental regulations, climate risks and the expectations of stakeholders, sustainable technologies and responsible mining practices need to be continuously invested.</w:t>
      </w:r>
    </w:p>
    <w:p w14:paraId="01E39109" w14:textId="77777777" w:rsidR="00C22C82" w:rsidRPr="00C22C82" w:rsidRDefault="00067ECB" w:rsidP="00C22C82">
      <w:pPr>
        <w:spacing w:line="276" w:lineRule="auto"/>
        <w:jc w:val="both"/>
        <w:rPr>
          <w:rFonts w:ascii="Arial" w:hAnsi="Arial" w:cs="Arial"/>
          <w:sz w:val="24"/>
          <w:szCs w:val="24"/>
        </w:rPr>
      </w:pPr>
      <w:r w:rsidRPr="00911108">
        <w:rPr>
          <w:rFonts w:ascii="Arial" w:hAnsi="Arial" w:cs="Arial"/>
          <w:sz w:val="24"/>
          <w:szCs w:val="24"/>
        </w:rPr>
        <w:t>The second external marketing environment actor affecting BHP is publics which encompasses investors, governments, environmental organisations, local communities, employees, customers and the media</w:t>
      </w:r>
      <w:r w:rsidR="001E0B14" w:rsidRPr="00911108">
        <w:rPr>
          <w:rFonts w:ascii="Arial" w:hAnsi="Arial" w:cs="Arial"/>
          <w:sz w:val="24"/>
          <w:szCs w:val="24"/>
        </w:rPr>
        <w:t xml:space="preserve"> </w:t>
      </w:r>
      <w:r w:rsidR="001E0B14" w:rsidRPr="00911108">
        <w:rPr>
          <w:rFonts w:ascii="Arial" w:eastAsia="Times New Roman" w:hAnsi="Arial" w:cs="Arial"/>
          <w:kern w:val="0"/>
          <w:sz w:val="24"/>
          <w:szCs w:val="24"/>
          <w:lang w:eastAsia="en-IN" w:bidi="gu-IN"/>
          <w14:ligatures w14:val="none"/>
        </w:rPr>
        <w:t>(</w:t>
      </w:r>
      <w:r w:rsidR="001E0B14" w:rsidRPr="00911108">
        <w:rPr>
          <w:rFonts w:ascii="Arial" w:eastAsia="Times New Roman" w:hAnsi="Arial" w:cs="Arial"/>
          <w:i/>
          <w:iCs/>
          <w:kern w:val="0"/>
          <w:sz w:val="24"/>
          <w:szCs w:val="24"/>
          <w:lang w:eastAsia="en-IN" w:bidi="gu-IN"/>
          <w14:ligatures w14:val="none"/>
        </w:rPr>
        <w:t>Page 36 - Annual Report 2020</w:t>
      </w:r>
      <w:r w:rsidR="001E0B14" w:rsidRPr="00911108">
        <w:rPr>
          <w:rFonts w:ascii="Arial" w:eastAsia="Times New Roman" w:hAnsi="Arial" w:cs="Arial"/>
          <w:kern w:val="0"/>
          <w:sz w:val="24"/>
          <w:szCs w:val="24"/>
          <w:lang w:eastAsia="en-IN" w:bidi="gu-IN"/>
          <w14:ligatures w14:val="none"/>
        </w:rPr>
        <w:t>, n.d.)</w:t>
      </w:r>
      <w:r w:rsidRPr="00911108">
        <w:rPr>
          <w:rFonts w:ascii="Arial" w:hAnsi="Arial" w:cs="Arial"/>
          <w:sz w:val="24"/>
          <w:szCs w:val="24"/>
        </w:rPr>
        <w:t xml:space="preserve">. All of these stakeholder groups are becoming more influential in the company's corporate image, marketing and long-term business success. </w:t>
      </w:r>
      <w:r w:rsidR="00C22C82" w:rsidRPr="00C22C82">
        <w:rPr>
          <w:rFonts w:ascii="Arial" w:hAnsi="Arial" w:cs="Arial"/>
          <w:sz w:val="24"/>
          <w:szCs w:val="24"/>
        </w:rPr>
        <w:t>Investor preferences have evolved drastically over the last ten years, and now institutional investors are focusing more on Environmental, Social and Governance (ESG) performance when deciding where to invest. The perception of the business's performance as a good corporate citizen is seen as a reduction of the perceived risk of the investment and improved long-term returns. In response to these expectations, BHP regularly reports on sustainability, the climate transition, ESG performance and environmental disclosures every year to enhance transparency, accountability and stakeholder confidence.</w:t>
      </w:r>
    </w:p>
    <w:p w14:paraId="123FAD76" w14:textId="00A2547B" w:rsidR="00C22C82" w:rsidRPr="00C22C82" w:rsidRDefault="003969E5" w:rsidP="00C22C82">
      <w:pPr>
        <w:spacing w:line="276" w:lineRule="auto"/>
        <w:jc w:val="both"/>
        <w:rPr>
          <w:rFonts w:ascii="Arial" w:hAnsi="Arial" w:cs="Arial"/>
          <w:sz w:val="24"/>
          <w:szCs w:val="24"/>
        </w:rPr>
      </w:pPr>
      <w:r w:rsidRPr="003969E5">
        <w:rPr>
          <w:rFonts w:ascii="Arial" w:hAnsi="Arial" w:cs="Arial"/>
          <w:sz w:val="24"/>
          <w:szCs w:val="24"/>
        </w:rPr>
        <w:lastRenderedPageBreak/>
        <w:t>Additionally, environmental laws, carbon reduction obligations and international climate change agreements like the Paris Agreement and mining laws will also be a big determinant on the government's influence on BHP. To achieve these commitments, continuous investments in cleaner technologies, renewable energy, emissions reduction projects and in sustainable operations are needed. At the same time, environmental groups are closely monitoring BHP's sustainability commitment and are regularly measuring how far BHP is progressing towards reaching climate targets. If they don't perform well in the environment, it will reflect on the company and it will lose the trust of its stakeholders. Local communities also view BHP as a way of reducing environmental impact, conserving biodiversity, providing jobs and providing a positive impact on their local community development.</w:t>
      </w:r>
      <w:r w:rsidR="00C22C82" w:rsidRPr="00C22C82">
        <w:rPr>
          <w:rFonts w:ascii="Arial" w:hAnsi="Arial" w:cs="Arial"/>
          <w:sz w:val="24"/>
          <w:szCs w:val="24"/>
        </w:rPr>
        <w:t>Furthermore, media coverage has the potential to influence the public's perception through highlighting the company's advancement and environmental concerns.</w:t>
      </w:r>
    </w:p>
    <w:p w14:paraId="5E55550C" w14:textId="2FEE3B46" w:rsidR="00C05CE8" w:rsidRPr="00911108" w:rsidRDefault="00C22C82" w:rsidP="00C22C82">
      <w:pPr>
        <w:spacing w:line="276" w:lineRule="auto"/>
        <w:jc w:val="both"/>
        <w:rPr>
          <w:rFonts w:ascii="Arial" w:eastAsia="Times New Roman" w:hAnsi="Arial" w:cs="Arial"/>
          <w:kern w:val="0"/>
          <w:sz w:val="24"/>
          <w:szCs w:val="24"/>
          <w:lang w:eastAsia="en-IN" w:bidi="gu-IN"/>
          <w14:ligatures w14:val="none"/>
        </w:rPr>
      </w:pPr>
      <w:r w:rsidRPr="00C22C82">
        <w:rPr>
          <w:rFonts w:ascii="Arial" w:hAnsi="Arial" w:cs="Arial"/>
          <w:sz w:val="24"/>
          <w:szCs w:val="24"/>
        </w:rPr>
        <w:t>Stakeholder expectation is BHP as a responsible and sustainable mining (RCES) company will be committed to the global transition to a low carbon economy. BHP is working to present a more transparent image for the company, to build investor and customer confidence, and achieve long lasting sustainable growth by ensuring optimal communication, investment in sustainable mining practices and by actively involving its constituents (BHP Group Limited | Towards Sustainable Mining, n.d.).</w:t>
      </w:r>
    </w:p>
    <w:p w14:paraId="141954C6" w14:textId="09796D82" w:rsidR="00C05CE8" w:rsidRPr="00911108" w:rsidRDefault="00C95726" w:rsidP="00911108">
      <w:pPr>
        <w:spacing w:line="276" w:lineRule="auto"/>
        <w:rPr>
          <w:rFonts w:ascii="Arial" w:hAnsi="Arial" w:cs="Arial"/>
          <w:b/>
          <w:bCs/>
          <w:sz w:val="24"/>
          <w:szCs w:val="24"/>
        </w:rPr>
      </w:pPr>
      <w:r w:rsidRPr="00911108">
        <w:rPr>
          <w:rFonts w:ascii="Arial" w:hAnsi="Arial" w:cs="Arial"/>
          <w:noProof/>
          <w:lang w:eastAsia="en-IN" w:bidi="gu-IN"/>
        </w:rPr>
        <w:drawing>
          <wp:anchor distT="0" distB="0" distL="114300" distR="114300" simplePos="0" relativeHeight="251659264" behindDoc="0" locked="0" layoutInCell="1" allowOverlap="1" wp14:anchorId="0CD69A88" wp14:editId="1CE6D281">
            <wp:simplePos x="0" y="0"/>
            <wp:positionH relativeFrom="margin">
              <wp:posOffset>694055</wp:posOffset>
            </wp:positionH>
            <wp:positionV relativeFrom="margin">
              <wp:posOffset>4543425</wp:posOffset>
            </wp:positionV>
            <wp:extent cx="4335780" cy="3023870"/>
            <wp:effectExtent l="0" t="0" r="7620" b="5080"/>
            <wp:wrapSquare wrapText="bothSides"/>
            <wp:docPr id="1" name="Picture 1" descr="The Definitive Guide on Marketing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Definitive Guide on Marketing Environ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5780" cy="3023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5CE8" w:rsidRPr="00911108">
        <w:rPr>
          <w:rFonts w:ascii="Arial" w:hAnsi="Arial" w:cs="Arial"/>
          <w:b/>
          <w:bCs/>
          <w:sz w:val="24"/>
          <w:szCs w:val="24"/>
        </w:rPr>
        <w:br w:type="page"/>
      </w:r>
    </w:p>
    <w:p w14:paraId="2869B36B" w14:textId="2B4BC034" w:rsidR="00A54CC9" w:rsidRPr="00911108" w:rsidRDefault="00A54CC9" w:rsidP="00911108">
      <w:pPr>
        <w:pStyle w:val="Heading1"/>
        <w:spacing w:line="276" w:lineRule="auto"/>
        <w:rPr>
          <w:rFonts w:ascii="Arial" w:hAnsi="Arial" w:cs="Arial"/>
          <w:b/>
          <w:bCs/>
          <w:sz w:val="24"/>
          <w:szCs w:val="24"/>
        </w:rPr>
      </w:pPr>
      <w:bookmarkStart w:id="2" w:name="_Toc235740015"/>
      <w:r w:rsidRPr="00911108">
        <w:rPr>
          <w:rFonts w:ascii="Arial" w:hAnsi="Arial" w:cs="Arial"/>
          <w:b/>
          <w:bCs/>
          <w:sz w:val="24"/>
          <w:szCs w:val="24"/>
        </w:rPr>
        <w:lastRenderedPageBreak/>
        <w:t>Task 2: Strategic Growth Using the Ansoff Matrix</w:t>
      </w:r>
      <w:bookmarkEnd w:id="2"/>
    </w:p>
    <w:p w14:paraId="6702AFB9" w14:textId="27D00DCB" w:rsidR="00C05CE8" w:rsidRPr="00911108" w:rsidRDefault="00C05CE8" w:rsidP="00911108">
      <w:pPr>
        <w:pStyle w:val="isselectedend"/>
        <w:spacing w:line="276" w:lineRule="auto"/>
        <w:jc w:val="both"/>
        <w:rPr>
          <w:rFonts w:ascii="Arial" w:hAnsi="Arial" w:cs="Arial"/>
        </w:rPr>
      </w:pPr>
      <w:r w:rsidRPr="00911108">
        <w:rPr>
          <w:rFonts w:ascii="Arial" w:hAnsi="Arial" w:cs="Arial"/>
          <w:noProof/>
        </w:rPr>
        <w:drawing>
          <wp:anchor distT="0" distB="0" distL="114300" distR="114300" simplePos="0" relativeHeight="251660288" behindDoc="0" locked="0" layoutInCell="1" allowOverlap="1" wp14:anchorId="415628F8" wp14:editId="29546F8C">
            <wp:simplePos x="0" y="0"/>
            <wp:positionH relativeFrom="margin">
              <wp:align>center</wp:align>
            </wp:positionH>
            <wp:positionV relativeFrom="margin">
              <wp:posOffset>3034030</wp:posOffset>
            </wp:positionV>
            <wp:extent cx="4140000" cy="3964003"/>
            <wp:effectExtent l="0" t="0" r="0" b="0"/>
            <wp:wrapSquare wrapText="bothSides"/>
            <wp:docPr id="2" name="Picture 2" descr="Growth Strategies Part II: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owth Strategies Part II: Ansoff Matri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0000" cy="39640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284C" w:rsidRPr="00911108">
        <w:rPr>
          <w:rFonts w:ascii="Arial" w:hAnsi="Arial" w:cs="Arial"/>
        </w:rPr>
        <w:t xml:space="preserve">BHP's growth strategy will be product development as it allows the company to create new and better products for existing markets and satisfy evolving customer requirements and international sustainability agendas (Igor Ansoff, 1957). BHP Group is diversifying away from its legacy mining products by investing in new commodities, including copper, nickel and potash, and the development of new and lower carbon steelmaking technologies (BHP Group, 2023). With these strategic investments, the company can meet the growing demand for critical minerals around the world, which is being fuelled by decarbonisation, electrification and digitalisation (International Energy Agency, 2023). </w:t>
      </w:r>
      <w:r w:rsidR="00C22C82" w:rsidRPr="00C22C82">
        <w:rPr>
          <w:rFonts w:ascii="Arial" w:hAnsi="Arial" w:cs="Arial"/>
        </w:rPr>
        <w:t>The transition to clean energy is also progressing quickly around the world, with the potential to provide exciting opportunities for mining companies to access the natural resources required for renewable energy sources (World Bank, 2020). Innovation and sustainability will continue to drive BHP's success in meeting evolving market demands and lead the way in the global mining sector (PwC, 2023).</w:t>
      </w:r>
    </w:p>
    <w:p w14:paraId="4BDAC93B" w14:textId="77777777" w:rsidR="000C37C5" w:rsidRPr="00911108" w:rsidRDefault="000C37C5" w:rsidP="00911108">
      <w:pPr>
        <w:pStyle w:val="isselectedend"/>
        <w:spacing w:line="276" w:lineRule="auto"/>
        <w:jc w:val="both"/>
        <w:rPr>
          <w:rFonts w:ascii="Arial" w:hAnsi="Arial" w:cs="Arial"/>
        </w:rPr>
      </w:pPr>
    </w:p>
    <w:p w14:paraId="2366AA83" w14:textId="77777777" w:rsidR="000C37C5" w:rsidRPr="00911108" w:rsidRDefault="000C37C5" w:rsidP="00911108">
      <w:pPr>
        <w:pStyle w:val="isselectedend"/>
        <w:spacing w:line="276" w:lineRule="auto"/>
        <w:jc w:val="both"/>
        <w:rPr>
          <w:rFonts w:ascii="Arial" w:hAnsi="Arial" w:cs="Arial"/>
        </w:rPr>
      </w:pPr>
    </w:p>
    <w:p w14:paraId="34A82168" w14:textId="77777777" w:rsidR="000C37C5" w:rsidRPr="00911108" w:rsidRDefault="000C37C5" w:rsidP="00911108">
      <w:pPr>
        <w:pStyle w:val="isselectedend"/>
        <w:spacing w:line="276" w:lineRule="auto"/>
        <w:jc w:val="both"/>
        <w:rPr>
          <w:rFonts w:ascii="Arial" w:hAnsi="Arial" w:cs="Arial"/>
        </w:rPr>
      </w:pPr>
    </w:p>
    <w:p w14:paraId="31166700" w14:textId="77777777" w:rsidR="000C37C5" w:rsidRPr="00911108" w:rsidRDefault="000C37C5" w:rsidP="00911108">
      <w:pPr>
        <w:pStyle w:val="isselectedend"/>
        <w:spacing w:line="276" w:lineRule="auto"/>
        <w:jc w:val="both"/>
        <w:rPr>
          <w:rFonts w:ascii="Arial" w:hAnsi="Arial" w:cs="Arial"/>
        </w:rPr>
      </w:pPr>
    </w:p>
    <w:p w14:paraId="437A4B22" w14:textId="77777777" w:rsidR="000C37C5" w:rsidRPr="00911108" w:rsidRDefault="000C37C5" w:rsidP="00911108">
      <w:pPr>
        <w:pStyle w:val="isselectedend"/>
        <w:spacing w:line="276" w:lineRule="auto"/>
        <w:jc w:val="both"/>
        <w:rPr>
          <w:rFonts w:ascii="Arial" w:hAnsi="Arial" w:cs="Arial"/>
        </w:rPr>
      </w:pPr>
    </w:p>
    <w:p w14:paraId="45A132EA" w14:textId="77777777" w:rsidR="000C37C5" w:rsidRPr="00911108" w:rsidRDefault="000C37C5" w:rsidP="00911108">
      <w:pPr>
        <w:pStyle w:val="isselectedend"/>
        <w:spacing w:line="276" w:lineRule="auto"/>
        <w:jc w:val="both"/>
        <w:rPr>
          <w:rFonts w:ascii="Arial" w:hAnsi="Arial" w:cs="Arial"/>
        </w:rPr>
      </w:pPr>
    </w:p>
    <w:p w14:paraId="542B137F" w14:textId="77777777" w:rsidR="000C37C5" w:rsidRPr="00911108" w:rsidRDefault="000C37C5" w:rsidP="00911108">
      <w:pPr>
        <w:pStyle w:val="isselectedend"/>
        <w:spacing w:line="276" w:lineRule="auto"/>
        <w:jc w:val="both"/>
        <w:rPr>
          <w:rFonts w:ascii="Arial" w:hAnsi="Arial" w:cs="Arial"/>
        </w:rPr>
      </w:pPr>
    </w:p>
    <w:p w14:paraId="1397DCD6" w14:textId="77777777" w:rsidR="000C37C5" w:rsidRPr="00911108" w:rsidRDefault="000C37C5" w:rsidP="00911108">
      <w:pPr>
        <w:pStyle w:val="isselectedend"/>
        <w:spacing w:line="276" w:lineRule="auto"/>
        <w:jc w:val="both"/>
        <w:rPr>
          <w:rFonts w:ascii="Arial" w:hAnsi="Arial" w:cs="Arial"/>
        </w:rPr>
      </w:pPr>
    </w:p>
    <w:p w14:paraId="43FFAE39" w14:textId="77777777" w:rsidR="000C37C5" w:rsidRPr="00911108" w:rsidRDefault="000C37C5" w:rsidP="00911108">
      <w:pPr>
        <w:pStyle w:val="isselectedend"/>
        <w:spacing w:line="276" w:lineRule="auto"/>
        <w:jc w:val="both"/>
        <w:rPr>
          <w:rFonts w:ascii="Arial" w:hAnsi="Arial" w:cs="Arial"/>
        </w:rPr>
      </w:pPr>
    </w:p>
    <w:p w14:paraId="42CB8830" w14:textId="77777777" w:rsidR="000C37C5" w:rsidRPr="00911108" w:rsidRDefault="000C37C5" w:rsidP="00911108">
      <w:pPr>
        <w:pStyle w:val="isselectedend"/>
        <w:spacing w:line="276" w:lineRule="auto"/>
        <w:jc w:val="both"/>
        <w:rPr>
          <w:rFonts w:ascii="Arial" w:hAnsi="Arial" w:cs="Arial"/>
        </w:rPr>
      </w:pPr>
    </w:p>
    <w:p w14:paraId="15347E38" w14:textId="77777777" w:rsidR="000C37C5" w:rsidRPr="00911108" w:rsidRDefault="000C37C5" w:rsidP="00911108">
      <w:pPr>
        <w:pStyle w:val="isselectedend"/>
        <w:spacing w:line="276" w:lineRule="auto"/>
        <w:jc w:val="both"/>
        <w:rPr>
          <w:rFonts w:ascii="Arial" w:hAnsi="Arial" w:cs="Arial"/>
        </w:rPr>
      </w:pPr>
    </w:p>
    <w:p w14:paraId="3DAFE93C" w14:textId="77777777" w:rsidR="003969E5" w:rsidRDefault="001D284C" w:rsidP="00C22C82">
      <w:pPr>
        <w:pStyle w:val="isselectedend"/>
        <w:spacing w:line="276" w:lineRule="auto"/>
        <w:jc w:val="both"/>
        <w:rPr>
          <w:rFonts w:ascii="Arial" w:hAnsi="Arial" w:cs="Arial"/>
        </w:rPr>
      </w:pPr>
      <w:r w:rsidRPr="00911108">
        <w:rPr>
          <w:rFonts w:ascii="Arial" w:hAnsi="Arial" w:cs="Arial"/>
        </w:rPr>
        <w:t xml:space="preserve">The strategic position of copper is of growing significance to BHP, as it is a key component of electric vehicles, renewable energy technologies, power transmission and battery systems (International Energy Agency, 2024). </w:t>
      </w:r>
      <w:r w:rsidR="00C22C82" w:rsidRPr="00C22C82">
        <w:rPr>
          <w:rFonts w:ascii="Arial" w:hAnsi="Arial" w:cs="Arial"/>
        </w:rPr>
        <w:t xml:space="preserve">The EV market will demand much higher quantities of copper than the conventional vehicle and the EV market expansion also relies heavily on copper from the aspect of electrical connectivity (International Energy Agency, 2021). </w:t>
      </w:r>
      <w:r w:rsidR="003969E5" w:rsidRPr="003969E5">
        <w:rPr>
          <w:rFonts w:ascii="Arial" w:hAnsi="Arial" w:cs="Arial"/>
        </w:rPr>
        <w:t xml:space="preserve">Likewise, nickel is growing even more important </w:t>
      </w:r>
      <w:r w:rsidR="003969E5" w:rsidRPr="003969E5">
        <w:rPr>
          <w:rFonts w:ascii="Arial" w:hAnsi="Arial" w:cs="Arial"/>
        </w:rPr>
        <w:lastRenderedPageBreak/>
        <w:t>as a critical material for the lithium-ion batteries of the electric vehicle and large-scale battery storage sectors (McKinsey &amp; Company, 2022). BHP has also made investments in potash, an essential ingredient in making agriculture more productive and enabling farmers to sustainably boost crop yields, which is critical for food security around the world (Food and Agriculture Organization, 2022). These investments stem from the company's ambition to offer minerals that will play a vital role in facilitating economic growth in the coming years and contribute to global efforts towards a low-carbon economy (OECD, 2022).</w:t>
      </w:r>
    </w:p>
    <w:p w14:paraId="722E93D7" w14:textId="20938554" w:rsidR="00C22C82" w:rsidRPr="00C22C82" w:rsidRDefault="00C22C82" w:rsidP="00C22C82">
      <w:pPr>
        <w:pStyle w:val="isselectedend"/>
        <w:spacing w:line="276" w:lineRule="auto"/>
        <w:jc w:val="both"/>
        <w:rPr>
          <w:rFonts w:ascii="Arial" w:hAnsi="Arial" w:cs="Arial"/>
        </w:rPr>
      </w:pPr>
      <w:r w:rsidRPr="00C22C82">
        <w:rPr>
          <w:rFonts w:ascii="Arial" w:hAnsi="Arial" w:cs="Arial"/>
        </w:rPr>
        <w:t>BHP also seeks to diversify its business offering and continues to collaborate with customers and industry stakeholders to create new technologies to decrease carbon emissions across the mining and steelmaking value chain (BHP Group, 2022). The company is aware that its own reduction efforts need to go beyond emissions from the mining operation, and is collaborating with the major steel companies to create lower carbon steelmaking processes (World Economic Forum, 2023). The partnerships enable BHP to strengthen its customer relationships and support long-term customer satisfaction as well as the world's climate targets, such as those set by the United Nations (2015). They also offer scope for knowledge exchange and innovation and for joint investments in cleaner production technologies. By continually developing and researching, BHP can enhance the quality of its products, decrease environmental effects and increase its competitiveness in the market (Deloitte, 2023).</w:t>
      </w:r>
    </w:p>
    <w:p w14:paraId="7FEA86A7" w14:textId="64FEFB64" w:rsidR="00C22C82" w:rsidRPr="00C22C82" w:rsidRDefault="00C22C82" w:rsidP="00C22C82">
      <w:pPr>
        <w:pStyle w:val="isselectedend"/>
        <w:spacing w:line="276" w:lineRule="auto"/>
        <w:jc w:val="both"/>
        <w:rPr>
          <w:rFonts w:ascii="Arial" w:hAnsi="Arial" w:cs="Arial"/>
        </w:rPr>
      </w:pPr>
      <w:r w:rsidRPr="00C22C82">
        <w:rPr>
          <w:rFonts w:ascii="Arial" w:hAnsi="Arial" w:cs="Arial"/>
        </w:rPr>
        <w:t xml:space="preserve">BHP has a number of significant competitive advantages as a result of a product development strategy. One, this ensures the company differentiates itself from its competitors by offering products that are sustainable and moving towards a greener future, such as more renewable energy, and less carbon based technologies (PwC, 2023). Secondly, the strategy allows BHP to respond to the increasing expectations of customers, governments and investors for positive environmental impacts (World Bank, 2020). </w:t>
      </w:r>
      <w:r w:rsidR="00FB3AFD" w:rsidRPr="00FB3AFD">
        <w:rPr>
          <w:rFonts w:ascii="Arial" w:hAnsi="Arial" w:cs="Arial"/>
        </w:rPr>
        <w:t>Third, the move into more substantial minerals, such as copper and nickel, offers more robust growth potential for the company, and reduces reliance on commodity products with potentially volatile demand (McKinsey &amp; Company, 2022). Additionally, the BHP Group is investing and innovating in sustainable technologies, which improves the company's reputation, attracts stakeholders and promotes BHP's sustainability (BHP Group, 2023).</w:t>
      </w:r>
    </w:p>
    <w:p w14:paraId="633CB611" w14:textId="77777777" w:rsidR="00C22C82" w:rsidRPr="00C22C82" w:rsidRDefault="00C22C82" w:rsidP="00C22C82">
      <w:pPr>
        <w:pStyle w:val="isselectedend"/>
        <w:spacing w:line="276" w:lineRule="auto"/>
        <w:jc w:val="both"/>
        <w:rPr>
          <w:rFonts w:ascii="Arial" w:hAnsi="Arial" w:cs="Arial"/>
        </w:rPr>
      </w:pPr>
      <w:r w:rsidRPr="00C22C82">
        <w:rPr>
          <w:rFonts w:ascii="Arial" w:hAnsi="Arial" w:cs="Arial"/>
        </w:rPr>
        <w:t>Other strategies in the Ansoff Matrix include market development and diversification; however, product development is most similar to BHP's operational expertise, technical skills and strategic mission of supporting the global energy transition while addressing environmental concerns outlined in marketing environment analysis (Igor Ansoff, 1957).</w:t>
      </w:r>
    </w:p>
    <w:p w14:paraId="2B219EB1" w14:textId="77777777" w:rsidR="00C22C82" w:rsidRPr="00C22C82" w:rsidRDefault="00C22C82" w:rsidP="00C22C82">
      <w:pPr>
        <w:pStyle w:val="isselectedend"/>
        <w:spacing w:line="276" w:lineRule="auto"/>
        <w:jc w:val="both"/>
        <w:rPr>
          <w:rFonts w:ascii="Arial" w:hAnsi="Arial" w:cs="Arial"/>
        </w:rPr>
      </w:pPr>
      <w:r w:rsidRPr="00C22C82">
        <w:rPr>
          <w:rFonts w:ascii="Arial" w:hAnsi="Arial" w:cs="Arial"/>
        </w:rPr>
        <w:t> </w:t>
      </w:r>
    </w:p>
    <w:p w14:paraId="43D1B116" w14:textId="77777777" w:rsidR="00C22C82" w:rsidRPr="00C22C82" w:rsidRDefault="00C22C82" w:rsidP="00C22C82">
      <w:pPr>
        <w:pStyle w:val="isselectedend"/>
        <w:spacing w:line="276" w:lineRule="auto"/>
        <w:jc w:val="both"/>
        <w:rPr>
          <w:rFonts w:ascii="Arial" w:hAnsi="Arial" w:cs="Arial"/>
        </w:rPr>
      </w:pPr>
      <w:r w:rsidRPr="00C22C82">
        <w:rPr>
          <w:rFonts w:ascii="Arial" w:hAnsi="Arial" w:cs="Arial"/>
        </w:rPr>
        <w:t>Competitive Advantage</w:t>
      </w:r>
    </w:p>
    <w:p w14:paraId="6AF9B7A3" w14:textId="77777777" w:rsidR="00FB3AFD" w:rsidRPr="00FB3AFD" w:rsidRDefault="00C22C82" w:rsidP="00FB3AFD">
      <w:pPr>
        <w:pStyle w:val="isselectedend"/>
        <w:spacing w:line="276" w:lineRule="auto"/>
        <w:jc w:val="both"/>
        <w:rPr>
          <w:rFonts w:ascii="Arial" w:hAnsi="Arial" w:cs="Arial"/>
        </w:rPr>
      </w:pPr>
      <w:r w:rsidRPr="00C22C82">
        <w:rPr>
          <w:rFonts w:ascii="Arial" w:hAnsi="Arial" w:cs="Arial"/>
        </w:rPr>
        <w:lastRenderedPageBreak/>
        <w:t xml:space="preserve">In this regard BHP Group can capitalize on their products and gain competitive advantage as suggested by Michael Porter (1985) as a differentiation strategy by focusing on sustainability and innovation and responsible mining practices. Customers, investors and governments increasingly value companies that perform well environmentally and contribute to global climate goals in today’s mining industry (World Economic Forum, 2023). </w:t>
      </w:r>
      <w:bookmarkStart w:id="3" w:name="_Toc235740016"/>
      <w:r w:rsidR="00FB3AFD" w:rsidRPr="00FB3AFD">
        <w:rPr>
          <w:rFonts w:ascii="Arial" w:hAnsi="Arial" w:cs="Arial"/>
        </w:rPr>
        <w:t>In the BHP Group's business model, sustainability is integral, contributing to the company's ability to operate and manage its business in innovative and responsible ways to differentiate itself in the market (BHP Group, 2023).It has committed itself to significant investment in reducing greenhouse gas emissions, cleaner mining technologies and electrification of mining equipment, as well as in renewable energy, to boost efficiency across its operations (BHP Group, 2022). Concurrently, BHP is advancing its critical minerals portfolio, including copper, nickel, potash—all vital for renewable energy infrastructure, EVs, battery manufacturing and sustainable farming (International Energy Agency, 2023). BHP is helping to deliver these future-oriented commodities, contributing to the global shift towards a low-carbon economy (World Bank, 2020). The company also has transparency initiatives, in the form of sustainability reports, a climate transition plan, and ESG disclosures, which enhance investor trust and convey confidence in the company (PwC, 2023).</w:t>
      </w:r>
    </w:p>
    <w:p w14:paraId="2372F15A" w14:textId="77777777" w:rsidR="00FB3AFD" w:rsidRDefault="00FB3AFD" w:rsidP="00FB3AFD">
      <w:pPr>
        <w:pStyle w:val="isselectedend"/>
        <w:spacing w:line="276" w:lineRule="auto"/>
        <w:jc w:val="both"/>
        <w:rPr>
          <w:rFonts w:ascii="Arial" w:hAnsi="Arial" w:cs="Arial"/>
        </w:rPr>
      </w:pPr>
      <w:r w:rsidRPr="00FB3AFD">
        <w:rPr>
          <w:rFonts w:ascii="Arial" w:hAnsi="Arial" w:cs="Arial"/>
        </w:rPr>
        <w:t>In addition, BHP works with governments, research organizations, technology suppliers and industrial consumers to create cutting-edge solutions that will help the industry to lower emissions throughout the mining value chain (World Economic Forum, 2023). Such collaborations drive innovation, boost efficiency and foster sustainable customer engagement. Good stakeholder engagement can also help establish trust with investors and communities, minimise reputational risks and facilitate sustainable business growth (Deloitte, 2023). Thus, environmental leadership, technological innovation, governance transparency and strategic partnerships is the bench for BHP's sustainable competitive advantage, ensuring that it is one of the world's largest mining companies to remain profitable in the long-term.</w:t>
      </w:r>
    </w:p>
    <w:p w14:paraId="6FA70D44" w14:textId="0BA1CA36" w:rsidR="000C37C5" w:rsidRPr="00911108" w:rsidRDefault="001D284C" w:rsidP="00FB3AFD">
      <w:pPr>
        <w:pStyle w:val="isselectedend"/>
        <w:spacing w:line="276" w:lineRule="auto"/>
        <w:jc w:val="both"/>
        <w:rPr>
          <w:rFonts w:ascii="Arial" w:hAnsi="Arial" w:cs="Arial"/>
          <w:b/>
          <w:bCs/>
        </w:rPr>
      </w:pPr>
      <w:r w:rsidRPr="00911108">
        <w:rPr>
          <w:rFonts w:ascii="Arial" w:hAnsi="Arial" w:cs="Arial"/>
          <w:b/>
          <w:bCs/>
        </w:rPr>
        <w:t>Task 3: Critical Reflection on AI Usage</w:t>
      </w:r>
      <w:bookmarkEnd w:id="3"/>
    </w:p>
    <w:p w14:paraId="61DDDBB8" w14:textId="77777777" w:rsidR="00C22C82" w:rsidRPr="00C22C82" w:rsidRDefault="001D284C" w:rsidP="00C22C82">
      <w:pPr>
        <w:spacing w:before="100" w:beforeAutospacing="1" w:after="100" w:afterAutospacing="1" w:line="276" w:lineRule="auto"/>
        <w:rPr>
          <w:rFonts w:ascii="Arial" w:eastAsia="Times New Roman" w:hAnsi="Arial" w:cs="Arial"/>
          <w:kern w:val="0"/>
          <w:sz w:val="24"/>
          <w:szCs w:val="24"/>
          <w:lang w:eastAsia="en-IN" w:bidi="gu-IN"/>
          <w14:ligatures w14:val="none"/>
        </w:rPr>
      </w:pPr>
      <w:r w:rsidRPr="00911108">
        <w:rPr>
          <w:rFonts w:ascii="Arial" w:eastAsia="Times New Roman" w:hAnsi="Arial" w:cs="Arial"/>
          <w:kern w:val="0"/>
          <w:sz w:val="24"/>
          <w:szCs w:val="24"/>
          <w:lang w:eastAsia="en-IN" w:bidi="gu-IN"/>
          <w14:ligatures w14:val="none"/>
        </w:rPr>
        <w:br/>
      </w:r>
      <w:r w:rsidR="00C22C82" w:rsidRPr="00C22C82">
        <w:rPr>
          <w:rFonts w:ascii="Arial" w:eastAsia="Times New Roman" w:hAnsi="Arial" w:cs="Arial"/>
          <w:kern w:val="0"/>
          <w:sz w:val="24"/>
          <w:szCs w:val="24"/>
          <w:lang w:eastAsia="en-IN" w:bidi="gu-IN"/>
          <w14:ligatures w14:val="none"/>
        </w:rPr>
        <w:t>This report has been created with the help of Artificial Intelligence (AI) to expedite the research and writing process, enhance overall efficiency and quality. AI aided with the following sections of the report: Identify relevant literature, summarising industry reports, structuring content and enhancing grammar and academic writing style (Philip Kotler et al., 2024). It also helped them to organise information in a logical way and to connect marketing concepts to BHP's sustainability strategy. AI proved particularly effective in saving time in the initial research and drafting phases and freed up more time for analyzing and applying marketing theories. But, the use of AI was limited to the role of a supporting application and not as the main source of analysis.</w:t>
      </w:r>
      <w:bookmarkStart w:id="4" w:name="_GoBack"/>
      <w:bookmarkEnd w:id="4"/>
    </w:p>
    <w:p w14:paraId="17431948" w14:textId="77777777" w:rsidR="00C22C82" w:rsidRPr="00C22C82" w:rsidRDefault="00C22C82" w:rsidP="00C22C82">
      <w:pPr>
        <w:spacing w:before="100" w:beforeAutospacing="1" w:after="100" w:afterAutospacing="1" w:line="276" w:lineRule="auto"/>
        <w:rPr>
          <w:rFonts w:ascii="Arial" w:eastAsia="Times New Roman" w:hAnsi="Arial" w:cs="Arial"/>
          <w:kern w:val="0"/>
          <w:sz w:val="24"/>
          <w:szCs w:val="24"/>
          <w:lang w:eastAsia="en-IN" w:bidi="gu-IN"/>
          <w14:ligatures w14:val="none"/>
        </w:rPr>
      </w:pPr>
      <w:r w:rsidRPr="00C22C82">
        <w:rPr>
          <w:rFonts w:ascii="Arial" w:eastAsia="Times New Roman" w:hAnsi="Arial" w:cs="Arial"/>
          <w:kern w:val="0"/>
          <w:sz w:val="24"/>
          <w:szCs w:val="24"/>
          <w:lang w:eastAsia="en-IN" w:bidi="gu-IN"/>
          <w14:ligatures w14:val="none"/>
        </w:rPr>
        <w:lastRenderedPageBreak/>
        <w:t>All information generated using artificial intelligence has been independently verified for accuracy and reliability via credible and authoritative sources, such as BHP's annual report and sustainability report, company publications and academic literature (BHP Group, 2023). Applications of theory were also validated using the text book on marketing by Philip Kotler et al. (2024). Unsupported, outdated or inaccurate information was deleted or updated. This process was necessary in order to allow for this, as sometimes generative AI can generate false or misleading content, which is sometimes called “AI hallucination” (OECD, 2021). The report has been cross checked and is thus academically credible and meets university standards of evidence-based research.</w:t>
      </w:r>
    </w:p>
    <w:p w14:paraId="042DA72B" w14:textId="77777777" w:rsidR="00C22C82" w:rsidRPr="00C22C82" w:rsidRDefault="00C22C82" w:rsidP="00C22C82">
      <w:pPr>
        <w:spacing w:before="100" w:beforeAutospacing="1" w:after="100" w:afterAutospacing="1" w:line="276" w:lineRule="auto"/>
        <w:rPr>
          <w:rFonts w:ascii="Arial" w:eastAsia="Times New Roman" w:hAnsi="Arial" w:cs="Arial"/>
          <w:kern w:val="0"/>
          <w:sz w:val="24"/>
          <w:szCs w:val="24"/>
          <w:lang w:eastAsia="en-IN" w:bidi="gu-IN"/>
          <w14:ligatures w14:val="none"/>
        </w:rPr>
      </w:pPr>
      <w:r w:rsidRPr="00C22C82">
        <w:rPr>
          <w:rFonts w:ascii="Arial" w:eastAsia="Times New Roman" w:hAnsi="Arial" w:cs="Arial"/>
          <w:kern w:val="0"/>
          <w:sz w:val="24"/>
          <w:szCs w:val="24"/>
          <w:lang w:eastAsia="en-IN" w:bidi="gu-IN"/>
          <w14:ligatures w14:val="none"/>
        </w:rPr>
        <w:t>All critical analysis and evaluation was carried out independently by the student, with AI playing a role in organisation and clarity. Identification of external environmental factors, assessment of opportunities and threats; application of the Ansoff Matrix were based on independent critical thinking and understanding of the marketing theory (Igor Ansoff, 1957). So, AI was not used to deliver conclusions or strategic recommendations, but rather as a productivity tool for writing. Any arguments, interpretations and evaluations expressed in this report are the student’s own understanding of marketing management and BHP's business strategy.</w:t>
      </w:r>
    </w:p>
    <w:p w14:paraId="6672BF16" w14:textId="77777777" w:rsidR="00C22C82" w:rsidRPr="00C22C82" w:rsidRDefault="00C22C82" w:rsidP="00C22C82">
      <w:pPr>
        <w:spacing w:before="100" w:beforeAutospacing="1" w:after="100" w:afterAutospacing="1" w:line="276" w:lineRule="auto"/>
        <w:rPr>
          <w:rFonts w:ascii="Arial" w:eastAsia="Times New Roman" w:hAnsi="Arial" w:cs="Arial"/>
          <w:kern w:val="0"/>
          <w:sz w:val="24"/>
          <w:szCs w:val="24"/>
          <w:lang w:eastAsia="en-IN" w:bidi="gu-IN"/>
          <w14:ligatures w14:val="none"/>
        </w:rPr>
      </w:pPr>
      <w:r w:rsidRPr="00C22C82">
        <w:rPr>
          <w:rFonts w:ascii="Arial" w:eastAsia="Times New Roman" w:hAnsi="Arial" w:cs="Arial"/>
          <w:kern w:val="0"/>
          <w:sz w:val="24"/>
          <w:szCs w:val="24"/>
          <w:lang w:eastAsia="en-IN" w:bidi="gu-IN"/>
          <w14:ligatures w14:val="none"/>
        </w:rPr>
        <w:t>However, there are ethical and professional implications to consider when it comes to the use of AI. AI can be used to improve efficiency and assist in learning, but excessive dependence can stifle the growth of critical thinking skills and problem-solving abilities. Hence, it is crucial to employ AI responsibly, by acknowledging its use, checking its outputs, and ensuring the avoidance of plagiarism through proper referencing (United Nations Educational, Scientific and Cultural Organization, 2023). Academic integrity is a growing concern for universities regarding the use of AI. AI is also being increasingly embraced in the professional world for research, data analysis and business communication tasks, which is why it is vital to critically evaluate its outputs in professional settings.</w:t>
      </w:r>
    </w:p>
    <w:p w14:paraId="3DCEE136" w14:textId="5B199E1C" w:rsidR="00C05CE8" w:rsidRPr="00911108" w:rsidRDefault="00C22C82" w:rsidP="00C22C82">
      <w:pPr>
        <w:spacing w:before="100" w:beforeAutospacing="1" w:after="100" w:afterAutospacing="1" w:line="276" w:lineRule="auto"/>
        <w:rPr>
          <w:rFonts w:ascii="Arial" w:eastAsia="Times New Roman" w:hAnsi="Arial" w:cs="Arial"/>
          <w:b/>
          <w:bCs/>
          <w:kern w:val="0"/>
          <w:sz w:val="24"/>
          <w:szCs w:val="24"/>
          <w:lang w:eastAsia="en-IN" w:bidi="gu-IN"/>
          <w14:ligatures w14:val="none"/>
        </w:rPr>
      </w:pPr>
      <w:r w:rsidRPr="00C22C82">
        <w:rPr>
          <w:rFonts w:ascii="Arial" w:eastAsia="Times New Roman" w:hAnsi="Arial" w:cs="Arial"/>
          <w:kern w:val="0"/>
          <w:sz w:val="24"/>
          <w:szCs w:val="24"/>
          <w:lang w:eastAsia="en-IN" w:bidi="gu-IN"/>
          <w14:ligatures w14:val="none"/>
        </w:rPr>
        <w:t>Overall, AI contributed to improving the efficiency, structure and clarity of this report. It wasn't meant to be a substitute for human judgment, critical analysis or independent thinking, however. The final report demonstrates a careful validation of information, the use of marketing theories and a critical appraisal of BHP's marketing strategy. This showcases the responsible use of AI in higher education, ensuring academic integrity and a solid analytical foundation.</w:t>
      </w:r>
      <w:r w:rsidR="00C05CE8" w:rsidRPr="00911108">
        <w:rPr>
          <w:rFonts w:ascii="Arial" w:hAnsi="Arial" w:cs="Arial"/>
          <w:b/>
          <w:bCs/>
        </w:rPr>
        <w:br w:type="page"/>
      </w:r>
    </w:p>
    <w:p w14:paraId="257F8676" w14:textId="5BBB5C40" w:rsidR="005F4626" w:rsidRPr="00911108" w:rsidRDefault="005F4626" w:rsidP="00911108">
      <w:pPr>
        <w:pStyle w:val="isselectedend"/>
        <w:spacing w:line="276" w:lineRule="auto"/>
        <w:ind w:left="720"/>
        <w:jc w:val="both"/>
        <w:outlineLvl w:val="0"/>
        <w:rPr>
          <w:rFonts w:ascii="Arial" w:hAnsi="Arial" w:cs="Arial"/>
          <w:b/>
          <w:bCs/>
        </w:rPr>
      </w:pPr>
      <w:bookmarkStart w:id="5" w:name="_Toc235740017"/>
      <w:r w:rsidRPr="00911108">
        <w:rPr>
          <w:rFonts w:ascii="Arial" w:hAnsi="Arial" w:cs="Arial"/>
          <w:b/>
          <w:bCs/>
        </w:rPr>
        <w:lastRenderedPageBreak/>
        <w:t>References</w:t>
      </w:r>
      <w:bookmarkEnd w:id="5"/>
    </w:p>
    <w:p w14:paraId="3D7AF760" w14:textId="28562C4B"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Ansoff, I. (1957) ‘Strategies for Diversification’, </w:t>
      </w:r>
      <w:r w:rsidRPr="00911108">
        <w:rPr>
          <w:rStyle w:val="Emphasis"/>
          <w:rFonts w:ascii="Arial" w:eastAsiaTheme="majorEastAsia" w:hAnsi="Arial" w:cs="Arial"/>
        </w:rPr>
        <w:t>Harvard Business Review</w:t>
      </w:r>
      <w:r w:rsidRPr="00911108">
        <w:rPr>
          <w:rFonts w:ascii="Arial" w:hAnsi="Arial" w:cs="Arial"/>
        </w:rPr>
        <w:t>, 35(5), pp. 113–124.</w:t>
      </w:r>
    </w:p>
    <w:p w14:paraId="317102CE"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BHP Group (2022) </w:t>
      </w:r>
      <w:r w:rsidRPr="00911108">
        <w:rPr>
          <w:rStyle w:val="Emphasis"/>
          <w:rFonts w:ascii="Arial" w:eastAsiaTheme="majorEastAsia" w:hAnsi="Arial" w:cs="Arial"/>
        </w:rPr>
        <w:t>Climate Transition Action Plan</w:t>
      </w:r>
      <w:r w:rsidRPr="00911108">
        <w:rPr>
          <w:rFonts w:ascii="Arial" w:hAnsi="Arial" w:cs="Arial"/>
        </w:rPr>
        <w:t xml:space="preserve">. Available at: </w:t>
      </w:r>
      <w:hyperlink r:id="rId11" w:history="1">
        <w:r w:rsidRPr="00911108">
          <w:rPr>
            <w:rStyle w:val="Hyperlink"/>
            <w:rFonts w:ascii="Arial" w:eastAsiaTheme="majorEastAsia" w:hAnsi="Arial" w:cs="Arial"/>
          </w:rPr>
          <w:t>BHP Climate Transition Action Plan</w:t>
        </w:r>
      </w:hyperlink>
      <w:r w:rsidRPr="00911108">
        <w:rPr>
          <w:rFonts w:ascii="Arial" w:hAnsi="Arial" w:cs="Arial"/>
        </w:rPr>
        <w:t xml:space="preserve"> (Accessed: 23 July 2026).</w:t>
      </w:r>
    </w:p>
    <w:p w14:paraId="57856603"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BHP Group (2023a) </w:t>
      </w:r>
      <w:r w:rsidRPr="00911108">
        <w:rPr>
          <w:rStyle w:val="Emphasis"/>
          <w:rFonts w:ascii="Arial" w:eastAsiaTheme="majorEastAsia" w:hAnsi="Arial" w:cs="Arial"/>
        </w:rPr>
        <w:t>Annual Report 2023</w:t>
      </w:r>
      <w:r w:rsidRPr="00911108">
        <w:rPr>
          <w:rFonts w:ascii="Arial" w:hAnsi="Arial" w:cs="Arial"/>
        </w:rPr>
        <w:t xml:space="preserve">. Available at: </w:t>
      </w:r>
      <w:hyperlink r:id="rId12" w:history="1">
        <w:r w:rsidRPr="00911108">
          <w:rPr>
            <w:rStyle w:val="Hyperlink"/>
            <w:rFonts w:ascii="Arial" w:eastAsiaTheme="majorEastAsia" w:hAnsi="Arial" w:cs="Arial"/>
          </w:rPr>
          <w:t>BHP Annual Reporting Suite 2023</w:t>
        </w:r>
      </w:hyperlink>
      <w:r w:rsidRPr="00911108">
        <w:rPr>
          <w:rFonts w:ascii="Arial" w:hAnsi="Arial" w:cs="Arial"/>
        </w:rPr>
        <w:t xml:space="preserve"> (Accessed: 23 July 2026).</w:t>
      </w:r>
    </w:p>
    <w:p w14:paraId="33A75E60"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BHP Group (2023b) </w:t>
      </w:r>
      <w:r w:rsidRPr="00911108">
        <w:rPr>
          <w:rStyle w:val="Emphasis"/>
          <w:rFonts w:ascii="Arial" w:eastAsiaTheme="majorEastAsia" w:hAnsi="Arial" w:cs="Arial"/>
        </w:rPr>
        <w:t>Sustainability Report 2023</w:t>
      </w:r>
      <w:r w:rsidRPr="00911108">
        <w:rPr>
          <w:rFonts w:ascii="Arial" w:hAnsi="Arial" w:cs="Arial"/>
        </w:rPr>
        <w:t xml:space="preserve">. Available at: </w:t>
      </w:r>
      <w:hyperlink r:id="rId13" w:history="1">
        <w:r w:rsidRPr="00911108">
          <w:rPr>
            <w:rStyle w:val="Hyperlink"/>
            <w:rFonts w:ascii="Arial" w:eastAsiaTheme="majorEastAsia" w:hAnsi="Arial" w:cs="Arial"/>
          </w:rPr>
          <w:t>BHP Sustainability Reporting</w:t>
        </w:r>
      </w:hyperlink>
      <w:r w:rsidRPr="00911108">
        <w:rPr>
          <w:rFonts w:ascii="Arial" w:hAnsi="Arial" w:cs="Arial"/>
        </w:rPr>
        <w:t xml:space="preserve"> (Accessed: 23 July 2026).</w:t>
      </w:r>
    </w:p>
    <w:p w14:paraId="36DC682F"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Deloitte (2023) </w:t>
      </w:r>
      <w:r w:rsidRPr="00911108">
        <w:rPr>
          <w:rStyle w:val="Emphasis"/>
          <w:rFonts w:ascii="Arial" w:eastAsiaTheme="majorEastAsia" w:hAnsi="Arial" w:cs="Arial"/>
        </w:rPr>
        <w:t>Tracking the Trends 2023</w:t>
      </w:r>
      <w:r w:rsidRPr="00911108">
        <w:rPr>
          <w:rFonts w:ascii="Arial" w:hAnsi="Arial" w:cs="Arial"/>
        </w:rPr>
        <w:t xml:space="preserve">. Available at: </w:t>
      </w:r>
      <w:hyperlink r:id="rId14" w:history="1">
        <w:r w:rsidRPr="00911108">
          <w:rPr>
            <w:rStyle w:val="Hyperlink"/>
            <w:rFonts w:ascii="Arial" w:eastAsiaTheme="majorEastAsia" w:hAnsi="Arial" w:cs="Arial"/>
          </w:rPr>
          <w:t>Deloitte Tracking the Trends 2023</w:t>
        </w:r>
      </w:hyperlink>
      <w:r w:rsidRPr="00911108">
        <w:rPr>
          <w:rFonts w:ascii="Arial" w:hAnsi="Arial" w:cs="Arial"/>
        </w:rPr>
        <w:t xml:space="preserve"> (Accessed: 23 July 2026).</w:t>
      </w:r>
    </w:p>
    <w:p w14:paraId="4095AEB6"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Food and Agriculture Organization (2022) </w:t>
      </w:r>
      <w:r w:rsidRPr="00911108">
        <w:rPr>
          <w:rStyle w:val="Emphasis"/>
          <w:rFonts w:ascii="Arial" w:eastAsiaTheme="majorEastAsia" w:hAnsi="Arial" w:cs="Arial"/>
        </w:rPr>
        <w:t>The Future of Food and Agriculture: Drivers and Triggers for Transformation</w:t>
      </w:r>
      <w:r w:rsidRPr="00911108">
        <w:rPr>
          <w:rFonts w:ascii="Arial" w:hAnsi="Arial" w:cs="Arial"/>
        </w:rPr>
        <w:t xml:space="preserve">. Available at: </w:t>
      </w:r>
      <w:hyperlink r:id="rId15" w:history="1">
        <w:r w:rsidRPr="00911108">
          <w:rPr>
            <w:rStyle w:val="Hyperlink"/>
            <w:rFonts w:ascii="Arial" w:eastAsiaTheme="majorEastAsia" w:hAnsi="Arial" w:cs="Arial"/>
          </w:rPr>
          <w:t>FAO The Future of Food and Agriculture 2022</w:t>
        </w:r>
      </w:hyperlink>
      <w:r w:rsidRPr="00911108">
        <w:rPr>
          <w:rFonts w:ascii="Arial" w:hAnsi="Arial" w:cs="Arial"/>
        </w:rPr>
        <w:t xml:space="preserve"> (Accessed: 23 July 2026).</w:t>
      </w:r>
    </w:p>
    <w:p w14:paraId="495C5B93"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International Energy Agency (2021) </w:t>
      </w:r>
      <w:r w:rsidRPr="00911108">
        <w:rPr>
          <w:rStyle w:val="Emphasis"/>
          <w:rFonts w:ascii="Arial" w:eastAsiaTheme="majorEastAsia" w:hAnsi="Arial" w:cs="Arial"/>
        </w:rPr>
        <w:t>The Role of Critical Minerals in Clean Energy Transitions</w:t>
      </w:r>
      <w:r w:rsidRPr="00911108">
        <w:rPr>
          <w:rFonts w:ascii="Arial" w:hAnsi="Arial" w:cs="Arial"/>
        </w:rPr>
        <w:t xml:space="preserve">. Available at: </w:t>
      </w:r>
      <w:hyperlink r:id="rId16" w:history="1">
        <w:r w:rsidRPr="00911108">
          <w:rPr>
            <w:rStyle w:val="Hyperlink"/>
            <w:rFonts w:ascii="Arial" w:eastAsiaTheme="majorEastAsia" w:hAnsi="Arial" w:cs="Arial"/>
          </w:rPr>
          <w:t>IEA The Role of Critical Minerals in Clean Energy Transitions</w:t>
        </w:r>
      </w:hyperlink>
      <w:r w:rsidRPr="00911108">
        <w:rPr>
          <w:rFonts w:ascii="Arial" w:hAnsi="Arial" w:cs="Arial"/>
        </w:rPr>
        <w:t xml:space="preserve"> (Accessed: 23 July 2026).</w:t>
      </w:r>
    </w:p>
    <w:p w14:paraId="7731FFF9"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International Energy Agency (2023a) </w:t>
      </w:r>
      <w:r w:rsidRPr="00911108">
        <w:rPr>
          <w:rStyle w:val="Emphasis"/>
          <w:rFonts w:ascii="Arial" w:eastAsiaTheme="majorEastAsia" w:hAnsi="Arial" w:cs="Arial"/>
        </w:rPr>
        <w:t>The Role of Critical Minerals in Clean Energy Transitions</w:t>
      </w:r>
      <w:r w:rsidRPr="00911108">
        <w:rPr>
          <w:rFonts w:ascii="Arial" w:hAnsi="Arial" w:cs="Arial"/>
        </w:rPr>
        <w:t xml:space="preserve">. Available at: </w:t>
      </w:r>
      <w:hyperlink r:id="rId17" w:history="1">
        <w:r w:rsidRPr="00911108">
          <w:rPr>
            <w:rStyle w:val="Hyperlink"/>
            <w:rFonts w:ascii="Arial" w:eastAsiaTheme="majorEastAsia" w:hAnsi="Arial" w:cs="Arial"/>
          </w:rPr>
          <w:t>IEA Critical Minerals Report</w:t>
        </w:r>
      </w:hyperlink>
      <w:r w:rsidRPr="00911108">
        <w:rPr>
          <w:rFonts w:ascii="Arial" w:hAnsi="Arial" w:cs="Arial"/>
        </w:rPr>
        <w:t xml:space="preserve"> (Accessed: 23 July 2026).</w:t>
      </w:r>
    </w:p>
    <w:p w14:paraId="5435F109"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International Energy Agency (2024) </w:t>
      </w:r>
      <w:r w:rsidRPr="00911108">
        <w:rPr>
          <w:rStyle w:val="Emphasis"/>
          <w:rFonts w:ascii="Arial" w:eastAsiaTheme="majorEastAsia" w:hAnsi="Arial" w:cs="Arial"/>
        </w:rPr>
        <w:t>Global EV Outlook 2024</w:t>
      </w:r>
      <w:r w:rsidRPr="00911108">
        <w:rPr>
          <w:rFonts w:ascii="Arial" w:hAnsi="Arial" w:cs="Arial"/>
        </w:rPr>
        <w:t xml:space="preserve">. Available at: </w:t>
      </w:r>
      <w:hyperlink r:id="rId18" w:history="1">
        <w:r w:rsidRPr="00911108">
          <w:rPr>
            <w:rStyle w:val="Hyperlink"/>
            <w:rFonts w:ascii="Arial" w:eastAsiaTheme="majorEastAsia" w:hAnsi="Arial" w:cs="Arial"/>
          </w:rPr>
          <w:t>IEA Global EV Outlook 2024</w:t>
        </w:r>
      </w:hyperlink>
      <w:r w:rsidRPr="00911108">
        <w:rPr>
          <w:rFonts w:ascii="Arial" w:hAnsi="Arial" w:cs="Arial"/>
        </w:rPr>
        <w:t xml:space="preserve"> (Accessed: 23 July 2026).</w:t>
      </w:r>
    </w:p>
    <w:p w14:paraId="346CD098"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Kotler, P. et al. (2024) </w:t>
      </w:r>
      <w:r w:rsidRPr="00911108">
        <w:rPr>
          <w:rStyle w:val="Emphasis"/>
          <w:rFonts w:ascii="Arial" w:eastAsiaTheme="majorEastAsia" w:hAnsi="Arial" w:cs="Arial"/>
        </w:rPr>
        <w:t>Marketing Management</w:t>
      </w:r>
      <w:r w:rsidRPr="00911108">
        <w:rPr>
          <w:rFonts w:ascii="Arial" w:hAnsi="Arial" w:cs="Arial"/>
        </w:rPr>
        <w:t>. Harlow: Pearson.</w:t>
      </w:r>
    </w:p>
    <w:p w14:paraId="4D8B2764"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McKinsey &amp; Company (2022) </w:t>
      </w:r>
      <w:r w:rsidRPr="00911108">
        <w:rPr>
          <w:rStyle w:val="Emphasis"/>
          <w:rFonts w:ascii="Arial" w:eastAsiaTheme="majorEastAsia" w:hAnsi="Arial" w:cs="Arial"/>
        </w:rPr>
        <w:t>The Future of Nickel Demand</w:t>
      </w:r>
      <w:r w:rsidRPr="00911108">
        <w:rPr>
          <w:rFonts w:ascii="Arial" w:hAnsi="Arial" w:cs="Arial"/>
        </w:rPr>
        <w:t xml:space="preserve">. Available at: </w:t>
      </w:r>
      <w:hyperlink r:id="rId19" w:history="1">
        <w:r w:rsidRPr="00911108">
          <w:rPr>
            <w:rStyle w:val="Hyperlink"/>
            <w:rFonts w:ascii="Arial" w:eastAsiaTheme="majorEastAsia" w:hAnsi="Arial" w:cs="Arial"/>
          </w:rPr>
          <w:t>McKinsey &amp; Company Insights</w:t>
        </w:r>
      </w:hyperlink>
      <w:r w:rsidRPr="00911108">
        <w:rPr>
          <w:rFonts w:ascii="Arial" w:hAnsi="Arial" w:cs="Arial"/>
        </w:rPr>
        <w:t xml:space="preserve"> (Accessed: 23 July 2026).</w:t>
      </w:r>
    </w:p>
    <w:p w14:paraId="6E730ECD"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OECD (2022) </w:t>
      </w:r>
      <w:r w:rsidRPr="00911108">
        <w:rPr>
          <w:rStyle w:val="Emphasis"/>
          <w:rFonts w:ascii="Arial" w:eastAsiaTheme="majorEastAsia" w:hAnsi="Arial" w:cs="Arial"/>
        </w:rPr>
        <w:t>Critical Raw Materials for the Green Transition</w:t>
      </w:r>
      <w:r w:rsidRPr="00911108">
        <w:rPr>
          <w:rFonts w:ascii="Arial" w:hAnsi="Arial" w:cs="Arial"/>
        </w:rPr>
        <w:t xml:space="preserve">. Available at: </w:t>
      </w:r>
      <w:hyperlink r:id="rId20" w:history="1">
        <w:r w:rsidRPr="00911108">
          <w:rPr>
            <w:rStyle w:val="Hyperlink"/>
            <w:rFonts w:ascii="Arial" w:eastAsiaTheme="majorEastAsia" w:hAnsi="Arial" w:cs="Arial"/>
          </w:rPr>
          <w:t>OECD Environment Publications</w:t>
        </w:r>
      </w:hyperlink>
      <w:r w:rsidRPr="00911108">
        <w:rPr>
          <w:rFonts w:ascii="Arial" w:hAnsi="Arial" w:cs="Arial"/>
        </w:rPr>
        <w:t xml:space="preserve"> (Accessed: 23 July 2026).</w:t>
      </w:r>
    </w:p>
    <w:p w14:paraId="4F0BC8C1"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Porter, M. (1985) </w:t>
      </w:r>
      <w:r w:rsidRPr="00911108">
        <w:rPr>
          <w:rStyle w:val="Emphasis"/>
          <w:rFonts w:ascii="Arial" w:eastAsiaTheme="majorEastAsia" w:hAnsi="Arial" w:cs="Arial"/>
        </w:rPr>
        <w:t>Competitive Advantage: Creating and Sustaining Superior Performance</w:t>
      </w:r>
      <w:r w:rsidRPr="00911108">
        <w:rPr>
          <w:rFonts w:ascii="Arial" w:hAnsi="Arial" w:cs="Arial"/>
        </w:rPr>
        <w:t>. New York: Free Press.</w:t>
      </w:r>
    </w:p>
    <w:p w14:paraId="12217EBD"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PwC (2023) </w:t>
      </w:r>
      <w:r w:rsidRPr="00911108">
        <w:rPr>
          <w:rStyle w:val="Emphasis"/>
          <w:rFonts w:ascii="Arial" w:eastAsiaTheme="majorEastAsia" w:hAnsi="Arial" w:cs="Arial"/>
        </w:rPr>
        <w:t>Mine 2023: The Era of Reinvention</w:t>
      </w:r>
      <w:r w:rsidRPr="00911108">
        <w:rPr>
          <w:rFonts w:ascii="Arial" w:hAnsi="Arial" w:cs="Arial"/>
        </w:rPr>
        <w:t xml:space="preserve">. Available at: </w:t>
      </w:r>
      <w:hyperlink r:id="rId21" w:history="1">
        <w:r w:rsidRPr="00911108">
          <w:rPr>
            <w:rStyle w:val="Hyperlink"/>
            <w:rFonts w:ascii="Arial" w:eastAsiaTheme="majorEastAsia" w:hAnsi="Arial" w:cs="Arial"/>
          </w:rPr>
          <w:t>PwC Mine 2023 Report</w:t>
        </w:r>
      </w:hyperlink>
      <w:r w:rsidRPr="00911108">
        <w:rPr>
          <w:rFonts w:ascii="Arial" w:hAnsi="Arial" w:cs="Arial"/>
        </w:rPr>
        <w:t xml:space="preserve"> (Accessed: 23 July 2026).</w:t>
      </w:r>
    </w:p>
    <w:p w14:paraId="2A07DE58"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United Nations (2015) </w:t>
      </w:r>
      <w:r w:rsidRPr="00911108">
        <w:rPr>
          <w:rStyle w:val="Emphasis"/>
          <w:rFonts w:ascii="Arial" w:eastAsiaTheme="majorEastAsia" w:hAnsi="Arial" w:cs="Arial"/>
        </w:rPr>
        <w:t>Sustainable Development Goals</w:t>
      </w:r>
      <w:r w:rsidRPr="00911108">
        <w:rPr>
          <w:rFonts w:ascii="Arial" w:hAnsi="Arial" w:cs="Arial"/>
        </w:rPr>
        <w:t xml:space="preserve">. Available at: </w:t>
      </w:r>
      <w:hyperlink r:id="rId22" w:history="1">
        <w:r w:rsidRPr="00911108">
          <w:rPr>
            <w:rStyle w:val="Hyperlink"/>
            <w:rFonts w:ascii="Arial" w:eastAsiaTheme="majorEastAsia" w:hAnsi="Arial" w:cs="Arial"/>
          </w:rPr>
          <w:t>United Nations Sustainable Development Goals</w:t>
        </w:r>
      </w:hyperlink>
      <w:r w:rsidRPr="00911108">
        <w:rPr>
          <w:rFonts w:ascii="Arial" w:hAnsi="Arial" w:cs="Arial"/>
        </w:rPr>
        <w:t xml:space="preserve"> (Accessed: 23 July 2026).</w:t>
      </w:r>
    </w:p>
    <w:p w14:paraId="0AE9ACF7"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United Nations Educational, Scientific and Cultural Organization (2023) </w:t>
      </w:r>
      <w:r w:rsidRPr="00911108">
        <w:rPr>
          <w:rStyle w:val="Emphasis"/>
          <w:rFonts w:ascii="Arial" w:eastAsiaTheme="majorEastAsia" w:hAnsi="Arial" w:cs="Arial"/>
        </w:rPr>
        <w:t>Guidance for AI in Education</w:t>
      </w:r>
      <w:r w:rsidRPr="00911108">
        <w:rPr>
          <w:rFonts w:ascii="Arial" w:hAnsi="Arial" w:cs="Arial"/>
        </w:rPr>
        <w:t xml:space="preserve">. Available at: </w:t>
      </w:r>
      <w:hyperlink r:id="rId23" w:history="1">
        <w:r w:rsidRPr="00911108">
          <w:rPr>
            <w:rStyle w:val="Hyperlink"/>
            <w:rFonts w:ascii="Arial" w:eastAsiaTheme="majorEastAsia" w:hAnsi="Arial" w:cs="Arial"/>
          </w:rPr>
          <w:t>UNESCO AI Ethics and Education Resources</w:t>
        </w:r>
      </w:hyperlink>
      <w:r w:rsidRPr="00911108">
        <w:rPr>
          <w:rFonts w:ascii="Arial" w:hAnsi="Arial" w:cs="Arial"/>
        </w:rPr>
        <w:t xml:space="preserve"> (Accessed: 23 July 2026).</w:t>
      </w:r>
    </w:p>
    <w:p w14:paraId="419D2EC9" w14:textId="77777777" w:rsidR="005F4626" w:rsidRPr="00911108" w:rsidRDefault="005F4626" w:rsidP="00911108">
      <w:pPr>
        <w:pStyle w:val="isselectedend"/>
        <w:numPr>
          <w:ilvl w:val="0"/>
          <w:numId w:val="6"/>
        </w:numPr>
        <w:spacing w:line="276" w:lineRule="auto"/>
        <w:jc w:val="both"/>
        <w:rPr>
          <w:rFonts w:ascii="Arial" w:hAnsi="Arial" w:cs="Arial"/>
        </w:rPr>
      </w:pPr>
      <w:r w:rsidRPr="00911108">
        <w:rPr>
          <w:rFonts w:ascii="Arial" w:hAnsi="Arial" w:cs="Arial"/>
        </w:rPr>
        <w:t xml:space="preserve">World Bank (2020) </w:t>
      </w:r>
      <w:r w:rsidRPr="00911108">
        <w:rPr>
          <w:rStyle w:val="Emphasis"/>
          <w:rFonts w:ascii="Arial" w:eastAsiaTheme="majorEastAsia" w:hAnsi="Arial" w:cs="Arial"/>
        </w:rPr>
        <w:t>Minerals for Climate Action: The Mineral Intensity of the Clean Energy Transition</w:t>
      </w:r>
      <w:r w:rsidRPr="00911108">
        <w:rPr>
          <w:rFonts w:ascii="Arial" w:hAnsi="Arial" w:cs="Arial"/>
        </w:rPr>
        <w:t xml:space="preserve">. Available at: </w:t>
      </w:r>
      <w:hyperlink r:id="rId24" w:history="1">
        <w:r w:rsidRPr="00911108">
          <w:rPr>
            <w:rStyle w:val="Hyperlink"/>
            <w:rFonts w:ascii="Arial" w:eastAsiaTheme="majorEastAsia" w:hAnsi="Arial" w:cs="Arial"/>
          </w:rPr>
          <w:t>World Bank Minerals for Climate Action Report</w:t>
        </w:r>
      </w:hyperlink>
      <w:r w:rsidRPr="00911108">
        <w:rPr>
          <w:rFonts w:ascii="Arial" w:hAnsi="Arial" w:cs="Arial"/>
        </w:rPr>
        <w:t xml:space="preserve"> (Accessed: 23 July 2026).</w:t>
      </w:r>
    </w:p>
    <w:p w14:paraId="4C1094DD" w14:textId="1C7C12E8" w:rsidR="001E0B14" w:rsidRPr="00911108" w:rsidRDefault="005F4626" w:rsidP="00911108">
      <w:pPr>
        <w:pStyle w:val="NormalWeb"/>
        <w:numPr>
          <w:ilvl w:val="0"/>
          <w:numId w:val="6"/>
        </w:numPr>
        <w:spacing w:line="276" w:lineRule="auto"/>
        <w:jc w:val="both"/>
        <w:rPr>
          <w:rFonts w:ascii="Arial" w:hAnsi="Arial" w:cs="Arial"/>
        </w:rPr>
      </w:pPr>
      <w:r w:rsidRPr="00911108">
        <w:rPr>
          <w:rFonts w:ascii="Arial" w:hAnsi="Arial" w:cs="Arial"/>
        </w:rPr>
        <w:t xml:space="preserve">World Economic Forum (2023) </w:t>
      </w:r>
      <w:r w:rsidRPr="00911108">
        <w:rPr>
          <w:rStyle w:val="Emphasis"/>
          <w:rFonts w:ascii="Arial" w:eastAsiaTheme="majorEastAsia" w:hAnsi="Arial" w:cs="Arial"/>
        </w:rPr>
        <w:t>Mining and Metals in a Sustainable World</w:t>
      </w:r>
      <w:r w:rsidRPr="00911108">
        <w:rPr>
          <w:rFonts w:ascii="Arial" w:hAnsi="Arial" w:cs="Arial"/>
        </w:rPr>
        <w:t xml:space="preserve">. Available at: </w:t>
      </w:r>
      <w:hyperlink r:id="rId25" w:history="1">
        <w:r w:rsidRPr="00911108">
          <w:rPr>
            <w:rStyle w:val="Hyperlink"/>
            <w:rFonts w:ascii="Arial" w:eastAsiaTheme="majorEastAsia" w:hAnsi="Arial" w:cs="Arial"/>
          </w:rPr>
          <w:t>World Economic Forum Mining and Metals Reports</w:t>
        </w:r>
      </w:hyperlink>
      <w:r w:rsidRPr="00911108">
        <w:rPr>
          <w:rFonts w:ascii="Arial" w:hAnsi="Arial" w:cs="Arial"/>
        </w:rPr>
        <w:t xml:space="preserve"> (Accessed: 23 July 2026).</w:t>
      </w:r>
    </w:p>
    <w:sectPr w:rsidR="001E0B14" w:rsidRPr="00911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200E1C" w14:textId="77777777" w:rsidR="004660A7" w:rsidRDefault="004660A7" w:rsidP="00591708">
      <w:pPr>
        <w:spacing w:after="0" w:line="240" w:lineRule="auto"/>
      </w:pPr>
      <w:r>
        <w:separator/>
      </w:r>
    </w:p>
  </w:endnote>
  <w:endnote w:type="continuationSeparator" w:id="0">
    <w:p w14:paraId="7DC62DF3" w14:textId="77777777" w:rsidR="004660A7" w:rsidRDefault="004660A7" w:rsidP="00591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6801E0" w14:textId="77777777" w:rsidR="004660A7" w:rsidRDefault="004660A7" w:rsidP="00591708">
      <w:pPr>
        <w:spacing w:after="0" w:line="240" w:lineRule="auto"/>
      </w:pPr>
      <w:r>
        <w:separator/>
      </w:r>
    </w:p>
  </w:footnote>
  <w:footnote w:type="continuationSeparator" w:id="0">
    <w:p w14:paraId="3030EC88" w14:textId="77777777" w:rsidR="004660A7" w:rsidRDefault="004660A7" w:rsidP="005917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6B1291"/>
    <w:multiLevelType w:val="hybridMultilevel"/>
    <w:tmpl w:val="DA8CCF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EE04FF"/>
    <w:multiLevelType w:val="hybridMultilevel"/>
    <w:tmpl w:val="D68A15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FE12F0F"/>
    <w:multiLevelType w:val="multilevel"/>
    <w:tmpl w:val="322C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4A4A30"/>
    <w:multiLevelType w:val="multilevel"/>
    <w:tmpl w:val="9F64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C605C58"/>
    <w:multiLevelType w:val="hybridMultilevel"/>
    <w:tmpl w:val="C6A641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C035CEA"/>
    <w:multiLevelType w:val="multilevel"/>
    <w:tmpl w:val="76B43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5"/>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CC9"/>
    <w:rsid w:val="00067ECB"/>
    <w:rsid w:val="000B245C"/>
    <w:rsid w:val="000C37C5"/>
    <w:rsid w:val="001B1F6A"/>
    <w:rsid w:val="001D284C"/>
    <w:rsid w:val="001E0B14"/>
    <w:rsid w:val="001F3EB4"/>
    <w:rsid w:val="00226496"/>
    <w:rsid w:val="0032273D"/>
    <w:rsid w:val="00393A14"/>
    <w:rsid w:val="003969E5"/>
    <w:rsid w:val="00444C96"/>
    <w:rsid w:val="004660A7"/>
    <w:rsid w:val="004F6B69"/>
    <w:rsid w:val="00591708"/>
    <w:rsid w:val="005B623E"/>
    <w:rsid w:val="005E6CAC"/>
    <w:rsid w:val="005F4626"/>
    <w:rsid w:val="006D76A8"/>
    <w:rsid w:val="008D335C"/>
    <w:rsid w:val="00907602"/>
    <w:rsid w:val="00911108"/>
    <w:rsid w:val="00A54CC9"/>
    <w:rsid w:val="00AC4D04"/>
    <w:rsid w:val="00C05CE8"/>
    <w:rsid w:val="00C22C82"/>
    <w:rsid w:val="00C86426"/>
    <w:rsid w:val="00C95726"/>
    <w:rsid w:val="00EA01C3"/>
    <w:rsid w:val="00F467F6"/>
    <w:rsid w:val="00F73B28"/>
    <w:rsid w:val="00FB3AF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6BC82"/>
  <w15:chartTrackingRefBased/>
  <w15:docId w15:val="{6630F6BE-75EC-46DF-A3BF-AF4E1D12B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4C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54C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54C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54C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54C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54C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C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C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C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C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54C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54C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54C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54C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54C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C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C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CC9"/>
    <w:rPr>
      <w:rFonts w:eastAsiaTheme="majorEastAsia" w:cstheme="majorBidi"/>
      <w:color w:val="272727" w:themeColor="text1" w:themeTint="D8"/>
    </w:rPr>
  </w:style>
  <w:style w:type="paragraph" w:styleId="Title">
    <w:name w:val="Title"/>
    <w:basedOn w:val="Normal"/>
    <w:next w:val="Normal"/>
    <w:link w:val="TitleChar"/>
    <w:uiPriority w:val="10"/>
    <w:qFormat/>
    <w:rsid w:val="00A54C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C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C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C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CC9"/>
    <w:pPr>
      <w:spacing w:before="160"/>
      <w:jc w:val="center"/>
    </w:pPr>
    <w:rPr>
      <w:i/>
      <w:iCs/>
      <w:color w:val="404040" w:themeColor="text1" w:themeTint="BF"/>
    </w:rPr>
  </w:style>
  <w:style w:type="character" w:customStyle="1" w:styleId="QuoteChar">
    <w:name w:val="Quote Char"/>
    <w:basedOn w:val="DefaultParagraphFont"/>
    <w:link w:val="Quote"/>
    <w:uiPriority w:val="29"/>
    <w:rsid w:val="00A54CC9"/>
    <w:rPr>
      <w:i/>
      <w:iCs/>
      <w:color w:val="404040" w:themeColor="text1" w:themeTint="BF"/>
    </w:rPr>
  </w:style>
  <w:style w:type="paragraph" w:styleId="ListParagraph">
    <w:name w:val="List Paragraph"/>
    <w:basedOn w:val="Normal"/>
    <w:uiPriority w:val="34"/>
    <w:qFormat/>
    <w:rsid w:val="00A54CC9"/>
    <w:pPr>
      <w:ind w:left="720"/>
      <w:contextualSpacing/>
    </w:pPr>
  </w:style>
  <w:style w:type="character" w:styleId="IntenseEmphasis">
    <w:name w:val="Intense Emphasis"/>
    <w:basedOn w:val="DefaultParagraphFont"/>
    <w:uiPriority w:val="21"/>
    <w:qFormat/>
    <w:rsid w:val="00A54CC9"/>
    <w:rPr>
      <w:i/>
      <w:iCs/>
      <w:color w:val="2F5496" w:themeColor="accent1" w:themeShade="BF"/>
    </w:rPr>
  </w:style>
  <w:style w:type="paragraph" w:styleId="IntenseQuote">
    <w:name w:val="Intense Quote"/>
    <w:basedOn w:val="Normal"/>
    <w:next w:val="Normal"/>
    <w:link w:val="IntenseQuoteChar"/>
    <w:uiPriority w:val="30"/>
    <w:qFormat/>
    <w:rsid w:val="00A54C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4CC9"/>
    <w:rPr>
      <w:i/>
      <w:iCs/>
      <w:color w:val="2F5496" w:themeColor="accent1" w:themeShade="BF"/>
    </w:rPr>
  </w:style>
  <w:style w:type="character" w:styleId="IntenseReference">
    <w:name w:val="Intense Reference"/>
    <w:basedOn w:val="DefaultParagraphFont"/>
    <w:uiPriority w:val="32"/>
    <w:qFormat/>
    <w:rsid w:val="00A54CC9"/>
    <w:rPr>
      <w:b/>
      <w:bCs/>
      <w:smallCaps/>
      <w:color w:val="2F5496" w:themeColor="accent1" w:themeShade="BF"/>
      <w:spacing w:val="5"/>
    </w:rPr>
  </w:style>
  <w:style w:type="character" w:customStyle="1" w:styleId="url">
    <w:name w:val="url"/>
    <w:basedOn w:val="DefaultParagraphFont"/>
    <w:rsid w:val="00226496"/>
  </w:style>
  <w:style w:type="character" w:styleId="Hyperlink">
    <w:name w:val="Hyperlink"/>
    <w:basedOn w:val="DefaultParagraphFont"/>
    <w:uiPriority w:val="99"/>
    <w:unhideWhenUsed/>
    <w:rsid w:val="00226496"/>
    <w:rPr>
      <w:color w:val="0563C1" w:themeColor="hyperlink"/>
      <w:u w:val="single"/>
    </w:rPr>
  </w:style>
  <w:style w:type="paragraph" w:styleId="NormalWeb">
    <w:name w:val="Normal (Web)"/>
    <w:basedOn w:val="Normal"/>
    <w:uiPriority w:val="99"/>
    <w:unhideWhenUsed/>
    <w:rsid w:val="006D76A8"/>
    <w:pPr>
      <w:spacing w:before="100" w:beforeAutospacing="1" w:after="100" w:afterAutospacing="1" w:line="240" w:lineRule="auto"/>
    </w:pPr>
    <w:rPr>
      <w:rFonts w:ascii="Times New Roman" w:eastAsia="Times New Roman" w:hAnsi="Times New Roman" w:cs="Times New Roman"/>
      <w:kern w:val="0"/>
      <w:sz w:val="24"/>
      <w:szCs w:val="24"/>
      <w:lang w:eastAsia="en-IN" w:bidi="gu-IN"/>
      <w14:ligatures w14:val="none"/>
    </w:rPr>
  </w:style>
  <w:style w:type="paragraph" w:customStyle="1" w:styleId="isselectedend">
    <w:name w:val="isselectedend"/>
    <w:basedOn w:val="Normal"/>
    <w:rsid w:val="001D284C"/>
    <w:pPr>
      <w:spacing w:before="100" w:beforeAutospacing="1" w:after="100" w:afterAutospacing="1" w:line="240" w:lineRule="auto"/>
    </w:pPr>
    <w:rPr>
      <w:rFonts w:ascii="Times New Roman" w:eastAsia="Times New Roman" w:hAnsi="Times New Roman" w:cs="Times New Roman"/>
      <w:kern w:val="0"/>
      <w:sz w:val="24"/>
      <w:szCs w:val="24"/>
      <w:lang w:eastAsia="en-IN" w:bidi="gu-IN"/>
      <w14:ligatures w14:val="none"/>
    </w:rPr>
  </w:style>
  <w:style w:type="character" w:styleId="Strong">
    <w:name w:val="Strong"/>
    <w:basedOn w:val="DefaultParagraphFont"/>
    <w:uiPriority w:val="22"/>
    <w:qFormat/>
    <w:rsid w:val="001D284C"/>
    <w:rPr>
      <w:b/>
      <w:bCs/>
    </w:rPr>
  </w:style>
  <w:style w:type="character" w:styleId="Emphasis">
    <w:name w:val="Emphasis"/>
    <w:basedOn w:val="DefaultParagraphFont"/>
    <w:uiPriority w:val="20"/>
    <w:qFormat/>
    <w:rsid w:val="001D284C"/>
    <w:rPr>
      <w:i/>
      <w:iCs/>
    </w:rPr>
  </w:style>
  <w:style w:type="paragraph" w:customStyle="1" w:styleId="pdq2pgselectionanchorcontainer">
    <w:name w:val="pdq2pg_selectionanchorcontainer"/>
    <w:basedOn w:val="Normal"/>
    <w:rsid w:val="005F4626"/>
    <w:pPr>
      <w:spacing w:before="100" w:beforeAutospacing="1" w:after="100" w:afterAutospacing="1" w:line="240" w:lineRule="auto"/>
    </w:pPr>
    <w:rPr>
      <w:rFonts w:ascii="Times New Roman" w:eastAsia="Times New Roman" w:hAnsi="Times New Roman" w:cs="Times New Roman"/>
      <w:kern w:val="0"/>
      <w:sz w:val="24"/>
      <w:szCs w:val="24"/>
      <w:lang w:eastAsia="en-IN" w:bidi="gu-IN"/>
      <w14:ligatures w14:val="none"/>
    </w:rPr>
  </w:style>
  <w:style w:type="character" w:customStyle="1" w:styleId="whitespace-normal">
    <w:name w:val="whitespace-normal"/>
    <w:basedOn w:val="DefaultParagraphFont"/>
    <w:rsid w:val="005F4626"/>
  </w:style>
  <w:style w:type="character" w:styleId="FollowedHyperlink">
    <w:name w:val="FollowedHyperlink"/>
    <w:basedOn w:val="DefaultParagraphFont"/>
    <w:uiPriority w:val="99"/>
    <w:semiHidden/>
    <w:unhideWhenUsed/>
    <w:rsid w:val="005F4626"/>
    <w:rPr>
      <w:color w:val="954F72" w:themeColor="followedHyperlink"/>
      <w:u w:val="single"/>
    </w:rPr>
  </w:style>
  <w:style w:type="paragraph" w:styleId="TOCHeading">
    <w:name w:val="TOC Heading"/>
    <w:basedOn w:val="Heading1"/>
    <w:next w:val="Normal"/>
    <w:uiPriority w:val="39"/>
    <w:unhideWhenUsed/>
    <w:qFormat/>
    <w:rsid w:val="000C37C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C37C5"/>
    <w:pPr>
      <w:spacing w:after="100"/>
    </w:pPr>
  </w:style>
  <w:style w:type="paragraph" w:styleId="Header">
    <w:name w:val="header"/>
    <w:basedOn w:val="Normal"/>
    <w:link w:val="HeaderChar"/>
    <w:uiPriority w:val="99"/>
    <w:unhideWhenUsed/>
    <w:rsid w:val="00591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708"/>
  </w:style>
  <w:style w:type="paragraph" w:styleId="Footer">
    <w:name w:val="footer"/>
    <w:basedOn w:val="Normal"/>
    <w:link w:val="FooterChar"/>
    <w:uiPriority w:val="99"/>
    <w:unhideWhenUsed/>
    <w:rsid w:val="00591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708"/>
  </w:style>
  <w:style w:type="paragraph" w:styleId="NoSpacing">
    <w:name w:val="No Spacing"/>
    <w:uiPriority w:val="1"/>
    <w:qFormat/>
    <w:rsid w:val="005917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657235">
      <w:bodyDiv w:val="1"/>
      <w:marLeft w:val="0"/>
      <w:marRight w:val="0"/>
      <w:marTop w:val="0"/>
      <w:marBottom w:val="0"/>
      <w:divBdr>
        <w:top w:val="none" w:sz="0" w:space="0" w:color="auto"/>
        <w:left w:val="none" w:sz="0" w:space="0" w:color="auto"/>
        <w:bottom w:val="none" w:sz="0" w:space="0" w:color="auto"/>
        <w:right w:val="none" w:sz="0" w:space="0" w:color="auto"/>
      </w:divBdr>
    </w:div>
    <w:div w:id="332883123">
      <w:bodyDiv w:val="1"/>
      <w:marLeft w:val="0"/>
      <w:marRight w:val="0"/>
      <w:marTop w:val="0"/>
      <w:marBottom w:val="0"/>
      <w:divBdr>
        <w:top w:val="none" w:sz="0" w:space="0" w:color="auto"/>
        <w:left w:val="none" w:sz="0" w:space="0" w:color="auto"/>
        <w:bottom w:val="none" w:sz="0" w:space="0" w:color="auto"/>
        <w:right w:val="none" w:sz="0" w:space="0" w:color="auto"/>
      </w:divBdr>
      <w:divsChild>
        <w:div w:id="131800417">
          <w:marLeft w:val="-720"/>
          <w:marRight w:val="0"/>
          <w:marTop w:val="0"/>
          <w:marBottom w:val="0"/>
          <w:divBdr>
            <w:top w:val="none" w:sz="0" w:space="0" w:color="auto"/>
            <w:left w:val="none" w:sz="0" w:space="0" w:color="auto"/>
            <w:bottom w:val="none" w:sz="0" w:space="0" w:color="auto"/>
            <w:right w:val="none" w:sz="0" w:space="0" w:color="auto"/>
          </w:divBdr>
        </w:div>
      </w:divsChild>
    </w:div>
    <w:div w:id="539054809">
      <w:bodyDiv w:val="1"/>
      <w:marLeft w:val="0"/>
      <w:marRight w:val="0"/>
      <w:marTop w:val="0"/>
      <w:marBottom w:val="0"/>
      <w:divBdr>
        <w:top w:val="none" w:sz="0" w:space="0" w:color="auto"/>
        <w:left w:val="none" w:sz="0" w:space="0" w:color="auto"/>
        <w:bottom w:val="none" w:sz="0" w:space="0" w:color="auto"/>
        <w:right w:val="none" w:sz="0" w:space="0" w:color="auto"/>
      </w:divBdr>
    </w:div>
    <w:div w:id="565536734">
      <w:bodyDiv w:val="1"/>
      <w:marLeft w:val="0"/>
      <w:marRight w:val="0"/>
      <w:marTop w:val="0"/>
      <w:marBottom w:val="0"/>
      <w:divBdr>
        <w:top w:val="none" w:sz="0" w:space="0" w:color="auto"/>
        <w:left w:val="none" w:sz="0" w:space="0" w:color="auto"/>
        <w:bottom w:val="none" w:sz="0" w:space="0" w:color="auto"/>
        <w:right w:val="none" w:sz="0" w:space="0" w:color="auto"/>
      </w:divBdr>
    </w:div>
    <w:div w:id="688291742">
      <w:bodyDiv w:val="1"/>
      <w:marLeft w:val="0"/>
      <w:marRight w:val="0"/>
      <w:marTop w:val="0"/>
      <w:marBottom w:val="0"/>
      <w:divBdr>
        <w:top w:val="none" w:sz="0" w:space="0" w:color="auto"/>
        <w:left w:val="none" w:sz="0" w:space="0" w:color="auto"/>
        <w:bottom w:val="none" w:sz="0" w:space="0" w:color="auto"/>
        <w:right w:val="none" w:sz="0" w:space="0" w:color="auto"/>
      </w:divBdr>
    </w:div>
    <w:div w:id="702049425">
      <w:bodyDiv w:val="1"/>
      <w:marLeft w:val="0"/>
      <w:marRight w:val="0"/>
      <w:marTop w:val="0"/>
      <w:marBottom w:val="0"/>
      <w:divBdr>
        <w:top w:val="none" w:sz="0" w:space="0" w:color="auto"/>
        <w:left w:val="none" w:sz="0" w:space="0" w:color="auto"/>
        <w:bottom w:val="none" w:sz="0" w:space="0" w:color="auto"/>
        <w:right w:val="none" w:sz="0" w:space="0" w:color="auto"/>
      </w:divBdr>
      <w:divsChild>
        <w:div w:id="131296261">
          <w:marLeft w:val="-720"/>
          <w:marRight w:val="0"/>
          <w:marTop w:val="0"/>
          <w:marBottom w:val="0"/>
          <w:divBdr>
            <w:top w:val="none" w:sz="0" w:space="0" w:color="auto"/>
            <w:left w:val="none" w:sz="0" w:space="0" w:color="auto"/>
            <w:bottom w:val="none" w:sz="0" w:space="0" w:color="auto"/>
            <w:right w:val="none" w:sz="0" w:space="0" w:color="auto"/>
          </w:divBdr>
        </w:div>
      </w:divsChild>
    </w:div>
    <w:div w:id="749497868">
      <w:bodyDiv w:val="1"/>
      <w:marLeft w:val="0"/>
      <w:marRight w:val="0"/>
      <w:marTop w:val="0"/>
      <w:marBottom w:val="0"/>
      <w:divBdr>
        <w:top w:val="none" w:sz="0" w:space="0" w:color="auto"/>
        <w:left w:val="none" w:sz="0" w:space="0" w:color="auto"/>
        <w:bottom w:val="none" w:sz="0" w:space="0" w:color="auto"/>
        <w:right w:val="none" w:sz="0" w:space="0" w:color="auto"/>
      </w:divBdr>
      <w:divsChild>
        <w:div w:id="999768874">
          <w:marLeft w:val="0"/>
          <w:marRight w:val="0"/>
          <w:marTop w:val="0"/>
          <w:marBottom w:val="0"/>
          <w:divBdr>
            <w:top w:val="none" w:sz="0" w:space="0" w:color="auto"/>
            <w:left w:val="none" w:sz="0" w:space="0" w:color="auto"/>
            <w:bottom w:val="none" w:sz="0" w:space="0" w:color="auto"/>
            <w:right w:val="none" w:sz="0" w:space="0" w:color="auto"/>
          </w:divBdr>
        </w:div>
      </w:divsChild>
    </w:div>
    <w:div w:id="764417572">
      <w:bodyDiv w:val="1"/>
      <w:marLeft w:val="0"/>
      <w:marRight w:val="0"/>
      <w:marTop w:val="0"/>
      <w:marBottom w:val="0"/>
      <w:divBdr>
        <w:top w:val="none" w:sz="0" w:space="0" w:color="auto"/>
        <w:left w:val="none" w:sz="0" w:space="0" w:color="auto"/>
        <w:bottom w:val="none" w:sz="0" w:space="0" w:color="auto"/>
        <w:right w:val="none" w:sz="0" w:space="0" w:color="auto"/>
      </w:divBdr>
      <w:divsChild>
        <w:div w:id="585261788">
          <w:marLeft w:val="0"/>
          <w:marRight w:val="0"/>
          <w:marTop w:val="240"/>
          <w:marBottom w:val="0"/>
          <w:divBdr>
            <w:top w:val="single" w:sz="2" w:space="0" w:color="ECEDEE"/>
            <w:left w:val="single" w:sz="2" w:space="0" w:color="ECEDEE"/>
            <w:bottom w:val="single" w:sz="2" w:space="0" w:color="ECEDEE"/>
            <w:right w:val="single" w:sz="2" w:space="0" w:color="ECEDEE"/>
          </w:divBdr>
          <w:divsChild>
            <w:div w:id="940455881">
              <w:marLeft w:val="36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867062537">
      <w:bodyDiv w:val="1"/>
      <w:marLeft w:val="0"/>
      <w:marRight w:val="0"/>
      <w:marTop w:val="0"/>
      <w:marBottom w:val="0"/>
      <w:divBdr>
        <w:top w:val="none" w:sz="0" w:space="0" w:color="auto"/>
        <w:left w:val="none" w:sz="0" w:space="0" w:color="auto"/>
        <w:bottom w:val="none" w:sz="0" w:space="0" w:color="auto"/>
        <w:right w:val="none" w:sz="0" w:space="0" w:color="auto"/>
      </w:divBdr>
    </w:div>
    <w:div w:id="1010138592">
      <w:bodyDiv w:val="1"/>
      <w:marLeft w:val="0"/>
      <w:marRight w:val="0"/>
      <w:marTop w:val="0"/>
      <w:marBottom w:val="0"/>
      <w:divBdr>
        <w:top w:val="none" w:sz="0" w:space="0" w:color="auto"/>
        <w:left w:val="none" w:sz="0" w:space="0" w:color="auto"/>
        <w:bottom w:val="none" w:sz="0" w:space="0" w:color="auto"/>
        <w:right w:val="none" w:sz="0" w:space="0" w:color="auto"/>
      </w:divBdr>
    </w:div>
    <w:div w:id="1030841043">
      <w:bodyDiv w:val="1"/>
      <w:marLeft w:val="0"/>
      <w:marRight w:val="0"/>
      <w:marTop w:val="0"/>
      <w:marBottom w:val="0"/>
      <w:divBdr>
        <w:top w:val="none" w:sz="0" w:space="0" w:color="auto"/>
        <w:left w:val="none" w:sz="0" w:space="0" w:color="auto"/>
        <w:bottom w:val="none" w:sz="0" w:space="0" w:color="auto"/>
        <w:right w:val="none" w:sz="0" w:space="0" w:color="auto"/>
      </w:divBdr>
    </w:div>
    <w:div w:id="1144736643">
      <w:bodyDiv w:val="1"/>
      <w:marLeft w:val="0"/>
      <w:marRight w:val="0"/>
      <w:marTop w:val="0"/>
      <w:marBottom w:val="0"/>
      <w:divBdr>
        <w:top w:val="none" w:sz="0" w:space="0" w:color="auto"/>
        <w:left w:val="none" w:sz="0" w:space="0" w:color="auto"/>
        <w:bottom w:val="none" w:sz="0" w:space="0" w:color="auto"/>
        <w:right w:val="none" w:sz="0" w:space="0" w:color="auto"/>
      </w:divBdr>
    </w:div>
    <w:div w:id="1544636242">
      <w:bodyDiv w:val="1"/>
      <w:marLeft w:val="0"/>
      <w:marRight w:val="0"/>
      <w:marTop w:val="0"/>
      <w:marBottom w:val="0"/>
      <w:divBdr>
        <w:top w:val="none" w:sz="0" w:space="0" w:color="auto"/>
        <w:left w:val="none" w:sz="0" w:space="0" w:color="auto"/>
        <w:bottom w:val="none" w:sz="0" w:space="0" w:color="auto"/>
        <w:right w:val="none" w:sz="0" w:space="0" w:color="auto"/>
      </w:divBdr>
      <w:divsChild>
        <w:div w:id="958872125">
          <w:marLeft w:val="-720"/>
          <w:marRight w:val="0"/>
          <w:marTop w:val="0"/>
          <w:marBottom w:val="0"/>
          <w:divBdr>
            <w:top w:val="none" w:sz="0" w:space="0" w:color="auto"/>
            <w:left w:val="none" w:sz="0" w:space="0" w:color="auto"/>
            <w:bottom w:val="none" w:sz="0" w:space="0" w:color="auto"/>
            <w:right w:val="none" w:sz="0" w:space="0" w:color="auto"/>
          </w:divBdr>
        </w:div>
      </w:divsChild>
    </w:div>
    <w:div w:id="1680695205">
      <w:bodyDiv w:val="1"/>
      <w:marLeft w:val="0"/>
      <w:marRight w:val="0"/>
      <w:marTop w:val="0"/>
      <w:marBottom w:val="0"/>
      <w:divBdr>
        <w:top w:val="none" w:sz="0" w:space="0" w:color="auto"/>
        <w:left w:val="none" w:sz="0" w:space="0" w:color="auto"/>
        <w:bottom w:val="none" w:sz="0" w:space="0" w:color="auto"/>
        <w:right w:val="none" w:sz="0" w:space="0" w:color="auto"/>
      </w:divBdr>
    </w:div>
    <w:div w:id="1710840533">
      <w:bodyDiv w:val="1"/>
      <w:marLeft w:val="0"/>
      <w:marRight w:val="0"/>
      <w:marTop w:val="0"/>
      <w:marBottom w:val="0"/>
      <w:divBdr>
        <w:top w:val="none" w:sz="0" w:space="0" w:color="auto"/>
        <w:left w:val="none" w:sz="0" w:space="0" w:color="auto"/>
        <w:bottom w:val="none" w:sz="0" w:space="0" w:color="auto"/>
        <w:right w:val="none" w:sz="0" w:space="0" w:color="auto"/>
      </w:divBdr>
    </w:div>
    <w:div w:id="1940481858">
      <w:bodyDiv w:val="1"/>
      <w:marLeft w:val="0"/>
      <w:marRight w:val="0"/>
      <w:marTop w:val="0"/>
      <w:marBottom w:val="0"/>
      <w:divBdr>
        <w:top w:val="none" w:sz="0" w:space="0" w:color="auto"/>
        <w:left w:val="none" w:sz="0" w:space="0" w:color="auto"/>
        <w:bottom w:val="none" w:sz="0" w:space="0" w:color="auto"/>
        <w:right w:val="none" w:sz="0" w:space="0" w:color="auto"/>
      </w:divBdr>
    </w:div>
    <w:div w:id="2093352319">
      <w:bodyDiv w:val="1"/>
      <w:marLeft w:val="0"/>
      <w:marRight w:val="0"/>
      <w:marTop w:val="0"/>
      <w:marBottom w:val="0"/>
      <w:divBdr>
        <w:top w:val="none" w:sz="0" w:space="0" w:color="auto"/>
        <w:left w:val="none" w:sz="0" w:space="0" w:color="auto"/>
        <w:bottom w:val="none" w:sz="0" w:space="0" w:color="auto"/>
        <w:right w:val="none" w:sz="0" w:space="0" w:color="auto"/>
      </w:divBdr>
      <w:divsChild>
        <w:div w:id="754739814">
          <w:marLeft w:val="-720"/>
          <w:marRight w:val="0"/>
          <w:marTop w:val="0"/>
          <w:marBottom w:val="0"/>
          <w:divBdr>
            <w:top w:val="none" w:sz="0" w:space="0" w:color="auto"/>
            <w:left w:val="none" w:sz="0" w:space="0" w:color="auto"/>
            <w:bottom w:val="none" w:sz="0" w:space="0" w:color="auto"/>
            <w:right w:val="none" w:sz="0" w:space="0" w:color="auto"/>
          </w:divBdr>
        </w:div>
      </w:divsChild>
    </w:div>
    <w:div w:id="213551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hp.com/sustainability/reporting?utm_source=chatgpt.com" TargetMode="External"/><Relationship Id="rId18" Type="http://schemas.openxmlformats.org/officeDocument/2006/relationships/hyperlink" Target="https://www.iea.org/reports/global-ev-outlook-2024?utm_source=chatgp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wc.com/gx/en/industries/energy-utilities-resources/publications/mine.html?utm_source=chatgpt.com" TargetMode="External"/><Relationship Id="rId7" Type="http://schemas.openxmlformats.org/officeDocument/2006/relationships/endnotes" Target="endnotes.xml"/><Relationship Id="rId12" Type="http://schemas.openxmlformats.org/officeDocument/2006/relationships/hyperlink" Target="https://www.bhp.com/news/media-centre/reports-presentations/2023/08/2023-annual-reporting-suite?utm_source=chatgpt.com" TargetMode="External"/><Relationship Id="rId17" Type="http://schemas.openxmlformats.org/officeDocument/2006/relationships/hyperlink" Target="https://www.iea.org/reports/the-role-of-critical-minerals-in-clean-energy-transitions?utm_source=chatgpt.com" TargetMode="External"/><Relationship Id="rId25" Type="http://schemas.openxmlformats.org/officeDocument/2006/relationships/hyperlink" Target="https://www.weforum.org/topics/mining-and-metals/?utm_source=chatgpt.com" TargetMode="External"/><Relationship Id="rId2" Type="http://schemas.openxmlformats.org/officeDocument/2006/relationships/numbering" Target="numbering.xml"/><Relationship Id="rId16" Type="http://schemas.openxmlformats.org/officeDocument/2006/relationships/hyperlink" Target="https://www.iea.org/reports/the-role-of-critical-minerals-in-clean-energy-transitions?utm_source=chatgpt.com" TargetMode="External"/><Relationship Id="rId20" Type="http://schemas.openxmlformats.org/officeDocument/2006/relationships/hyperlink" Target="https://www.oecd.org/environment/?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hp.com/sustainability/climate-change/climate-transition-action-plan?utm_source=chatgpt.com" TargetMode="External"/><Relationship Id="rId24" Type="http://schemas.openxmlformats.org/officeDocument/2006/relationships/hyperlink" Target="https://www.worldbank.org/en/topic/extractiveindustries/publication/minerals-for-climate-action-the-mineral-intensity-of-the-clean-energy-transition?utm_source=chatgpt.com" TargetMode="External"/><Relationship Id="rId5" Type="http://schemas.openxmlformats.org/officeDocument/2006/relationships/webSettings" Target="webSettings.xml"/><Relationship Id="rId15" Type="http://schemas.openxmlformats.org/officeDocument/2006/relationships/hyperlink" Target="https://www.fao.org/agrifood-economics/publications/detail/en/c/1622632/?utm_source=chatgpt.com" TargetMode="External"/><Relationship Id="rId23" Type="http://schemas.openxmlformats.org/officeDocument/2006/relationships/hyperlink" Target="https://www.unesco.org/en/artificial-intelligence?utm_source=chatgpt.com" TargetMode="External"/><Relationship Id="rId10" Type="http://schemas.openxmlformats.org/officeDocument/2006/relationships/image" Target="media/image3.jpeg"/><Relationship Id="rId19" Type="http://schemas.openxmlformats.org/officeDocument/2006/relationships/hyperlink" Target="https://www.mckinsey.com/industries/metals-and-mining/our-insights?utm_source=chatgp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deloitte.com/et/en/Industries/mining-metals/about/tracking-the-trends.html?utm_source=chatgpt.com" TargetMode="External"/><Relationship Id="rId22" Type="http://schemas.openxmlformats.org/officeDocument/2006/relationships/hyperlink" Target="https://sdgs.un.org/goals?utm_source=chatgpt.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3D7EA-BB19-4517-975E-D20FC5BD4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3453</Words>
  <Characters>19688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RUPANSHI SETALVAD</dc:creator>
  <cp:keywords/>
  <dc:description/>
  <cp:lastModifiedBy>Microsoft account</cp:lastModifiedBy>
  <cp:revision>6</cp:revision>
  <dcterms:created xsi:type="dcterms:W3CDTF">2026-07-23T22:41:00Z</dcterms:created>
  <dcterms:modified xsi:type="dcterms:W3CDTF">2026-07-23T23:23:00Z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65dcf5a1-35e5-4fa8-8db2-4a6ac59ca4e9</vt:lpwstr>
  </property>
</Properties>
</file>