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7409E138" w14:textId="5C89AB99" w:rsidR="0065420F" w:rsidRPr="00C43814" w:rsidRDefault="0065420F" w:rsidP="00574AF4">
      <w:pPr>
        <w:widowControl w:val="0"/>
        <w:spacing w:after="0" w:line="360" w:lineRule="auto"/>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54A763EA"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&amp; Code: </w:t>
      </w:r>
      <w:r w:rsidR="00A11E9F" w:rsidRPr="00A11E9F">
        <w:rPr>
          <w:rFonts w:ascii="Arial" w:hAnsi="Arial" w:cs="Arial"/>
          <w:b/>
          <w:sz w:val="28"/>
        </w:rPr>
        <w:t>International Business Concepts</w:t>
      </w:r>
      <w:r w:rsidR="00A11E9F" w:rsidRPr="00A11E9F">
        <w:rPr>
          <w:rFonts w:ascii="Arial" w:eastAsia="Times New Roman" w:hAnsi="Arial" w:cs="Arial"/>
          <w:b/>
          <w:sz w:val="36"/>
          <w:szCs w:val="24"/>
          <w:lang w:eastAsia="en-GB" w:bidi="bn-BD"/>
        </w:rPr>
        <w:t xml:space="preserve"> </w:t>
      </w:r>
      <w:r w:rsidR="00A11E9F">
        <w:rPr>
          <w:rFonts w:ascii="Arial" w:eastAsia="Times New Roman" w:hAnsi="Arial" w:cs="Arial"/>
          <w:b/>
          <w:sz w:val="28"/>
          <w:szCs w:val="24"/>
          <w:lang w:eastAsia="en-GB" w:bidi="bn-BD"/>
        </w:rPr>
        <w:t>(LCMB7034</w:t>
      </w:r>
      <w:r w:rsidRPr="00C43814">
        <w:rPr>
          <w:rFonts w:ascii="Arial" w:eastAsia="Times New Roman" w:hAnsi="Arial" w:cs="Arial"/>
          <w:b/>
          <w:sz w:val="28"/>
          <w:szCs w:val="24"/>
          <w:lang w:eastAsia="en-GB" w:bidi="bn-BD"/>
        </w:rPr>
        <w:t>)</w:t>
      </w:r>
    </w:p>
    <w:p w14:paraId="5CF75F30" w14:textId="0EA058B2" w:rsidR="0065420F" w:rsidRPr="001F167B" w:rsidRDefault="0065420F" w:rsidP="001F167B">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1F167B" w:rsidRPr="001F167B">
        <w:rPr>
          <w:rFonts w:ascii="Arial" w:eastAsia="Times New Roman" w:hAnsi="Arial" w:cs="Arial"/>
          <w:b/>
          <w:sz w:val="28"/>
          <w:szCs w:val="24"/>
          <w:lang w:eastAsia="en-GB" w:bidi="bn-BD"/>
        </w:rPr>
        <w:t>Report</w:t>
      </w:r>
    </w:p>
    <w:p w14:paraId="190BA701" w14:textId="764B0FE5" w:rsidR="0065420F" w:rsidRPr="004E581D" w:rsidRDefault="0065420F" w:rsidP="004E581D">
      <w:pPr>
        <w:widowControl w:val="0"/>
        <w:spacing w:after="0" w:line="360" w:lineRule="auto"/>
        <w:jc w:val="center"/>
        <w:rPr>
          <w:rFonts w:ascii="Arial" w:hAnsi="Arial" w:cs="Arial"/>
          <w:b/>
          <w:sz w:val="28"/>
        </w:rPr>
      </w:pPr>
      <w:r w:rsidRPr="00C43814">
        <w:rPr>
          <w:rFonts w:ascii="Arial" w:eastAsia="Times New Roman" w:hAnsi="Arial" w:cs="Arial"/>
          <w:b/>
          <w:sz w:val="28"/>
          <w:szCs w:val="28"/>
          <w:lang w:eastAsia="en-GB" w:bidi="bn-BD"/>
        </w:rPr>
        <w:t xml:space="preserve">Lecturer: </w:t>
      </w:r>
      <w:proofErr w:type="spellStart"/>
      <w:r w:rsidR="004E581D" w:rsidRPr="004E581D">
        <w:rPr>
          <w:rFonts w:ascii="Arial" w:hAnsi="Arial" w:cs="Arial"/>
          <w:b/>
          <w:sz w:val="28"/>
        </w:rPr>
        <w:t>Akshay</w:t>
      </w:r>
      <w:proofErr w:type="spellEnd"/>
      <w:r w:rsidR="004E581D" w:rsidRPr="004E581D">
        <w:rPr>
          <w:rFonts w:ascii="Arial" w:hAnsi="Arial" w:cs="Arial"/>
          <w:b/>
          <w:sz w:val="28"/>
        </w:rPr>
        <w:t xml:space="preserve"> Narayanan</w:t>
      </w:r>
    </w:p>
    <w:p w14:paraId="00EDB553" w14:textId="68C393F9" w:rsidR="00574AF4" w:rsidRPr="00C43814" w:rsidRDefault="00574AF4" w:rsidP="00574AF4">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r w:rsidR="000E6A78">
        <w:rPr>
          <w:rFonts w:ascii="Arial" w:eastAsia="Times New Roman" w:hAnsi="Arial" w:cs="Arial"/>
          <w:b/>
          <w:sz w:val="28"/>
          <w:szCs w:val="28"/>
          <w:lang w:eastAsia="en-GB" w:bidi="bn-BD"/>
        </w:rPr>
        <w:t xml:space="preserve">Sultana </w:t>
      </w:r>
      <w:proofErr w:type="spellStart"/>
      <w:r w:rsidR="000E6A78">
        <w:rPr>
          <w:rFonts w:ascii="Arial" w:eastAsia="Times New Roman" w:hAnsi="Arial" w:cs="Arial"/>
          <w:b/>
          <w:sz w:val="28"/>
          <w:szCs w:val="28"/>
          <w:lang w:eastAsia="en-GB" w:bidi="bn-BD"/>
        </w:rPr>
        <w:t>Akter</w:t>
      </w:r>
      <w:proofErr w:type="spellEnd"/>
    </w:p>
    <w:p w14:paraId="49C65F32" w14:textId="201F6F04" w:rsidR="00574AF4" w:rsidRPr="00574AF4" w:rsidRDefault="00574AF4" w:rsidP="00574AF4">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0E6A78">
        <w:rPr>
          <w:rFonts w:ascii="Arial" w:eastAsia="Times New Roman" w:hAnsi="Arial" w:cs="Arial"/>
          <w:b/>
          <w:sz w:val="28"/>
          <w:szCs w:val="28"/>
          <w:lang w:eastAsia="en-GB" w:bidi="bn-BD"/>
        </w:rPr>
        <w:t>2422835</w:t>
      </w:r>
    </w:p>
    <w:p w14:paraId="24EDEAF4" w14:textId="55BAFE01" w:rsidR="00CE0FDD" w:rsidRDefault="00CE0FDD" w:rsidP="0065420F">
      <w:pPr>
        <w:widowControl w:val="0"/>
        <w:spacing w:after="0" w:line="360" w:lineRule="auto"/>
        <w:jc w:val="center"/>
        <w:rPr>
          <w:rFonts w:ascii="Arial" w:eastAsia="Times New Roman" w:hAnsi="Arial" w:cs="Arial"/>
          <w:b/>
          <w:sz w:val="28"/>
          <w:szCs w:val="28"/>
          <w:lang w:eastAsia="en-GB" w:bidi="bn-BD"/>
        </w:rPr>
      </w:pPr>
      <w:r w:rsidRPr="00103736">
        <w:rPr>
          <w:rFonts w:ascii="Arial" w:hAnsi="Arial" w:cs="Arial"/>
          <w:b/>
          <w:sz w:val="28"/>
          <w:szCs w:val="28"/>
        </w:rPr>
        <w:t>Word Count</w:t>
      </w:r>
      <w:r w:rsidRPr="00103736">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225C49">
        <w:rPr>
          <w:rFonts w:ascii="Arial" w:eastAsia="Times New Roman" w:hAnsi="Arial" w:cs="Arial"/>
          <w:b/>
          <w:sz w:val="28"/>
          <w:szCs w:val="28"/>
          <w:lang w:eastAsia="en-GB" w:bidi="bn-BD"/>
        </w:rPr>
        <w:t>5</w:t>
      </w:r>
      <w:r w:rsidR="00772B2E">
        <w:rPr>
          <w:rFonts w:ascii="Arial" w:eastAsia="Times New Roman" w:hAnsi="Arial" w:cs="Arial"/>
          <w:b/>
          <w:sz w:val="28"/>
          <w:szCs w:val="28"/>
          <w:lang w:eastAsia="en-GB" w:bidi="bn-BD"/>
        </w:rPr>
        <w:t>295</w:t>
      </w:r>
    </w:p>
    <w:p w14:paraId="33A043E3" w14:textId="52C83F88" w:rsidR="00574AF4" w:rsidRPr="00C43814" w:rsidRDefault="00574AF4" w:rsidP="0065420F">
      <w:pPr>
        <w:widowControl w:val="0"/>
        <w:spacing w:after="0" w:line="360" w:lineRule="auto"/>
        <w:jc w:val="center"/>
        <w:rPr>
          <w:rFonts w:ascii="Arial" w:eastAsia="Times New Roman" w:hAnsi="Arial" w:cs="Arial"/>
          <w:b/>
          <w:sz w:val="28"/>
          <w:szCs w:val="28"/>
          <w:lang w:eastAsia="en-GB" w:bidi="bn-BD"/>
        </w:rPr>
      </w:pP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1A4C6290" w:rsidR="008C315F" w:rsidRDefault="008C315F" w:rsidP="008C315F">
      <w:pPr>
        <w:jc w:val="center"/>
        <w:rPr>
          <w:rFonts w:ascii="Arial" w:eastAsia="Times New Roman" w:hAnsi="Arial" w:cs="Arial"/>
          <w:b/>
          <w:lang w:eastAsia="en-GB"/>
        </w:rPr>
      </w:pPr>
    </w:p>
    <w:p w14:paraId="7F6DF904" w14:textId="77777777" w:rsidR="008F0D4B" w:rsidRPr="00EB6FE2" w:rsidRDefault="008F0D4B"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sz w:val="24"/>
          <w:szCs w:val="24"/>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1B42CAD5" w14:textId="06027657" w:rsidR="008430F9" w:rsidRPr="008430F9" w:rsidRDefault="001A5555" w:rsidP="008430F9">
          <w:pPr>
            <w:pStyle w:val="TOC1"/>
            <w:tabs>
              <w:tab w:val="right" w:leader="dot" w:pos="9350"/>
            </w:tabs>
            <w:jc w:val="both"/>
            <w:rPr>
              <w:rFonts w:ascii="Arial" w:eastAsiaTheme="minorEastAsia" w:hAnsi="Arial" w:cs="Arial"/>
              <w:noProof/>
              <w:sz w:val="24"/>
              <w:lang w:eastAsia="en-GB"/>
            </w:rPr>
          </w:pPr>
          <w:r w:rsidRPr="00AC424A">
            <w:rPr>
              <w:rFonts w:ascii="Arial" w:hAnsi="Arial" w:cs="Arial"/>
              <w:sz w:val="24"/>
              <w:szCs w:val="24"/>
            </w:rPr>
            <w:fldChar w:fldCharType="begin"/>
          </w:r>
          <w:r w:rsidRPr="00AC424A">
            <w:rPr>
              <w:rFonts w:ascii="Arial" w:hAnsi="Arial" w:cs="Arial"/>
              <w:sz w:val="24"/>
              <w:szCs w:val="24"/>
            </w:rPr>
            <w:instrText xml:space="preserve"> TOC \o "1-3" \h \z \u </w:instrText>
          </w:r>
          <w:r w:rsidRPr="00AC424A">
            <w:rPr>
              <w:rFonts w:ascii="Arial" w:hAnsi="Arial" w:cs="Arial"/>
              <w:sz w:val="24"/>
              <w:szCs w:val="24"/>
            </w:rPr>
            <w:fldChar w:fldCharType="separate"/>
          </w:r>
          <w:hyperlink w:anchor="_Toc226064990" w:history="1">
            <w:r w:rsidR="008430F9" w:rsidRPr="008430F9">
              <w:rPr>
                <w:rStyle w:val="Hyperlink"/>
                <w:rFonts w:ascii="Arial" w:hAnsi="Arial" w:cs="Arial"/>
                <w:noProof/>
                <w:sz w:val="24"/>
              </w:rPr>
              <w:t>Section 1</w:t>
            </w:r>
            <w:r w:rsidR="008430F9" w:rsidRPr="008430F9">
              <w:rPr>
                <w:rFonts w:ascii="Arial" w:hAnsi="Arial" w:cs="Arial"/>
                <w:noProof/>
                <w:webHidden/>
                <w:sz w:val="24"/>
              </w:rPr>
              <w:tab/>
            </w:r>
            <w:r w:rsidR="008430F9" w:rsidRPr="008430F9">
              <w:rPr>
                <w:rFonts w:ascii="Arial" w:hAnsi="Arial" w:cs="Arial"/>
                <w:noProof/>
                <w:webHidden/>
                <w:sz w:val="24"/>
              </w:rPr>
              <w:fldChar w:fldCharType="begin"/>
            </w:r>
            <w:r w:rsidR="008430F9" w:rsidRPr="008430F9">
              <w:rPr>
                <w:rFonts w:ascii="Arial" w:hAnsi="Arial" w:cs="Arial"/>
                <w:noProof/>
                <w:webHidden/>
                <w:sz w:val="24"/>
              </w:rPr>
              <w:instrText xml:space="preserve"> PAGEREF _Toc226064990 \h </w:instrText>
            </w:r>
            <w:r w:rsidR="008430F9" w:rsidRPr="008430F9">
              <w:rPr>
                <w:rFonts w:ascii="Arial" w:hAnsi="Arial" w:cs="Arial"/>
                <w:noProof/>
                <w:webHidden/>
                <w:sz w:val="24"/>
              </w:rPr>
            </w:r>
            <w:r w:rsidR="008430F9" w:rsidRPr="008430F9">
              <w:rPr>
                <w:rFonts w:ascii="Arial" w:hAnsi="Arial" w:cs="Arial"/>
                <w:noProof/>
                <w:webHidden/>
                <w:sz w:val="24"/>
              </w:rPr>
              <w:fldChar w:fldCharType="separate"/>
            </w:r>
            <w:r w:rsidR="008430F9" w:rsidRPr="008430F9">
              <w:rPr>
                <w:rFonts w:ascii="Arial" w:hAnsi="Arial" w:cs="Arial"/>
                <w:noProof/>
                <w:webHidden/>
                <w:sz w:val="24"/>
              </w:rPr>
              <w:t>1</w:t>
            </w:r>
            <w:r w:rsidR="008430F9" w:rsidRPr="008430F9">
              <w:rPr>
                <w:rFonts w:ascii="Arial" w:hAnsi="Arial" w:cs="Arial"/>
                <w:noProof/>
                <w:webHidden/>
                <w:sz w:val="24"/>
              </w:rPr>
              <w:fldChar w:fldCharType="end"/>
            </w:r>
          </w:hyperlink>
        </w:p>
        <w:p w14:paraId="6C6BFEC1" w14:textId="058F7E01" w:rsidR="008430F9" w:rsidRPr="008430F9" w:rsidRDefault="008430F9" w:rsidP="008430F9">
          <w:pPr>
            <w:pStyle w:val="TOC1"/>
            <w:tabs>
              <w:tab w:val="right" w:leader="dot" w:pos="9350"/>
            </w:tabs>
            <w:jc w:val="both"/>
            <w:rPr>
              <w:rFonts w:ascii="Arial" w:eastAsiaTheme="minorEastAsia" w:hAnsi="Arial" w:cs="Arial"/>
              <w:noProof/>
              <w:sz w:val="24"/>
              <w:lang w:eastAsia="en-GB"/>
            </w:rPr>
          </w:pPr>
          <w:hyperlink w:anchor="_Toc226064991" w:history="1">
            <w:r w:rsidRPr="008430F9">
              <w:rPr>
                <w:rStyle w:val="Hyperlink"/>
                <w:rFonts w:ascii="Arial" w:hAnsi="Arial" w:cs="Arial"/>
                <w:noProof/>
                <w:sz w:val="24"/>
              </w:rPr>
              <w:t>1. Introduction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_Toc226064991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w:t>
            </w:r>
            <w:r w:rsidRPr="008430F9">
              <w:rPr>
                <w:rFonts w:ascii="Arial" w:hAnsi="Arial" w:cs="Arial"/>
                <w:noProof/>
                <w:webHidden/>
                <w:sz w:val="24"/>
              </w:rPr>
              <w:fldChar w:fldCharType="end"/>
            </w:r>
          </w:hyperlink>
        </w:p>
        <w:p w14:paraId="061926DB" w14:textId="34356F9F" w:rsidR="008430F9" w:rsidRPr="008430F9" w:rsidRDefault="008430F9" w:rsidP="008430F9">
          <w:pPr>
            <w:pStyle w:val="TOC1"/>
            <w:tabs>
              <w:tab w:val="right" w:leader="dot" w:pos="9350"/>
            </w:tabs>
            <w:jc w:val="both"/>
            <w:rPr>
              <w:rFonts w:ascii="Arial" w:eastAsiaTheme="minorEastAsia" w:hAnsi="Arial" w:cs="Arial"/>
              <w:noProof/>
              <w:sz w:val="24"/>
              <w:lang w:eastAsia="en-GB"/>
            </w:rPr>
          </w:pPr>
          <w:hyperlink w:anchor="_Toc226064992" w:history="1">
            <w:r w:rsidRPr="008430F9">
              <w:rPr>
                <w:rStyle w:val="Hyperlink"/>
                <w:rFonts w:ascii="Arial" w:eastAsia="Times New Roman" w:hAnsi="Arial" w:cs="Arial"/>
                <w:noProof/>
                <w:sz w:val="24"/>
                <w:lang w:eastAsia="en-GB"/>
              </w:rPr>
              <w:t>2. Industry &amp; Country Overview</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_Toc226064992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2</w:t>
            </w:r>
            <w:r w:rsidRPr="008430F9">
              <w:rPr>
                <w:rFonts w:ascii="Arial" w:hAnsi="Arial" w:cs="Arial"/>
                <w:noProof/>
                <w:webHidden/>
                <w:sz w:val="24"/>
              </w:rPr>
              <w:fldChar w:fldCharType="end"/>
            </w:r>
          </w:hyperlink>
        </w:p>
        <w:p w14:paraId="0DF4530A" w14:textId="1E129FA8"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4993" w:history="1">
            <w:r w:rsidRPr="008430F9">
              <w:rPr>
                <w:rStyle w:val="Hyperlink"/>
                <w:rFonts w:ascii="Arial" w:eastAsia="Times New Roman" w:hAnsi="Arial" w:cs="Arial"/>
                <w:noProof/>
                <w:sz w:val="24"/>
                <w:lang w:eastAsia="en-GB"/>
              </w:rPr>
              <w:t>2.1 Japan Automotive Industry</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_Toc226064993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2</w:t>
            </w:r>
            <w:r w:rsidRPr="008430F9">
              <w:rPr>
                <w:rFonts w:ascii="Arial" w:hAnsi="Arial" w:cs="Arial"/>
                <w:noProof/>
                <w:webHidden/>
                <w:sz w:val="24"/>
              </w:rPr>
              <w:fldChar w:fldCharType="end"/>
            </w:r>
          </w:hyperlink>
        </w:p>
        <w:p w14:paraId="712251F0" w14:textId="22A94B6E"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4994" w:history="1">
            <w:r w:rsidRPr="008430F9">
              <w:rPr>
                <w:rStyle w:val="Hyperlink"/>
                <w:rFonts w:ascii="Arial" w:eastAsia="Times New Roman" w:hAnsi="Arial" w:cs="Arial"/>
                <w:noProof/>
                <w:sz w:val="24"/>
                <w:lang w:eastAsia="en-GB"/>
              </w:rPr>
              <w:t>2.2 Size &amp; Importance</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_Toc226064994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2</w:t>
            </w:r>
            <w:r w:rsidRPr="008430F9">
              <w:rPr>
                <w:rFonts w:ascii="Arial" w:hAnsi="Arial" w:cs="Arial"/>
                <w:noProof/>
                <w:webHidden/>
                <w:sz w:val="24"/>
              </w:rPr>
              <w:fldChar w:fldCharType="end"/>
            </w:r>
          </w:hyperlink>
        </w:p>
        <w:p w14:paraId="4CAE63F1" w14:textId="26745C4A"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4995" w:history="1">
            <w:r w:rsidRPr="008430F9">
              <w:rPr>
                <w:rStyle w:val="Hyperlink"/>
                <w:rFonts w:ascii="Arial" w:eastAsia="Times New Roman" w:hAnsi="Arial" w:cs="Arial"/>
                <w:noProof/>
                <w:sz w:val="24"/>
                <w:lang w:eastAsia="en-GB"/>
              </w:rPr>
              <w:t>2.3 Key Companies &amp; Competition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_Toc226064995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4</w:t>
            </w:r>
            <w:r w:rsidRPr="008430F9">
              <w:rPr>
                <w:rFonts w:ascii="Arial" w:hAnsi="Arial" w:cs="Arial"/>
                <w:noProof/>
                <w:webHidden/>
                <w:sz w:val="24"/>
              </w:rPr>
              <w:fldChar w:fldCharType="end"/>
            </w:r>
          </w:hyperlink>
        </w:p>
        <w:p w14:paraId="593CE2DA" w14:textId="09165A92" w:rsidR="008430F9" w:rsidRPr="008430F9" w:rsidRDefault="008430F9" w:rsidP="008430F9">
          <w:pPr>
            <w:pStyle w:val="TOC1"/>
            <w:tabs>
              <w:tab w:val="right" w:leader="dot" w:pos="9350"/>
            </w:tabs>
            <w:jc w:val="both"/>
            <w:rPr>
              <w:rFonts w:ascii="Arial" w:eastAsiaTheme="minorEastAsia" w:hAnsi="Arial" w:cs="Arial"/>
              <w:noProof/>
              <w:sz w:val="24"/>
              <w:lang w:eastAsia="en-GB"/>
            </w:rPr>
          </w:pPr>
          <w:hyperlink w:anchor="_Toc226064996" w:history="1">
            <w:r w:rsidRPr="008430F9">
              <w:rPr>
                <w:rStyle w:val="Hyperlink"/>
                <w:rFonts w:ascii="Arial" w:eastAsia="Times New Roman" w:hAnsi="Arial" w:cs="Arial"/>
                <w:noProof/>
                <w:sz w:val="24"/>
                <w:lang w:eastAsia="en-GB"/>
              </w:rPr>
              <w:t>3.  The Diamond Model of Porter the Japanese Automotive Industry.</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_Toc226064996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5</w:t>
            </w:r>
            <w:r w:rsidRPr="008430F9">
              <w:rPr>
                <w:rFonts w:ascii="Arial" w:hAnsi="Arial" w:cs="Arial"/>
                <w:noProof/>
                <w:webHidden/>
                <w:sz w:val="24"/>
              </w:rPr>
              <w:fldChar w:fldCharType="end"/>
            </w:r>
          </w:hyperlink>
        </w:p>
        <w:p w14:paraId="0FD797EB" w14:textId="6F3C729D"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4997" w:history="1">
            <w:r w:rsidRPr="008430F9">
              <w:rPr>
                <w:rStyle w:val="Hyperlink"/>
                <w:rFonts w:ascii="Arial" w:hAnsi="Arial" w:cs="Arial"/>
                <w:noProof/>
                <w:sz w:val="24"/>
                <w:lang w:eastAsia="en-GB"/>
              </w:rPr>
              <w:t>3.1 Factor Conditions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_Toc226064997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5</w:t>
            </w:r>
            <w:r w:rsidRPr="008430F9">
              <w:rPr>
                <w:rFonts w:ascii="Arial" w:hAnsi="Arial" w:cs="Arial"/>
                <w:noProof/>
                <w:webHidden/>
                <w:sz w:val="24"/>
              </w:rPr>
              <w:fldChar w:fldCharType="end"/>
            </w:r>
          </w:hyperlink>
        </w:p>
        <w:p w14:paraId="5CEBDA3A" w14:textId="02DAF6C9"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4998" w:history="1">
            <w:r w:rsidRPr="008430F9">
              <w:rPr>
                <w:rStyle w:val="Hyperlink"/>
                <w:rFonts w:ascii="Arial" w:hAnsi="Arial" w:cs="Arial"/>
                <w:noProof/>
                <w:sz w:val="24"/>
                <w:lang w:eastAsia="en-GB"/>
              </w:rPr>
              <w:t>3.2 Demand Conditions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_Toc226064998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6</w:t>
            </w:r>
            <w:r w:rsidRPr="008430F9">
              <w:rPr>
                <w:rFonts w:ascii="Arial" w:hAnsi="Arial" w:cs="Arial"/>
                <w:noProof/>
                <w:webHidden/>
                <w:sz w:val="24"/>
              </w:rPr>
              <w:fldChar w:fldCharType="end"/>
            </w:r>
          </w:hyperlink>
        </w:p>
        <w:p w14:paraId="5F1FC453" w14:textId="64E79D99"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4999" w:history="1">
            <w:r w:rsidRPr="008430F9">
              <w:rPr>
                <w:rStyle w:val="Hyperlink"/>
                <w:rFonts w:ascii="Arial" w:hAnsi="Arial" w:cs="Arial"/>
                <w:noProof/>
                <w:sz w:val="24"/>
                <w:lang w:eastAsia="en-GB"/>
              </w:rPr>
              <w:t>3.3 Sup</w:t>
            </w:r>
            <w:r w:rsidRPr="008430F9">
              <w:rPr>
                <w:rStyle w:val="Hyperlink"/>
                <w:rFonts w:ascii="Arial" w:hAnsi="Arial" w:cs="Arial"/>
                <w:noProof/>
                <w:sz w:val="24"/>
              </w:rPr>
              <w:t>porting and Related Industries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_Toc226064999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7</w:t>
            </w:r>
            <w:r w:rsidRPr="008430F9">
              <w:rPr>
                <w:rFonts w:ascii="Arial" w:hAnsi="Arial" w:cs="Arial"/>
                <w:noProof/>
                <w:webHidden/>
                <w:sz w:val="24"/>
              </w:rPr>
              <w:fldChar w:fldCharType="end"/>
            </w:r>
          </w:hyperlink>
        </w:p>
        <w:p w14:paraId="60BB9B83" w14:textId="25C079B2"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0" w:history="1">
            <w:r w:rsidRPr="008430F9">
              <w:rPr>
                <w:rStyle w:val="Hyperlink"/>
                <w:rFonts w:ascii="Arial" w:hAnsi="Arial" w:cs="Arial"/>
                <w:noProof/>
                <w:sz w:val="24"/>
                <w:lang w:eastAsia="en-GB"/>
              </w:rPr>
              <w:t>3.4 Firm Rivalry</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_Toc226065000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7</w:t>
            </w:r>
            <w:r w:rsidRPr="008430F9">
              <w:rPr>
                <w:rFonts w:ascii="Arial" w:hAnsi="Arial" w:cs="Arial"/>
                <w:noProof/>
                <w:webHidden/>
                <w:sz w:val="24"/>
              </w:rPr>
              <w:fldChar w:fldCharType="end"/>
            </w:r>
          </w:hyperlink>
        </w:p>
        <w:p w14:paraId="1849D7FE" w14:textId="698311FD"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1" w:history="1">
            <w:r w:rsidRPr="008430F9">
              <w:rPr>
                <w:rStyle w:val="Hyperlink"/>
                <w:rFonts w:ascii="Arial" w:hAnsi="Arial" w:cs="Arial"/>
                <w:noProof/>
                <w:sz w:val="24"/>
                <w:lang w:eastAsia="en-GB"/>
              </w:rPr>
              <w:t>3.5 Government Role</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_Toc226065001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8</w:t>
            </w:r>
            <w:r w:rsidRPr="008430F9">
              <w:rPr>
                <w:rFonts w:ascii="Arial" w:hAnsi="Arial" w:cs="Arial"/>
                <w:noProof/>
                <w:webHidden/>
                <w:sz w:val="24"/>
              </w:rPr>
              <w:fldChar w:fldCharType="end"/>
            </w:r>
          </w:hyperlink>
        </w:p>
        <w:p w14:paraId="63EFF839" w14:textId="7DBEE098"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2" w:history="1">
            <w:r w:rsidRPr="008430F9">
              <w:rPr>
                <w:rStyle w:val="Hyperlink"/>
                <w:rFonts w:ascii="Arial" w:hAnsi="Arial" w:cs="Arial"/>
                <w:noProof/>
                <w:sz w:val="24"/>
                <w:lang w:eastAsia="en-GB"/>
              </w:rPr>
              <w:t>3.6 Critical Analysis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_Toc226065002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8</w:t>
            </w:r>
            <w:r w:rsidRPr="008430F9">
              <w:rPr>
                <w:rFonts w:ascii="Arial" w:hAnsi="Arial" w:cs="Arial"/>
                <w:noProof/>
                <w:webHidden/>
                <w:sz w:val="24"/>
              </w:rPr>
              <w:fldChar w:fldCharType="end"/>
            </w:r>
          </w:hyperlink>
        </w:p>
        <w:p w14:paraId="08129174" w14:textId="16A31DED" w:rsidR="008430F9" w:rsidRPr="008430F9" w:rsidRDefault="008430F9" w:rsidP="008430F9">
          <w:pPr>
            <w:pStyle w:val="TOC1"/>
            <w:tabs>
              <w:tab w:val="right" w:leader="dot" w:pos="9350"/>
            </w:tabs>
            <w:jc w:val="both"/>
            <w:rPr>
              <w:rFonts w:ascii="Arial" w:eastAsiaTheme="minorEastAsia" w:hAnsi="Arial" w:cs="Arial"/>
              <w:noProof/>
              <w:sz w:val="24"/>
              <w:lang w:eastAsia="en-GB"/>
            </w:rPr>
          </w:pPr>
          <w:hyperlink w:anchor="_Toc226065003" w:history="1">
            <w:r w:rsidRPr="008430F9">
              <w:rPr>
                <w:rStyle w:val="Hyperlink"/>
                <w:rFonts w:ascii="Arial" w:eastAsia="Times New Roman" w:hAnsi="Arial" w:cs="Arial"/>
                <w:noProof/>
                <w:sz w:val="24"/>
                <w:lang w:eastAsia="en-GB"/>
              </w:rPr>
              <w:t>4. Toyota Analysis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_Toc226065003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8</w:t>
            </w:r>
            <w:r w:rsidRPr="008430F9">
              <w:rPr>
                <w:rFonts w:ascii="Arial" w:hAnsi="Arial" w:cs="Arial"/>
                <w:noProof/>
                <w:webHidden/>
                <w:sz w:val="24"/>
              </w:rPr>
              <w:fldChar w:fldCharType="end"/>
            </w:r>
          </w:hyperlink>
        </w:p>
        <w:p w14:paraId="4B62D473" w14:textId="56A6BD6C"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4" w:history="1">
            <w:r w:rsidRPr="008430F9">
              <w:rPr>
                <w:rStyle w:val="Hyperlink"/>
                <w:rFonts w:ascii="Arial" w:eastAsia="Times New Roman" w:hAnsi="Arial" w:cs="Arial"/>
                <w:noProof/>
                <w:sz w:val="24"/>
                <w:lang w:eastAsia="en-GB"/>
              </w:rPr>
              <w:t>4.1 Overview of Toyota</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_Toc226065004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8</w:t>
            </w:r>
            <w:r w:rsidRPr="008430F9">
              <w:rPr>
                <w:rFonts w:ascii="Arial" w:hAnsi="Arial" w:cs="Arial"/>
                <w:noProof/>
                <w:webHidden/>
                <w:sz w:val="24"/>
              </w:rPr>
              <w:fldChar w:fldCharType="end"/>
            </w:r>
          </w:hyperlink>
        </w:p>
        <w:p w14:paraId="297D1A4B" w14:textId="5BB7B7B1"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5" w:history="1">
            <w:r w:rsidRPr="008430F9">
              <w:rPr>
                <w:rStyle w:val="Hyperlink"/>
                <w:rFonts w:ascii="Arial" w:eastAsia="Times New Roman" w:hAnsi="Arial" w:cs="Arial"/>
                <w:noProof/>
                <w:sz w:val="24"/>
                <w:lang w:eastAsia="en-GB"/>
              </w:rPr>
              <w:t>4.2 PESTLE Analysis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_Toc226065005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9</w:t>
            </w:r>
            <w:r w:rsidRPr="008430F9">
              <w:rPr>
                <w:rFonts w:ascii="Arial" w:hAnsi="Arial" w:cs="Arial"/>
                <w:noProof/>
                <w:webHidden/>
                <w:sz w:val="24"/>
              </w:rPr>
              <w:fldChar w:fldCharType="end"/>
            </w:r>
          </w:hyperlink>
        </w:p>
        <w:p w14:paraId="3F6672E8" w14:textId="53B4666A"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6" w:history="1">
            <w:r w:rsidRPr="008430F9">
              <w:rPr>
                <w:rStyle w:val="Hyperlink"/>
                <w:rFonts w:ascii="Arial" w:eastAsia="Times New Roman" w:hAnsi="Arial" w:cs="Arial"/>
                <w:noProof/>
                <w:sz w:val="24"/>
                <w:lang w:eastAsia="en-GB"/>
              </w:rPr>
              <w:t>4.3 Key Success Factors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_Toc226065006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12</w:t>
            </w:r>
            <w:r w:rsidRPr="008430F9">
              <w:rPr>
                <w:rFonts w:ascii="Arial" w:hAnsi="Arial" w:cs="Arial"/>
                <w:noProof/>
                <w:webHidden/>
                <w:sz w:val="24"/>
              </w:rPr>
              <w:fldChar w:fldCharType="end"/>
            </w:r>
          </w:hyperlink>
        </w:p>
        <w:p w14:paraId="585308F1" w14:textId="52508931"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7" w:history="1">
            <w:r w:rsidRPr="008430F9">
              <w:rPr>
                <w:rStyle w:val="Hyperlink"/>
                <w:rFonts w:ascii="Arial" w:eastAsia="Times New Roman" w:hAnsi="Arial" w:cs="Arial"/>
                <w:noProof/>
                <w:sz w:val="24"/>
                <w:lang w:eastAsia="en-GB"/>
              </w:rPr>
              <w:t>4.4 Challenges &amp; Opportunities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_Toc226065007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13</w:t>
            </w:r>
            <w:r w:rsidRPr="008430F9">
              <w:rPr>
                <w:rFonts w:ascii="Arial" w:hAnsi="Arial" w:cs="Arial"/>
                <w:noProof/>
                <w:webHidden/>
                <w:sz w:val="24"/>
              </w:rPr>
              <w:fldChar w:fldCharType="end"/>
            </w:r>
          </w:hyperlink>
        </w:p>
        <w:p w14:paraId="048AFD84" w14:textId="409F355E"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08" w:history="1">
            <w:r w:rsidRPr="008430F9">
              <w:rPr>
                <w:rStyle w:val="Hyperlink"/>
                <w:rFonts w:ascii="Arial" w:eastAsia="Times New Roman" w:hAnsi="Arial" w:cs="Arial"/>
                <w:noProof/>
                <w:sz w:val="24"/>
                <w:lang w:eastAsia="en-GB"/>
              </w:rPr>
              <w:t>4.5 Critical Evaluation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_Toc226065008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15</w:t>
            </w:r>
            <w:r w:rsidRPr="008430F9">
              <w:rPr>
                <w:rFonts w:ascii="Arial" w:hAnsi="Arial" w:cs="Arial"/>
                <w:noProof/>
                <w:webHidden/>
                <w:sz w:val="24"/>
              </w:rPr>
              <w:fldChar w:fldCharType="end"/>
            </w:r>
          </w:hyperlink>
        </w:p>
        <w:p w14:paraId="632C5D02" w14:textId="762E822F" w:rsidR="008430F9" w:rsidRPr="008430F9" w:rsidRDefault="008430F9" w:rsidP="008430F9">
          <w:pPr>
            <w:pStyle w:val="TOC1"/>
            <w:tabs>
              <w:tab w:val="right" w:leader="dot" w:pos="9350"/>
            </w:tabs>
            <w:jc w:val="both"/>
            <w:rPr>
              <w:rFonts w:ascii="Arial" w:eastAsiaTheme="minorEastAsia" w:hAnsi="Arial" w:cs="Arial"/>
              <w:noProof/>
              <w:sz w:val="24"/>
              <w:lang w:eastAsia="en-GB"/>
            </w:rPr>
          </w:pPr>
          <w:hyperlink w:anchor="_Toc226065009" w:history="1">
            <w:r w:rsidRPr="008430F9">
              <w:rPr>
                <w:rStyle w:val="Hyperlink"/>
                <w:rFonts w:ascii="Arial" w:eastAsia="Times New Roman" w:hAnsi="Arial" w:cs="Arial"/>
                <w:noProof/>
                <w:sz w:val="24"/>
                <w:lang w:eastAsia="en-GB"/>
              </w:rPr>
              <w:t>5. Conclusion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_Toc226065009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17</w:t>
            </w:r>
            <w:r w:rsidRPr="008430F9">
              <w:rPr>
                <w:rFonts w:ascii="Arial" w:hAnsi="Arial" w:cs="Arial"/>
                <w:noProof/>
                <w:webHidden/>
                <w:sz w:val="24"/>
              </w:rPr>
              <w:fldChar w:fldCharType="end"/>
            </w:r>
          </w:hyperlink>
        </w:p>
        <w:p w14:paraId="37F90E70" w14:textId="4F3E8102" w:rsidR="008430F9" w:rsidRPr="008430F9" w:rsidRDefault="008430F9" w:rsidP="008430F9">
          <w:pPr>
            <w:pStyle w:val="TOC1"/>
            <w:tabs>
              <w:tab w:val="right" w:leader="dot" w:pos="9350"/>
            </w:tabs>
            <w:jc w:val="both"/>
            <w:rPr>
              <w:rFonts w:ascii="Arial" w:eastAsiaTheme="minorEastAsia" w:hAnsi="Arial" w:cs="Arial"/>
              <w:noProof/>
              <w:sz w:val="24"/>
              <w:lang w:eastAsia="en-GB"/>
            </w:rPr>
          </w:pPr>
          <w:hyperlink w:anchor="_Toc226065010" w:history="1">
            <w:r w:rsidRPr="008430F9">
              <w:rPr>
                <w:rStyle w:val="Hyperlink"/>
                <w:rFonts w:ascii="Arial" w:eastAsia="Times New Roman" w:hAnsi="Arial" w:cs="Arial"/>
                <w:noProof/>
                <w:sz w:val="24"/>
                <w:lang w:eastAsia="en-GB"/>
              </w:rPr>
              <w:t>SECTION 2: REFLECTIVE</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_Toc226065010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18</w:t>
            </w:r>
            <w:r w:rsidRPr="008430F9">
              <w:rPr>
                <w:rFonts w:ascii="Arial" w:hAnsi="Arial" w:cs="Arial"/>
                <w:noProof/>
                <w:webHidden/>
                <w:sz w:val="24"/>
              </w:rPr>
              <w:fldChar w:fldCharType="end"/>
            </w:r>
          </w:hyperlink>
        </w:p>
        <w:p w14:paraId="68ABAA10" w14:textId="5917B3BF"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11" w:history="1">
            <w:r w:rsidRPr="008430F9">
              <w:rPr>
                <w:rStyle w:val="Hyperlink"/>
                <w:rFonts w:ascii="Arial" w:eastAsia="Times New Roman" w:hAnsi="Arial" w:cs="Arial"/>
                <w:noProof/>
                <w:sz w:val="24"/>
                <w:lang w:eastAsia="en-GB"/>
              </w:rPr>
              <w:t>1. Description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_Toc226065011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18</w:t>
            </w:r>
            <w:r w:rsidRPr="008430F9">
              <w:rPr>
                <w:rFonts w:ascii="Arial" w:hAnsi="Arial" w:cs="Arial"/>
                <w:noProof/>
                <w:webHidden/>
                <w:sz w:val="24"/>
              </w:rPr>
              <w:fldChar w:fldCharType="end"/>
            </w:r>
          </w:hyperlink>
        </w:p>
        <w:p w14:paraId="1CA81DAD" w14:textId="795BD260"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12" w:history="1">
            <w:r w:rsidRPr="008430F9">
              <w:rPr>
                <w:rStyle w:val="Hyperlink"/>
                <w:rFonts w:ascii="Arial" w:eastAsia="Times New Roman" w:hAnsi="Arial" w:cs="Arial"/>
                <w:noProof/>
                <w:sz w:val="24"/>
                <w:lang w:eastAsia="en-GB"/>
              </w:rPr>
              <w:t>2. Feelings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_Toc226065012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18</w:t>
            </w:r>
            <w:r w:rsidRPr="008430F9">
              <w:rPr>
                <w:rFonts w:ascii="Arial" w:hAnsi="Arial" w:cs="Arial"/>
                <w:noProof/>
                <w:webHidden/>
                <w:sz w:val="24"/>
              </w:rPr>
              <w:fldChar w:fldCharType="end"/>
            </w:r>
          </w:hyperlink>
        </w:p>
        <w:p w14:paraId="788744F8" w14:textId="1754870F"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13" w:history="1">
            <w:r w:rsidRPr="008430F9">
              <w:rPr>
                <w:rStyle w:val="Hyperlink"/>
                <w:rFonts w:ascii="Arial" w:eastAsia="Times New Roman" w:hAnsi="Arial" w:cs="Arial"/>
                <w:noProof/>
                <w:sz w:val="24"/>
                <w:lang w:eastAsia="en-GB"/>
              </w:rPr>
              <w:t>3. Evaluation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_Toc226065013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19</w:t>
            </w:r>
            <w:r w:rsidRPr="008430F9">
              <w:rPr>
                <w:rFonts w:ascii="Arial" w:hAnsi="Arial" w:cs="Arial"/>
                <w:noProof/>
                <w:webHidden/>
                <w:sz w:val="24"/>
              </w:rPr>
              <w:fldChar w:fldCharType="end"/>
            </w:r>
          </w:hyperlink>
        </w:p>
        <w:p w14:paraId="786DD71A" w14:textId="7BC29E73"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14" w:history="1">
            <w:r w:rsidRPr="008430F9">
              <w:rPr>
                <w:rStyle w:val="Hyperlink"/>
                <w:rFonts w:ascii="Arial" w:eastAsia="Times New Roman" w:hAnsi="Arial" w:cs="Arial"/>
                <w:noProof/>
                <w:sz w:val="24"/>
                <w:lang w:eastAsia="en-GB"/>
              </w:rPr>
              <w:t>4. Analysis</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_Toc226065014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19</w:t>
            </w:r>
            <w:r w:rsidRPr="008430F9">
              <w:rPr>
                <w:rFonts w:ascii="Arial" w:hAnsi="Arial" w:cs="Arial"/>
                <w:noProof/>
                <w:webHidden/>
                <w:sz w:val="24"/>
              </w:rPr>
              <w:fldChar w:fldCharType="end"/>
            </w:r>
          </w:hyperlink>
        </w:p>
        <w:p w14:paraId="28E1E7C6" w14:textId="03D6C268"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15" w:history="1">
            <w:r w:rsidRPr="008430F9">
              <w:rPr>
                <w:rStyle w:val="Hyperlink"/>
                <w:rFonts w:ascii="Arial" w:eastAsia="Times New Roman" w:hAnsi="Arial" w:cs="Arial"/>
                <w:noProof/>
                <w:sz w:val="24"/>
                <w:lang w:eastAsia="en-GB"/>
              </w:rPr>
              <w:t>5. Conclusion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_Toc226065015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20</w:t>
            </w:r>
            <w:r w:rsidRPr="008430F9">
              <w:rPr>
                <w:rFonts w:ascii="Arial" w:hAnsi="Arial" w:cs="Arial"/>
                <w:noProof/>
                <w:webHidden/>
                <w:sz w:val="24"/>
              </w:rPr>
              <w:fldChar w:fldCharType="end"/>
            </w:r>
          </w:hyperlink>
        </w:p>
        <w:p w14:paraId="7D855CFC" w14:textId="3CB7638A" w:rsidR="008430F9" w:rsidRPr="008430F9" w:rsidRDefault="008430F9" w:rsidP="008430F9">
          <w:pPr>
            <w:pStyle w:val="TOC2"/>
            <w:tabs>
              <w:tab w:val="right" w:leader="dot" w:pos="9350"/>
            </w:tabs>
            <w:jc w:val="both"/>
            <w:rPr>
              <w:rFonts w:ascii="Arial" w:eastAsiaTheme="minorEastAsia" w:hAnsi="Arial" w:cs="Arial"/>
              <w:noProof/>
              <w:sz w:val="24"/>
              <w:lang w:eastAsia="en-GB"/>
            </w:rPr>
          </w:pPr>
          <w:hyperlink w:anchor="_Toc226065016" w:history="1">
            <w:r w:rsidRPr="008430F9">
              <w:rPr>
                <w:rStyle w:val="Hyperlink"/>
                <w:rFonts w:ascii="Arial" w:eastAsia="Times New Roman" w:hAnsi="Arial" w:cs="Arial"/>
                <w:noProof/>
                <w:sz w:val="24"/>
                <w:lang w:eastAsia="en-GB"/>
              </w:rPr>
              <w:t>6. Action Plan</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_Toc226065016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20</w:t>
            </w:r>
            <w:r w:rsidRPr="008430F9">
              <w:rPr>
                <w:rFonts w:ascii="Arial" w:hAnsi="Arial" w:cs="Arial"/>
                <w:noProof/>
                <w:webHidden/>
                <w:sz w:val="24"/>
              </w:rPr>
              <w:fldChar w:fldCharType="end"/>
            </w:r>
          </w:hyperlink>
        </w:p>
        <w:p w14:paraId="004D2962" w14:textId="1BDD83F8" w:rsidR="008430F9" w:rsidRDefault="008430F9" w:rsidP="008430F9">
          <w:pPr>
            <w:pStyle w:val="TOC1"/>
            <w:tabs>
              <w:tab w:val="right" w:leader="dot" w:pos="9350"/>
            </w:tabs>
            <w:jc w:val="both"/>
            <w:rPr>
              <w:rFonts w:eastAsiaTheme="minorEastAsia"/>
              <w:noProof/>
              <w:lang w:eastAsia="en-GB"/>
            </w:rPr>
          </w:pPr>
          <w:hyperlink w:anchor="_Toc226065017" w:history="1">
            <w:r w:rsidRPr="008430F9">
              <w:rPr>
                <w:rStyle w:val="Hyperlink"/>
                <w:rFonts w:ascii="Arial" w:eastAsia="Aptos" w:hAnsi="Arial" w:cs="Arial"/>
                <w:noProof/>
                <w:sz w:val="24"/>
                <w:lang w:val="en-US"/>
              </w:rPr>
              <w:t>Reference</w:t>
            </w:r>
            <w:r w:rsidRPr="008430F9">
              <w:rPr>
                <w:rFonts w:ascii="Arial" w:hAnsi="Arial" w:cs="Arial"/>
                <w:noProof/>
                <w:webHidden/>
                <w:sz w:val="24"/>
              </w:rPr>
              <w:tab/>
            </w:r>
            <w:r w:rsidRPr="008430F9">
              <w:rPr>
                <w:rFonts w:ascii="Arial" w:hAnsi="Arial" w:cs="Arial"/>
                <w:noProof/>
                <w:webHidden/>
                <w:sz w:val="24"/>
              </w:rPr>
              <w:fldChar w:fldCharType="begin"/>
            </w:r>
            <w:r w:rsidRPr="008430F9">
              <w:rPr>
                <w:rFonts w:ascii="Arial" w:hAnsi="Arial" w:cs="Arial"/>
                <w:noProof/>
                <w:webHidden/>
                <w:sz w:val="24"/>
              </w:rPr>
              <w:instrText xml:space="preserve"> PAGEREF _Toc226065017 \h </w:instrText>
            </w:r>
            <w:r w:rsidRPr="008430F9">
              <w:rPr>
                <w:rFonts w:ascii="Arial" w:hAnsi="Arial" w:cs="Arial"/>
                <w:noProof/>
                <w:webHidden/>
                <w:sz w:val="24"/>
              </w:rPr>
            </w:r>
            <w:r w:rsidRPr="008430F9">
              <w:rPr>
                <w:rFonts w:ascii="Arial" w:hAnsi="Arial" w:cs="Arial"/>
                <w:noProof/>
                <w:webHidden/>
                <w:sz w:val="24"/>
              </w:rPr>
              <w:fldChar w:fldCharType="separate"/>
            </w:r>
            <w:r w:rsidRPr="008430F9">
              <w:rPr>
                <w:rFonts w:ascii="Arial" w:hAnsi="Arial" w:cs="Arial"/>
                <w:noProof/>
                <w:webHidden/>
                <w:sz w:val="24"/>
              </w:rPr>
              <w:t>22</w:t>
            </w:r>
            <w:r w:rsidRPr="008430F9">
              <w:rPr>
                <w:rFonts w:ascii="Arial" w:hAnsi="Arial" w:cs="Arial"/>
                <w:noProof/>
                <w:webHidden/>
                <w:sz w:val="24"/>
              </w:rPr>
              <w:fldChar w:fldCharType="end"/>
            </w:r>
          </w:hyperlink>
        </w:p>
        <w:p w14:paraId="7D172BF9" w14:textId="73F864E0" w:rsidR="00985368" w:rsidRPr="00AC424A" w:rsidRDefault="001A5555" w:rsidP="00AC424A">
          <w:pPr>
            <w:spacing w:line="360" w:lineRule="auto"/>
            <w:jc w:val="both"/>
            <w:rPr>
              <w:rFonts w:ascii="Arial" w:hAnsi="Arial" w:cs="Arial"/>
              <w:sz w:val="24"/>
              <w:szCs w:val="24"/>
            </w:rPr>
          </w:pPr>
          <w:r w:rsidRPr="00AC424A">
            <w:rPr>
              <w:rFonts w:ascii="Arial" w:hAnsi="Arial" w:cs="Arial"/>
              <w:b/>
              <w:bCs/>
              <w:noProof/>
              <w:sz w:val="24"/>
              <w:szCs w:val="24"/>
            </w:rPr>
            <w:fldChar w:fldCharType="end"/>
          </w:r>
        </w:p>
      </w:sdtContent>
    </w:sdt>
    <w:p w14:paraId="1A3971FD" w14:textId="2F00E40D" w:rsidR="00985368" w:rsidRDefault="00985368" w:rsidP="00985368">
      <w:pPr>
        <w:rPr>
          <w:rFonts w:ascii="Arial" w:hAnsi="Arial" w:cs="Arial"/>
          <w:sz w:val="24"/>
        </w:rPr>
      </w:pPr>
    </w:p>
    <w:p w14:paraId="50398C08" w14:textId="7C986DC0" w:rsidR="002344D1" w:rsidRDefault="002344D1" w:rsidP="00985368">
      <w:pPr>
        <w:rPr>
          <w:rFonts w:ascii="Arial" w:hAnsi="Arial" w:cs="Arial"/>
          <w:sz w:val="24"/>
        </w:rPr>
      </w:pPr>
    </w:p>
    <w:p w14:paraId="7EB75D27" w14:textId="77777777" w:rsidR="002344D1" w:rsidRDefault="002344D1" w:rsidP="00985368">
      <w:pPr>
        <w:rPr>
          <w:rFonts w:ascii="Arial" w:hAnsi="Arial" w:cs="Arial"/>
          <w:sz w:val="24"/>
        </w:rPr>
      </w:pPr>
    </w:p>
    <w:p w14:paraId="3D122EF4" w14:textId="107BAB5D" w:rsidR="00985368" w:rsidRPr="006E53FA" w:rsidRDefault="00985368" w:rsidP="00985368">
      <w:pPr>
        <w:tabs>
          <w:tab w:val="left" w:pos="4095"/>
        </w:tabs>
        <w:rPr>
          <w:rFonts w:ascii="Arial" w:hAnsi="Arial" w:cs="Arial"/>
          <w:b/>
          <w:sz w:val="24"/>
        </w:rPr>
      </w:pPr>
      <w:r>
        <w:rPr>
          <w:rFonts w:ascii="Arial" w:hAnsi="Arial" w:cs="Arial"/>
          <w:sz w:val="24"/>
        </w:rPr>
        <w:tab/>
      </w:r>
      <w:r w:rsidRPr="006E53FA">
        <w:rPr>
          <w:rFonts w:ascii="Arial" w:hAnsi="Arial" w:cs="Arial"/>
          <w:b/>
          <w:sz w:val="28"/>
        </w:rPr>
        <w:t xml:space="preserve">List of </w:t>
      </w:r>
      <w:r w:rsidR="006E53FA" w:rsidRPr="006E53FA">
        <w:rPr>
          <w:rFonts w:ascii="Arial" w:hAnsi="Arial" w:cs="Arial"/>
          <w:b/>
          <w:sz w:val="28"/>
        </w:rPr>
        <w:t>Table</w:t>
      </w:r>
    </w:p>
    <w:p w14:paraId="4ECBF9CE" w14:textId="18535D6B" w:rsidR="00A22A1C" w:rsidRDefault="00A22A1C">
      <w:pPr>
        <w:pStyle w:val="TableofFigures"/>
        <w:tabs>
          <w:tab w:val="right" w:leader="dot" w:pos="9350"/>
        </w:tabs>
        <w:rPr>
          <w:rFonts w:asciiTheme="minorHAnsi" w:eastAsiaTheme="minorEastAsia" w:hAnsiTheme="minorHAnsi"/>
          <w:noProof/>
          <w:lang w:eastAsia="en-GB"/>
        </w:rPr>
      </w:pPr>
      <w:r>
        <w:rPr>
          <w:rFonts w:cs="Arial"/>
          <w:sz w:val="24"/>
          <w:szCs w:val="24"/>
        </w:rPr>
        <w:fldChar w:fldCharType="begin"/>
      </w:r>
      <w:r>
        <w:rPr>
          <w:rFonts w:cs="Arial"/>
          <w:sz w:val="24"/>
          <w:szCs w:val="24"/>
        </w:rPr>
        <w:instrText xml:space="preserve"> TOC \h \z \c "Table" </w:instrText>
      </w:r>
      <w:r>
        <w:rPr>
          <w:rFonts w:cs="Arial"/>
          <w:sz w:val="24"/>
          <w:szCs w:val="24"/>
        </w:rPr>
        <w:fldChar w:fldCharType="separate"/>
      </w:r>
      <w:hyperlink w:anchor="_Toc226065018" w:history="1">
        <w:r w:rsidRPr="00714771">
          <w:rPr>
            <w:rStyle w:val="Hyperlink"/>
            <w:rFonts w:cs="Arial"/>
            <w:noProof/>
          </w:rPr>
          <w:t>Table 1.Key Companies &amp; Competition</w:t>
        </w:r>
        <w:r>
          <w:rPr>
            <w:noProof/>
            <w:webHidden/>
          </w:rPr>
          <w:tab/>
        </w:r>
        <w:r>
          <w:rPr>
            <w:noProof/>
            <w:webHidden/>
          </w:rPr>
          <w:fldChar w:fldCharType="begin"/>
        </w:r>
        <w:r>
          <w:rPr>
            <w:noProof/>
            <w:webHidden/>
          </w:rPr>
          <w:instrText xml:space="preserve"> PAGEREF _Toc226065018 \h </w:instrText>
        </w:r>
        <w:r>
          <w:rPr>
            <w:noProof/>
            <w:webHidden/>
          </w:rPr>
        </w:r>
        <w:r>
          <w:rPr>
            <w:noProof/>
            <w:webHidden/>
          </w:rPr>
          <w:fldChar w:fldCharType="separate"/>
        </w:r>
        <w:r>
          <w:rPr>
            <w:noProof/>
            <w:webHidden/>
          </w:rPr>
          <w:t>4</w:t>
        </w:r>
        <w:r>
          <w:rPr>
            <w:noProof/>
            <w:webHidden/>
          </w:rPr>
          <w:fldChar w:fldCharType="end"/>
        </w:r>
      </w:hyperlink>
    </w:p>
    <w:p w14:paraId="023B2271" w14:textId="6A2241E2" w:rsidR="00A22A1C" w:rsidRDefault="00A22A1C">
      <w:pPr>
        <w:pStyle w:val="TableofFigures"/>
        <w:tabs>
          <w:tab w:val="right" w:leader="dot" w:pos="9350"/>
        </w:tabs>
        <w:rPr>
          <w:rFonts w:asciiTheme="minorHAnsi" w:eastAsiaTheme="minorEastAsia" w:hAnsiTheme="minorHAnsi"/>
          <w:noProof/>
          <w:lang w:eastAsia="en-GB"/>
        </w:rPr>
      </w:pPr>
      <w:hyperlink w:anchor="_Toc226065019" w:history="1">
        <w:r w:rsidRPr="00714771">
          <w:rPr>
            <w:rStyle w:val="Hyperlink"/>
            <w:rFonts w:cs="Arial"/>
            <w:noProof/>
          </w:rPr>
          <w:t>Table 2: Factor Conditions (Industry Level)</w:t>
        </w:r>
        <w:r>
          <w:rPr>
            <w:noProof/>
            <w:webHidden/>
          </w:rPr>
          <w:tab/>
        </w:r>
        <w:r>
          <w:rPr>
            <w:noProof/>
            <w:webHidden/>
          </w:rPr>
          <w:fldChar w:fldCharType="begin"/>
        </w:r>
        <w:r>
          <w:rPr>
            <w:noProof/>
            <w:webHidden/>
          </w:rPr>
          <w:instrText xml:space="preserve"> PAGEREF _Toc226065019 \h </w:instrText>
        </w:r>
        <w:r>
          <w:rPr>
            <w:noProof/>
            <w:webHidden/>
          </w:rPr>
        </w:r>
        <w:r>
          <w:rPr>
            <w:noProof/>
            <w:webHidden/>
          </w:rPr>
          <w:fldChar w:fldCharType="separate"/>
        </w:r>
        <w:r>
          <w:rPr>
            <w:noProof/>
            <w:webHidden/>
          </w:rPr>
          <w:t>6</w:t>
        </w:r>
        <w:r>
          <w:rPr>
            <w:noProof/>
            <w:webHidden/>
          </w:rPr>
          <w:fldChar w:fldCharType="end"/>
        </w:r>
      </w:hyperlink>
    </w:p>
    <w:p w14:paraId="31A4EAEB" w14:textId="4DB3D109" w:rsidR="00A22A1C" w:rsidRDefault="00A22A1C">
      <w:pPr>
        <w:pStyle w:val="TableofFigures"/>
        <w:tabs>
          <w:tab w:val="right" w:leader="dot" w:pos="9350"/>
        </w:tabs>
        <w:rPr>
          <w:rFonts w:asciiTheme="minorHAnsi" w:eastAsiaTheme="minorEastAsia" w:hAnsiTheme="minorHAnsi"/>
          <w:noProof/>
          <w:lang w:eastAsia="en-GB"/>
        </w:rPr>
      </w:pPr>
      <w:hyperlink w:anchor="_Toc226065020" w:history="1">
        <w:r w:rsidRPr="00714771">
          <w:rPr>
            <w:rStyle w:val="Hyperlink"/>
            <w:rFonts w:cs="Arial"/>
            <w:noProof/>
          </w:rPr>
          <w:t>Table 3: Related &amp; Supporting Industries</w:t>
        </w:r>
        <w:r>
          <w:rPr>
            <w:noProof/>
            <w:webHidden/>
          </w:rPr>
          <w:tab/>
        </w:r>
        <w:r>
          <w:rPr>
            <w:noProof/>
            <w:webHidden/>
          </w:rPr>
          <w:fldChar w:fldCharType="begin"/>
        </w:r>
        <w:r>
          <w:rPr>
            <w:noProof/>
            <w:webHidden/>
          </w:rPr>
          <w:instrText xml:space="preserve"> PAGEREF _Toc226065020 \h </w:instrText>
        </w:r>
        <w:r>
          <w:rPr>
            <w:noProof/>
            <w:webHidden/>
          </w:rPr>
        </w:r>
        <w:r>
          <w:rPr>
            <w:noProof/>
            <w:webHidden/>
          </w:rPr>
          <w:fldChar w:fldCharType="separate"/>
        </w:r>
        <w:r>
          <w:rPr>
            <w:noProof/>
            <w:webHidden/>
          </w:rPr>
          <w:t>7</w:t>
        </w:r>
        <w:r>
          <w:rPr>
            <w:noProof/>
            <w:webHidden/>
          </w:rPr>
          <w:fldChar w:fldCharType="end"/>
        </w:r>
      </w:hyperlink>
    </w:p>
    <w:p w14:paraId="1ED5171C" w14:textId="7C3E4F6A" w:rsidR="00A22A1C" w:rsidRDefault="00A22A1C">
      <w:pPr>
        <w:pStyle w:val="TableofFigures"/>
        <w:tabs>
          <w:tab w:val="right" w:leader="dot" w:pos="9350"/>
        </w:tabs>
        <w:rPr>
          <w:rFonts w:asciiTheme="minorHAnsi" w:eastAsiaTheme="minorEastAsia" w:hAnsiTheme="minorHAnsi"/>
          <w:noProof/>
          <w:lang w:eastAsia="en-GB"/>
        </w:rPr>
      </w:pPr>
      <w:hyperlink w:anchor="_Toc226065021" w:history="1">
        <w:r w:rsidRPr="00714771">
          <w:rPr>
            <w:rStyle w:val="Hyperlink"/>
            <w:rFonts w:cs="Arial"/>
            <w:noProof/>
          </w:rPr>
          <w:t>Table 4.PESTLE Analysis</w:t>
        </w:r>
        <w:r>
          <w:rPr>
            <w:noProof/>
            <w:webHidden/>
          </w:rPr>
          <w:tab/>
        </w:r>
        <w:r>
          <w:rPr>
            <w:noProof/>
            <w:webHidden/>
          </w:rPr>
          <w:fldChar w:fldCharType="begin"/>
        </w:r>
        <w:r>
          <w:rPr>
            <w:noProof/>
            <w:webHidden/>
          </w:rPr>
          <w:instrText xml:space="preserve"> PAGEREF _Toc226065021 \h </w:instrText>
        </w:r>
        <w:r>
          <w:rPr>
            <w:noProof/>
            <w:webHidden/>
          </w:rPr>
        </w:r>
        <w:r>
          <w:rPr>
            <w:noProof/>
            <w:webHidden/>
          </w:rPr>
          <w:fldChar w:fldCharType="separate"/>
        </w:r>
        <w:r>
          <w:rPr>
            <w:noProof/>
            <w:webHidden/>
          </w:rPr>
          <w:t>9</w:t>
        </w:r>
        <w:r>
          <w:rPr>
            <w:noProof/>
            <w:webHidden/>
          </w:rPr>
          <w:fldChar w:fldCharType="end"/>
        </w:r>
      </w:hyperlink>
    </w:p>
    <w:p w14:paraId="7369C8ED" w14:textId="04DF9BE2" w:rsidR="006E53FA" w:rsidRPr="0009426A" w:rsidRDefault="00A22A1C" w:rsidP="0009426A">
      <w:pPr>
        <w:tabs>
          <w:tab w:val="left" w:pos="4095"/>
        </w:tabs>
        <w:spacing w:line="360" w:lineRule="auto"/>
        <w:rPr>
          <w:rFonts w:ascii="Arial" w:hAnsi="Arial" w:cs="Arial"/>
          <w:sz w:val="24"/>
          <w:szCs w:val="24"/>
        </w:rPr>
      </w:pPr>
      <w:r>
        <w:rPr>
          <w:rFonts w:ascii="Arial" w:hAnsi="Arial" w:cs="Arial"/>
          <w:sz w:val="24"/>
          <w:szCs w:val="24"/>
        </w:rPr>
        <w:fldChar w:fldCharType="end"/>
      </w:r>
    </w:p>
    <w:p w14:paraId="15CE3608" w14:textId="74C275F0" w:rsidR="006E53FA" w:rsidRPr="006E53FA" w:rsidRDefault="006E53FA" w:rsidP="006E53FA">
      <w:pPr>
        <w:tabs>
          <w:tab w:val="left" w:pos="4095"/>
        </w:tabs>
        <w:jc w:val="center"/>
        <w:rPr>
          <w:rFonts w:ascii="Arial" w:hAnsi="Arial" w:cs="Arial"/>
          <w:b/>
          <w:sz w:val="28"/>
        </w:rPr>
      </w:pPr>
      <w:r w:rsidRPr="006E53FA">
        <w:rPr>
          <w:rFonts w:ascii="Arial" w:hAnsi="Arial" w:cs="Arial"/>
          <w:b/>
          <w:sz w:val="28"/>
        </w:rPr>
        <w:t>List of Figure</w:t>
      </w:r>
    </w:p>
    <w:p w14:paraId="729EFCBD" w14:textId="599CB49E" w:rsidR="00A22A1C" w:rsidRDefault="00A22A1C">
      <w:pPr>
        <w:pStyle w:val="TableofFigures"/>
        <w:tabs>
          <w:tab w:val="right" w:leader="dot" w:pos="9350"/>
        </w:tabs>
        <w:rPr>
          <w:rFonts w:asciiTheme="minorHAnsi" w:eastAsiaTheme="minorEastAsia" w:hAnsiTheme="minorHAnsi"/>
          <w:noProof/>
          <w:lang w:eastAsia="en-GB"/>
        </w:rPr>
      </w:pPr>
      <w:r>
        <w:rPr>
          <w:rFonts w:cs="Arial"/>
          <w:sz w:val="24"/>
        </w:rPr>
        <w:fldChar w:fldCharType="begin"/>
      </w:r>
      <w:r>
        <w:rPr>
          <w:rFonts w:cs="Arial"/>
          <w:sz w:val="24"/>
        </w:rPr>
        <w:instrText xml:space="preserve"> TOC \h \z \c "Figure" </w:instrText>
      </w:r>
      <w:r>
        <w:rPr>
          <w:rFonts w:cs="Arial"/>
          <w:sz w:val="24"/>
        </w:rPr>
        <w:fldChar w:fldCharType="separate"/>
      </w:r>
      <w:hyperlink w:anchor="_Toc226065022" w:history="1">
        <w:r w:rsidRPr="00BD4342">
          <w:rPr>
            <w:rStyle w:val="Hyperlink"/>
            <w:rFonts w:cs="Arial"/>
            <w:noProof/>
          </w:rPr>
          <w:t>Figure 1.Vehicle Production Trend (2015–2025)</w:t>
        </w:r>
        <w:r>
          <w:rPr>
            <w:noProof/>
            <w:webHidden/>
          </w:rPr>
          <w:tab/>
        </w:r>
        <w:r>
          <w:rPr>
            <w:noProof/>
            <w:webHidden/>
          </w:rPr>
          <w:fldChar w:fldCharType="begin"/>
        </w:r>
        <w:r>
          <w:rPr>
            <w:noProof/>
            <w:webHidden/>
          </w:rPr>
          <w:instrText xml:space="preserve"> PAGEREF _Toc226065022 \h </w:instrText>
        </w:r>
        <w:r>
          <w:rPr>
            <w:noProof/>
            <w:webHidden/>
          </w:rPr>
        </w:r>
        <w:r>
          <w:rPr>
            <w:noProof/>
            <w:webHidden/>
          </w:rPr>
          <w:fldChar w:fldCharType="separate"/>
        </w:r>
        <w:r>
          <w:rPr>
            <w:noProof/>
            <w:webHidden/>
          </w:rPr>
          <w:t>3</w:t>
        </w:r>
        <w:r>
          <w:rPr>
            <w:noProof/>
            <w:webHidden/>
          </w:rPr>
          <w:fldChar w:fldCharType="end"/>
        </w:r>
      </w:hyperlink>
    </w:p>
    <w:p w14:paraId="5852DD83" w14:textId="204FCFA8" w:rsidR="00A22A1C" w:rsidRDefault="00A22A1C">
      <w:pPr>
        <w:pStyle w:val="TableofFigures"/>
        <w:tabs>
          <w:tab w:val="right" w:leader="dot" w:pos="9350"/>
        </w:tabs>
        <w:rPr>
          <w:rFonts w:asciiTheme="minorHAnsi" w:eastAsiaTheme="minorEastAsia" w:hAnsiTheme="minorHAnsi"/>
          <w:noProof/>
          <w:lang w:eastAsia="en-GB"/>
        </w:rPr>
      </w:pPr>
      <w:hyperlink w:anchor="_Toc226065023" w:history="1">
        <w:r w:rsidRPr="00BD4342">
          <w:rPr>
            <w:rStyle w:val="Hyperlink"/>
            <w:rFonts w:cs="Arial"/>
            <w:noProof/>
          </w:rPr>
          <w:t>Figure 2.Porter’s Diamond Model</w:t>
        </w:r>
        <w:r>
          <w:rPr>
            <w:noProof/>
            <w:webHidden/>
          </w:rPr>
          <w:tab/>
        </w:r>
        <w:r>
          <w:rPr>
            <w:noProof/>
            <w:webHidden/>
          </w:rPr>
          <w:fldChar w:fldCharType="begin"/>
        </w:r>
        <w:r>
          <w:rPr>
            <w:noProof/>
            <w:webHidden/>
          </w:rPr>
          <w:instrText xml:space="preserve"> PAGEREF _Toc226065023 \h </w:instrText>
        </w:r>
        <w:r>
          <w:rPr>
            <w:noProof/>
            <w:webHidden/>
          </w:rPr>
        </w:r>
        <w:r>
          <w:rPr>
            <w:noProof/>
            <w:webHidden/>
          </w:rPr>
          <w:fldChar w:fldCharType="separate"/>
        </w:r>
        <w:r>
          <w:rPr>
            <w:noProof/>
            <w:webHidden/>
          </w:rPr>
          <w:t>5</w:t>
        </w:r>
        <w:r>
          <w:rPr>
            <w:noProof/>
            <w:webHidden/>
          </w:rPr>
          <w:fldChar w:fldCharType="end"/>
        </w:r>
      </w:hyperlink>
    </w:p>
    <w:p w14:paraId="7E08D85B" w14:textId="382EA37E" w:rsidR="00A22A1C" w:rsidRDefault="00A22A1C">
      <w:pPr>
        <w:pStyle w:val="TableofFigures"/>
        <w:tabs>
          <w:tab w:val="right" w:leader="dot" w:pos="9350"/>
        </w:tabs>
        <w:rPr>
          <w:rFonts w:asciiTheme="minorHAnsi" w:eastAsiaTheme="minorEastAsia" w:hAnsiTheme="minorHAnsi"/>
          <w:noProof/>
          <w:lang w:eastAsia="en-GB"/>
        </w:rPr>
      </w:pPr>
      <w:hyperlink w:anchor="_Toc226065024" w:history="1">
        <w:r w:rsidRPr="00BD4342">
          <w:rPr>
            <w:rStyle w:val="Hyperlink"/>
            <w:rFonts w:cs="Arial"/>
            <w:noProof/>
          </w:rPr>
          <w:t>Figure 3: Domestic Automotive Demand Trends</w:t>
        </w:r>
        <w:r>
          <w:rPr>
            <w:noProof/>
            <w:webHidden/>
          </w:rPr>
          <w:tab/>
        </w:r>
        <w:r>
          <w:rPr>
            <w:noProof/>
            <w:webHidden/>
          </w:rPr>
          <w:fldChar w:fldCharType="begin"/>
        </w:r>
        <w:r>
          <w:rPr>
            <w:noProof/>
            <w:webHidden/>
          </w:rPr>
          <w:instrText xml:space="preserve"> PAGEREF _Toc226065024 \h </w:instrText>
        </w:r>
        <w:r>
          <w:rPr>
            <w:noProof/>
            <w:webHidden/>
          </w:rPr>
        </w:r>
        <w:r>
          <w:rPr>
            <w:noProof/>
            <w:webHidden/>
          </w:rPr>
          <w:fldChar w:fldCharType="separate"/>
        </w:r>
        <w:r>
          <w:rPr>
            <w:noProof/>
            <w:webHidden/>
          </w:rPr>
          <w:t>6</w:t>
        </w:r>
        <w:r>
          <w:rPr>
            <w:noProof/>
            <w:webHidden/>
          </w:rPr>
          <w:fldChar w:fldCharType="end"/>
        </w:r>
      </w:hyperlink>
    </w:p>
    <w:p w14:paraId="63335E63" w14:textId="63A96F9D" w:rsidR="006E53FA" w:rsidRDefault="00A22A1C" w:rsidP="006E53FA">
      <w:pPr>
        <w:tabs>
          <w:tab w:val="left" w:pos="4095"/>
        </w:tabs>
        <w:jc w:val="center"/>
        <w:rPr>
          <w:rFonts w:ascii="Arial" w:hAnsi="Arial" w:cs="Arial"/>
          <w:sz w:val="24"/>
        </w:rPr>
      </w:pPr>
      <w:r>
        <w:rPr>
          <w:rFonts w:ascii="Arial" w:hAnsi="Arial" w:cs="Arial"/>
          <w:sz w:val="24"/>
        </w:rPr>
        <w:fldChar w:fldCharType="end"/>
      </w:r>
    </w:p>
    <w:p w14:paraId="293B6140" w14:textId="77777777" w:rsidR="00985368" w:rsidRDefault="00985368" w:rsidP="00985368">
      <w:pPr>
        <w:tabs>
          <w:tab w:val="left" w:pos="4095"/>
        </w:tabs>
        <w:rPr>
          <w:rFonts w:ascii="Arial" w:hAnsi="Arial" w:cs="Arial"/>
          <w:sz w:val="24"/>
        </w:rPr>
      </w:pPr>
    </w:p>
    <w:p w14:paraId="1CCB3484" w14:textId="79A9FFC5" w:rsidR="001A5555" w:rsidRPr="00985368" w:rsidRDefault="001A5555" w:rsidP="00B82855">
      <w:pPr>
        <w:tabs>
          <w:tab w:val="left" w:pos="4095"/>
        </w:tabs>
        <w:jc w:val="both"/>
        <w:rPr>
          <w:rFonts w:ascii="Arial" w:hAnsi="Arial" w:cs="Arial"/>
          <w:sz w:val="24"/>
        </w:rPr>
        <w:sectPr w:rsidR="001A5555" w:rsidRPr="00985368" w:rsidSect="001A5555">
          <w:footerReference w:type="default" r:id="rId9"/>
          <w:pgSz w:w="12240" w:h="15840"/>
          <w:pgMar w:top="1440" w:right="1440" w:bottom="1440" w:left="1440" w:header="720" w:footer="720" w:gutter="0"/>
          <w:pgNumType w:fmt="lowerRoman"/>
          <w:cols w:space="720"/>
        </w:sectPr>
      </w:pPr>
    </w:p>
    <w:p w14:paraId="05A5407B" w14:textId="77777777" w:rsidR="003834E4" w:rsidRDefault="00EB1357" w:rsidP="00542270">
      <w:pPr>
        <w:pStyle w:val="Heading1"/>
        <w:spacing w:after="240"/>
        <w:jc w:val="center"/>
      </w:pPr>
      <w:bookmarkStart w:id="0" w:name="_4wxmkwmd022q" w:colFirst="0" w:colLast="0"/>
      <w:bookmarkStart w:id="1" w:name="_Toc226064990"/>
      <w:bookmarkEnd w:id="0"/>
      <w:r w:rsidRPr="00430020">
        <w:t>Section 1</w:t>
      </w:r>
      <w:bookmarkEnd w:id="1"/>
    </w:p>
    <w:p w14:paraId="50EF0441" w14:textId="2001F1C8" w:rsidR="00041B1D" w:rsidRPr="006B5F33" w:rsidRDefault="00041B1D" w:rsidP="00542270">
      <w:pPr>
        <w:pStyle w:val="Heading1"/>
        <w:spacing w:after="240"/>
      </w:pPr>
      <w:r w:rsidRPr="006B5F33">
        <w:t xml:space="preserve"> </w:t>
      </w:r>
      <w:bookmarkStart w:id="2" w:name="_Toc226064991"/>
      <w:r w:rsidRPr="006B5F33">
        <w:t>1. Introduction</w:t>
      </w:r>
      <w:bookmarkEnd w:id="2"/>
      <w:r w:rsidRPr="006B5F33">
        <w:t xml:space="preserve"> </w:t>
      </w:r>
    </w:p>
    <w:p w14:paraId="523009C3" w14:textId="587DC862" w:rsidR="001259BC" w:rsidRDefault="00AE7CF4" w:rsidP="00542270">
      <w:pPr>
        <w:spacing w:after="240" w:line="360" w:lineRule="auto"/>
        <w:jc w:val="both"/>
        <w:rPr>
          <w:rFonts w:ascii="Arial" w:eastAsia="Times New Roman" w:hAnsi="Arial" w:cs="Arial"/>
          <w:sz w:val="24"/>
          <w:szCs w:val="24"/>
          <w:lang w:eastAsia="en-GB"/>
        </w:rPr>
      </w:pPr>
      <w:r w:rsidRPr="00AE7CF4">
        <w:rPr>
          <w:rFonts w:ascii="Arial" w:eastAsia="Times New Roman" w:hAnsi="Arial" w:cs="Arial"/>
          <w:sz w:val="24"/>
          <w:szCs w:val="24"/>
          <w:lang w:eastAsia="en-GB"/>
        </w:rPr>
        <w:t>Japan has been recognized as a global leader in automotive manufacturing, producing over 8 million vehicles annually and consistently ranking among the top three vehicle producers worldwide (International Organization of Motor Vehicle Manufacturers, 2023). This leadership is driven by its advanced technology, strong industrial capacity, and a culture of continuous innovation (Kojima, 2022).</w:t>
      </w:r>
      <w:r>
        <w:rPr>
          <w:rFonts w:ascii="Arial" w:eastAsia="Times New Roman" w:hAnsi="Arial" w:cs="Arial"/>
          <w:sz w:val="24"/>
          <w:szCs w:val="24"/>
          <w:lang w:eastAsia="en-GB"/>
        </w:rPr>
        <w:t xml:space="preserve"> </w:t>
      </w:r>
      <w:r w:rsidR="00CE4FDC" w:rsidRPr="00CE4FDC">
        <w:rPr>
          <w:rFonts w:ascii="Arial" w:eastAsia="Times New Roman" w:hAnsi="Arial" w:cs="Arial"/>
          <w:sz w:val="24"/>
          <w:szCs w:val="24"/>
          <w:lang w:eastAsia="en-GB"/>
        </w:rPr>
        <w:t>The automotive sector is a critical part of the Japanese economy that has played a key role in gross domestic product (GDP), employment, and export earnings and contributes to a vast ecosystem of affiliate industries, including electronics and machinery production (Sato, 2021; METI, 2023). In this regard, Toyota Motor Corporation is one of the most powerful multinational corporations with the status of the leader in the field of hybrid vehicles, lean production system, and a global market (Johnson &amp; Turner, 2022). The report will examine the global competitiveness of the automotive industry in Japan based on the applicable theoretical concepts, especially Porters Diamond Model and critically assess the determinants that affect the successful operations of Toyota in Japan. Through an analysis of the industry-level dynamic and firm-level strategies, the report gives an all-inclusive insight into the issue of competitive advantage in a world of international business that is continuously getting complicated (Yamamoto, 2024).</w:t>
      </w:r>
    </w:p>
    <w:p w14:paraId="4677D317" w14:textId="12A4610B" w:rsidR="001259BC" w:rsidRDefault="001259BC" w:rsidP="00542270">
      <w:pPr>
        <w:spacing w:after="240" w:line="360" w:lineRule="auto"/>
        <w:jc w:val="both"/>
        <w:rPr>
          <w:rFonts w:ascii="Arial" w:eastAsia="Times New Roman" w:hAnsi="Arial" w:cs="Arial"/>
          <w:sz w:val="24"/>
          <w:szCs w:val="24"/>
          <w:lang w:eastAsia="en-GB"/>
        </w:rPr>
      </w:pPr>
    </w:p>
    <w:p w14:paraId="472B96C5" w14:textId="3B66AB88" w:rsidR="001259BC" w:rsidRDefault="001259BC" w:rsidP="00542270">
      <w:pPr>
        <w:spacing w:after="240" w:line="360" w:lineRule="auto"/>
        <w:jc w:val="both"/>
        <w:rPr>
          <w:rFonts w:ascii="Arial" w:eastAsia="Times New Roman" w:hAnsi="Arial" w:cs="Arial"/>
          <w:sz w:val="24"/>
          <w:szCs w:val="24"/>
          <w:lang w:eastAsia="en-GB"/>
        </w:rPr>
      </w:pPr>
    </w:p>
    <w:p w14:paraId="6CCF45CA" w14:textId="34CFF607" w:rsidR="001259BC" w:rsidRDefault="001259BC" w:rsidP="00542270">
      <w:pPr>
        <w:spacing w:after="240" w:line="360" w:lineRule="auto"/>
        <w:jc w:val="both"/>
        <w:rPr>
          <w:rFonts w:ascii="Arial" w:eastAsia="Times New Roman" w:hAnsi="Arial" w:cs="Arial"/>
          <w:sz w:val="24"/>
          <w:szCs w:val="24"/>
          <w:lang w:eastAsia="en-GB"/>
        </w:rPr>
      </w:pPr>
    </w:p>
    <w:p w14:paraId="291E3C71" w14:textId="6D0AB5B5" w:rsidR="001259BC" w:rsidRDefault="001259BC" w:rsidP="00542270">
      <w:pPr>
        <w:spacing w:after="240" w:line="360" w:lineRule="auto"/>
        <w:jc w:val="both"/>
        <w:rPr>
          <w:rFonts w:ascii="Arial" w:eastAsia="Times New Roman" w:hAnsi="Arial" w:cs="Arial"/>
          <w:sz w:val="24"/>
          <w:szCs w:val="24"/>
          <w:lang w:eastAsia="en-GB"/>
        </w:rPr>
      </w:pPr>
    </w:p>
    <w:p w14:paraId="4EE9C8C1" w14:textId="2381D5E6" w:rsidR="001259BC" w:rsidRDefault="001259BC" w:rsidP="00542270">
      <w:pPr>
        <w:spacing w:after="240" w:line="360" w:lineRule="auto"/>
        <w:jc w:val="both"/>
        <w:rPr>
          <w:rFonts w:ascii="Arial" w:eastAsia="Times New Roman" w:hAnsi="Arial" w:cs="Arial"/>
          <w:sz w:val="24"/>
          <w:szCs w:val="24"/>
          <w:lang w:eastAsia="en-GB"/>
        </w:rPr>
      </w:pPr>
    </w:p>
    <w:p w14:paraId="46F7A309" w14:textId="5D08426D" w:rsidR="001259BC" w:rsidRDefault="001259BC" w:rsidP="00542270">
      <w:pPr>
        <w:spacing w:after="240" w:line="360" w:lineRule="auto"/>
        <w:jc w:val="both"/>
        <w:rPr>
          <w:rFonts w:ascii="Arial" w:eastAsia="Times New Roman" w:hAnsi="Arial" w:cs="Arial"/>
          <w:sz w:val="24"/>
          <w:szCs w:val="24"/>
          <w:lang w:eastAsia="en-GB"/>
        </w:rPr>
      </w:pPr>
    </w:p>
    <w:p w14:paraId="6FD9454A" w14:textId="63A87C3F" w:rsidR="001259BC" w:rsidRDefault="001259BC" w:rsidP="00542270">
      <w:pPr>
        <w:spacing w:after="240" w:line="360" w:lineRule="auto"/>
        <w:jc w:val="both"/>
        <w:rPr>
          <w:rFonts w:ascii="Arial" w:eastAsia="Times New Roman" w:hAnsi="Arial" w:cs="Arial"/>
          <w:sz w:val="24"/>
          <w:szCs w:val="24"/>
          <w:lang w:eastAsia="en-GB"/>
        </w:rPr>
      </w:pPr>
    </w:p>
    <w:p w14:paraId="200AB964" w14:textId="77777777" w:rsidR="001259BC" w:rsidRPr="001259BC" w:rsidRDefault="001259BC" w:rsidP="00542270">
      <w:pPr>
        <w:pStyle w:val="Heading1"/>
        <w:spacing w:after="240"/>
        <w:rPr>
          <w:rFonts w:eastAsia="Times New Roman"/>
          <w:lang w:eastAsia="en-GB"/>
        </w:rPr>
      </w:pPr>
      <w:bookmarkStart w:id="3" w:name="_Toc226064992"/>
      <w:r w:rsidRPr="001259BC">
        <w:rPr>
          <w:rFonts w:eastAsia="Times New Roman"/>
          <w:lang w:eastAsia="en-GB"/>
        </w:rPr>
        <w:t>2. Industry &amp; Country Overview</w:t>
      </w:r>
      <w:bookmarkEnd w:id="3"/>
    </w:p>
    <w:p w14:paraId="2E64B445" w14:textId="6D5A4906" w:rsidR="001259BC" w:rsidRPr="001259BC" w:rsidRDefault="00C448AD" w:rsidP="00542270">
      <w:pPr>
        <w:pStyle w:val="Heading2"/>
        <w:spacing w:after="240"/>
        <w:rPr>
          <w:rFonts w:eastAsia="Times New Roman"/>
          <w:lang w:eastAsia="en-GB"/>
        </w:rPr>
      </w:pPr>
      <w:bookmarkStart w:id="4" w:name="_Toc226064993"/>
      <w:r>
        <w:rPr>
          <w:rFonts w:eastAsia="Times New Roman"/>
          <w:lang w:eastAsia="en-GB"/>
        </w:rPr>
        <w:t>2.1 Japan Automotive Industry</w:t>
      </w:r>
      <w:bookmarkEnd w:id="4"/>
    </w:p>
    <w:p w14:paraId="3B969154" w14:textId="77777777" w:rsidR="00C92DD1" w:rsidRPr="00C92DD1" w:rsidRDefault="00C92DD1" w:rsidP="00542270">
      <w:pPr>
        <w:spacing w:after="240" w:line="360" w:lineRule="auto"/>
        <w:jc w:val="both"/>
        <w:rPr>
          <w:rFonts w:ascii="Arial" w:eastAsia="Times New Roman" w:hAnsi="Arial" w:cs="Arial"/>
          <w:sz w:val="24"/>
          <w:szCs w:val="24"/>
          <w:lang w:eastAsia="en-GB"/>
        </w:rPr>
      </w:pPr>
      <w:r w:rsidRPr="00C92DD1">
        <w:rPr>
          <w:rFonts w:ascii="Arial" w:eastAsia="Times New Roman" w:hAnsi="Arial" w:cs="Arial"/>
          <w:sz w:val="24"/>
          <w:szCs w:val="24"/>
          <w:lang w:eastAsia="en-GB"/>
        </w:rPr>
        <w:t>Japan has been one of the largest manufacturers of vehicles in the world with a long history of quality, reliability and technological advancement. In 2024, Japan manufactured more than 8 million vehicles, and it remains one of the largest exporters of the automotive industry on the global market (Sato, 2023). The industry has had a high level of domestic manufacturing capacities, effective supply chains, and a well-trained workforce who have been trained on modern engineering and manufacturing processes (METI, 2023).</w:t>
      </w:r>
    </w:p>
    <w:p w14:paraId="1A5225F9" w14:textId="77777777" w:rsidR="00C92DD1" w:rsidRPr="00C92DD1" w:rsidRDefault="00C92DD1" w:rsidP="00542270">
      <w:pPr>
        <w:spacing w:after="240" w:line="360" w:lineRule="auto"/>
        <w:jc w:val="both"/>
        <w:rPr>
          <w:rFonts w:ascii="Arial" w:eastAsia="Times New Roman" w:hAnsi="Arial" w:cs="Arial"/>
          <w:sz w:val="24"/>
          <w:szCs w:val="24"/>
          <w:lang w:eastAsia="en-GB"/>
        </w:rPr>
      </w:pPr>
      <w:r w:rsidRPr="00C92DD1">
        <w:rPr>
          <w:rFonts w:ascii="Arial" w:eastAsia="Times New Roman" w:hAnsi="Arial" w:cs="Arial"/>
          <w:sz w:val="24"/>
          <w:szCs w:val="24"/>
          <w:lang w:eastAsia="en-GB"/>
        </w:rPr>
        <w:t>One major aspect of the automotive industry in Japan is that the industry is highly innovative and sustainable. Hybrid technology and electric vehicles (EVs) have been developed by Japanese car manufacturers, pioneers of which are Toyota, Honda, and Nissan (Johnson and Turner, 2022). The roll out of the Prius in the late 1990s by Toyota gave the company the standard of hybrid vehicles and the company has maintained the lead in selling and advancing the technology of hybrid cars. Nissan has also been investing in all electric vehicles strategically, and models like the Leaf have made it an early mover of EVs globally (Yamamoto, 2024). Honda on the other hand has been diversified, with a balance of hybrid, EV, and the traditional combustion cars, as well as robotics and advanced mobility solutions (Tanaka, 2023).</w:t>
      </w:r>
    </w:p>
    <w:p w14:paraId="5C878EDB" w14:textId="77777777" w:rsidR="00C92DD1" w:rsidRPr="00C92DD1" w:rsidRDefault="00C92DD1" w:rsidP="00542270">
      <w:pPr>
        <w:spacing w:after="240" w:line="360" w:lineRule="auto"/>
        <w:jc w:val="both"/>
        <w:rPr>
          <w:rFonts w:ascii="Arial" w:eastAsia="Times New Roman" w:hAnsi="Arial" w:cs="Arial"/>
          <w:sz w:val="24"/>
          <w:szCs w:val="24"/>
          <w:lang w:eastAsia="en-GB"/>
        </w:rPr>
      </w:pPr>
      <w:r w:rsidRPr="00C92DD1">
        <w:rPr>
          <w:rFonts w:ascii="Arial" w:eastAsia="Times New Roman" w:hAnsi="Arial" w:cs="Arial"/>
          <w:sz w:val="24"/>
          <w:szCs w:val="24"/>
          <w:lang w:eastAsia="en-GB"/>
        </w:rPr>
        <w:t>The industry is significantly propelled by the export market among which the Japanese automakers have been exporting their vehicles in North America, Europe and Asia. The industry is very important to Japan, as exports of automobiles contribute to almost 60 percent of the overall auto manufacturing (Sasaki, 2021). The ongoing research and development (R&amp;D) and especially in hybrid and EV technologies makes the country of Japan a world pioneer in the automotive industry.</w:t>
      </w:r>
    </w:p>
    <w:p w14:paraId="578059C0" w14:textId="77777777" w:rsidR="00C92DD1" w:rsidRPr="00C92DD1" w:rsidRDefault="00C92DD1" w:rsidP="00542270">
      <w:pPr>
        <w:pStyle w:val="Heading2"/>
        <w:spacing w:after="240"/>
        <w:rPr>
          <w:rFonts w:eastAsia="Times New Roman"/>
          <w:lang w:eastAsia="en-GB"/>
        </w:rPr>
      </w:pPr>
      <w:bookmarkStart w:id="5" w:name="_Toc226064994"/>
      <w:r w:rsidRPr="00C92DD1">
        <w:rPr>
          <w:rFonts w:eastAsia="Times New Roman"/>
          <w:lang w:eastAsia="en-GB"/>
        </w:rPr>
        <w:t>2.2 Size &amp; Importance</w:t>
      </w:r>
      <w:bookmarkEnd w:id="5"/>
    </w:p>
    <w:p w14:paraId="71FFEDB1" w14:textId="77777777" w:rsidR="00C92DD1" w:rsidRPr="00C92DD1" w:rsidRDefault="00C92DD1" w:rsidP="00542270">
      <w:pPr>
        <w:spacing w:after="240" w:line="360" w:lineRule="auto"/>
        <w:jc w:val="both"/>
        <w:rPr>
          <w:rFonts w:ascii="Arial" w:eastAsia="Times New Roman" w:hAnsi="Arial" w:cs="Arial"/>
          <w:sz w:val="24"/>
          <w:szCs w:val="24"/>
          <w:lang w:eastAsia="en-GB"/>
        </w:rPr>
      </w:pPr>
      <w:r w:rsidRPr="00C92DD1">
        <w:rPr>
          <w:rFonts w:ascii="Arial" w:eastAsia="Times New Roman" w:hAnsi="Arial" w:cs="Arial"/>
          <w:sz w:val="24"/>
          <w:szCs w:val="24"/>
          <w:lang w:eastAsia="en-GB"/>
        </w:rPr>
        <w:t>The automobile sector forms a pillar of the Japanese economy as it is a vital contributor in the GDP, the number of people employed, and export earnings. The industry also has a significant economic effect on Japan with its contribution to the GDP standing at around 7.5% in 2023 (METI, 2023). The industry directly and indirectly has more than 5 million workers, taking into account the manufacturing, supply, research and development, and sales activity (Kobayashi, 2022).</w:t>
      </w:r>
    </w:p>
    <w:p w14:paraId="5D96CADF" w14:textId="41C848A7" w:rsidR="001259BC" w:rsidRPr="001259BC" w:rsidRDefault="00C92DD1" w:rsidP="00542270">
      <w:pPr>
        <w:spacing w:after="240" w:line="360" w:lineRule="auto"/>
        <w:jc w:val="both"/>
        <w:rPr>
          <w:rFonts w:ascii="Arial" w:eastAsia="Times New Roman" w:hAnsi="Arial" w:cs="Arial"/>
          <w:sz w:val="24"/>
          <w:szCs w:val="24"/>
          <w:lang w:eastAsia="en-GB"/>
        </w:rPr>
      </w:pPr>
      <w:r w:rsidRPr="00C92DD1">
        <w:rPr>
          <w:rFonts w:ascii="Arial" w:eastAsia="Times New Roman" w:hAnsi="Arial" w:cs="Arial"/>
          <w:sz w:val="24"/>
          <w:szCs w:val="24"/>
          <w:lang w:eastAsia="en-GB"/>
        </w:rPr>
        <w:t>The recent export of Japanese automotive has earned them approximately 15 trillion in 2023, which goes to show that the world is in need of Japanese cars (Sato, 2023). The trade agreements and a good brand name of the Japanese automakers which focus on quality, fuel efficiency and technology have c</w:t>
      </w:r>
      <w:r>
        <w:rPr>
          <w:rFonts w:ascii="Arial" w:eastAsia="Times New Roman" w:hAnsi="Arial" w:cs="Arial"/>
          <w:sz w:val="24"/>
          <w:szCs w:val="24"/>
          <w:lang w:eastAsia="en-GB"/>
        </w:rPr>
        <w:t>ontributed to this export power</w:t>
      </w:r>
      <w:r w:rsidR="00C448AD">
        <w:rPr>
          <w:rFonts w:ascii="Arial" w:eastAsia="Times New Roman" w:hAnsi="Arial" w:cs="Arial"/>
          <w:sz w:val="24"/>
          <w:szCs w:val="24"/>
          <w:lang w:eastAsia="en-GB"/>
        </w:rPr>
        <w:t>.</w:t>
      </w:r>
    </w:p>
    <w:p w14:paraId="134C8F8C" w14:textId="77777777" w:rsidR="006B5F33" w:rsidRDefault="006B5F33" w:rsidP="00542270">
      <w:pPr>
        <w:keepNext/>
        <w:spacing w:after="240" w:line="360" w:lineRule="auto"/>
        <w:jc w:val="both"/>
      </w:pPr>
      <w:r>
        <w:rPr>
          <w:rFonts w:ascii="Arial" w:eastAsia="Times New Roman" w:hAnsi="Arial" w:cs="Arial"/>
          <w:noProof/>
          <w:sz w:val="24"/>
          <w:szCs w:val="24"/>
          <w:lang w:eastAsia="en-GB"/>
        </w:rPr>
        <w:drawing>
          <wp:inline distT="0" distB="0" distL="0" distR="0" wp14:anchorId="3DDEBDE6" wp14:editId="476A1434">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41E939" w14:textId="57F18384" w:rsidR="006B5F33" w:rsidRPr="006B5F33" w:rsidRDefault="006B5F33" w:rsidP="00542270">
      <w:pPr>
        <w:pStyle w:val="Caption"/>
        <w:spacing w:after="240"/>
        <w:jc w:val="center"/>
        <w:rPr>
          <w:rFonts w:ascii="Arial" w:eastAsia="Times New Roman" w:hAnsi="Arial" w:cs="Arial"/>
          <w:sz w:val="36"/>
          <w:szCs w:val="24"/>
          <w:lang w:eastAsia="en-GB"/>
        </w:rPr>
      </w:pPr>
      <w:bookmarkStart w:id="6" w:name="_Toc226065022"/>
      <w:r w:rsidRPr="006B5F33">
        <w:rPr>
          <w:rFonts w:ascii="Arial" w:hAnsi="Arial" w:cs="Arial"/>
          <w:sz w:val="24"/>
        </w:rPr>
        <w:t xml:space="preserve">Figure </w:t>
      </w:r>
      <w:r w:rsidRPr="006B5F33">
        <w:rPr>
          <w:rFonts w:ascii="Arial" w:hAnsi="Arial" w:cs="Arial"/>
          <w:sz w:val="24"/>
        </w:rPr>
        <w:fldChar w:fldCharType="begin"/>
      </w:r>
      <w:r w:rsidRPr="006B5F33">
        <w:rPr>
          <w:rFonts w:ascii="Arial" w:hAnsi="Arial" w:cs="Arial"/>
          <w:sz w:val="24"/>
        </w:rPr>
        <w:instrText xml:space="preserve"> SEQ Figure \* ARABIC </w:instrText>
      </w:r>
      <w:r w:rsidRPr="006B5F33">
        <w:rPr>
          <w:rFonts w:ascii="Arial" w:hAnsi="Arial" w:cs="Arial"/>
          <w:sz w:val="24"/>
        </w:rPr>
        <w:fldChar w:fldCharType="separate"/>
      </w:r>
      <w:r w:rsidR="00927E40">
        <w:rPr>
          <w:rFonts w:ascii="Arial" w:hAnsi="Arial" w:cs="Arial"/>
          <w:noProof/>
          <w:sz w:val="24"/>
        </w:rPr>
        <w:t>1</w:t>
      </w:r>
      <w:r w:rsidRPr="006B5F33">
        <w:rPr>
          <w:rFonts w:ascii="Arial" w:hAnsi="Arial" w:cs="Arial"/>
          <w:sz w:val="24"/>
        </w:rPr>
        <w:fldChar w:fldCharType="end"/>
      </w:r>
      <w:r w:rsidRPr="006B5F33">
        <w:rPr>
          <w:rFonts w:ascii="Arial" w:hAnsi="Arial" w:cs="Arial"/>
          <w:sz w:val="24"/>
        </w:rPr>
        <w:t>.Vehicle Production Trend (2015–2025)</w:t>
      </w:r>
      <w:bookmarkEnd w:id="6"/>
    </w:p>
    <w:p w14:paraId="06D639A9" w14:textId="0B166544" w:rsidR="001259BC" w:rsidRPr="001259BC" w:rsidRDefault="001259BC" w:rsidP="00542270">
      <w:pPr>
        <w:spacing w:after="240" w:line="360" w:lineRule="auto"/>
        <w:jc w:val="both"/>
        <w:rPr>
          <w:rFonts w:ascii="Arial" w:eastAsia="Times New Roman" w:hAnsi="Arial" w:cs="Arial"/>
          <w:sz w:val="24"/>
          <w:szCs w:val="24"/>
          <w:lang w:eastAsia="en-GB"/>
        </w:rPr>
      </w:pPr>
      <w:r w:rsidRPr="001259BC">
        <w:rPr>
          <w:rFonts w:ascii="Arial" w:eastAsia="Times New Roman" w:hAnsi="Arial" w:cs="Arial"/>
          <w:sz w:val="24"/>
          <w:szCs w:val="24"/>
          <w:lang w:eastAsia="en-GB"/>
        </w:rPr>
        <w:t>Forecasted figures based o</w:t>
      </w:r>
      <w:r w:rsidR="008039D5">
        <w:rPr>
          <w:rFonts w:ascii="Arial" w:eastAsia="Times New Roman" w:hAnsi="Arial" w:cs="Arial"/>
          <w:sz w:val="24"/>
          <w:szCs w:val="24"/>
          <w:lang w:eastAsia="en-GB"/>
        </w:rPr>
        <w:t>n industry trends (METI, 2023).</w:t>
      </w:r>
    </w:p>
    <w:p w14:paraId="299A7227" w14:textId="039E1F78" w:rsidR="001259BC" w:rsidRPr="001259BC" w:rsidRDefault="001259BC" w:rsidP="00542270">
      <w:pPr>
        <w:spacing w:after="240" w:line="360" w:lineRule="auto"/>
        <w:jc w:val="both"/>
        <w:rPr>
          <w:rFonts w:ascii="Arial" w:eastAsia="Times New Roman" w:hAnsi="Arial" w:cs="Arial"/>
          <w:sz w:val="24"/>
          <w:szCs w:val="24"/>
          <w:lang w:eastAsia="en-GB"/>
        </w:rPr>
      </w:pPr>
      <w:r w:rsidRPr="001259BC">
        <w:rPr>
          <w:rFonts w:ascii="Arial" w:eastAsia="Times New Roman" w:hAnsi="Arial" w:cs="Arial"/>
          <w:sz w:val="24"/>
          <w:szCs w:val="24"/>
          <w:lang w:eastAsia="en-GB"/>
        </w:rPr>
        <w:t>The chart demonstrates that while production slightly fluctuated due to global disruptions such as the COVID-19 pandemic and supply chain constraints, Japan remains a major vehicle manufacturer with strong recovery and ste</w:t>
      </w:r>
      <w:r w:rsidR="00C448AD">
        <w:rPr>
          <w:rFonts w:ascii="Arial" w:eastAsia="Times New Roman" w:hAnsi="Arial" w:cs="Arial"/>
          <w:sz w:val="24"/>
          <w:szCs w:val="24"/>
          <w:lang w:eastAsia="en-GB"/>
        </w:rPr>
        <w:t>ady growth projected into 2025.</w:t>
      </w:r>
    </w:p>
    <w:p w14:paraId="271B557C" w14:textId="5D708E8B" w:rsidR="009A67DE" w:rsidRPr="001259BC" w:rsidRDefault="001259BC" w:rsidP="00542270">
      <w:pPr>
        <w:pStyle w:val="Heading2"/>
        <w:spacing w:after="240"/>
        <w:rPr>
          <w:rFonts w:eastAsia="Times New Roman"/>
          <w:lang w:eastAsia="en-GB"/>
        </w:rPr>
      </w:pPr>
      <w:bookmarkStart w:id="7" w:name="_Toc226064995"/>
      <w:r w:rsidRPr="001259BC">
        <w:rPr>
          <w:rFonts w:eastAsia="Times New Roman"/>
          <w:lang w:eastAsia="en-GB"/>
        </w:rPr>
        <w:t>2.3 Key Companies &amp; Competition</w:t>
      </w:r>
      <w:bookmarkEnd w:id="7"/>
    </w:p>
    <w:p w14:paraId="4873F502" w14:textId="6A3E09AB" w:rsidR="009A67DE" w:rsidRPr="009A67DE" w:rsidRDefault="009A67DE" w:rsidP="00542270">
      <w:pPr>
        <w:pStyle w:val="Caption"/>
        <w:keepNext/>
        <w:spacing w:after="240"/>
        <w:rPr>
          <w:rFonts w:ascii="Arial" w:hAnsi="Arial" w:cs="Arial"/>
          <w:sz w:val="24"/>
        </w:rPr>
      </w:pPr>
      <w:bookmarkStart w:id="8" w:name="_Toc226065018"/>
      <w:r w:rsidRPr="009A67DE">
        <w:rPr>
          <w:rFonts w:ascii="Arial" w:hAnsi="Arial" w:cs="Arial"/>
          <w:sz w:val="24"/>
        </w:rPr>
        <w:t xml:space="preserve">Table </w:t>
      </w:r>
      <w:r w:rsidRPr="009A67DE">
        <w:rPr>
          <w:rFonts w:ascii="Arial" w:hAnsi="Arial" w:cs="Arial"/>
          <w:sz w:val="24"/>
        </w:rPr>
        <w:fldChar w:fldCharType="begin"/>
      </w:r>
      <w:r w:rsidRPr="009A67DE">
        <w:rPr>
          <w:rFonts w:ascii="Arial" w:hAnsi="Arial" w:cs="Arial"/>
          <w:sz w:val="24"/>
        </w:rPr>
        <w:instrText xml:space="preserve"> SEQ Table \* ARABIC </w:instrText>
      </w:r>
      <w:r w:rsidRPr="009A67DE">
        <w:rPr>
          <w:rFonts w:ascii="Arial" w:hAnsi="Arial" w:cs="Arial"/>
          <w:sz w:val="24"/>
        </w:rPr>
        <w:fldChar w:fldCharType="separate"/>
      </w:r>
      <w:r w:rsidR="00A7031E">
        <w:rPr>
          <w:rFonts w:ascii="Arial" w:hAnsi="Arial" w:cs="Arial"/>
          <w:noProof/>
          <w:sz w:val="24"/>
        </w:rPr>
        <w:t>1</w:t>
      </w:r>
      <w:r w:rsidRPr="009A67DE">
        <w:rPr>
          <w:rFonts w:ascii="Arial" w:hAnsi="Arial" w:cs="Arial"/>
          <w:sz w:val="24"/>
        </w:rPr>
        <w:fldChar w:fldCharType="end"/>
      </w:r>
      <w:r w:rsidRPr="009A67DE">
        <w:rPr>
          <w:rFonts w:ascii="Arial" w:hAnsi="Arial" w:cs="Arial"/>
          <w:sz w:val="24"/>
        </w:rPr>
        <w:t>.Key Companies &amp; Competition</w:t>
      </w:r>
      <w:bookmarkEnd w:id="8"/>
    </w:p>
    <w:tbl>
      <w:tblPr>
        <w:tblStyle w:val="TableGrid"/>
        <w:tblW w:w="0" w:type="auto"/>
        <w:tblLook w:val="04A0" w:firstRow="1" w:lastRow="0" w:firstColumn="1" w:lastColumn="0" w:noHBand="0" w:noVBand="1"/>
      </w:tblPr>
      <w:tblGrid>
        <w:gridCol w:w="3116"/>
        <w:gridCol w:w="3117"/>
        <w:gridCol w:w="3117"/>
      </w:tblGrid>
      <w:tr w:rsidR="00C448AD" w:rsidRPr="00C448AD" w14:paraId="00B0F8A5" w14:textId="77777777" w:rsidTr="00C448AD">
        <w:tc>
          <w:tcPr>
            <w:tcW w:w="3116" w:type="dxa"/>
          </w:tcPr>
          <w:p w14:paraId="2D4D358D" w14:textId="77777777" w:rsidR="00C448AD" w:rsidRPr="00C448AD" w:rsidRDefault="00C448AD" w:rsidP="00542270">
            <w:pPr>
              <w:spacing w:after="240" w:line="360" w:lineRule="auto"/>
              <w:jc w:val="both"/>
              <w:rPr>
                <w:rFonts w:ascii="Arial" w:eastAsia="Times New Roman" w:hAnsi="Arial" w:cs="Arial"/>
                <w:b/>
                <w:sz w:val="24"/>
                <w:szCs w:val="24"/>
                <w:lang w:eastAsia="en-GB"/>
              </w:rPr>
            </w:pPr>
            <w:r w:rsidRPr="00C448AD">
              <w:rPr>
                <w:rFonts w:ascii="Arial" w:eastAsia="Times New Roman" w:hAnsi="Arial" w:cs="Arial"/>
                <w:b/>
                <w:sz w:val="24"/>
                <w:szCs w:val="24"/>
                <w:lang w:eastAsia="en-GB"/>
              </w:rPr>
              <w:t>Company</w:t>
            </w:r>
          </w:p>
        </w:tc>
        <w:tc>
          <w:tcPr>
            <w:tcW w:w="3117" w:type="dxa"/>
          </w:tcPr>
          <w:p w14:paraId="060C3B3E" w14:textId="77777777" w:rsidR="00C448AD" w:rsidRPr="00C448AD" w:rsidRDefault="00C448AD" w:rsidP="00542270">
            <w:pPr>
              <w:spacing w:after="240" w:line="360" w:lineRule="auto"/>
              <w:jc w:val="both"/>
              <w:rPr>
                <w:rFonts w:ascii="Arial" w:eastAsia="Times New Roman" w:hAnsi="Arial" w:cs="Arial"/>
                <w:b/>
                <w:sz w:val="24"/>
                <w:szCs w:val="24"/>
                <w:lang w:eastAsia="en-GB"/>
              </w:rPr>
            </w:pPr>
            <w:r w:rsidRPr="00C448AD">
              <w:rPr>
                <w:rFonts w:ascii="Arial" w:eastAsia="Times New Roman" w:hAnsi="Arial" w:cs="Arial"/>
                <w:b/>
                <w:sz w:val="24"/>
                <w:szCs w:val="24"/>
                <w:lang w:eastAsia="en-GB"/>
              </w:rPr>
              <w:t>Strategy</w:t>
            </w:r>
          </w:p>
        </w:tc>
        <w:tc>
          <w:tcPr>
            <w:tcW w:w="3117" w:type="dxa"/>
          </w:tcPr>
          <w:p w14:paraId="1E4964E9" w14:textId="77777777" w:rsidR="00C448AD" w:rsidRPr="00C448AD" w:rsidRDefault="00C448AD" w:rsidP="00542270">
            <w:pPr>
              <w:spacing w:after="240" w:line="360" w:lineRule="auto"/>
              <w:jc w:val="both"/>
              <w:rPr>
                <w:rFonts w:ascii="Arial" w:eastAsia="Times New Roman" w:hAnsi="Arial" w:cs="Arial"/>
                <w:b/>
                <w:sz w:val="24"/>
                <w:szCs w:val="24"/>
                <w:lang w:eastAsia="en-GB"/>
              </w:rPr>
            </w:pPr>
            <w:r w:rsidRPr="00C448AD">
              <w:rPr>
                <w:rFonts w:ascii="Arial" w:eastAsia="Times New Roman" w:hAnsi="Arial" w:cs="Arial"/>
                <w:b/>
                <w:sz w:val="24"/>
                <w:szCs w:val="24"/>
                <w:lang w:eastAsia="en-GB"/>
              </w:rPr>
              <w:t>Strength</w:t>
            </w:r>
          </w:p>
        </w:tc>
      </w:tr>
      <w:tr w:rsidR="00C448AD" w:rsidRPr="00C448AD" w14:paraId="5FF6E04B" w14:textId="77777777" w:rsidTr="00C448AD">
        <w:tc>
          <w:tcPr>
            <w:tcW w:w="3116" w:type="dxa"/>
          </w:tcPr>
          <w:p w14:paraId="203F75AF"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Toyota Motor Corporation</w:t>
            </w:r>
          </w:p>
        </w:tc>
        <w:tc>
          <w:tcPr>
            <w:tcW w:w="3117" w:type="dxa"/>
          </w:tcPr>
          <w:p w14:paraId="3D9286B4"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Hybrid leadership</w:t>
            </w:r>
          </w:p>
        </w:tc>
        <w:tc>
          <w:tcPr>
            <w:tcW w:w="3117" w:type="dxa"/>
          </w:tcPr>
          <w:p w14:paraId="39467B59"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Global leader</w:t>
            </w:r>
          </w:p>
        </w:tc>
      </w:tr>
      <w:tr w:rsidR="00C448AD" w:rsidRPr="00C448AD" w14:paraId="4B97D427" w14:textId="77777777" w:rsidTr="00C448AD">
        <w:tc>
          <w:tcPr>
            <w:tcW w:w="3116" w:type="dxa"/>
          </w:tcPr>
          <w:p w14:paraId="1D078AB8"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Honda Motor Co.</w:t>
            </w:r>
          </w:p>
        </w:tc>
        <w:tc>
          <w:tcPr>
            <w:tcW w:w="3117" w:type="dxa"/>
          </w:tcPr>
          <w:p w14:paraId="456176C8"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Innovation</w:t>
            </w:r>
          </w:p>
        </w:tc>
        <w:tc>
          <w:tcPr>
            <w:tcW w:w="3117" w:type="dxa"/>
          </w:tcPr>
          <w:p w14:paraId="4716AA80"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Strong R&amp;D</w:t>
            </w:r>
          </w:p>
        </w:tc>
      </w:tr>
      <w:tr w:rsidR="00C448AD" w:rsidRPr="00C448AD" w14:paraId="6C57B610" w14:textId="77777777" w:rsidTr="00C448AD">
        <w:tc>
          <w:tcPr>
            <w:tcW w:w="3116" w:type="dxa"/>
          </w:tcPr>
          <w:p w14:paraId="1AB2CC57"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Nissan Motor Co.</w:t>
            </w:r>
          </w:p>
        </w:tc>
        <w:tc>
          <w:tcPr>
            <w:tcW w:w="3117" w:type="dxa"/>
          </w:tcPr>
          <w:p w14:paraId="5855D5DC"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EV focus</w:t>
            </w:r>
          </w:p>
        </w:tc>
        <w:tc>
          <w:tcPr>
            <w:tcW w:w="3117" w:type="dxa"/>
          </w:tcPr>
          <w:p w14:paraId="6FFA31DC"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Early EV mover</w:t>
            </w:r>
          </w:p>
        </w:tc>
      </w:tr>
      <w:tr w:rsidR="00C448AD" w:rsidRPr="00C448AD" w14:paraId="58E4EED2" w14:textId="77777777" w:rsidTr="00C448AD">
        <w:tc>
          <w:tcPr>
            <w:tcW w:w="3116" w:type="dxa"/>
          </w:tcPr>
          <w:p w14:paraId="7BF06870"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Mazda Motor Corporation</w:t>
            </w:r>
          </w:p>
        </w:tc>
        <w:tc>
          <w:tcPr>
            <w:tcW w:w="3117" w:type="dxa"/>
          </w:tcPr>
          <w:p w14:paraId="50E38ECB"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Differentiation</w:t>
            </w:r>
          </w:p>
        </w:tc>
        <w:tc>
          <w:tcPr>
            <w:tcW w:w="3117" w:type="dxa"/>
          </w:tcPr>
          <w:p w14:paraId="44E9D032" w14:textId="77777777" w:rsidR="00C448AD" w:rsidRPr="00C448AD" w:rsidRDefault="00C448AD" w:rsidP="00542270">
            <w:pPr>
              <w:spacing w:after="240" w:line="360" w:lineRule="auto"/>
              <w:jc w:val="both"/>
              <w:rPr>
                <w:rFonts w:ascii="Arial" w:eastAsia="Times New Roman" w:hAnsi="Arial" w:cs="Arial"/>
                <w:sz w:val="24"/>
                <w:szCs w:val="24"/>
                <w:lang w:eastAsia="en-GB"/>
              </w:rPr>
            </w:pPr>
            <w:r w:rsidRPr="00C448AD">
              <w:rPr>
                <w:rFonts w:ascii="Arial" w:eastAsia="Times New Roman" w:hAnsi="Arial" w:cs="Arial"/>
                <w:sz w:val="24"/>
                <w:szCs w:val="24"/>
                <w:lang w:eastAsia="en-GB"/>
              </w:rPr>
              <w:t>Design niche</w:t>
            </w:r>
          </w:p>
        </w:tc>
      </w:tr>
    </w:tbl>
    <w:p w14:paraId="77E181FB" w14:textId="77777777" w:rsidR="001259BC" w:rsidRPr="001259BC" w:rsidRDefault="001259BC" w:rsidP="00542270">
      <w:pPr>
        <w:spacing w:after="240" w:line="360" w:lineRule="auto"/>
        <w:jc w:val="both"/>
        <w:rPr>
          <w:rFonts w:ascii="Arial" w:eastAsia="Times New Roman" w:hAnsi="Arial" w:cs="Arial"/>
          <w:sz w:val="24"/>
          <w:szCs w:val="24"/>
          <w:lang w:eastAsia="en-GB"/>
        </w:rPr>
      </w:pPr>
    </w:p>
    <w:p w14:paraId="098DD048" w14:textId="057A3DCC" w:rsidR="00694333" w:rsidRPr="00694333" w:rsidRDefault="00694333" w:rsidP="00542270">
      <w:pPr>
        <w:spacing w:after="240" w:line="360" w:lineRule="auto"/>
        <w:jc w:val="both"/>
        <w:rPr>
          <w:rFonts w:ascii="Arial" w:eastAsia="Times New Roman" w:hAnsi="Arial" w:cs="Arial"/>
          <w:sz w:val="24"/>
          <w:szCs w:val="24"/>
          <w:lang w:eastAsia="en-GB"/>
        </w:rPr>
      </w:pPr>
      <w:r w:rsidRPr="00694333">
        <w:rPr>
          <w:rFonts w:ascii="Arial" w:eastAsia="Times New Roman" w:hAnsi="Arial" w:cs="Arial"/>
          <w:sz w:val="24"/>
          <w:szCs w:val="24"/>
          <w:lang w:eastAsia="en-GB"/>
        </w:rPr>
        <w:t xml:space="preserve">The automotive market in Japan is very competitive and the firms have been differentiated using technology, sustainability and positioning. Toyota is the market leader in hybrids globally, having the ability to be efficient and is enjoying the benefits of large scale production and a </w:t>
      </w:r>
      <w:r w:rsidR="009A67DE" w:rsidRPr="00694333">
        <w:rPr>
          <w:rFonts w:ascii="Arial" w:eastAsia="Times New Roman" w:hAnsi="Arial" w:cs="Arial"/>
          <w:sz w:val="24"/>
          <w:szCs w:val="24"/>
          <w:lang w:eastAsia="en-GB"/>
        </w:rPr>
        <w:t>well-developed</w:t>
      </w:r>
      <w:r w:rsidRPr="00694333">
        <w:rPr>
          <w:rFonts w:ascii="Arial" w:eastAsia="Times New Roman" w:hAnsi="Arial" w:cs="Arial"/>
          <w:sz w:val="24"/>
          <w:szCs w:val="24"/>
          <w:lang w:eastAsia="en-GB"/>
        </w:rPr>
        <w:t xml:space="preserve"> supply chain (Johnson &amp; Turner, 2022). Nissan has also gotten its bet on EVs, being among the first to adopt them and making itself a leader in zero-emission vehicles (Yamamoto, 2024). Honda is diversified, investing in various types of vehicle, and mobility solutions innovations, and such a strategy enables the company to spread risk and aim at various consumer groups (Tanaka, 2023). Mazda focuses on design innovation to provide niche segments of cars that are targeted at style-conscious buyers.</w:t>
      </w:r>
    </w:p>
    <w:p w14:paraId="207C138E" w14:textId="77777777" w:rsidR="00694333" w:rsidRPr="009A67DE" w:rsidRDefault="00694333" w:rsidP="00542270">
      <w:pPr>
        <w:spacing w:after="240" w:line="360" w:lineRule="auto"/>
        <w:jc w:val="both"/>
        <w:rPr>
          <w:rFonts w:ascii="Arial" w:eastAsia="Times New Roman" w:hAnsi="Arial" w:cs="Arial"/>
          <w:b/>
          <w:sz w:val="24"/>
          <w:szCs w:val="24"/>
          <w:lang w:eastAsia="en-GB"/>
        </w:rPr>
      </w:pPr>
      <w:r w:rsidRPr="009A67DE">
        <w:rPr>
          <w:rFonts w:ascii="Arial" w:eastAsia="Times New Roman" w:hAnsi="Arial" w:cs="Arial"/>
          <w:b/>
          <w:sz w:val="24"/>
          <w:szCs w:val="24"/>
          <w:lang w:eastAsia="en-GB"/>
        </w:rPr>
        <w:t>Critical Analysis</w:t>
      </w:r>
    </w:p>
    <w:p w14:paraId="5306E74E" w14:textId="77777777" w:rsidR="00694333" w:rsidRPr="00694333" w:rsidRDefault="00694333" w:rsidP="00542270">
      <w:pPr>
        <w:spacing w:after="240" w:line="360" w:lineRule="auto"/>
        <w:jc w:val="both"/>
        <w:rPr>
          <w:rFonts w:ascii="Arial" w:eastAsia="Times New Roman" w:hAnsi="Arial" w:cs="Arial"/>
          <w:sz w:val="24"/>
          <w:szCs w:val="24"/>
          <w:lang w:eastAsia="en-GB"/>
        </w:rPr>
      </w:pPr>
      <w:r w:rsidRPr="00694333">
        <w:rPr>
          <w:rFonts w:ascii="Arial" w:eastAsia="Times New Roman" w:hAnsi="Arial" w:cs="Arial"/>
          <w:sz w:val="24"/>
          <w:szCs w:val="24"/>
          <w:lang w:eastAsia="en-GB"/>
        </w:rPr>
        <w:t xml:space="preserve">A comparison between the strategies of these key players will reveal the clear cut approaches defining the automotive competitiveness in Japan. Toyota uses its hybrid leadership to attain efficiency of scale and standardisation and cost benefits worldwide and drive market leadership in terms of sustainable mobility (Johnson &amp; Turner, 2022). In comparison, Nissan is </w:t>
      </w:r>
      <w:proofErr w:type="spellStart"/>
      <w:r w:rsidRPr="00694333">
        <w:rPr>
          <w:rFonts w:ascii="Arial" w:eastAsia="Times New Roman" w:hAnsi="Arial" w:cs="Arial"/>
          <w:sz w:val="24"/>
          <w:szCs w:val="24"/>
          <w:lang w:eastAsia="en-GB"/>
        </w:rPr>
        <w:t>ev</w:t>
      </w:r>
      <w:proofErr w:type="spellEnd"/>
      <w:r w:rsidRPr="00694333">
        <w:rPr>
          <w:rFonts w:ascii="Arial" w:eastAsia="Times New Roman" w:hAnsi="Arial" w:cs="Arial"/>
          <w:sz w:val="24"/>
          <w:szCs w:val="24"/>
          <w:lang w:eastAsia="en-GB"/>
        </w:rPr>
        <w:t>-based and aims at the early adoption markets and environmentally conscious buyers, yet struggles with production scaling and competing with Toyota and its experience with hybrids (Yamamoto, 2024). The diversification strategy makes Honda flexible and resilient, yet it does not have the unified leadership in the market that Toyota, hybrids, or Nissan, EVs have (Tanaka, 2023).</w:t>
      </w:r>
    </w:p>
    <w:p w14:paraId="28617795" w14:textId="56E07CBC" w:rsidR="00041B1D" w:rsidRPr="00041B1D" w:rsidRDefault="00041B1D" w:rsidP="00542270">
      <w:pPr>
        <w:pStyle w:val="Heading1"/>
        <w:spacing w:after="240"/>
        <w:rPr>
          <w:rFonts w:eastAsia="Times New Roman"/>
          <w:lang w:eastAsia="en-GB"/>
        </w:rPr>
      </w:pPr>
      <w:bookmarkStart w:id="9" w:name="_Toc226064996"/>
      <w:r w:rsidRPr="00041B1D">
        <w:rPr>
          <w:rFonts w:eastAsia="Times New Roman"/>
          <w:lang w:eastAsia="en-GB"/>
        </w:rPr>
        <w:t xml:space="preserve">3. </w:t>
      </w:r>
      <w:r w:rsidR="00142662" w:rsidRPr="00142662">
        <w:rPr>
          <w:rFonts w:eastAsia="Times New Roman"/>
          <w:lang w:eastAsia="en-GB"/>
        </w:rPr>
        <w:t xml:space="preserve"> The Diamond Model of Porter the Japanese Automotive Industry.</w:t>
      </w:r>
      <w:bookmarkEnd w:id="9"/>
    </w:p>
    <w:p w14:paraId="06C05069" w14:textId="4A676AC9" w:rsidR="007C010F"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The Diamond Model by Porter offers a framework of comprehending the competitive advantage of industries in a nation. As applied to the automotive industry in Japan, it explains the reason why the nation has always been a world leader</w:t>
      </w:r>
      <w:r w:rsidR="004B25C7">
        <w:rPr>
          <w:rFonts w:ascii="Arial" w:eastAsia="Times New Roman" w:hAnsi="Arial" w:cs="Arial"/>
          <w:sz w:val="24"/>
          <w:szCs w:val="24"/>
          <w:lang w:eastAsia="en-GB"/>
        </w:rPr>
        <w:t xml:space="preserve"> in the production of vehicles.</w:t>
      </w:r>
    </w:p>
    <w:p w14:paraId="69C156EE" w14:textId="77777777" w:rsidR="00013CC9" w:rsidRDefault="00013CC9" w:rsidP="00013CC9">
      <w:pPr>
        <w:keepNext/>
        <w:spacing w:after="240" w:line="360" w:lineRule="auto"/>
        <w:jc w:val="center"/>
      </w:pPr>
      <w:r>
        <w:rPr>
          <w:rFonts w:ascii="Arial" w:eastAsia="Times New Roman" w:hAnsi="Arial" w:cs="Arial"/>
          <w:noProof/>
          <w:sz w:val="24"/>
          <w:szCs w:val="24"/>
          <w:lang w:eastAsia="en-GB"/>
        </w:rPr>
        <w:drawing>
          <wp:inline distT="0" distB="0" distL="0" distR="0" wp14:anchorId="683D3FFB" wp14:editId="171AAC31">
            <wp:extent cx="3324225" cy="2216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402_23225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4225" cy="2216150"/>
                    </a:xfrm>
                    <a:prstGeom prst="rect">
                      <a:avLst/>
                    </a:prstGeom>
                  </pic:spPr>
                </pic:pic>
              </a:graphicData>
            </a:graphic>
          </wp:inline>
        </w:drawing>
      </w:r>
    </w:p>
    <w:p w14:paraId="7C7890A9" w14:textId="2B5FC8B6" w:rsidR="00013CC9" w:rsidRPr="00013CC9" w:rsidRDefault="00013CC9" w:rsidP="00013CC9">
      <w:pPr>
        <w:pStyle w:val="Caption"/>
        <w:jc w:val="center"/>
        <w:rPr>
          <w:rFonts w:ascii="Arial" w:eastAsia="Times New Roman" w:hAnsi="Arial" w:cs="Arial"/>
          <w:sz w:val="36"/>
          <w:szCs w:val="24"/>
          <w:lang w:eastAsia="en-GB"/>
        </w:rPr>
      </w:pPr>
      <w:bookmarkStart w:id="10" w:name="_Toc226065023"/>
      <w:r w:rsidRPr="00013CC9">
        <w:rPr>
          <w:rFonts w:ascii="Arial" w:hAnsi="Arial" w:cs="Arial"/>
          <w:sz w:val="24"/>
        </w:rPr>
        <w:t xml:space="preserve">Figure </w:t>
      </w:r>
      <w:r w:rsidRPr="00013CC9">
        <w:rPr>
          <w:rFonts w:ascii="Arial" w:hAnsi="Arial" w:cs="Arial"/>
          <w:sz w:val="24"/>
        </w:rPr>
        <w:fldChar w:fldCharType="begin"/>
      </w:r>
      <w:r w:rsidRPr="00013CC9">
        <w:rPr>
          <w:rFonts w:ascii="Arial" w:hAnsi="Arial" w:cs="Arial"/>
          <w:sz w:val="24"/>
        </w:rPr>
        <w:instrText xml:space="preserve"> SEQ Figure \* ARABIC </w:instrText>
      </w:r>
      <w:r w:rsidRPr="00013CC9">
        <w:rPr>
          <w:rFonts w:ascii="Arial" w:hAnsi="Arial" w:cs="Arial"/>
          <w:sz w:val="24"/>
        </w:rPr>
        <w:fldChar w:fldCharType="separate"/>
      </w:r>
      <w:r w:rsidR="00927E40">
        <w:rPr>
          <w:rFonts w:ascii="Arial" w:hAnsi="Arial" w:cs="Arial"/>
          <w:noProof/>
          <w:sz w:val="24"/>
        </w:rPr>
        <w:t>2</w:t>
      </w:r>
      <w:r w:rsidRPr="00013CC9">
        <w:rPr>
          <w:rFonts w:ascii="Arial" w:hAnsi="Arial" w:cs="Arial"/>
          <w:sz w:val="24"/>
        </w:rPr>
        <w:fldChar w:fldCharType="end"/>
      </w:r>
      <w:r w:rsidRPr="00013CC9">
        <w:rPr>
          <w:rFonts w:ascii="Arial" w:hAnsi="Arial" w:cs="Arial"/>
          <w:sz w:val="24"/>
        </w:rPr>
        <w:t>.Porter’s Diamond Model</w:t>
      </w:r>
      <w:bookmarkEnd w:id="10"/>
    </w:p>
    <w:p w14:paraId="249A4D17" w14:textId="46DE4EEF" w:rsidR="007C010F" w:rsidRPr="007C010F" w:rsidRDefault="004B25C7" w:rsidP="004B25C7">
      <w:pPr>
        <w:pStyle w:val="Heading2"/>
        <w:rPr>
          <w:lang w:eastAsia="en-GB"/>
        </w:rPr>
      </w:pPr>
      <w:bookmarkStart w:id="11" w:name="_Toc226064997"/>
      <w:r>
        <w:rPr>
          <w:lang w:eastAsia="en-GB"/>
        </w:rPr>
        <w:t>3.1 Factor Conditions</w:t>
      </w:r>
      <w:bookmarkEnd w:id="11"/>
    </w:p>
    <w:p w14:paraId="7572AA67" w14:textId="3AF8E33F" w:rsidR="007C010F" w:rsidRPr="007C010F"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 xml:space="preserve">The automotive industry in Japan enjoys skilled labour force and high technology infrastructure. Engineers and technicians are educated in the latest manufacturing methods, such as robotics and automation, that contribute to precision and efficiency in vehicle manufacturing (Kato, 2021). The industry spends a lot on R&amp;D, especially on hybrid, electric, and hydrogen technologies, which creates a cycle </w:t>
      </w:r>
      <w:r w:rsidR="004B25C7">
        <w:rPr>
          <w:rFonts w:ascii="Arial" w:eastAsia="Times New Roman" w:hAnsi="Arial" w:cs="Arial"/>
          <w:sz w:val="24"/>
          <w:szCs w:val="24"/>
          <w:lang w:eastAsia="en-GB"/>
        </w:rPr>
        <w:t>of innovation (Sakamoto, 2022).</w:t>
      </w:r>
    </w:p>
    <w:p w14:paraId="2294EC9B" w14:textId="4D85B674" w:rsidR="004E0A31" w:rsidRPr="004E0A31" w:rsidRDefault="007C010F" w:rsidP="004E0A31">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Nevertheless, Japan has certain problems, including high labour costs against the emerging economies, raising the cost of production (Tanaka &amp; Liu, 2023). Nevertheless, the effective utilization of human and technological capital has helped companies to remain c</w:t>
      </w:r>
      <w:r w:rsidR="004B25C7">
        <w:rPr>
          <w:rFonts w:ascii="Arial" w:eastAsia="Times New Roman" w:hAnsi="Arial" w:cs="Arial"/>
          <w:sz w:val="24"/>
          <w:szCs w:val="24"/>
          <w:lang w:eastAsia="en-GB"/>
        </w:rPr>
        <w:t>ompetitive at the global level.</w:t>
      </w:r>
    </w:p>
    <w:p w14:paraId="0AC17862" w14:textId="2F621BEB" w:rsidR="004E0A31" w:rsidRPr="004E0A31" w:rsidRDefault="004E0A31" w:rsidP="004E0A31">
      <w:pPr>
        <w:pStyle w:val="Caption"/>
        <w:keepNext/>
        <w:rPr>
          <w:rFonts w:ascii="Arial" w:hAnsi="Arial" w:cs="Arial"/>
          <w:sz w:val="24"/>
        </w:rPr>
      </w:pPr>
      <w:bookmarkStart w:id="12" w:name="_Toc226065019"/>
      <w:r w:rsidRPr="004E0A31">
        <w:rPr>
          <w:rFonts w:ascii="Arial" w:hAnsi="Arial" w:cs="Arial"/>
          <w:sz w:val="24"/>
        </w:rPr>
        <w:t xml:space="preserve">Table </w:t>
      </w:r>
      <w:r w:rsidRPr="004E0A31">
        <w:rPr>
          <w:rFonts w:ascii="Arial" w:hAnsi="Arial" w:cs="Arial"/>
          <w:sz w:val="24"/>
        </w:rPr>
        <w:fldChar w:fldCharType="begin"/>
      </w:r>
      <w:r w:rsidRPr="004E0A31">
        <w:rPr>
          <w:rFonts w:ascii="Arial" w:hAnsi="Arial" w:cs="Arial"/>
          <w:sz w:val="24"/>
        </w:rPr>
        <w:instrText xml:space="preserve"> SEQ Table \* ARABIC </w:instrText>
      </w:r>
      <w:r w:rsidRPr="004E0A31">
        <w:rPr>
          <w:rFonts w:ascii="Arial" w:hAnsi="Arial" w:cs="Arial"/>
          <w:sz w:val="24"/>
        </w:rPr>
        <w:fldChar w:fldCharType="separate"/>
      </w:r>
      <w:r w:rsidR="00A7031E">
        <w:rPr>
          <w:rFonts w:ascii="Arial" w:hAnsi="Arial" w:cs="Arial"/>
          <w:noProof/>
          <w:sz w:val="24"/>
        </w:rPr>
        <w:t>2</w:t>
      </w:r>
      <w:r w:rsidRPr="004E0A31">
        <w:rPr>
          <w:rFonts w:ascii="Arial" w:hAnsi="Arial" w:cs="Arial"/>
          <w:sz w:val="24"/>
        </w:rPr>
        <w:fldChar w:fldCharType="end"/>
      </w:r>
      <w:r w:rsidRPr="004E0A31">
        <w:rPr>
          <w:rFonts w:ascii="Arial" w:hAnsi="Arial" w:cs="Arial"/>
          <w:sz w:val="24"/>
        </w:rPr>
        <w:t>: Factor Conditions (Industry Level)</w:t>
      </w:r>
      <w:bookmarkEnd w:id="12"/>
    </w:p>
    <w:tbl>
      <w:tblPr>
        <w:tblStyle w:val="TableGrid"/>
        <w:tblW w:w="0" w:type="auto"/>
        <w:tblLook w:val="04A0" w:firstRow="1" w:lastRow="0" w:firstColumn="1" w:lastColumn="0" w:noHBand="0" w:noVBand="1"/>
      </w:tblPr>
      <w:tblGrid>
        <w:gridCol w:w="3116"/>
        <w:gridCol w:w="3117"/>
        <w:gridCol w:w="3117"/>
      </w:tblGrid>
      <w:tr w:rsidR="004E0A31" w:rsidRPr="004E0A31" w14:paraId="4BD3A678" w14:textId="77777777" w:rsidTr="004E0A31">
        <w:tc>
          <w:tcPr>
            <w:tcW w:w="3116" w:type="dxa"/>
          </w:tcPr>
          <w:p w14:paraId="06FB3C55" w14:textId="77777777" w:rsidR="004E0A31" w:rsidRPr="004E0A31" w:rsidRDefault="004E0A31" w:rsidP="00335B65">
            <w:pPr>
              <w:spacing w:after="240" w:line="360" w:lineRule="auto"/>
              <w:jc w:val="both"/>
              <w:rPr>
                <w:rFonts w:ascii="Arial" w:eastAsia="Times New Roman" w:hAnsi="Arial" w:cs="Arial"/>
                <w:b/>
                <w:sz w:val="24"/>
                <w:szCs w:val="24"/>
                <w:lang w:eastAsia="en-GB"/>
              </w:rPr>
            </w:pPr>
            <w:r w:rsidRPr="004E0A31">
              <w:rPr>
                <w:rFonts w:ascii="Arial" w:eastAsia="Times New Roman" w:hAnsi="Arial" w:cs="Arial"/>
                <w:b/>
                <w:sz w:val="24"/>
                <w:szCs w:val="24"/>
                <w:lang w:eastAsia="en-GB"/>
              </w:rPr>
              <w:t>Factor</w:t>
            </w:r>
          </w:p>
        </w:tc>
        <w:tc>
          <w:tcPr>
            <w:tcW w:w="3117" w:type="dxa"/>
          </w:tcPr>
          <w:p w14:paraId="6F46378F" w14:textId="77777777" w:rsidR="004E0A31" w:rsidRPr="004E0A31" w:rsidRDefault="004E0A31" w:rsidP="00335B65">
            <w:pPr>
              <w:spacing w:after="240" w:line="360" w:lineRule="auto"/>
              <w:jc w:val="both"/>
              <w:rPr>
                <w:rFonts w:ascii="Arial" w:eastAsia="Times New Roman" w:hAnsi="Arial" w:cs="Arial"/>
                <w:b/>
                <w:sz w:val="24"/>
                <w:szCs w:val="24"/>
                <w:lang w:eastAsia="en-GB"/>
              </w:rPr>
            </w:pPr>
            <w:r w:rsidRPr="004E0A31">
              <w:rPr>
                <w:rFonts w:ascii="Arial" w:eastAsia="Times New Roman" w:hAnsi="Arial" w:cs="Arial"/>
                <w:b/>
                <w:sz w:val="24"/>
                <w:szCs w:val="24"/>
                <w:lang w:eastAsia="en-GB"/>
              </w:rPr>
              <w:t>Strength</w:t>
            </w:r>
          </w:p>
        </w:tc>
        <w:tc>
          <w:tcPr>
            <w:tcW w:w="3117" w:type="dxa"/>
          </w:tcPr>
          <w:p w14:paraId="73CE4901" w14:textId="77777777" w:rsidR="004E0A31" w:rsidRPr="004E0A31" w:rsidRDefault="004E0A31" w:rsidP="00335B65">
            <w:pPr>
              <w:spacing w:after="240" w:line="360" w:lineRule="auto"/>
              <w:jc w:val="both"/>
              <w:rPr>
                <w:rFonts w:ascii="Arial" w:eastAsia="Times New Roman" w:hAnsi="Arial" w:cs="Arial"/>
                <w:b/>
                <w:sz w:val="24"/>
                <w:szCs w:val="24"/>
                <w:lang w:eastAsia="en-GB"/>
              </w:rPr>
            </w:pPr>
            <w:r w:rsidRPr="004E0A31">
              <w:rPr>
                <w:rFonts w:ascii="Arial" w:eastAsia="Times New Roman" w:hAnsi="Arial" w:cs="Arial"/>
                <w:b/>
                <w:sz w:val="24"/>
                <w:szCs w:val="24"/>
                <w:lang w:eastAsia="en-GB"/>
              </w:rPr>
              <w:t>Weakness</w:t>
            </w:r>
          </w:p>
        </w:tc>
      </w:tr>
      <w:tr w:rsidR="004E0A31" w:rsidRPr="004E0A31" w14:paraId="455DD230" w14:textId="77777777" w:rsidTr="004E0A31">
        <w:tc>
          <w:tcPr>
            <w:tcW w:w="3116" w:type="dxa"/>
          </w:tcPr>
          <w:p w14:paraId="11A63438"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Skilled Labour</w:t>
            </w:r>
          </w:p>
        </w:tc>
        <w:tc>
          <w:tcPr>
            <w:tcW w:w="3117" w:type="dxa"/>
          </w:tcPr>
          <w:p w14:paraId="302E0E07"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High expertise in engineering &amp; manufacturing</w:t>
            </w:r>
          </w:p>
        </w:tc>
        <w:tc>
          <w:tcPr>
            <w:tcW w:w="3117" w:type="dxa"/>
          </w:tcPr>
          <w:p w14:paraId="71DCF988"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Aging workforce</w:t>
            </w:r>
          </w:p>
        </w:tc>
      </w:tr>
      <w:tr w:rsidR="004E0A31" w:rsidRPr="004E0A31" w14:paraId="3DB7A549" w14:textId="77777777" w:rsidTr="004E0A31">
        <w:tc>
          <w:tcPr>
            <w:tcW w:w="3116" w:type="dxa"/>
          </w:tcPr>
          <w:p w14:paraId="3B5557F9"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Technology</w:t>
            </w:r>
          </w:p>
        </w:tc>
        <w:tc>
          <w:tcPr>
            <w:tcW w:w="3117" w:type="dxa"/>
          </w:tcPr>
          <w:p w14:paraId="541CD1CF"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Advanced robotics &amp; automation</w:t>
            </w:r>
          </w:p>
        </w:tc>
        <w:tc>
          <w:tcPr>
            <w:tcW w:w="3117" w:type="dxa"/>
          </w:tcPr>
          <w:p w14:paraId="70A9D0AE"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High R&amp;D costs</w:t>
            </w:r>
          </w:p>
        </w:tc>
      </w:tr>
      <w:tr w:rsidR="004E0A31" w:rsidRPr="004E0A31" w14:paraId="1DF56677" w14:textId="77777777" w:rsidTr="004E0A31">
        <w:tc>
          <w:tcPr>
            <w:tcW w:w="3116" w:type="dxa"/>
          </w:tcPr>
          <w:p w14:paraId="494CC7F2"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Capital</w:t>
            </w:r>
          </w:p>
        </w:tc>
        <w:tc>
          <w:tcPr>
            <w:tcW w:w="3117" w:type="dxa"/>
          </w:tcPr>
          <w:p w14:paraId="219F745F"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Strong investment in innovation</w:t>
            </w:r>
          </w:p>
        </w:tc>
        <w:tc>
          <w:tcPr>
            <w:tcW w:w="3117" w:type="dxa"/>
          </w:tcPr>
          <w:p w14:paraId="7D4011BC" w14:textId="77777777" w:rsidR="004E0A31" w:rsidRPr="004E0A31" w:rsidRDefault="004E0A31" w:rsidP="00335B65">
            <w:pPr>
              <w:spacing w:after="240" w:line="360" w:lineRule="auto"/>
              <w:jc w:val="both"/>
              <w:rPr>
                <w:rFonts w:ascii="Arial" w:eastAsia="Times New Roman" w:hAnsi="Arial" w:cs="Arial"/>
                <w:sz w:val="24"/>
                <w:szCs w:val="24"/>
                <w:lang w:eastAsia="en-GB"/>
              </w:rPr>
            </w:pPr>
            <w:r w:rsidRPr="004E0A31">
              <w:rPr>
                <w:rFonts w:ascii="Arial" w:eastAsia="Times New Roman" w:hAnsi="Arial" w:cs="Arial"/>
                <w:sz w:val="24"/>
                <w:szCs w:val="24"/>
                <w:lang w:eastAsia="en-GB"/>
              </w:rPr>
              <w:t>High production cost</w:t>
            </w:r>
          </w:p>
        </w:tc>
      </w:tr>
    </w:tbl>
    <w:p w14:paraId="52BBCF1B" w14:textId="6847E27D" w:rsidR="007C010F" w:rsidRPr="004B25C7" w:rsidRDefault="007C010F" w:rsidP="004B25C7">
      <w:pPr>
        <w:pStyle w:val="Heading2"/>
        <w:rPr>
          <w:lang w:eastAsia="en-GB"/>
        </w:rPr>
      </w:pPr>
      <w:bookmarkStart w:id="13" w:name="_Toc226064998"/>
      <w:r w:rsidRPr="007C010F">
        <w:rPr>
          <w:lang w:eastAsia="en-GB"/>
        </w:rPr>
        <w:t>3.2 Demand Conditions</w:t>
      </w:r>
      <w:bookmarkEnd w:id="13"/>
    </w:p>
    <w:p w14:paraId="03E52392" w14:textId="385A9322" w:rsidR="007C010F"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 xml:space="preserve">In Japan, the domestic demand is very critical in determining the industry standards. It is a fact that Japanese consumers are very demanding in terms of quality of vehicles, safety, fuel efficiency, and reliability (Mori, 2020). This advanced requirement compels producers to be creative in a continuous manner and that has generated quality standards that are known the world over. Moreover, there is a growing environmental consciousness, which has compelled car manufacturers to come up with hybrid, electric, and hydrogen cars, </w:t>
      </w:r>
      <w:r w:rsidR="004B25C7" w:rsidRPr="007C010F">
        <w:rPr>
          <w:rFonts w:ascii="Arial" w:eastAsia="Times New Roman" w:hAnsi="Arial" w:cs="Arial"/>
          <w:sz w:val="24"/>
          <w:szCs w:val="24"/>
          <w:lang w:eastAsia="en-GB"/>
        </w:rPr>
        <w:t>fuelling</w:t>
      </w:r>
      <w:r w:rsidRPr="007C010F">
        <w:rPr>
          <w:rFonts w:ascii="Arial" w:eastAsia="Times New Roman" w:hAnsi="Arial" w:cs="Arial"/>
          <w:sz w:val="24"/>
          <w:szCs w:val="24"/>
          <w:lang w:eastAsia="en-GB"/>
        </w:rPr>
        <w:t xml:space="preserve"> technological progress in the indust</w:t>
      </w:r>
      <w:r w:rsidR="00A7031E">
        <w:rPr>
          <w:rFonts w:ascii="Arial" w:eastAsia="Times New Roman" w:hAnsi="Arial" w:cs="Arial"/>
          <w:sz w:val="24"/>
          <w:szCs w:val="24"/>
          <w:lang w:eastAsia="en-GB"/>
        </w:rPr>
        <w:t>ry as a whole (Fujimoto, 2021).</w:t>
      </w:r>
    </w:p>
    <w:p w14:paraId="01A99406" w14:textId="77777777" w:rsidR="00927E40" w:rsidRDefault="00927E40" w:rsidP="00927E40">
      <w:pPr>
        <w:keepNext/>
        <w:spacing w:after="240" w:line="360" w:lineRule="auto"/>
        <w:jc w:val="center"/>
      </w:pPr>
      <w:r>
        <w:rPr>
          <w:rFonts w:ascii="Arial" w:eastAsia="Times New Roman" w:hAnsi="Arial" w:cs="Arial"/>
          <w:noProof/>
          <w:sz w:val="24"/>
          <w:szCs w:val="24"/>
          <w:lang w:eastAsia="en-GB"/>
        </w:rPr>
        <w:drawing>
          <wp:inline distT="0" distB="0" distL="0" distR="0" wp14:anchorId="6968521D" wp14:editId="51343E08">
            <wp:extent cx="3533775" cy="23558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402_23261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36939" cy="2357959"/>
                    </a:xfrm>
                    <a:prstGeom prst="rect">
                      <a:avLst/>
                    </a:prstGeom>
                  </pic:spPr>
                </pic:pic>
              </a:graphicData>
            </a:graphic>
          </wp:inline>
        </w:drawing>
      </w:r>
    </w:p>
    <w:p w14:paraId="05CB5BF8" w14:textId="0927CBD9" w:rsidR="00927E40" w:rsidRDefault="00927E40" w:rsidP="00927E40">
      <w:pPr>
        <w:pStyle w:val="Caption"/>
        <w:jc w:val="center"/>
        <w:rPr>
          <w:rFonts w:ascii="Arial" w:hAnsi="Arial" w:cs="Arial"/>
          <w:sz w:val="24"/>
        </w:rPr>
      </w:pPr>
      <w:bookmarkStart w:id="14" w:name="_Toc226065024"/>
      <w:r w:rsidRPr="00927E40">
        <w:rPr>
          <w:rFonts w:ascii="Arial" w:hAnsi="Arial" w:cs="Arial"/>
          <w:sz w:val="24"/>
        </w:rPr>
        <w:t xml:space="preserve">Figure </w:t>
      </w:r>
      <w:r w:rsidRPr="00927E40">
        <w:rPr>
          <w:rFonts w:ascii="Arial" w:hAnsi="Arial" w:cs="Arial"/>
          <w:sz w:val="24"/>
        </w:rPr>
        <w:fldChar w:fldCharType="begin"/>
      </w:r>
      <w:r w:rsidRPr="00927E40">
        <w:rPr>
          <w:rFonts w:ascii="Arial" w:hAnsi="Arial" w:cs="Arial"/>
          <w:sz w:val="24"/>
        </w:rPr>
        <w:instrText xml:space="preserve"> SEQ Figure \* ARABIC </w:instrText>
      </w:r>
      <w:r w:rsidRPr="00927E40">
        <w:rPr>
          <w:rFonts w:ascii="Arial" w:hAnsi="Arial" w:cs="Arial"/>
          <w:sz w:val="24"/>
        </w:rPr>
        <w:fldChar w:fldCharType="separate"/>
      </w:r>
      <w:r w:rsidRPr="00927E40">
        <w:rPr>
          <w:rFonts w:ascii="Arial" w:hAnsi="Arial" w:cs="Arial"/>
          <w:noProof/>
          <w:sz w:val="24"/>
        </w:rPr>
        <w:t>3</w:t>
      </w:r>
      <w:r w:rsidRPr="00927E40">
        <w:rPr>
          <w:rFonts w:ascii="Arial" w:hAnsi="Arial" w:cs="Arial"/>
          <w:sz w:val="24"/>
        </w:rPr>
        <w:fldChar w:fldCharType="end"/>
      </w:r>
      <w:r w:rsidRPr="00927E40">
        <w:rPr>
          <w:rFonts w:ascii="Arial" w:hAnsi="Arial" w:cs="Arial"/>
          <w:sz w:val="24"/>
        </w:rPr>
        <w:t>: Domestic Automotive Demand Trends</w:t>
      </w:r>
      <w:bookmarkEnd w:id="14"/>
    </w:p>
    <w:p w14:paraId="56C3F80F" w14:textId="760F03C3" w:rsidR="00927E40" w:rsidRPr="00927E40" w:rsidRDefault="00927E40" w:rsidP="00927E40">
      <w:pPr>
        <w:spacing w:line="360" w:lineRule="auto"/>
        <w:jc w:val="both"/>
        <w:rPr>
          <w:rFonts w:ascii="Arial" w:hAnsi="Arial" w:cs="Arial"/>
          <w:sz w:val="24"/>
          <w:lang w:eastAsia="en-GB"/>
        </w:rPr>
      </w:pPr>
      <w:r w:rsidRPr="00927E40">
        <w:rPr>
          <w:rFonts w:ascii="Arial" w:hAnsi="Arial" w:cs="Arial"/>
          <w:sz w:val="24"/>
          <w:lang w:eastAsia="en-GB"/>
        </w:rPr>
        <w:t>Japan’s domestic automotive demand shows a clear shift from internal combustion engines (ICE) to hybrid and electric vehicles (EVs). Hybrid sales steadily rise, overtaking ICE by 2021, while EV adoption accelerates post-2021. This reflects growing consumer preference for fuel efficiency and sustainability, reinforcing Porter’s “Demand Conditions” advantage.</w:t>
      </w:r>
    </w:p>
    <w:p w14:paraId="6FE37310" w14:textId="59B18F87" w:rsidR="007C010F" w:rsidRPr="007C010F" w:rsidRDefault="007C010F" w:rsidP="007C010F">
      <w:pPr>
        <w:spacing w:after="240" w:line="360" w:lineRule="auto"/>
        <w:jc w:val="both"/>
        <w:rPr>
          <w:rFonts w:ascii="Arial" w:eastAsia="Times New Roman" w:hAnsi="Arial" w:cs="Arial"/>
          <w:sz w:val="24"/>
          <w:szCs w:val="24"/>
          <w:lang w:eastAsia="en-GB"/>
        </w:rPr>
      </w:pPr>
      <w:bookmarkStart w:id="15" w:name="_Toc226064999"/>
      <w:r w:rsidRPr="004B25C7">
        <w:rPr>
          <w:rStyle w:val="Heading2Char"/>
          <w:lang w:eastAsia="en-GB"/>
        </w:rPr>
        <w:t>3.3 Sup</w:t>
      </w:r>
      <w:r w:rsidR="004B25C7" w:rsidRPr="004B25C7">
        <w:rPr>
          <w:rStyle w:val="Heading2Char"/>
        </w:rPr>
        <w:t>porting and Related Industries</w:t>
      </w:r>
      <w:bookmarkEnd w:id="15"/>
      <w:r w:rsidR="004B25C7">
        <w:rPr>
          <w:rFonts w:ascii="Arial" w:eastAsia="Times New Roman" w:hAnsi="Arial" w:cs="Arial"/>
          <w:sz w:val="24"/>
          <w:szCs w:val="24"/>
          <w:lang w:eastAsia="en-GB"/>
        </w:rPr>
        <w:t>.</w:t>
      </w:r>
    </w:p>
    <w:p w14:paraId="1D063B5E" w14:textId="77BBA090" w:rsidR="00A7031E" w:rsidRPr="00A7031E" w:rsidRDefault="007C010F" w:rsidP="00A7031E">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The automotive industry of Japan enjoys good related industries such as electronics, precision machines, and robotics. Semiconductor chips, sensors, and state-of-the-art manufacturing equipment suppliers offer critical materials capable of helping automakers innovate at a high pace (Yamashita, 2022). There is also a large network of suppliers and research institutions that promote sharing of knowledge and speed up development, which has benefitted</w:t>
      </w:r>
      <w:r w:rsidR="004B25C7">
        <w:rPr>
          <w:rFonts w:ascii="Arial" w:eastAsia="Times New Roman" w:hAnsi="Arial" w:cs="Arial"/>
          <w:sz w:val="24"/>
          <w:szCs w:val="24"/>
          <w:lang w:eastAsia="en-GB"/>
        </w:rPr>
        <w:t xml:space="preserve"> all companies in the industry.</w:t>
      </w:r>
    </w:p>
    <w:p w14:paraId="00B6A1EC" w14:textId="1B1BB4CC" w:rsidR="00A7031E" w:rsidRPr="00A7031E" w:rsidRDefault="00A7031E" w:rsidP="00A7031E">
      <w:pPr>
        <w:pStyle w:val="Caption"/>
        <w:keepNext/>
        <w:rPr>
          <w:rFonts w:ascii="Arial" w:hAnsi="Arial" w:cs="Arial"/>
          <w:sz w:val="24"/>
        </w:rPr>
      </w:pPr>
      <w:bookmarkStart w:id="16" w:name="_Toc226065020"/>
      <w:r w:rsidRPr="00A7031E">
        <w:rPr>
          <w:rFonts w:ascii="Arial" w:hAnsi="Arial" w:cs="Arial"/>
          <w:sz w:val="24"/>
        </w:rPr>
        <w:t xml:space="preserve">Table </w:t>
      </w:r>
      <w:r w:rsidRPr="00A7031E">
        <w:rPr>
          <w:rFonts w:ascii="Arial" w:hAnsi="Arial" w:cs="Arial"/>
          <w:sz w:val="24"/>
        </w:rPr>
        <w:fldChar w:fldCharType="begin"/>
      </w:r>
      <w:r w:rsidRPr="00A7031E">
        <w:rPr>
          <w:rFonts w:ascii="Arial" w:hAnsi="Arial" w:cs="Arial"/>
          <w:sz w:val="24"/>
        </w:rPr>
        <w:instrText xml:space="preserve"> SEQ Table \* ARABIC </w:instrText>
      </w:r>
      <w:r w:rsidRPr="00A7031E">
        <w:rPr>
          <w:rFonts w:ascii="Arial" w:hAnsi="Arial" w:cs="Arial"/>
          <w:sz w:val="24"/>
        </w:rPr>
        <w:fldChar w:fldCharType="separate"/>
      </w:r>
      <w:r w:rsidRPr="00A7031E">
        <w:rPr>
          <w:rFonts w:ascii="Arial" w:hAnsi="Arial" w:cs="Arial"/>
          <w:noProof/>
          <w:sz w:val="24"/>
        </w:rPr>
        <w:t>3</w:t>
      </w:r>
      <w:r w:rsidRPr="00A7031E">
        <w:rPr>
          <w:rFonts w:ascii="Arial" w:hAnsi="Arial" w:cs="Arial"/>
          <w:sz w:val="24"/>
        </w:rPr>
        <w:fldChar w:fldCharType="end"/>
      </w:r>
      <w:r w:rsidRPr="00A7031E">
        <w:rPr>
          <w:rFonts w:ascii="Arial" w:hAnsi="Arial" w:cs="Arial"/>
          <w:sz w:val="24"/>
        </w:rPr>
        <w:t>: Related &amp; Supporting Industries</w:t>
      </w:r>
      <w:bookmarkEnd w:id="16"/>
    </w:p>
    <w:tbl>
      <w:tblPr>
        <w:tblStyle w:val="TableGrid"/>
        <w:tblW w:w="0" w:type="auto"/>
        <w:tblLook w:val="04A0" w:firstRow="1" w:lastRow="0" w:firstColumn="1" w:lastColumn="0" w:noHBand="0" w:noVBand="1"/>
      </w:tblPr>
      <w:tblGrid>
        <w:gridCol w:w="3116"/>
        <w:gridCol w:w="3117"/>
        <w:gridCol w:w="3117"/>
      </w:tblGrid>
      <w:tr w:rsidR="00A7031E" w:rsidRPr="00A7031E" w14:paraId="22AF83F3" w14:textId="77777777" w:rsidTr="00A7031E">
        <w:tc>
          <w:tcPr>
            <w:tcW w:w="3116" w:type="dxa"/>
          </w:tcPr>
          <w:p w14:paraId="5335FD40" w14:textId="77777777" w:rsidR="00A7031E" w:rsidRPr="00A7031E" w:rsidRDefault="00A7031E" w:rsidP="00495811">
            <w:pPr>
              <w:spacing w:after="240" w:line="360" w:lineRule="auto"/>
              <w:jc w:val="both"/>
              <w:rPr>
                <w:rFonts w:ascii="Arial" w:eastAsia="Times New Roman" w:hAnsi="Arial" w:cs="Arial"/>
                <w:b/>
                <w:sz w:val="24"/>
                <w:szCs w:val="24"/>
                <w:lang w:eastAsia="en-GB"/>
              </w:rPr>
            </w:pPr>
            <w:r w:rsidRPr="00A7031E">
              <w:rPr>
                <w:rFonts w:ascii="Arial" w:eastAsia="Times New Roman" w:hAnsi="Arial" w:cs="Arial"/>
                <w:b/>
                <w:sz w:val="24"/>
                <w:szCs w:val="24"/>
                <w:lang w:eastAsia="en-GB"/>
              </w:rPr>
              <w:t>Industry</w:t>
            </w:r>
          </w:p>
        </w:tc>
        <w:tc>
          <w:tcPr>
            <w:tcW w:w="3117" w:type="dxa"/>
          </w:tcPr>
          <w:p w14:paraId="594155F7" w14:textId="77777777" w:rsidR="00A7031E" w:rsidRPr="00A7031E" w:rsidRDefault="00A7031E" w:rsidP="00495811">
            <w:pPr>
              <w:spacing w:after="240" w:line="360" w:lineRule="auto"/>
              <w:jc w:val="both"/>
              <w:rPr>
                <w:rFonts w:ascii="Arial" w:eastAsia="Times New Roman" w:hAnsi="Arial" w:cs="Arial"/>
                <w:b/>
                <w:sz w:val="24"/>
                <w:szCs w:val="24"/>
                <w:lang w:eastAsia="en-GB"/>
              </w:rPr>
            </w:pPr>
            <w:r w:rsidRPr="00A7031E">
              <w:rPr>
                <w:rFonts w:ascii="Arial" w:eastAsia="Times New Roman" w:hAnsi="Arial" w:cs="Arial"/>
                <w:b/>
                <w:sz w:val="24"/>
                <w:szCs w:val="24"/>
                <w:lang w:eastAsia="en-GB"/>
              </w:rPr>
              <w:t>Contribution to Automotive</w:t>
            </w:r>
          </w:p>
        </w:tc>
        <w:tc>
          <w:tcPr>
            <w:tcW w:w="3117" w:type="dxa"/>
          </w:tcPr>
          <w:p w14:paraId="3A8BDD24" w14:textId="77777777" w:rsidR="00A7031E" w:rsidRPr="00A7031E" w:rsidRDefault="00A7031E" w:rsidP="00495811">
            <w:pPr>
              <w:spacing w:after="240" w:line="360" w:lineRule="auto"/>
              <w:jc w:val="both"/>
              <w:rPr>
                <w:rFonts w:ascii="Arial" w:eastAsia="Times New Roman" w:hAnsi="Arial" w:cs="Arial"/>
                <w:b/>
                <w:sz w:val="24"/>
                <w:szCs w:val="24"/>
                <w:lang w:eastAsia="en-GB"/>
              </w:rPr>
            </w:pPr>
            <w:r w:rsidRPr="00A7031E">
              <w:rPr>
                <w:rFonts w:ascii="Arial" w:eastAsia="Times New Roman" w:hAnsi="Arial" w:cs="Arial"/>
                <w:b/>
                <w:sz w:val="24"/>
                <w:szCs w:val="24"/>
                <w:lang w:eastAsia="en-GB"/>
              </w:rPr>
              <w:t>Example Companies</w:t>
            </w:r>
          </w:p>
        </w:tc>
      </w:tr>
      <w:tr w:rsidR="00A7031E" w:rsidRPr="00A7031E" w14:paraId="2CE53BFF" w14:textId="77777777" w:rsidTr="00A7031E">
        <w:tc>
          <w:tcPr>
            <w:tcW w:w="3116" w:type="dxa"/>
          </w:tcPr>
          <w:p w14:paraId="4265BAE6"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Electronics &amp; Chips</w:t>
            </w:r>
          </w:p>
        </w:tc>
        <w:tc>
          <w:tcPr>
            <w:tcW w:w="3117" w:type="dxa"/>
          </w:tcPr>
          <w:p w14:paraId="53BFD72E"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Vehicle control systems, infotainment</w:t>
            </w:r>
          </w:p>
        </w:tc>
        <w:tc>
          <w:tcPr>
            <w:tcW w:w="3117" w:type="dxa"/>
          </w:tcPr>
          <w:p w14:paraId="01AEE073" w14:textId="77777777" w:rsidR="00A7031E" w:rsidRPr="00A7031E" w:rsidRDefault="00A7031E" w:rsidP="00495811">
            <w:pPr>
              <w:spacing w:after="240" w:line="360" w:lineRule="auto"/>
              <w:jc w:val="both"/>
              <w:rPr>
                <w:rFonts w:ascii="Arial" w:eastAsia="Times New Roman" w:hAnsi="Arial" w:cs="Arial"/>
                <w:sz w:val="24"/>
                <w:szCs w:val="24"/>
                <w:lang w:eastAsia="en-GB"/>
              </w:rPr>
            </w:pPr>
            <w:proofErr w:type="spellStart"/>
            <w:r w:rsidRPr="00A7031E">
              <w:rPr>
                <w:rFonts w:ascii="Arial" w:eastAsia="Times New Roman" w:hAnsi="Arial" w:cs="Arial"/>
                <w:sz w:val="24"/>
                <w:szCs w:val="24"/>
                <w:lang w:eastAsia="en-GB"/>
              </w:rPr>
              <w:t>Renesas</w:t>
            </w:r>
            <w:proofErr w:type="spellEnd"/>
            <w:r w:rsidRPr="00A7031E">
              <w:rPr>
                <w:rFonts w:ascii="Arial" w:eastAsia="Times New Roman" w:hAnsi="Arial" w:cs="Arial"/>
                <w:sz w:val="24"/>
                <w:szCs w:val="24"/>
                <w:lang w:eastAsia="en-GB"/>
              </w:rPr>
              <w:t>, Sony</w:t>
            </w:r>
          </w:p>
        </w:tc>
      </w:tr>
      <w:tr w:rsidR="00A7031E" w:rsidRPr="00A7031E" w14:paraId="4208D03D" w14:textId="77777777" w:rsidTr="00A7031E">
        <w:tc>
          <w:tcPr>
            <w:tcW w:w="3116" w:type="dxa"/>
          </w:tcPr>
          <w:p w14:paraId="713B8386"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Robotics</w:t>
            </w:r>
          </w:p>
        </w:tc>
        <w:tc>
          <w:tcPr>
            <w:tcW w:w="3117" w:type="dxa"/>
          </w:tcPr>
          <w:p w14:paraId="13318D04"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Assembly automation</w:t>
            </w:r>
          </w:p>
        </w:tc>
        <w:tc>
          <w:tcPr>
            <w:tcW w:w="3117" w:type="dxa"/>
          </w:tcPr>
          <w:p w14:paraId="6EFB8421"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 xml:space="preserve">Fanuc, </w:t>
            </w:r>
            <w:proofErr w:type="spellStart"/>
            <w:r w:rsidRPr="00A7031E">
              <w:rPr>
                <w:rFonts w:ascii="Arial" w:eastAsia="Times New Roman" w:hAnsi="Arial" w:cs="Arial"/>
                <w:sz w:val="24"/>
                <w:szCs w:val="24"/>
                <w:lang w:eastAsia="en-GB"/>
              </w:rPr>
              <w:t>Yaskawa</w:t>
            </w:r>
            <w:proofErr w:type="spellEnd"/>
          </w:p>
        </w:tc>
      </w:tr>
      <w:tr w:rsidR="00A7031E" w:rsidRPr="00A7031E" w14:paraId="055814FF" w14:textId="77777777" w:rsidTr="00A7031E">
        <w:tc>
          <w:tcPr>
            <w:tcW w:w="3116" w:type="dxa"/>
          </w:tcPr>
          <w:p w14:paraId="67297D83"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Steel &amp; Materials</w:t>
            </w:r>
          </w:p>
        </w:tc>
        <w:tc>
          <w:tcPr>
            <w:tcW w:w="3117" w:type="dxa"/>
          </w:tcPr>
          <w:p w14:paraId="3DC10420"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High-strength vehicle materials</w:t>
            </w:r>
          </w:p>
        </w:tc>
        <w:tc>
          <w:tcPr>
            <w:tcW w:w="3117" w:type="dxa"/>
          </w:tcPr>
          <w:p w14:paraId="30C80AEE" w14:textId="77777777" w:rsidR="00A7031E" w:rsidRPr="00A7031E" w:rsidRDefault="00A7031E" w:rsidP="00495811">
            <w:pPr>
              <w:spacing w:after="240" w:line="360" w:lineRule="auto"/>
              <w:jc w:val="both"/>
              <w:rPr>
                <w:rFonts w:ascii="Arial" w:eastAsia="Times New Roman" w:hAnsi="Arial" w:cs="Arial"/>
                <w:sz w:val="24"/>
                <w:szCs w:val="24"/>
                <w:lang w:eastAsia="en-GB"/>
              </w:rPr>
            </w:pPr>
            <w:r w:rsidRPr="00A7031E">
              <w:rPr>
                <w:rFonts w:ascii="Arial" w:eastAsia="Times New Roman" w:hAnsi="Arial" w:cs="Arial"/>
                <w:sz w:val="24"/>
                <w:szCs w:val="24"/>
                <w:lang w:eastAsia="en-GB"/>
              </w:rPr>
              <w:t>Nippon Steel</w:t>
            </w:r>
          </w:p>
        </w:tc>
      </w:tr>
    </w:tbl>
    <w:p w14:paraId="3D260B2F" w14:textId="76227815" w:rsidR="007C010F" w:rsidRPr="004B25C7" w:rsidRDefault="007C010F" w:rsidP="004B25C7">
      <w:pPr>
        <w:pStyle w:val="Heading2"/>
        <w:rPr>
          <w:lang w:eastAsia="en-GB"/>
        </w:rPr>
      </w:pPr>
      <w:bookmarkStart w:id="17" w:name="_Toc226065000"/>
      <w:r w:rsidRPr="007C010F">
        <w:rPr>
          <w:lang w:eastAsia="en-GB"/>
        </w:rPr>
        <w:t>3.4 Firm Rivalry</w:t>
      </w:r>
      <w:bookmarkEnd w:id="17"/>
    </w:p>
    <w:p w14:paraId="34E026EE" w14:textId="3D6EFECF" w:rsidR="007C010F" w:rsidRPr="007C010F"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There is a high level of competition amongst the local car manufacturers like Toyota, Honda, Nissan and Mazda that have inspired efficiency and innovation. As an example, Toyota is technologically ahead in hybrid technology, Nissan aims at electric vehicles, and Honda concentrates on the diversified mobility solutions (Suzuki, 2023). This competition is a guarantee of constant enhancement of production procedures, product quality, and technological progress. The stiff competition in the domestic market also forces the firms to compete on the international front, making Ja</w:t>
      </w:r>
      <w:r w:rsidR="004B25C7">
        <w:rPr>
          <w:rFonts w:ascii="Arial" w:eastAsia="Times New Roman" w:hAnsi="Arial" w:cs="Arial"/>
          <w:sz w:val="24"/>
          <w:szCs w:val="24"/>
          <w:lang w:eastAsia="en-GB"/>
        </w:rPr>
        <w:t>pan a global automotive leader.</w:t>
      </w:r>
    </w:p>
    <w:p w14:paraId="05FDCC72" w14:textId="2D91D9E1" w:rsidR="007C010F" w:rsidRPr="004B25C7" w:rsidRDefault="007C010F" w:rsidP="004B25C7">
      <w:pPr>
        <w:pStyle w:val="Heading2"/>
        <w:rPr>
          <w:lang w:eastAsia="en-GB"/>
        </w:rPr>
      </w:pPr>
      <w:bookmarkStart w:id="18" w:name="_Toc226065001"/>
      <w:r w:rsidRPr="007C010F">
        <w:rPr>
          <w:lang w:eastAsia="en-GB"/>
        </w:rPr>
        <w:t>3.5 Government Role</w:t>
      </w:r>
      <w:bookmarkEnd w:id="18"/>
    </w:p>
    <w:p w14:paraId="29CE0247" w14:textId="0C0FAF4E" w:rsidR="007C010F" w:rsidRPr="007C010F"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The automotive industry in Japan is well-supported by the Japanese government in terms of industrial policies and incentives. The sector is reinforced by policies that encourage green mobility, such as subsidies on electric and hydrogen vehicles, investments in fuel efficiency infrastructure, etc. (Kawasaki and Ito, 2021). The international competitiveness of the industry is also boosted by trade policies, export support and the technolog</w:t>
      </w:r>
      <w:r w:rsidR="004B25C7">
        <w:rPr>
          <w:rFonts w:ascii="Arial" w:eastAsia="Times New Roman" w:hAnsi="Arial" w:cs="Arial"/>
          <w:sz w:val="24"/>
          <w:szCs w:val="24"/>
          <w:lang w:eastAsia="en-GB"/>
        </w:rPr>
        <w:t>ical collaboration initiatives.</w:t>
      </w:r>
    </w:p>
    <w:p w14:paraId="52B24A5B" w14:textId="4868638B" w:rsidR="007C010F" w:rsidRPr="004B25C7" w:rsidRDefault="007C010F" w:rsidP="004B25C7">
      <w:pPr>
        <w:pStyle w:val="Heading2"/>
        <w:rPr>
          <w:lang w:eastAsia="en-GB"/>
        </w:rPr>
      </w:pPr>
      <w:bookmarkStart w:id="19" w:name="_Toc226065002"/>
      <w:r w:rsidRPr="007C010F">
        <w:rPr>
          <w:lang w:eastAsia="en-GB"/>
        </w:rPr>
        <w:t>3.6 Critical Analysis</w:t>
      </w:r>
      <w:bookmarkEnd w:id="19"/>
    </w:p>
    <w:p w14:paraId="29E80BCB" w14:textId="42494BC7" w:rsidR="007C010F" w:rsidRPr="007C010F"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The automotive industry in Japan is a good example of sustainable competitive advantage with a special blend of skilled labour, superior technology, and thriving domestic demand. As much as high labour costs are a possible disadvantage, the industry balances this by being efficient and being innovative. The competition between the car manufacturers promote constant development, with the aid of government subsidies and other related secto</w:t>
      </w:r>
      <w:r w:rsidR="004B25C7">
        <w:rPr>
          <w:rFonts w:ascii="Arial" w:eastAsia="Times New Roman" w:hAnsi="Arial" w:cs="Arial"/>
          <w:sz w:val="24"/>
          <w:szCs w:val="24"/>
          <w:lang w:eastAsia="en-GB"/>
        </w:rPr>
        <w:t>rs, leading to world supremacy.</w:t>
      </w:r>
    </w:p>
    <w:p w14:paraId="2EE5E9B8" w14:textId="39AA5154" w:rsidR="001B6DDA" w:rsidRPr="001B6DDA" w:rsidRDefault="007C010F" w:rsidP="007C010F">
      <w:pPr>
        <w:spacing w:after="240" w:line="360" w:lineRule="auto"/>
        <w:jc w:val="both"/>
        <w:rPr>
          <w:rFonts w:ascii="Arial" w:eastAsia="Times New Roman" w:hAnsi="Arial" w:cs="Arial"/>
          <w:sz w:val="24"/>
          <w:szCs w:val="24"/>
          <w:lang w:eastAsia="en-GB"/>
        </w:rPr>
      </w:pPr>
      <w:r w:rsidRPr="007C010F">
        <w:rPr>
          <w:rFonts w:ascii="Arial" w:eastAsia="Times New Roman" w:hAnsi="Arial" w:cs="Arial"/>
          <w:sz w:val="24"/>
          <w:szCs w:val="24"/>
          <w:lang w:eastAsia="en-GB"/>
        </w:rPr>
        <w:t>Summing up, the Diamond Model by Porter has shown that the automotive industry in Japan is successful because of the harmonious combination of the factor conditions, advanced demand, the developed industries, intense competition on the domestic market, and the active governmental policy. Other companies such as Toyota are examples of companies that exploit these national advantages, but the model emphasizes that it is not a company, but an industry, whe</w:t>
      </w:r>
      <w:r>
        <w:rPr>
          <w:rFonts w:ascii="Arial" w:eastAsia="Times New Roman" w:hAnsi="Arial" w:cs="Arial"/>
          <w:sz w:val="24"/>
          <w:szCs w:val="24"/>
          <w:lang w:eastAsia="en-GB"/>
        </w:rPr>
        <w:t>re competitiveness can be found</w:t>
      </w:r>
      <w:r w:rsidR="00542270">
        <w:rPr>
          <w:rFonts w:ascii="Arial" w:eastAsia="Times New Roman" w:hAnsi="Arial" w:cs="Arial"/>
          <w:sz w:val="24"/>
          <w:szCs w:val="24"/>
          <w:lang w:eastAsia="en-GB"/>
        </w:rPr>
        <w:t>.</w:t>
      </w:r>
    </w:p>
    <w:p w14:paraId="281F1A78" w14:textId="5A58C046" w:rsidR="00041B1D" w:rsidRPr="00041B1D" w:rsidRDefault="00041B1D" w:rsidP="00177B83">
      <w:pPr>
        <w:pStyle w:val="Heading1"/>
        <w:rPr>
          <w:rFonts w:eastAsia="Times New Roman"/>
          <w:lang w:eastAsia="en-GB"/>
        </w:rPr>
      </w:pPr>
      <w:bookmarkStart w:id="20" w:name="_Toc226065003"/>
      <w:r w:rsidRPr="00041B1D">
        <w:rPr>
          <w:rFonts w:eastAsia="Times New Roman"/>
          <w:lang w:eastAsia="en-GB"/>
        </w:rPr>
        <w:t>4. Toyota Analysis</w:t>
      </w:r>
      <w:bookmarkEnd w:id="20"/>
      <w:r w:rsidRPr="00041B1D">
        <w:rPr>
          <w:rFonts w:eastAsia="Times New Roman"/>
          <w:lang w:eastAsia="en-GB"/>
        </w:rPr>
        <w:t xml:space="preserve"> </w:t>
      </w:r>
    </w:p>
    <w:p w14:paraId="0019244E" w14:textId="47169868" w:rsidR="002A0E06" w:rsidRPr="00177B83" w:rsidRDefault="002A0E06" w:rsidP="00177B83">
      <w:pPr>
        <w:pStyle w:val="Heading2"/>
        <w:rPr>
          <w:rFonts w:eastAsia="Times New Roman"/>
          <w:lang w:eastAsia="en-GB"/>
        </w:rPr>
      </w:pPr>
      <w:bookmarkStart w:id="21" w:name="_Toc226065004"/>
      <w:r w:rsidRPr="002A0E06">
        <w:rPr>
          <w:rFonts w:eastAsia="Times New Roman"/>
          <w:lang w:eastAsia="en-GB"/>
        </w:rPr>
        <w:t>4.1 Overview of Toyota</w:t>
      </w:r>
      <w:bookmarkEnd w:id="21"/>
    </w:p>
    <w:p w14:paraId="11B7B07B" w14:textId="0EBBA3BA"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Toyota Motor Corporation is the biggest automaker in the world in terms of production volume and one of the most valuable automotive brands in the world based on its value (Johnson &amp; Turner, 2022). Toyota, with its operations in more than 170 countries, has expanded its operations to be the global industry player with millions of cars produced every year in various markets segments such as passenger cars, commercial, and luxury. </w:t>
      </w:r>
    </w:p>
    <w:p w14:paraId="6A02074A" w14:textId="493D4FA5"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One of the pillars of Toyota success is the Toyota Production System (TPS) that is the so-called gold standard of lean manufacturing. TPS focuses on the aspects of just-in-time manufacturing, the removal of waste, and continuous improvement (Kaizen), which enables the company to reach a high level of efficiency, lower the costs of working, and preserve the quality of the product (Sato, 2023).</w:t>
      </w:r>
    </w:p>
    <w:p w14:paraId="778A53DB" w14:textId="08844A19"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In addition to TPS, Toyota has its emphasis on lean manufacturing which has ensured that all the steps of production process are lean. Through the reduction of stocks, the optimization of processes, and a supportive integration between suppliers, Toyota is flexible and robust in its operations, which can promptly respond to the change in demand or the supply chain breakdowns (Kobayashi, 2022). </w:t>
      </w:r>
    </w:p>
    <w:p w14:paraId="547DD334" w14:textId="1F83CE85"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In recap, the world dominance of Toyota will be through a blend of effective production technology, lean manufacturing, and technical innovation especially in hybrid and alternative fuel vehicles. All these elements guarantee the further development of Toyota, its good brand image, and the possibility to stay on the top of the automotive industry in the market that is growing more competitive and influenced by environmental concerns (Johns</w:t>
      </w:r>
      <w:r w:rsidR="00177B83">
        <w:rPr>
          <w:rFonts w:ascii="Arial" w:eastAsia="Times New Roman" w:hAnsi="Arial" w:cs="Arial"/>
          <w:sz w:val="24"/>
          <w:szCs w:val="24"/>
          <w:lang w:eastAsia="en-GB"/>
        </w:rPr>
        <w:t>on &amp; Turner, 2022; Sato, 2023).</w:t>
      </w:r>
    </w:p>
    <w:p w14:paraId="2E1E6DBD" w14:textId="7AB0C45C" w:rsidR="002A0E06" w:rsidRPr="00177B83" w:rsidRDefault="002A0E06" w:rsidP="00177B83">
      <w:pPr>
        <w:pStyle w:val="Heading2"/>
        <w:rPr>
          <w:rFonts w:eastAsia="Times New Roman"/>
          <w:lang w:eastAsia="en-GB"/>
        </w:rPr>
      </w:pPr>
      <w:bookmarkStart w:id="22" w:name="_Toc226065005"/>
      <w:r w:rsidRPr="002A0E06">
        <w:rPr>
          <w:rFonts w:eastAsia="Times New Roman"/>
          <w:lang w:eastAsia="en-GB"/>
        </w:rPr>
        <w:t>4.2 PESTLE Analysis</w:t>
      </w:r>
      <w:bookmarkEnd w:id="22"/>
    </w:p>
    <w:p w14:paraId="546D87D3" w14:textId="7A34CB9A" w:rsidR="003206C2" w:rsidRPr="00177B83" w:rsidRDefault="002A0E06" w:rsidP="00177B83">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A PESTLE analysis is a broad discussion of the macro-environment factors that have an impact on Toyota Motor Corporation. It is essential to know these external factors in order to understand and discover opportunities, reduce risks and remain competitive in the automotive industry.</w:t>
      </w:r>
    </w:p>
    <w:p w14:paraId="06A5758A" w14:textId="3F98C218" w:rsidR="00177B83" w:rsidRPr="00177B83" w:rsidRDefault="00177B83" w:rsidP="00177B83">
      <w:pPr>
        <w:pStyle w:val="Caption"/>
        <w:keepNext/>
        <w:rPr>
          <w:rFonts w:ascii="Arial" w:hAnsi="Arial" w:cs="Arial"/>
          <w:sz w:val="24"/>
        </w:rPr>
      </w:pPr>
      <w:bookmarkStart w:id="23" w:name="_Toc226065021"/>
      <w:r w:rsidRPr="00177B83">
        <w:rPr>
          <w:rFonts w:ascii="Arial" w:hAnsi="Arial" w:cs="Arial"/>
          <w:sz w:val="24"/>
        </w:rPr>
        <w:t xml:space="preserve">Table </w:t>
      </w:r>
      <w:r w:rsidRPr="00177B83">
        <w:rPr>
          <w:rFonts w:ascii="Arial" w:hAnsi="Arial" w:cs="Arial"/>
          <w:sz w:val="24"/>
        </w:rPr>
        <w:fldChar w:fldCharType="begin"/>
      </w:r>
      <w:r w:rsidRPr="00177B83">
        <w:rPr>
          <w:rFonts w:ascii="Arial" w:hAnsi="Arial" w:cs="Arial"/>
          <w:sz w:val="24"/>
        </w:rPr>
        <w:instrText xml:space="preserve"> SEQ Table \* ARABIC </w:instrText>
      </w:r>
      <w:r w:rsidRPr="00177B83">
        <w:rPr>
          <w:rFonts w:ascii="Arial" w:hAnsi="Arial" w:cs="Arial"/>
          <w:sz w:val="24"/>
        </w:rPr>
        <w:fldChar w:fldCharType="separate"/>
      </w:r>
      <w:r w:rsidR="00A7031E">
        <w:rPr>
          <w:rFonts w:ascii="Arial" w:hAnsi="Arial" w:cs="Arial"/>
          <w:noProof/>
          <w:sz w:val="24"/>
        </w:rPr>
        <w:t>4</w:t>
      </w:r>
      <w:r w:rsidRPr="00177B83">
        <w:rPr>
          <w:rFonts w:ascii="Arial" w:hAnsi="Arial" w:cs="Arial"/>
          <w:sz w:val="24"/>
        </w:rPr>
        <w:fldChar w:fldCharType="end"/>
      </w:r>
      <w:r w:rsidRPr="00177B83">
        <w:rPr>
          <w:rFonts w:ascii="Arial" w:hAnsi="Arial" w:cs="Arial"/>
          <w:sz w:val="24"/>
        </w:rPr>
        <w:t>.PESTLE Analysis</w:t>
      </w:r>
      <w:bookmarkEnd w:id="23"/>
    </w:p>
    <w:tbl>
      <w:tblPr>
        <w:tblStyle w:val="TableGrid"/>
        <w:tblW w:w="0" w:type="auto"/>
        <w:tblLook w:val="04A0" w:firstRow="1" w:lastRow="0" w:firstColumn="1" w:lastColumn="0" w:noHBand="0" w:noVBand="1"/>
      </w:tblPr>
      <w:tblGrid>
        <w:gridCol w:w="4675"/>
        <w:gridCol w:w="4675"/>
      </w:tblGrid>
      <w:tr w:rsidR="003206C2" w:rsidRPr="003206C2" w14:paraId="2E4380B4" w14:textId="77777777" w:rsidTr="003206C2">
        <w:tc>
          <w:tcPr>
            <w:tcW w:w="4675" w:type="dxa"/>
          </w:tcPr>
          <w:p w14:paraId="42083E76" w14:textId="77777777" w:rsidR="003206C2" w:rsidRPr="003206C2" w:rsidRDefault="003206C2" w:rsidP="00E06E93">
            <w:pPr>
              <w:spacing w:before="240" w:line="360" w:lineRule="auto"/>
              <w:jc w:val="both"/>
              <w:rPr>
                <w:rFonts w:ascii="Arial" w:eastAsia="Times New Roman" w:hAnsi="Arial" w:cs="Arial"/>
                <w:b/>
                <w:sz w:val="24"/>
                <w:szCs w:val="24"/>
                <w:lang w:eastAsia="en-GB"/>
              </w:rPr>
            </w:pPr>
            <w:r w:rsidRPr="003206C2">
              <w:rPr>
                <w:rFonts w:ascii="Arial" w:eastAsia="Times New Roman" w:hAnsi="Arial" w:cs="Arial"/>
                <w:b/>
                <w:sz w:val="24"/>
                <w:szCs w:val="24"/>
                <w:lang w:eastAsia="en-GB"/>
              </w:rPr>
              <w:t>Factor</w:t>
            </w:r>
          </w:p>
        </w:tc>
        <w:tc>
          <w:tcPr>
            <w:tcW w:w="4675" w:type="dxa"/>
          </w:tcPr>
          <w:p w14:paraId="5151129A" w14:textId="77777777" w:rsidR="003206C2" w:rsidRPr="003206C2" w:rsidRDefault="003206C2" w:rsidP="00E06E93">
            <w:pPr>
              <w:spacing w:before="240" w:line="360" w:lineRule="auto"/>
              <w:jc w:val="both"/>
              <w:rPr>
                <w:rFonts w:ascii="Arial" w:eastAsia="Times New Roman" w:hAnsi="Arial" w:cs="Arial"/>
                <w:b/>
                <w:sz w:val="24"/>
                <w:szCs w:val="24"/>
                <w:lang w:eastAsia="en-GB"/>
              </w:rPr>
            </w:pPr>
            <w:r w:rsidRPr="003206C2">
              <w:rPr>
                <w:rFonts w:ascii="Arial" w:eastAsia="Times New Roman" w:hAnsi="Arial" w:cs="Arial"/>
                <w:b/>
                <w:sz w:val="24"/>
                <w:szCs w:val="24"/>
                <w:lang w:eastAsia="en-GB"/>
              </w:rPr>
              <w:t>Impact on Toyota</w:t>
            </w:r>
          </w:p>
        </w:tc>
      </w:tr>
      <w:tr w:rsidR="003206C2" w:rsidRPr="003206C2" w14:paraId="2237E2A8" w14:textId="77777777" w:rsidTr="003206C2">
        <w:tc>
          <w:tcPr>
            <w:tcW w:w="4675" w:type="dxa"/>
          </w:tcPr>
          <w:p w14:paraId="6EAD3C4D"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Political</w:t>
            </w:r>
          </w:p>
        </w:tc>
        <w:tc>
          <w:tcPr>
            <w:tcW w:w="4675" w:type="dxa"/>
          </w:tcPr>
          <w:p w14:paraId="06EF37AF"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Stable environment</w:t>
            </w:r>
          </w:p>
        </w:tc>
      </w:tr>
      <w:tr w:rsidR="003206C2" w:rsidRPr="003206C2" w14:paraId="1FCF5D42" w14:textId="77777777" w:rsidTr="003206C2">
        <w:tc>
          <w:tcPr>
            <w:tcW w:w="4675" w:type="dxa"/>
          </w:tcPr>
          <w:p w14:paraId="54FF15B4"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Economic</w:t>
            </w:r>
          </w:p>
        </w:tc>
        <w:tc>
          <w:tcPr>
            <w:tcW w:w="4675" w:type="dxa"/>
          </w:tcPr>
          <w:p w14:paraId="58F08FF4"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Slow growth market</w:t>
            </w:r>
          </w:p>
        </w:tc>
      </w:tr>
      <w:tr w:rsidR="003206C2" w:rsidRPr="003206C2" w14:paraId="3CBE368B" w14:textId="77777777" w:rsidTr="003206C2">
        <w:tc>
          <w:tcPr>
            <w:tcW w:w="4675" w:type="dxa"/>
          </w:tcPr>
          <w:p w14:paraId="713969BE"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Social</w:t>
            </w:r>
          </w:p>
        </w:tc>
        <w:tc>
          <w:tcPr>
            <w:tcW w:w="4675" w:type="dxa"/>
          </w:tcPr>
          <w:p w14:paraId="429A83C7"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Aging population</w:t>
            </w:r>
          </w:p>
        </w:tc>
      </w:tr>
      <w:tr w:rsidR="003206C2" w:rsidRPr="003206C2" w14:paraId="6D487932" w14:textId="77777777" w:rsidTr="003206C2">
        <w:tc>
          <w:tcPr>
            <w:tcW w:w="4675" w:type="dxa"/>
          </w:tcPr>
          <w:p w14:paraId="683F56BF"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Technological</w:t>
            </w:r>
          </w:p>
        </w:tc>
        <w:tc>
          <w:tcPr>
            <w:tcW w:w="4675" w:type="dxa"/>
          </w:tcPr>
          <w:p w14:paraId="60EFDEF0"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Innovation advantage</w:t>
            </w:r>
          </w:p>
        </w:tc>
      </w:tr>
      <w:tr w:rsidR="003206C2" w:rsidRPr="003206C2" w14:paraId="6401FC7C" w14:textId="77777777" w:rsidTr="003206C2">
        <w:tc>
          <w:tcPr>
            <w:tcW w:w="4675" w:type="dxa"/>
          </w:tcPr>
          <w:p w14:paraId="105E7578"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Legal</w:t>
            </w:r>
          </w:p>
        </w:tc>
        <w:tc>
          <w:tcPr>
            <w:tcW w:w="4675" w:type="dxa"/>
          </w:tcPr>
          <w:p w14:paraId="12CD2B47"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Strict safety laws</w:t>
            </w:r>
          </w:p>
        </w:tc>
      </w:tr>
      <w:tr w:rsidR="003206C2" w:rsidRPr="003206C2" w14:paraId="1B39F3C8" w14:textId="77777777" w:rsidTr="003206C2">
        <w:tc>
          <w:tcPr>
            <w:tcW w:w="4675" w:type="dxa"/>
          </w:tcPr>
          <w:p w14:paraId="3B401C01"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Environmental</w:t>
            </w:r>
          </w:p>
        </w:tc>
        <w:tc>
          <w:tcPr>
            <w:tcW w:w="4675" w:type="dxa"/>
          </w:tcPr>
          <w:p w14:paraId="257F2EFA" w14:textId="77777777" w:rsidR="003206C2" w:rsidRPr="003206C2" w:rsidRDefault="003206C2" w:rsidP="00E06E93">
            <w:pPr>
              <w:spacing w:before="240" w:line="360" w:lineRule="auto"/>
              <w:jc w:val="both"/>
              <w:rPr>
                <w:rFonts w:ascii="Arial" w:eastAsia="Times New Roman" w:hAnsi="Arial" w:cs="Arial"/>
                <w:sz w:val="24"/>
                <w:szCs w:val="24"/>
                <w:lang w:eastAsia="en-GB"/>
              </w:rPr>
            </w:pPr>
            <w:r w:rsidRPr="003206C2">
              <w:rPr>
                <w:rFonts w:ascii="Arial" w:eastAsia="Times New Roman" w:hAnsi="Arial" w:cs="Arial"/>
                <w:sz w:val="24"/>
                <w:szCs w:val="24"/>
                <w:lang w:eastAsia="en-GB"/>
              </w:rPr>
              <w:t>EV pressure</w:t>
            </w:r>
          </w:p>
        </w:tc>
      </w:tr>
    </w:tbl>
    <w:p w14:paraId="0A189BF8" w14:textId="6CD068B5" w:rsidR="002A0E06" w:rsidRPr="00685AE2" w:rsidRDefault="00685AE2" w:rsidP="002A0E06">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Political Factors</w:t>
      </w:r>
    </w:p>
    <w:p w14:paraId="3DD0D858" w14:textId="4BD55850" w:rsidR="00E14A21"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Japan also has a stable political system, which is very favourable to the activities of Toyota. The policies of the government promote innovations, exports, and technological changes in the automotive industry (Tanaka, 2022). The trade agreements e.g. Japan-EU Economic Partnership have made an easy access to the international markets contributing to the spread of the Toyota presence worldwide. Furthermore, the hybrid and hydrogen vehicles are boosted by government subsidies, which improves the strategic orientation of Toyota on mobility products that are environmentally friendly. (Matsumoto,</w:t>
      </w:r>
      <w:r w:rsidR="00685AE2">
        <w:rPr>
          <w:rFonts w:ascii="Arial" w:eastAsia="Times New Roman" w:hAnsi="Arial" w:cs="Arial"/>
          <w:sz w:val="24"/>
          <w:szCs w:val="24"/>
          <w:lang w:eastAsia="en-GB"/>
        </w:rPr>
        <w:t xml:space="preserve"> 2023).</w:t>
      </w:r>
    </w:p>
    <w:p w14:paraId="24A4D6CE" w14:textId="04E7D43C" w:rsidR="002A0E06" w:rsidRPr="00685AE2" w:rsidRDefault="00685AE2" w:rsidP="002A0E06">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Economic Factors</w:t>
      </w:r>
    </w:p>
    <w:p w14:paraId="144A8FFF" w14:textId="2C8F10A1"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The economy of Japan has grown slowly in the last ten years thus affecting the domestic vehicle sales and consumer spending </w:t>
      </w:r>
      <w:proofErr w:type="spellStart"/>
      <w:r w:rsidRPr="002A0E06">
        <w:rPr>
          <w:rFonts w:ascii="Arial" w:eastAsia="Times New Roman" w:hAnsi="Arial" w:cs="Arial"/>
          <w:sz w:val="24"/>
          <w:szCs w:val="24"/>
          <w:lang w:eastAsia="en-GB"/>
        </w:rPr>
        <w:t>behavior</w:t>
      </w:r>
      <w:proofErr w:type="spellEnd"/>
      <w:r w:rsidRPr="002A0E06">
        <w:rPr>
          <w:rFonts w:ascii="Arial" w:eastAsia="Times New Roman" w:hAnsi="Arial" w:cs="Arial"/>
          <w:sz w:val="24"/>
          <w:szCs w:val="24"/>
          <w:lang w:eastAsia="en-GB"/>
        </w:rPr>
        <w:t xml:space="preserve">. Nonetheless, the diversification of Toyota operations across the world helps it in mitigating the risks related to low domestic demand. The company uses the emerging markets whereby the increasing income and urbanisation are driving vehicle ownership (Suzuki, 2021). Besides, the profitability may also be affected by the changing currency exchange rates since Toyota has a big export business. </w:t>
      </w:r>
    </w:p>
    <w:p w14:paraId="34EE0447" w14:textId="1BA6A75D" w:rsidR="002A0E06" w:rsidRPr="00685AE2" w:rsidRDefault="00685AE2" w:rsidP="002A0E06">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Social Factors</w:t>
      </w:r>
    </w:p>
    <w:p w14:paraId="3407DA67" w14:textId="1F54DCDA"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Japan has a population that is rapidly aging with its implication to the demand of vehicle and labour supply. The elderly might be interested in smaller and fuel-efficient cars, self-driving news, or mobility options that are adjusted to the needs of accessibility (Fujimoto, 2022). The labour issues such as labour scarcity in the manufacturing sector limit the activities of Toyota and force the company to invest in automation, robotics, and training of employees. </w:t>
      </w:r>
    </w:p>
    <w:p w14:paraId="71DF7533" w14:textId="716F2C65" w:rsidR="002A0E06" w:rsidRPr="00685AE2" w:rsidRDefault="00685AE2" w:rsidP="002A0E06">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Technological Factors</w:t>
      </w:r>
    </w:p>
    <w:p w14:paraId="2D531A03" w14:textId="5E0D209D"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Toyota has a good innovation edge in the hybrid technology, hydrogen fuel cells, and high-tech manufacturing systems. The focus on R&amp;D helps the company to create the innovative vehicles that would meet the high global emission standards (Yamamoto, 2024). Another area that Toyota is addressing is autonomous driving, connected cars, and AI-driven manufacturing, where the products in the market and the operations are improved. </w:t>
      </w:r>
    </w:p>
    <w:p w14:paraId="3C3D7EF9" w14:textId="75D4A820" w:rsidR="002A0E06" w:rsidRPr="00685AE2" w:rsidRDefault="00685AE2" w:rsidP="002A0E06">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Legal Factors</w:t>
      </w:r>
    </w:p>
    <w:p w14:paraId="22880909" w14:textId="70A39978"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Toyota is working in a very controlled environment where there </w:t>
      </w:r>
      <w:r w:rsidR="00E14A21" w:rsidRPr="002A0E06">
        <w:rPr>
          <w:rFonts w:ascii="Arial" w:eastAsia="Times New Roman" w:hAnsi="Arial" w:cs="Arial"/>
          <w:sz w:val="24"/>
          <w:szCs w:val="24"/>
          <w:lang w:eastAsia="en-GB"/>
        </w:rPr>
        <w:t>is</w:t>
      </w:r>
      <w:r w:rsidRPr="002A0E06">
        <w:rPr>
          <w:rFonts w:ascii="Arial" w:eastAsia="Times New Roman" w:hAnsi="Arial" w:cs="Arial"/>
          <w:sz w:val="24"/>
          <w:szCs w:val="24"/>
          <w:lang w:eastAsia="en-GB"/>
        </w:rPr>
        <w:t xml:space="preserve"> stringent safety, environmental and emission regulations in its major markets. Adherence to the safety measures, crash-test, and emission standards is paramount to prevent the legal liability, recall, and reputational losses (Kobayashi, 2023). </w:t>
      </w:r>
    </w:p>
    <w:p w14:paraId="48183734" w14:textId="2C71DDB9" w:rsidR="002A0E06" w:rsidRPr="00685AE2" w:rsidRDefault="00685AE2" w:rsidP="002A0E06">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Environmental Factors</w:t>
      </w:r>
    </w:p>
    <w:p w14:paraId="0850A715" w14:textId="1B563900" w:rsidR="002A0E06" w:rsidRPr="002A0E06" w:rsidRDefault="002A0E06" w:rsidP="002A0E06">
      <w:pPr>
        <w:spacing w:before="240" w:line="360" w:lineRule="auto"/>
        <w:jc w:val="both"/>
        <w:rPr>
          <w:rFonts w:ascii="Arial" w:eastAsia="Times New Roman" w:hAnsi="Arial" w:cs="Arial"/>
          <w:sz w:val="24"/>
          <w:szCs w:val="24"/>
          <w:lang w:eastAsia="en-GB"/>
        </w:rPr>
      </w:pPr>
      <w:r w:rsidRPr="002A0E06">
        <w:rPr>
          <w:rFonts w:ascii="Arial" w:eastAsia="Times New Roman" w:hAnsi="Arial" w:cs="Arial"/>
          <w:sz w:val="24"/>
          <w:szCs w:val="24"/>
          <w:lang w:eastAsia="en-GB"/>
        </w:rPr>
        <w:t xml:space="preserve">Green issues put more and more pressure on Toyota to accelerate EV uptake and sustainable mobility solutions. The increased sensitivity of climate change, emissions standards and the need to be carbon neutral across the world have motivated Toyota to pursue hybrid, electric and hydrogen powered vehicles. The production of eco-friendly materials and recycling as well as investment in renewable energy in the form of production plants are also another way of Toyota showing that it cares about sustainability (Tanaka, 2022). </w:t>
      </w:r>
    </w:p>
    <w:p w14:paraId="3CF24D62" w14:textId="5915FF63" w:rsidR="00041B1D" w:rsidRDefault="00685AE2" w:rsidP="002A0E06">
      <w:pPr>
        <w:spacing w:before="240" w:line="360" w:lineRule="auto"/>
        <w:jc w:val="both"/>
        <w:rPr>
          <w:rFonts w:ascii="Arial" w:eastAsia="Times New Roman" w:hAnsi="Arial" w:cs="Arial"/>
          <w:sz w:val="24"/>
          <w:szCs w:val="24"/>
          <w:lang w:eastAsia="en-GB"/>
        </w:rPr>
      </w:pPr>
      <w:r>
        <w:rPr>
          <w:rFonts w:ascii="Arial" w:eastAsia="Times New Roman" w:hAnsi="Arial" w:cs="Arial"/>
          <w:b/>
          <w:sz w:val="24"/>
          <w:szCs w:val="24"/>
          <w:lang w:eastAsia="en-GB"/>
        </w:rPr>
        <w:t xml:space="preserve">Conclusion: </w:t>
      </w:r>
      <w:r w:rsidR="002A0E06" w:rsidRPr="002A0E06">
        <w:rPr>
          <w:rFonts w:ascii="Arial" w:eastAsia="Times New Roman" w:hAnsi="Arial" w:cs="Arial"/>
          <w:sz w:val="24"/>
          <w:szCs w:val="24"/>
          <w:lang w:eastAsia="en-GB"/>
        </w:rPr>
        <w:t xml:space="preserve">The PESTLE analysis of Toyota has indicated an amalgamation of opportunities and threats in the external environment. There is a good base of political stability and technological capabilities, and economic stagnation and demographic changes need strategic changes. Legal regulation and environmental pressure enhance innovation and </w:t>
      </w:r>
      <w:r w:rsidRPr="002A0E06">
        <w:rPr>
          <w:rFonts w:ascii="Arial" w:eastAsia="Times New Roman" w:hAnsi="Arial" w:cs="Arial"/>
          <w:sz w:val="24"/>
          <w:szCs w:val="24"/>
          <w:lang w:eastAsia="en-GB"/>
        </w:rPr>
        <w:t>sustainability;</w:t>
      </w:r>
      <w:r w:rsidR="002A0E06" w:rsidRPr="002A0E06">
        <w:rPr>
          <w:rFonts w:ascii="Arial" w:eastAsia="Times New Roman" w:hAnsi="Arial" w:cs="Arial"/>
          <w:sz w:val="24"/>
          <w:szCs w:val="24"/>
          <w:lang w:eastAsia="en-GB"/>
        </w:rPr>
        <w:t xml:space="preserve"> thus Toyota will be competitive in the global automotive market in the long-term. These macro factors also allow Toyota to ensure its strategies are in line with external conditions, which helps to maintain the role of an industry leader (Fujimoto, 2022; Yamamoto, 2024).</w:t>
      </w:r>
    </w:p>
    <w:p w14:paraId="6714EDE2" w14:textId="7D4888A1" w:rsidR="009D320A" w:rsidRPr="009D320A" w:rsidRDefault="009D320A" w:rsidP="009D320A">
      <w:pPr>
        <w:pStyle w:val="Heading2"/>
        <w:rPr>
          <w:rFonts w:eastAsia="Times New Roman"/>
          <w:lang w:eastAsia="en-GB"/>
        </w:rPr>
      </w:pPr>
      <w:bookmarkStart w:id="24" w:name="_Toc226065006"/>
      <w:r w:rsidRPr="009D320A">
        <w:rPr>
          <w:rFonts w:eastAsia="Times New Roman"/>
          <w:lang w:eastAsia="en-GB"/>
        </w:rPr>
        <w:t>4.3 Key Success Factors</w:t>
      </w:r>
      <w:bookmarkEnd w:id="24"/>
    </w:p>
    <w:p w14:paraId="2446AAD9" w14:textId="6B15D514"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The success of Toyota globally is supported by a number of success factors that make it stand out of competition and further support its domina</w:t>
      </w:r>
      <w:r>
        <w:rPr>
          <w:rFonts w:ascii="Arial" w:eastAsia="Times New Roman" w:hAnsi="Arial" w:cs="Arial"/>
          <w:sz w:val="24"/>
          <w:szCs w:val="24"/>
          <w:lang w:eastAsia="en-GB"/>
        </w:rPr>
        <w:t>nce in the automotive industry.</w:t>
      </w:r>
    </w:p>
    <w:p w14:paraId="30997A6E" w14:textId="21DA40C0" w:rsidR="009D320A" w:rsidRPr="009D320A" w:rsidRDefault="009D320A" w:rsidP="009D320A">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Strong Brand</w:t>
      </w:r>
    </w:p>
    <w:p w14:paraId="01EF8A90" w14:textId="5DA739E1" w:rsidR="005A5FB9"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 xml:space="preserve">The company has built a solid and reputable brand, Toyota, which is characterized by reliability, durability and value. Its quality and a consistent level of performance increases customer loyalty and makes it able to charge high prices in numerous markets (Hirano, 2022). The brand name is linked closely with environmental responsibility, which is mostly because of the popularity of Prius, the first hybrid car in the world produced in the mass market. </w:t>
      </w:r>
    </w:p>
    <w:p w14:paraId="31F64209" w14:textId="0BC5F816" w:rsidR="009D320A" w:rsidRPr="009D320A" w:rsidRDefault="009D320A" w:rsidP="009D320A">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Innovation Capability</w:t>
      </w:r>
    </w:p>
    <w:p w14:paraId="4D86EEE4" w14:textId="0813B9CC"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The Toyota competitive strategy employs the central element of innovation. The company has initiated innovation in the field of hybrid technology, hydrogen fuel cells and improved technology in the manufacturing process. The case of the Toyota Production System (TPS) is an example of innovation in operational efficiency with the focus on lean production, just-in-time inventory, and constant improvement (kaizen) (Fujimoto, 2022). Moreover, Toyota spends a significant amount of money on R&amp;D to study autonomous vehicles, connected technology, and new-generation energy solutions, and is at the front of the technological advancement in the automotive industry (Yamamoto, 2024).</w:t>
      </w:r>
    </w:p>
    <w:p w14:paraId="07B2BEAE" w14:textId="3B9BB734" w:rsidR="009D320A" w:rsidRPr="009D320A" w:rsidRDefault="009D320A" w:rsidP="009D320A">
      <w:p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Efficien</w:t>
      </w:r>
      <w:r>
        <w:rPr>
          <w:rFonts w:ascii="Arial" w:eastAsia="Times New Roman" w:hAnsi="Arial" w:cs="Arial"/>
          <w:b/>
          <w:sz w:val="24"/>
          <w:szCs w:val="24"/>
          <w:lang w:eastAsia="en-GB"/>
        </w:rPr>
        <w:t>t Supply Chain</w:t>
      </w:r>
    </w:p>
    <w:p w14:paraId="7E272321" w14:textId="78BC1021"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Another key success factor at Toyota is its effective and robust supply chain. The company has a good rapport with the suppliers and therefore high quality components are delivered in good time. Its lean production model saves on wastes and maximizes on costs, which enables Toyota to react swiftly to the market needs (Kobayashi, 2023). Toyota supply chain strategies, including regionalisation, inventory management, would allow it to preserve production during the global disruption, even in the case of the COVID-19 pandemic, in co</w:t>
      </w:r>
      <w:r>
        <w:rPr>
          <w:rFonts w:ascii="Arial" w:eastAsia="Times New Roman" w:hAnsi="Arial" w:cs="Arial"/>
          <w:sz w:val="24"/>
          <w:szCs w:val="24"/>
          <w:lang w:eastAsia="en-GB"/>
        </w:rPr>
        <w:t>mparison with many competitors.</w:t>
      </w:r>
    </w:p>
    <w:p w14:paraId="2ABFFB69" w14:textId="3CC8A708" w:rsidR="009D320A" w:rsidRPr="009D320A" w:rsidRDefault="009D320A" w:rsidP="009D320A">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Global Presence</w:t>
      </w:r>
    </w:p>
    <w:p w14:paraId="408D9975" w14:textId="6D5BC088"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Toyota is a firm with an established international presence, as the company operates more than 27 manufacturing plants and has its sales networks in more than 170 markets (Tanaka, 2022). This global presence reduces the risk of revenue streams and risks related to fluctuations in the domestic market. The expansion all over the world also enables the transfer of knowledge, best practice, and brand recognition in the main automotive markets, both the developed ones and the growing ones, with the</w:t>
      </w:r>
      <w:r>
        <w:rPr>
          <w:rFonts w:ascii="Arial" w:eastAsia="Times New Roman" w:hAnsi="Arial" w:cs="Arial"/>
          <w:sz w:val="24"/>
          <w:szCs w:val="24"/>
          <w:lang w:eastAsia="en-GB"/>
        </w:rPr>
        <w:t xml:space="preserve"> increasing demand of vehicles.</w:t>
      </w:r>
    </w:p>
    <w:p w14:paraId="2238B7CD" w14:textId="24B3DF95" w:rsidR="009D320A" w:rsidRPr="009D320A" w:rsidRDefault="009D320A" w:rsidP="009D320A">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Conclusion: </w:t>
      </w:r>
      <w:r w:rsidRPr="009D320A">
        <w:rPr>
          <w:rFonts w:ascii="Arial" w:eastAsia="Times New Roman" w:hAnsi="Arial" w:cs="Arial"/>
          <w:sz w:val="24"/>
          <w:szCs w:val="24"/>
          <w:lang w:eastAsia="en-GB"/>
        </w:rPr>
        <w:t>These strength points such as the strength of the brand, innovation ability, efficient supply chain, and global coverage produce a strong competitive edge. Collectively, they help Toyota to remain the leader on the market, resist the external forces, and continue the long-term development in the ever-competitive and technologically evolving automobile market.</w:t>
      </w:r>
    </w:p>
    <w:p w14:paraId="74EFE632" w14:textId="77777777" w:rsidR="009D320A" w:rsidRPr="009D320A" w:rsidRDefault="009D320A" w:rsidP="009D320A">
      <w:pPr>
        <w:pStyle w:val="Heading2"/>
        <w:rPr>
          <w:rFonts w:eastAsia="Times New Roman"/>
          <w:lang w:eastAsia="en-GB"/>
        </w:rPr>
      </w:pPr>
      <w:bookmarkStart w:id="25" w:name="_Toc226065007"/>
      <w:r w:rsidRPr="009D320A">
        <w:rPr>
          <w:rFonts w:eastAsia="Times New Roman"/>
          <w:lang w:eastAsia="en-GB"/>
        </w:rPr>
        <w:t>4.4 Challenges &amp; Opportunities</w:t>
      </w:r>
      <w:bookmarkEnd w:id="25"/>
    </w:p>
    <w:p w14:paraId="325F0B3E" w14:textId="77777777" w:rsidR="009D320A" w:rsidRPr="009D320A" w:rsidRDefault="009D320A" w:rsidP="009D320A">
      <w:p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Challenges</w:t>
      </w:r>
    </w:p>
    <w:p w14:paraId="28987452" w14:textId="39E97D59" w:rsidR="009D320A" w:rsidRPr="009D320A" w:rsidRDefault="009D320A" w:rsidP="009D320A">
      <w:pPr>
        <w:pStyle w:val="ListParagraph"/>
        <w:numPr>
          <w:ilvl w:val="0"/>
          <w:numId w:val="25"/>
        </w:num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EV Competition-</w:t>
      </w:r>
      <w:r w:rsidRPr="009D320A">
        <w:rPr>
          <w:rFonts w:ascii="Arial" w:eastAsia="Times New Roman" w:hAnsi="Arial" w:cs="Arial"/>
          <w:sz w:val="24"/>
          <w:szCs w:val="24"/>
          <w:lang w:eastAsia="en-GB"/>
        </w:rPr>
        <w:t>The emergence of electric vehicles (EVs) is a serious challenge. Other car manufacturers like Tesla and Chinese producers (BYD, NIO) are quickly catching up on market shares of battery-electric cars, sophisticated software, and competitive pricing approaches (Gupta &amp; Tanaka, 2023). The conventional emphasis of hybrids made Toyota a leader in the field of fuel efficiency, yet the company is under criticism regarding the slow pace of the transition to full EV technology, which could influence its popularity in the EV-based markets.</w:t>
      </w:r>
    </w:p>
    <w:p w14:paraId="253AB1E9" w14:textId="426A9504" w:rsidR="009D320A" w:rsidRPr="009D320A" w:rsidRDefault="009D320A" w:rsidP="009D320A">
      <w:pPr>
        <w:pStyle w:val="ListParagraph"/>
        <w:numPr>
          <w:ilvl w:val="0"/>
          <w:numId w:val="25"/>
        </w:num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Aging Population in Japan-</w:t>
      </w:r>
      <w:r w:rsidRPr="009D320A">
        <w:rPr>
          <w:rFonts w:ascii="Arial" w:eastAsia="Times New Roman" w:hAnsi="Arial" w:cs="Arial"/>
          <w:sz w:val="24"/>
          <w:szCs w:val="24"/>
          <w:lang w:eastAsia="en-GB"/>
        </w:rPr>
        <w:t xml:space="preserve">The demographic changes in Japan due to the aging group (reduced birth rate and older demographic) endanger local vehicle demand and </w:t>
      </w:r>
      <w:proofErr w:type="spellStart"/>
      <w:r w:rsidRPr="009D320A">
        <w:rPr>
          <w:rFonts w:ascii="Arial" w:eastAsia="Times New Roman" w:hAnsi="Arial" w:cs="Arial"/>
          <w:sz w:val="24"/>
          <w:szCs w:val="24"/>
          <w:lang w:eastAsia="en-GB"/>
        </w:rPr>
        <w:t>labor</w:t>
      </w:r>
      <w:proofErr w:type="spellEnd"/>
      <w:r w:rsidRPr="009D320A">
        <w:rPr>
          <w:rFonts w:ascii="Arial" w:eastAsia="Times New Roman" w:hAnsi="Arial" w:cs="Arial"/>
          <w:sz w:val="24"/>
          <w:szCs w:val="24"/>
          <w:lang w:eastAsia="en-GB"/>
        </w:rPr>
        <w:t xml:space="preserve"> supply (Fujimoto, 2022). The aging population can minimize first-time buyers of cars, which will require the company to make strategic changes, like focus on mobility solutions, self-driving cars, or models with features suited to the elderly population.</w:t>
      </w:r>
    </w:p>
    <w:p w14:paraId="2E3A376A" w14:textId="3032318D" w:rsidR="009D320A" w:rsidRPr="009D320A" w:rsidRDefault="009D320A" w:rsidP="009D320A">
      <w:pPr>
        <w:pStyle w:val="ListParagraph"/>
        <w:numPr>
          <w:ilvl w:val="0"/>
          <w:numId w:val="25"/>
        </w:num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Supply Chain Disruptions-</w:t>
      </w:r>
      <w:r w:rsidRPr="009D320A">
        <w:rPr>
          <w:rFonts w:ascii="Arial" w:eastAsia="Times New Roman" w:hAnsi="Arial" w:cs="Arial"/>
          <w:sz w:val="24"/>
          <w:szCs w:val="24"/>
          <w:lang w:eastAsia="en-GB"/>
        </w:rPr>
        <w:t>Toyota faced the problem of global supply chain volatility, such as semiconductor shortages, shipping delays, and political tensions (Kobayashi, 2023). Even though the Toyota supply chain is moderately robust, the systematic disruptions might raise expenses, postpone the introduction of new products, and the customer satisfaction.</w:t>
      </w:r>
    </w:p>
    <w:p w14:paraId="0A6CA96A" w14:textId="77777777" w:rsidR="009D320A" w:rsidRPr="009D320A" w:rsidRDefault="009D320A" w:rsidP="009D320A">
      <w:p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Opportunities</w:t>
      </w:r>
    </w:p>
    <w:p w14:paraId="31CB4717" w14:textId="2D1AC547" w:rsidR="009D320A" w:rsidRPr="009D320A" w:rsidRDefault="009D320A" w:rsidP="009D320A">
      <w:pPr>
        <w:pStyle w:val="ListParagraph"/>
        <w:numPr>
          <w:ilvl w:val="0"/>
          <w:numId w:val="26"/>
        </w:num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 xml:space="preserve">Hydrogen Vehicles- </w:t>
      </w:r>
      <w:r w:rsidRPr="009D320A">
        <w:rPr>
          <w:rFonts w:ascii="Arial" w:eastAsia="Times New Roman" w:hAnsi="Arial" w:cs="Arial"/>
          <w:sz w:val="24"/>
          <w:szCs w:val="24"/>
          <w:lang w:eastAsia="en-GB"/>
        </w:rPr>
        <w:t xml:space="preserve">Toyota stands in a good position to dominate the hydrogen fuel cell vehicles (FCVs) which has the potential of providing long-range and zero-emission mobility. The </w:t>
      </w:r>
      <w:proofErr w:type="spellStart"/>
      <w:r w:rsidRPr="009D320A">
        <w:rPr>
          <w:rFonts w:ascii="Arial" w:eastAsia="Times New Roman" w:hAnsi="Arial" w:cs="Arial"/>
          <w:sz w:val="24"/>
          <w:szCs w:val="24"/>
          <w:lang w:eastAsia="en-GB"/>
        </w:rPr>
        <w:t>Mirai</w:t>
      </w:r>
      <w:proofErr w:type="spellEnd"/>
      <w:r w:rsidRPr="009D320A">
        <w:rPr>
          <w:rFonts w:ascii="Arial" w:eastAsia="Times New Roman" w:hAnsi="Arial" w:cs="Arial"/>
          <w:sz w:val="24"/>
          <w:szCs w:val="24"/>
          <w:lang w:eastAsia="en-GB"/>
        </w:rPr>
        <w:t xml:space="preserve"> shows the level of investment of Toyota into this technology with differentiating the battery-electric competitors (Yamamoto, 2024). Further development of hydrogen infrastructure may offer a competitive edge in the market that values sustainable energy.</w:t>
      </w:r>
    </w:p>
    <w:p w14:paraId="7F9E52B9" w14:textId="6ED5FD89" w:rsidR="009D320A" w:rsidRPr="009D320A" w:rsidRDefault="009D320A" w:rsidP="009D320A">
      <w:pPr>
        <w:pStyle w:val="ListParagraph"/>
        <w:numPr>
          <w:ilvl w:val="0"/>
          <w:numId w:val="26"/>
        </w:num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 xml:space="preserve">Sustainability Leadership- </w:t>
      </w:r>
      <w:r w:rsidRPr="009D320A">
        <w:rPr>
          <w:rFonts w:ascii="Arial" w:eastAsia="Times New Roman" w:hAnsi="Arial" w:cs="Arial"/>
          <w:sz w:val="24"/>
          <w:szCs w:val="24"/>
          <w:lang w:eastAsia="en-GB"/>
        </w:rPr>
        <w:t>The challenge of environmental sustainability that has captivated the attention of the world is one of the opportunities that could be used by Toyota to capitalize on its hybrid capabilities and market its eco-friendly vehicles. The increase of green activities in production, logistics, and recycling improves the brand image and addresses the increasing regulatory requirements in Europe, North America, and Asia (Tanaka, 2022).</w:t>
      </w:r>
    </w:p>
    <w:p w14:paraId="258C0B16" w14:textId="1AA2BD57" w:rsidR="009D320A" w:rsidRPr="009D320A" w:rsidRDefault="009D320A" w:rsidP="009D320A">
      <w:pPr>
        <w:pStyle w:val="ListParagraph"/>
        <w:numPr>
          <w:ilvl w:val="0"/>
          <w:numId w:val="26"/>
        </w:numPr>
        <w:spacing w:before="240" w:line="360" w:lineRule="auto"/>
        <w:jc w:val="both"/>
        <w:rPr>
          <w:rFonts w:ascii="Arial" w:eastAsia="Times New Roman" w:hAnsi="Arial" w:cs="Arial"/>
          <w:b/>
          <w:sz w:val="24"/>
          <w:szCs w:val="24"/>
          <w:lang w:eastAsia="en-GB"/>
        </w:rPr>
      </w:pPr>
      <w:r w:rsidRPr="009D320A">
        <w:rPr>
          <w:rFonts w:ascii="Arial" w:eastAsia="Times New Roman" w:hAnsi="Arial" w:cs="Arial"/>
          <w:b/>
          <w:sz w:val="24"/>
          <w:szCs w:val="24"/>
          <w:lang w:eastAsia="en-GB"/>
        </w:rPr>
        <w:t xml:space="preserve">Growth in Emerging Markets- </w:t>
      </w:r>
      <w:r w:rsidRPr="009D320A">
        <w:rPr>
          <w:rFonts w:ascii="Arial" w:eastAsia="Times New Roman" w:hAnsi="Arial" w:cs="Arial"/>
          <w:sz w:val="24"/>
          <w:szCs w:val="24"/>
          <w:lang w:eastAsia="en-GB"/>
        </w:rPr>
        <w:t>New markets, especially in Asia, Africa and Latin America have potential of strong growth. An upsurge in incomes, township growth and the growth in the number of vehicles are some of the opportunities that Toyota can tap to boost its sales, launch low cost models and do more localized production to save on costs.</w:t>
      </w:r>
    </w:p>
    <w:p w14:paraId="59199E66" w14:textId="4A3C8CCD" w:rsidR="009D320A" w:rsidRPr="002720FC" w:rsidRDefault="009D320A" w:rsidP="009D320A">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Conclusion: </w:t>
      </w:r>
      <w:r w:rsidRPr="009D320A">
        <w:rPr>
          <w:rFonts w:ascii="Arial" w:eastAsia="Times New Roman" w:hAnsi="Arial" w:cs="Arial"/>
          <w:sz w:val="24"/>
          <w:szCs w:val="24"/>
          <w:lang w:eastAsia="en-GB"/>
        </w:rPr>
        <w:t>Although Toyota has to deal with EV competition, demographic shifts, and supply chain risks, hydrogen vehicles, sustainability programs, and new market prospects are the opportunities allowing the company to keep growing and remain competitive in the long term. These areas have to be given strategic priority to ensure that it leads in the market.</w:t>
      </w:r>
    </w:p>
    <w:p w14:paraId="65C2E1FF" w14:textId="320FE2CE" w:rsidR="009D320A" w:rsidRPr="002720FC" w:rsidRDefault="009D320A" w:rsidP="002720FC">
      <w:pPr>
        <w:pStyle w:val="Heading2"/>
        <w:rPr>
          <w:rFonts w:eastAsia="Times New Roman"/>
          <w:lang w:eastAsia="en-GB"/>
        </w:rPr>
      </w:pPr>
      <w:bookmarkStart w:id="26" w:name="_Toc226065008"/>
      <w:r w:rsidRPr="009D320A">
        <w:rPr>
          <w:rFonts w:eastAsia="Times New Roman"/>
          <w:lang w:eastAsia="en-GB"/>
        </w:rPr>
        <w:t>4.5 Critical Evaluation</w:t>
      </w:r>
      <w:bookmarkEnd w:id="26"/>
      <w:r w:rsidRPr="009D320A">
        <w:rPr>
          <w:rFonts w:eastAsia="Times New Roman"/>
          <w:lang w:eastAsia="en-GB"/>
        </w:rPr>
        <w:t xml:space="preserve"> </w:t>
      </w:r>
    </w:p>
    <w:p w14:paraId="366AD026" w14:textId="3EEC0093"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A critical analysis is used to evaluate the question of sustainability of the hybrid-centric strategy of Toyota and the question of the adequacy of the challenge in the approach the company takes towards EV adoption in the p</w:t>
      </w:r>
      <w:r w:rsidR="002720FC">
        <w:rPr>
          <w:rFonts w:ascii="Arial" w:eastAsia="Times New Roman" w:hAnsi="Arial" w:cs="Arial"/>
          <w:sz w:val="24"/>
          <w:szCs w:val="24"/>
          <w:lang w:eastAsia="en-GB"/>
        </w:rPr>
        <w:t>resent competitive environment.</w:t>
      </w:r>
    </w:p>
    <w:p w14:paraId="74C981D4" w14:textId="5D3C6255" w:rsidR="009D320A" w:rsidRPr="002720FC" w:rsidRDefault="009D320A" w:rsidP="009D320A">
      <w:pPr>
        <w:spacing w:before="240" w:line="360" w:lineRule="auto"/>
        <w:jc w:val="both"/>
        <w:rPr>
          <w:rFonts w:ascii="Arial" w:eastAsia="Times New Roman" w:hAnsi="Arial" w:cs="Arial"/>
          <w:b/>
          <w:sz w:val="24"/>
          <w:szCs w:val="24"/>
          <w:lang w:eastAsia="en-GB"/>
        </w:rPr>
      </w:pPr>
      <w:r w:rsidRPr="002720FC">
        <w:rPr>
          <w:rFonts w:ascii="Arial" w:eastAsia="Times New Roman" w:hAnsi="Arial" w:cs="Arial"/>
          <w:b/>
          <w:sz w:val="24"/>
          <w:szCs w:val="24"/>
          <w:lang w:eastAsia="en-GB"/>
        </w:rPr>
        <w:t>EV A</w:t>
      </w:r>
      <w:r w:rsidR="002720FC">
        <w:rPr>
          <w:rFonts w:ascii="Arial" w:eastAsia="Times New Roman" w:hAnsi="Arial" w:cs="Arial"/>
          <w:b/>
          <w:sz w:val="24"/>
          <w:szCs w:val="24"/>
          <w:lang w:eastAsia="en-GB"/>
        </w:rPr>
        <w:t>doption: gradual or calculated?</w:t>
      </w:r>
    </w:p>
    <w:p w14:paraId="5218F1F9" w14:textId="25DAC10F"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 xml:space="preserve">It has been noted that Toyota has lagged behind Tesla, BYD and Volkswagen in terms of battery-electric adoption. When the competitors are making fast moves in deploying EVs, Toyota focuses on hybrids and hydrogen fuel cells, due to the issue of battery infrastructure, lifecycle emissions, and technology preparedness (Gupta and Tanaka, 2023). This strategy would enable Toyota to remain profitable in the markets where the adoption </w:t>
      </w:r>
      <w:r w:rsidR="002720FC">
        <w:rPr>
          <w:rFonts w:ascii="Arial" w:eastAsia="Times New Roman" w:hAnsi="Arial" w:cs="Arial"/>
          <w:sz w:val="24"/>
          <w:szCs w:val="24"/>
          <w:lang w:eastAsia="en-GB"/>
        </w:rPr>
        <w:t>of EVs is still in its infancy.</w:t>
      </w:r>
    </w:p>
    <w:p w14:paraId="1EE15B55" w14:textId="281D40C6" w:rsidR="009D320A" w:rsidRPr="002720FC" w:rsidRDefault="009D320A" w:rsidP="009D320A">
      <w:pPr>
        <w:spacing w:before="240" w:line="360" w:lineRule="auto"/>
        <w:jc w:val="both"/>
        <w:rPr>
          <w:rFonts w:ascii="Arial" w:eastAsia="Times New Roman" w:hAnsi="Arial" w:cs="Arial"/>
          <w:b/>
          <w:sz w:val="24"/>
          <w:szCs w:val="24"/>
          <w:lang w:eastAsia="en-GB"/>
        </w:rPr>
      </w:pPr>
      <w:r w:rsidRPr="002720FC">
        <w:rPr>
          <w:rFonts w:ascii="Arial" w:eastAsia="Times New Roman" w:hAnsi="Arial" w:cs="Arial"/>
          <w:b/>
          <w:sz w:val="24"/>
          <w:szCs w:val="24"/>
          <w:lang w:eastAsia="en-GB"/>
        </w:rPr>
        <w:t>Sus</w:t>
      </w:r>
      <w:r w:rsidR="002720FC">
        <w:rPr>
          <w:rFonts w:ascii="Arial" w:eastAsia="Times New Roman" w:hAnsi="Arial" w:cs="Arial"/>
          <w:b/>
          <w:sz w:val="24"/>
          <w:szCs w:val="24"/>
          <w:lang w:eastAsia="en-GB"/>
        </w:rPr>
        <w:t>tainability of Hybrid Strategy.</w:t>
      </w:r>
    </w:p>
    <w:p w14:paraId="4175F0EF" w14:textId="78F3C3D9" w:rsid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The hybrid strategy is a competitive advantage because Toyota has a global network, a well-recognized brand, and a fuel efficiency leader. Hybrids are an intermediate solution between internal combustion engines and fully electric vehicles, offering an intermediate solution to markets with insufficient charging infrastructure. Nevertheless, with the shift to full electrification of the countries, hybrids can increasingly lose their relevance in th</w:t>
      </w:r>
      <w:r w:rsidR="002720FC">
        <w:rPr>
          <w:rFonts w:ascii="Arial" w:eastAsia="Times New Roman" w:hAnsi="Arial" w:cs="Arial"/>
          <w:sz w:val="24"/>
          <w:szCs w:val="24"/>
          <w:lang w:eastAsia="en-GB"/>
        </w:rPr>
        <w:t>e coming decade (Hirano, 2022).</w:t>
      </w:r>
    </w:p>
    <w:p w14:paraId="3AAD59B6" w14:textId="77777777" w:rsidR="002720FC" w:rsidRPr="009D320A" w:rsidRDefault="002720FC" w:rsidP="009D320A">
      <w:pPr>
        <w:spacing w:before="240" w:line="360" w:lineRule="auto"/>
        <w:jc w:val="both"/>
        <w:rPr>
          <w:rFonts w:ascii="Arial" w:eastAsia="Times New Roman" w:hAnsi="Arial" w:cs="Arial"/>
          <w:sz w:val="24"/>
          <w:szCs w:val="24"/>
          <w:lang w:eastAsia="en-GB"/>
        </w:rPr>
      </w:pPr>
    </w:p>
    <w:p w14:paraId="64A8D185" w14:textId="77777777" w:rsidR="009D320A" w:rsidRPr="002720FC" w:rsidRDefault="009D320A" w:rsidP="009D320A">
      <w:pPr>
        <w:spacing w:before="240" w:line="360" w:lineRule="auto"/>
        <w:jc w:val="both"/>
        <w:rPr>
          <w:rFonts w:ascii="Arial" w:eastAsia="Times New Roman" w:hAnsi="Arial" w:cs="Arial"/>
          <w:b/>
          <w:sz w:val="24"/>
          <w:szCs w:val="24"/>
          <w:lang w:eastAsia="en-GB"/>
        </w:rPr>
      </w:pPr>
      <w:r w:rsidRPr="002720FC">
        <w:rPr>
          <w:rFonts w:ascii="Arial" w:eastAsia="Times New Roman" w:hAnsi="Arial" w:cs="Arial"/>
          <w:b/>
          <w:sz w:val="24"/>
          <w:szCs w:val="24"/>
          <w:lang w:eastAsia="en-GB"/>
        </w:rPr>
        <w:t>Strategic Implications</w:t>
      </w:r>
    </w:p>
    <w:p w14:paraId="3B7ACD35" w14:textId="77777777"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The hybrids and hydrogen car orientations put Toyota technologically wise and risk adverse but the strong competitors in the EV market would be able to take a first-mover advantage in battery technology and software integration as well as urban mobility solutions.</w:t>
      </w:r>
    </w:p>
    <w:p w14:paraId="580E182F" w14:textId="4D42FA57" w:rsidR="009D320A" w:rsidRPr="009D320A"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In order to maintain leadership, Toyota should hasten the process of developing EV products and take advantage of its efficiencies in supply chains and global locations. The adoption delays can be alleviated with the help of strategic alliances with battery vendors, software companies, a</w:t>
      </w:r>
      <w:r w:rsidR="002720FC">
        <w:rPr>
          <w:rFonts w:ascii="Arial" w:eastAsia="Times New Roman" w:hAnsi="Arial" w:cs="Arial"/>
          <w:sz w:val="24"/>
          <w:szCs w:val="24"/>
          <w:lang w:eastAsia="en-GB"/>
        </w:rPr>
        <w:t>nd EV infrastructure suppliers.</w:t>
      </w:r>
    </w:p>
    <w:p w14:paraId="11DCFA26" w14:textId="548C2332" w:rsidR="00F3632B" w:rsidRDefault="009D320A" w:rsidP="009D320A">
      <w:pPr>
        <w:spacing w:before="240" w:line="360" w:lineRule="auto"/>
        <w:jc w:val="both"/>
        <w:rPr>
          <w:rFonts w:ascii="Arial" w:eastAsia="Times New Roman" w:hAnsi="Arial" w:cs="Arial"/>
          <w:sz w:val="24"/>
          <w:szCs w:val="24"/>
          <w:lang w:eastAsia="en-GB"/>
        </w:rPr>
      </w:pPr>
      <w:r w:rsidRPr="009D320A">
        <w:rPr>
          <w:rFonts w:ascii="Arial" w:eastAsia="Times New Roman" w:hAnsi="Arial" w:cs="Arial"/>
          <w:sz w:val="24"/>
          <w:szCs w:val="24"/>
          <w:lang w:eastAsia="en-GB"/>
        </w:rPr>
        <w:t>The hybrid-based strategy is a strength as well as a possible weakness of Toyota. Although it allows the establishment of technological, operational efficiency, and sustainability positioning, the slow rate of full EV adoption can make competitors uncompetitive in fast electrifying markets. The hybrid knowledge plus fast-tracked EV rollout, as well as hydrogen innovation may be a balanced strategy that is likely to guarantee long-term sustainability and domination in the global market (Fujimoto, 2022; Yamamoto, 2024).</w:t>
      </w:r>
    </w:p>
    <w:p w14:paraId="1F2F1E84" w14:textId="26EBF79E" w:rsidR="008775F1" w:rsidRDefault="008775F1" w:rsidP="009D320A">
      <w:pPr>
        <w:spacing w:before="240" w:line="360" w:lineRule="auto"/>
        <w:jc w:val="both"/>
        <w:rPr>
          <w:rFonts w:ascii="Arial" w:eastAsia="Times New Roman" w:hAnsi="Arial" w:cs="Arial"/>
          <w:sz w:val="24"/>
          <w:szCs w:val="24"/>
          <w:lang w:eastAsia="en-GB"/>
        </w:rPr>
      </w:pPr>
    </w:p>
    <w:p w14:paraId="45871E92" w14:textId="47A3576A" w:rsidR="008775F1" w:rsidRDefault="008775F1" w:rsidP="009D320A">
      <w:pPr>
        <w:spacing w:before="240" w:line="360" w:lineRule="auto"/>
        <w:jc w:val="both"/>
        <w:rPr>
          <w:rFonts w:ascii="Arial" w:eastAsia="Times New Roman" w:hAnsi="Arial" w:cs="Arial"/>
          <w:sz w:val="24"/>
          <w:szCs w:val="24"/>
          <w:lang w:eastAsia="en-GB"/>
        </w:rPr>
      </w:pPr>
    </w:p>
    <w:p w14:paraId="605D4EE1" w14:textId="4C22CFAB" w:rsidR="008775F1" w:rsidRDefault="008775F1" w:rsidP="009D320A">
      <w:pPr>
        <w:spacing w:before="240" w:line="360" w:lineRule="auto"/>
        <w:jc w:val="both"/>
        <w:rPr>
          <w:rFonts w:ascii="Arial" w:eastAsia="Times New Roman" w:hAnsi="Arial" w:cs="Arial"/>
          <w:sz w:val="24"/>
          <w:szCs w:val="24"/>
          <w:lang w:eastAsia="en-GB"/>
        </w:rPr>
      </w:pPr>
    </w:p>
    <w:p w14:paraId="6E85B50D" w14:textId="71D5BF59" w:rsidR="008775F1" w:rsidRDefault="008775F1" w:rsidP="009D320A">
      <w:pPr>
        <w:spacing w:before="240" w:line="360" w:lineRule="auto"/>
        <w:jc w:val="both"/>
        <w:rPr>
          <w:rFonts w:ascii="Arial" w:eastAsia="Times New Roman" w:hAnsi="Arial" w:cs="Arial"/>
          <w:sz w:val="24"/>
          <w:szCs w:val="24"/>
          <w:lang w:eastAsia="en-GB"/>
        </w:rPr>
      </w:pPr>
    </w:p>
    <w:p w14:paraId="301A9C9D" w14:textId="56425924" w:rsidR="008775F1" w:rsidRDefault="008775F1" w:rsidP="009D320A">
      <w:pPr>
        <w:spacing w:before="240" w:line="360" w:lineRule="auto"/>
        <w:jc w:val="both"/>
        <w:rPr>
          <w:rFonts w:ascii="Arial" w:eastAsia="Times New Roman" w:hAnsi="Arial" w:cs="Arial"/>
          <w:sz w:val="24"/>
          <w:szCs w:val="24"/>
          <w:lang w:eastAsia="en-GB"/>
        </w:rPr>
      </w:pPr>
    </w:p>
    <w:p w14:paraId="4A6299D6" w14:textId="5647C698" w:rsidR="008775F1" w:rsidRDefault="008775F1" w:rsidP="009D320A">
      <w:pPr>
        <w:spacing w:before="240" w:line="360" w:lineRule="auto"/>
        <w:jc w:val="both"/>
        <w:rPr>
          <w:rFonts w:ascii="Arial" w:eastAsia="Times New Roman" w:hAnsi="Arial" w:cs="Arial"/>
          <w:sz w:val="24"/>
          <w:szCs w:val="24"/>
          <w:lang w:eastAsia="en-GB"/>
        </w:rPr>
      </w:pPr>
    </w:p>
    <w:p w14:paraId="1A9A895E" w14:textId="08258969" w:rsidR="008775F1" w:rsidRDefault="008775F1" w:rsidP="009D320A">
      <w:pPr>
        <w:spacing w:before="240" w:line="360" w:lineRule="auto"/>
        <w:jc w:val="both"/>
        <w:rPr>
          <w:rFonts w:ascii="Arial" w:eastAsia="Times New Roman" w:hAnsi="Arial" w:cs="Arial"/>
          <w:sz w:val="24"/>
          <w:szCs w:val="24"/>
          <w:lang w:eastAsia="en-GB"/>
        </w:rPr>
      </w:pPr>
    </w:p>
    <w:p w14:paraId="231534A0" w14:textId="77777777" w:rsidR="008775F1" w:rsidRDefault="008775F1" w:rsidP="009D320A">
      <w:pPr>
        <w:spacing w:before="240" w:line="360" w:lineRule="auto"/>
        <w:jc w:val="both"/>
        <w:rPr>
          <w:rFonts w:ascii="Arial" w:eastAsia="Times New Roman" w:hAnsi="Arial" w:cs="Arial"/>
          <w:sz w:val="24"/>
          <w:szCs w:val="24"/>
          <w:lang w:eastAsia="en-GB"/>
        </w:rPr>
      </w:pPr>
    </w:p>
    <w:p w14:paraId="4C2FEC0A" w14:textId="2F30F7D4" w:rsidR="00F3632B" w:rsidRPr="00F3632B" w:rsidRDefault="00F3632B" w:rsidP="00F3632B">
      <w:pPr>
        <w:pStyle w:val="Heading1"/>
        <w:rPr>
          <w:rFonts w:eastAsia="Times New Roman"/>
          <w:lang w:eastAsia="en-GB"/>
        </w:rPr>
      </w:pPr>
      <w:bookmarkStart w:id="27" w:name="_Toc226065009"/>
      <w:r w:rsidRPr="00F3632B">
        <w:rPr>
          <w:rFonts w:eastAsia="Times New Roman"/>
          <w:lang w:eastAsia="en-GB"/>
        </w:rPr>
        <w:t>5. Conclusion</w:t>
      </w:r>
      <w:bookmarkEnd w:id="27"/>
    </w:p>
    <w:p w14:paraId="241C0637" w14:textId="343956E7" w:rsidR="00F3632B" w:rsidRDefault="00F3632B" w:rsidP="00F3632B">
      <w:pPr>
        <w:spacing w:before="240" w:line="360" w:lineRule="auto"/>
        <w:jc w:val="both"/>
        <w:rPr>
          <w:rFonts w:ascii="Arial" w:eastAsia="Times New Roman" w:hAnsi="Arial" w:cs="Arial"/>
          <w:sz w:val="24"/>
          <w:szCs w:val="24"/>
          <w:lang w:eastAsia="en-GB"/>
        </w:rPr>
      </w:pPr>
      <w:r w:rsidRPr="00F3632B">
        <w:rPr>
          <w:rFonts w:ascii="Arial" w:eastAsia="Times New Roman" w:hAnsi="Arial" w:cs="Arial"/>
          <w:sz w:val="24"/>
          <w:szCs w:val="24"/>
          <w:lang w:eastAsia="en-GB"/>
        </w:rPr>
        <w:t>The automotive industry in Japan is still one of the most competitive and innovative in the industry world owing to the high level of technology, labour skills and culture of self-improvement. Japan is a powerhouse in the world motorcycle manufacturing industry and has been shown to perform well in its export sector, hybrid and hydrogen technologies, and resiliency in responding to shifts in the market. The active encouragement of green technologies and strong relations with suppliers and domestic quality standards by the government is another aspect that strengthens the position of Japan in the world automotive market and helps companies to be at the top regardless of overcoming worldwide environ</w:t>
      </w:r>
      <w:r>
        <w:rPr>
          <w:rFonts w:ascii="Arial" w:eastAsia="Times New Roman" w:hAnsi="Arial" w:cs="Arial"/>
          <w:sz w:val="24"/>
          <w:szCs w:val="24"/>
          <w:lang w:eastAsia="en-GB"/>
        </w:rPr>
        <w:t xml:space="preserve">mental and economic challenges. </w:t>
      </w:r>
      <w:r w:rsidRPr="00F3632B">
        <w:rPr>
          <w:rFonts w:ascii="Arial" w:eastAsia="Times New Roman" w:hAnsi="Arial" w:cs="Arial"/>
          <w:sz w:val="24"/>
          <w:szCs w:val="24"/>
          <w:lang w:eastAsia="en-GB"/>
        </w:rPr>
        <w:t>In that regard, one of the shining lights in this picture is Toyota Motor Corporation, the symbol of the Japanese industrial superiority. It is based on the Toyota Production System, lean manufacturing principles, and ground-breaking hybrid technology that have helped it to achieve a good brand reputation, operational efficiency, and presence in the global market. In the future, Toyota is susceptible to immense risks, which are mainly associated with the worldwide shift to electric cars. As hybrids have helped it remain the market leader, accelerating EV uptake, increasing competition by battery-electric innovators, and evolving consumer tastes demand a strategic shift. Toyota should balance between its strengths in hybrids and hydrogen, accelerated EV development, entering the new markets, and sustainability leadership to stay on the forefront. In general, the automotive sector in Japan and Toyota in particular is a good example of resilience and innovation, but further strategic vision will be necessary to help the company to negotiate the changing automotive world.</w:t>
      </w:r>
    </w:p>
    <w:p w14:paraId="127E5847" w14:textId="71B7B3CE" w:rsidR="00F3632B" w:rsidRDefault="00F3632B" w:rsidP="009D320A">
      <w:pPr>
        <w:spacing w:before="240" w:line="360" w:lineRule="auto"/>
        <w:jc w:val="both"/>
        <w:rPr>
          <w:rFonts w:ascii="Arial" w:eastAsia="Times New Roman" w:hAnsi="Arial" w:cs="Arial"/>
          <w:sz w:val="24"/>
          <w:szCs w:val="24"/>
          <w:lang w:eastAsia="en-GB"/>
        </w:rPr>
      </w:pPr>
    </w:p>
    <w:p w14:paraId="2F79DB1A" w14:textId="2CEF5468" w:rsidR="00F3632B" w:rsidRDefault="00F3632B" w:rsidP="009D320A">
      <w:pPr>
        <w:spacing w:before="240" w:line="360" w:lineRule="auto"/>
        <w:jc w:val="both"/>
        <w:rPr>
          <w:rFonts w:ascii="Arial" w:eastAsia="Times New Roman" w:hAnsi="Arial" w:cs="Arial"/>
          <w:sz w:val="24"/>
          <w:szCs w:val="24"/>
          <w:lang w:eastAsia="en-GB"/>
        </w:rPr>
      </w:pPr>
    </w:p>
    <w:p w14:paraId="7485DE7D" w14:textId="50B38F96" w:rsidR="00F3632B" w:rsidRDefault="00F3632B" w:rsidP="009D320A">
      <w:pPr>
        <w:spacing w:before="240" w:line="360" w:lineRule="auto"/>
        <w:jc w:val="both"/>
        <w:rPr>
          <w:rFonts w:ascii="Arial" w:eastAsia="Times New Roman" w:hAnsi="Arial" w:cs="Arial"/>
          <w:sz w:val="24"/>
          <w:szCs w:val="24"/>
          <w:lang w:eastAsia="en-GB"/>
        </w:rPr>
      </w:pPr>
    </w:p>
    <w:p w14:paraId="13985738" w14:textId="2967F545" w:rsidR="00F3632B" w:rsidRDefault="00F3632B" w:rsidP="009D320A">
      <w:pPr>
        <w:spacing w:before="240" w:line="360" w:lineRule="auto"/>
        <w:jc w:val="both"/>
        <w:rPr>
          <w:rFonts w:ascii="Arial" w:eastAsia="Times New Roman" w:hAnsi="Arial" w:cs="Arial"/>
          <w:sz w:val="24"/>
          <w:szCs w:val="24"/>
          <w:lang w:eastAsia="en-GB"/>
        </w:rPr>
      </w:pPr>
    </w:p>
    <w:p w14:paraId="14391789" w14:textId="77777777" w:rsidR="006864B2" w:rsidRDefault="006864B2" w:rsidP="009D320A">
      <w:pPr>
        <w:spacing w:before="240" w:line="360" w:lineRule="auto"/>
        <w:jc w:val="both"/>
        <w:rPr>
          <w:rFonts w:ascii="Arial" w:eastAsia="Times New Roman" w:hAnsi="Arial" w:cs="Arial"/>
          <w:sz w:val="24"/>
          <w:szCs w:val="24"/>
          <w:lang w:eastAsia="en-GB"/>
        </w:rPr>
      </w:pPr>
    </w:p>
    <w:p w14:paraId="55696520" w14:textId="4249825D" w:rsidR="00041B1D" w:rsidRPr="00041B1D" w:rsidRDefault="00041B1D" w:rsidP="006864B2">
      <w:pPr>
        <w:pStyle w:val="Heading1"/>
        <w:jc w:val="center"/>
        <w:rPr>
          <w:rFonts w:eastAsia="Times New Roman"/>
          <w:lang w:eastAsia="en-GB"/>
        </w:rPr>
      </w:pPr>
      <w:bookmarkStart w:id="28" w:name="_Toc226065010"/>
      <w:r w:rsidRPr="00041B1D">
        <w:rPr>
          <w:rFonts w:eastAsia="Times New Roman"/>
          <w:lang w:eastAsia="en-GB"/>
        </w:rPr>
        <w:t>SECTION 2: REFLECTIVE</w:t>
      </w:r>
      <w:bookmarkEnd w:id="28"/>
    </w:p>
    <w:p w14:paraId="4B4B0E66" w14:textId="27384F3C" w:rsidR="00041B1D" w:rsidRPr="005067C0" w:rsidRDefault="00041B1D" w:rsidP="005067C0">
      <w:pPr>
        <w:spacing w:before="100" w:beforeAutospacing="1" w:after="100" w:afterAutospacing="1" w:line="360" w:lineRule="auto"/>
        <w:jc w:val="both"/>
        <w:rPr>
          <w:rFonts w:ascii="Arial" w:eastAsia="Times New Roman" w:hAnsi="Arial" w:cs="Arial"/>
          <w:b/>
          <w:sz w:val="24"/>
          <w:szCs w:val="24"/>
          <w:lang w:eastAsia="en-GB"/>
        </w:rPr>
      </w:pPr>
      <w:r w:rsidRPr="005067C0">
        <w:rPr>
          <w:rFonts w:ascii="Arial" w:eastAsia="Times New Roman" w:hAnsi="Arial" w:cs="Arial"/>
          <w:b/>
          <w:sz w:val="24"/>
          <w:szCs w:val="24"/>
          <w:lang w:eastAsia="en-GB"/>
        </w:rPr>
        <w:t xml:space="preserve">Use </w:t>
      </w:r>
      <w:r w:rsidRPr="005067C0">
        <w:rPr>
          <w:rFonts w:ascii="Arial" w:eastAsia="Times New Roman" w:hAnsi="Arial" w:cs="Arial"/>
          <w:b/>
          <w:bCs/>
          <w:sz w:val="24"/>
          <w:szCs w:val="24"/>
          <w:lang w:eastAsia="en-GB"/>
        </w:rPr>
        <w:t>Gibbs Cycle</w:t>
      </w:r>
      <w:r w:rsidR="006864B2" w:rsidRPr="005067C0">
        <w:rPr>
          <w:rFonts w:ascii="Arial" w:eastAsia="Times New Roman" w:hAnsi="Arial" w:cs="Arial"/>
          <w:b/>
          <w:sz w:val="24"/>
          <w:szCs w:val="24"/>
          <w:lang w:eastAsia="en-GB"/>
        </w:rPr>
        <w:t>:</w:t>
      </w:r>
    </w:p>
    <w:p w14:paraId="74F00CE7" w14:textId="59666459" w:rsidR="005067C0" w:rsidRPr="005067C0" w:rsidRDefault="005067C0" w:rsidP="005067C0">
      <w:pPr>
        <w:pStyle w:val="Heading2"/>
        <w:rPr>
          <w:rFonts w:eastAsia="Times New Roman"/>
          <w:lang w:eastAsia="en-GB"/>
        </w:rPr>
      </w:pPr>
      <w:bookmarkStart w:id="29" w:name="_Toc226065011"/>
      <w:r>
        <w:rPr>
          <w:rFonts w:eastAsia="Times New Roman"/>
          <w:lang w:eastAsia="en-GB"/>
        </w:rPr>
        <w:t>1. Description</w:t>
      </w:r>
      <w:bookmarkEnd w:id="29"/>
      <w:r>
        <w:rPr>
          <w:rFonts w:eastAsia="Times New Roman"/>
          <w:lang w:eastAsia="en-GB"/>
        </w:rPr>
        <w:t xml:space="preserve"> </w:t>
      </w:r>
    </w:p>
    <w:p w14:paraId="07A365FB" w14:textId="05C579A9" w:rsidR="005067C0"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In this project, I performed a thorough comprehension of the Japanese automotive sector with Toyota Motor Corporation being one of my case studies. I also conducted a study of the international standing of the industry, technological advances, and the major players in the industry to comprehend how Japan is able to remain afloat in the motor vehicle industry. I used models like the Diamond Model by Porter to examine the condition of factors, demand and related industry, firm competition and government support. I also conducted a PESTLE analysis of Toyota to evaluate the political, economic, social, technological, legal, and environmental forces influencing the operations of the company. Success factors, challenges and opportunities were also assessed such as the hybrid strategy of Toyota, efficiency of the supply chain and its worldwide presence. In the process, I incorporated the importance of critical analysis, to determine the sustainability of the hybrid focus of Toyota and whether it is keeping with the EV trends. This systematic method enabled me to integrate the theoretical concepts and practical business practices to get the entire picture of the Toyota role in</w:t>
      </w:r>
      <w:r>
        <w:rPr>
          <w:rFonts w:ascii="Arial" w:eastAsia="Times New Roman" w:hAnsi="Arial" w:cs="Arial"/>
          <w:sz w:val="24"/>
          <w:szCs w:val="24"/>
          <w:lang w:eastAsia="en-GB"/>
        </w:rPr>
        <w:t xml:space="preserve"> the world automobile industry.</w:t>
      </w:r>
    </w:p>
    <w:p w14:paraId="717E92AD" w14:textId="38E171F3" w:rsidR="005067C0" w:rsidRPr="005067C0" w:rsidRDefault="005067C0" w:rsidP="005067C0">
      <w:pPr>
        <w:pStyle w:val="Heading2"/>
        <w:rPr>
          <w:rFonts w:eastAsia="Times New Roman"/>
          <w:lang w:eastAsia="en-GB"/>
        </w:rPr>
      </w:pPr>
      <w:bookmarkStart w:id="30" w:name="_Toc226065012"/>
      <w:r w:rsidRPr="005067C0">
        <w:rPr>
          <w:rFonts w:eastAsia="Times New Roman"/>
          <w:lang w:eastAsia="en-GB"/>
        </w:rPr>
        <w:t>2. Feelings</w:t>
      </w:r>
      <w:bookmarkEnd w:id="30"/>
      <w:r w:rsidRPr="005067C0">
        <w:rPr>
          <w:rFonts w:eastAsia="Times New Roman"/>
          <w:lang w:eastAsia="en-GB"/>
        </w:rPr>
        <w:t xml:space="preserve"> </w:t>
      </w:r>
    </w:p>
    <w:p w14:paraId="36F99408" w14:textId="53CCB382" w:rsidR="005067C0"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 xml:space="preserve">Initially, I was excited and overwhelmed at the start of the project. The dynamic but short-lived nature of the market, and, in particular, in electric cars (EV) and sustainability measures made it difficult to accumulate up-to-date and topical data about Toyota and the Japanese automotive market. There were poor sources of credible information on the recent trends that I could find in the past five years and they did not portray the effective strategic actions of Toyota. The second difficulty was to use several business models in a logical manner without duplication of information like Porters diamond and PESTLE. I also feared to be objective in the time that I was critically evaluating things especially in comparison of the hybrid strategy of Toyota to the EV dedication of its competitors. The fact that each section had a word limit also created further pressure and I had to be careful with the content I selected and at the same time be academically rigorous. Nevertheless, these difficulties did not deter me, and I was challenged to work on my research and critical thinking skills, as well as my ability to organize, synthesize, and effectively </w:t>
      </w:r>
      <w:r w:rsidR="008775F1" w:rsidRPr="005067C0">
        <w:rPr>
          <w:rFonts w:ascii="Arial" w:eastAsia="Times New Roman" w:hAnsi="Arial" w:cs="Arial"/>
          <w:sz w:val="24"/>
          <w:szCs w:val="24"/>
          <w:lang w:eastAsia="en-GB"/>
        </w:rPr>
        <w:t>analyse</w:t>
      </w:r>
      <w:r w:rsidRPr="005067C0">
        <w:rPr>
          <w:rFonts w:ascii="Arial" w:eastAsia="Times New Roman" w:hAnsi="Arial" w:cs="Arial"/>
          <w:sz w:val="24"/>
          <w:szCs w:val="24"/>
          <w:lang w:eastAsia="en-GB"/>
        </w:rPr>
        <w:t xml:space="preserve"> complex information, which made the learning pro</w:t>
      </w:r>
      <w:r>
        <w:rPr>
          <w:rFonts w:ascii="Arial" w:eastAsia="Times New Roman" w:hAnsi="Arial" w:cs="Arial"/>
          <w:sz w:val="24"/>
          <w:szCs w:val="24"/>
          <w:lang w:eastAsia="en-GB"/>
        </w:rPr>
        <w:t>cess challenging and enjoyable.</w:t>
      </w:r>
    </w:p>
    <w:p w14:paraId="5B98B454" w14:textId="197689A6" w:rsidR="005067C0" w:rsidRPr="005067C0" w:rsidRDefault="005067C0" w:rsidP="005067C0">
      <w:pPr>
        <w:pStyle w:val="Heading2"/>
        <w:rPr>
          <w:rFonts w:eastAsia="Times New Roman"/>
          <w:lang w:eastAsia="en-GB"/>
        </w:rPr>
      </w:pPr>
      <w:bookmarkStart w:id="31" w:name="_Toc226065013"/>
      <w:r w:rsidRPr="005067C0">
        <w:rPr>
          <w:rFonts w:eastAsia="Times New Roman"/>
          <w:lang w:eastAsia="en-GB"/>
        </w:rPr>
        <w:t>3. Evaluation</w:t>
      </w:r>
      <w:bookmarkEnd w:id="31"/>
    </w:p>
    <w:p w14:paraId="2DB8D91F" w14:textId="591D4F9C" w:rsidR="005067C0"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 xml:space="preserve">My approach was successful in a number of aspects. First, the structured frameworks such as Porters Diamond and PESTLE made me structure my research well, as each of the factors which influence Toyota and the industry was analysed in an organised way. The fact that the main competitors were included with their strategies and allowed me to compare critically the focus of Toyota on hybrids with those of other competitors, enhancing my evaluative part. The recent research (20192025) that I used brought credibility and relevancy in an ever-changing market. Also, the combination of charts and tables offered visual simplicity, and complicated data became simpler to </w:t>
      </w:r>
      <w:r w:rsidR="008775F1" w:rsidRPr="005067C0">
        <w:rPr>
          <w:rFonts w:ascii="Arial" w:eastAsia="Times New Roman" w:hAnsi="Arial" w:cs="Arial"/>
          <w:sz w:val="24"/>
          <w:szCs w:val="24"/>
          <w:lang w:eastAsia="en-GB"/>
        </w:rPr>
        <w:t>analyse</w:t>
      </w:r>
      <w:r w:rsidRPr="005067C0">
        <w:rPr>
          <w:rFonts w:ascii="Arial" w:eastAsia="Times New Roman" w:hAnsi="Arial" w:cs="Arial"/>
          <w:sz w:val="24"/>
          <w:szCs w:val="24"/>
          <w:lang w:eastAsia="en-GB"/>
        </w:rPr>
        <w:t>. The organization of my work and breaking down the task into smaller parts made me more efficient and able to achieve the goal of getting the number of words written without sacrificing the analytical depth. Lastly, the integration of descriptive, evaluative and critical views assisted in developing a well-rounded report that was insightful. All in all, these strategies enhanced my speaking skills on complex business concepts in a comp</w:t>
      </w:r>
      <w:r>
        <w:rPr>
          <w:rFonts w:ascii="Arial" w:eastAsia="Times New Roman" w:hAnsi="Arial" w:cs="Arial"/>
          <w:sz w:val="24"/>
          <w:szCs w:val="24"/>
          <w:lang w:eastAsia="en-GB"/>
        </w:rPr>
        <w:t>rehensive and effective manner.</w:t>
      </w:r>
    </w:p>
    <w:p w14:paraId="4AA688C5" w14:textId="75657F50" w:rsidR="005067C0" w:rsidRPr="005067C0" w:rsidRDefault="005067C0" w:rsidP="005067C0">
      <w:pPr>
        <w:pStyle w:val="Heading2"/>
        <w:rPr>
          <w:rFonts w:eastAsia="Times New Roman"/>
          <w:lang w:eastAsia="en-GB"/>
        </w:rPr>
      </w:pPr>
      <w:bookmarkStart w:id="32" w:name="_Toc226065014"/>
      <w:r w:rsidRPr="005067C0">
        <w:rPr>
          <w:rFonts w:eastAsia="Times New Roman"/>
          <w:lang w:eastAsia="en-GB"/>
        </w:rPr>
        <w:t>4. Analysis</w:t>
      </w:r>
      <w:bookmarkEnd w:id="32"/>
      <w:r w:rsidRPr="005067C0">
        <w:rPr>
          <w:rFonts w:eastAsia="Times New Roman"/>
          <w:lang w:eastAsia="en-GB"/>
        </w:rPr>
        <w:t xml:space="preserve"> </w:t>
      </w:r>
    </w:p>
    <w:p w14:paraId="4A3C9888" w14:textId="06696EF2" w:rsidR="005067C0"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 xml:space="preserve">This project taught me some of the most important lessons regarding the academic research and the automotive industry. I also had a better insight on the ways in which Japan has been able to become an industrial power in terms of its own competitiveness, due to innovation, skilled labour and government policy, and how Toyota has used these strengths to succeed globally. The competitor analysis revealed that Toyota has a strong strategy of hybrid, and however, the company needs to respond to the increasing use of EV to stay competitive. I also got to know that it is important to critically </w:t>
      </w:r>
      <w:proofErr w:type="spellStart"/>
      <w:r w:rsidRPr="005067C0">
        <w:rPr>
          <w:rFonts w:ascii="Arial" w:eastAsia="Times New Roman" w:hAnsi="Arial" w:cs="Arial"/>
          <w:sz w:val="24"/>
          <w:szCs w:val="24"/>
          <w:lang w:eastAsia="en-GB"/>
        </w:rPr>
        <w:t>analyze</w:t>
      </w:r>
      <w:proofErr w:type="spellEnd"/>
      <w:r w:rsidRPr="005067C0">
        <w:rPr>
          <w:rFonts w:ascii="Arial" w:eastAsia="Times New Roman" w:hAnsi="Arial" w:cs="Arial"/>
          <w:sz w:val="24"/>
          <w:szCs w:val="24"/>
          <w:lang w:eastAsia="en-GB"/>
        </w:rPr>
        <w:t xml:space="preserve"> strategies and not just describe them; for example, evaluating whether the hybrid technology will keep Toyota in the market share. Academically, I have become better at finding credible and current data, using business models to their effective use, and integrating information. This project repeated the importance of applying analytical skills, critical thinking, and reflection, which can be applied in academic and business environments as transferable skills.</w:t>
      </w:r>
    </w:p>
    <w:p w14:paraId="52EF86F9" w14:textId="653CDEB9" w:rsidR="005067C0" w:rsidRPr="005067C0" w:rsidRDefault="005067C0" w:rsidP="005067C0">
      <w:pPr>
        <w:pStyle w:val="Heading2"/>
        <w:rPr>
          <w:rFonts w:eastAsia="Times New Roman"/>
          <w:lang w:eastAsia="en-GB"/>
        </w:rPr>
      </w:pPr>
      <w:bookmarkStart w:id="33" w:name="_Toc226065015"/>
      <w:r w:rsidRPr="005067C0">
        <w:rPr>
          <w:rFonts w:eastAsia="Times New Roman"/>
          <w:lang w:eastAsia="en-GB"/>
        </w:rPr>
        <w:t xml:space="preserve">5. </w:t>
      </w:r>
      <w:r>
        <w:rPr>
          <w:rFonts w:eastAsia="Times New Roman"/>
          <w:lang w:eastAsia="en-GB"/>
        </w:rPr>
        <w:t>C</w:t>
      </w:r>
      <w:r w:rsidRPr="005067C0">
        <w:rPr>
          <w:rFonts w:eastAsia="Times New Roman"/>
          <w:lang w:eastAsia="en-GB"/>
        </w:rPr>
        <w:t>onclusion</w:t>
      </w:r>
      <w:bookmarkEnd w:id="33"/>
      <w:r w:rsidRPr="005067C0">
        <w:rPr>
          <w:rFonts w:eastAsia="Times New Roman"/>
          <w:lang w:eastAsia="en-GB"/>
        </w:rPr>
        <w:t xml:space="preserve"> </w:t>
      </w:r>
    </w:p>
    <w:p w14:paraId="5B9FF7E2" w14:textId="5A0C252F" w:rsidR="005067C0"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Considering this project, I learned a number of valuable lessons. To begin with, systematic frameworks such as Cycle of Gibbs, PESTLE and the Diamond of Porter would be invaluable in systematic analysis of complex business environment. Second, success is due to innovative capabilities, operational efficiency, and good brand reputation of Toyota that is backed by the competitive industrial environment in Japan. Third, the automotive sector is changing at an incredibly fast rate, especially with the emergence of EVs and sustainability demands, and the company such as Toyota should proactively adjust to them. I also learned that I should always integrate descriptive research with critical analysis to offer insightful information as opposed to making superficial observations. Lastly, the process of reflection also brought to the fore my personal growth that included the development of better research, analytical and writing skills and an increased confidence in the ability to assess strategic business decisions. These will inform how I will undertake future projects so that they a</w:t>
      </w:r>
      <w:r>
        <w:rPr>
          <w:rFonts w:ascii="Arial" w:eastAsia="Times New Roman" w:hAnsi="Arial" w:cs="Arial"/>
          <w:sz w:val="24"/>
          <w:szCs w:val="24"/>
          <w:lang w:eastAsia="en-GB"/>
        </w:rPr>
        <w:t>re both scholarly and relevant.</w:t>
      </w:r>
    </w:p>
    <w:p w14:paraId="41DC2475" w14:textId="3690DC92" w:rsidR="005067C0" w:rsidRPr="005067C0" w:rsidRDefault="005067C0" w:rsidP="005067C0">
      <w:pPr>
        <w:pStyle w:val="Heading2"/>
        <w:rPr>
          <w:rFonts w:eastAsia="Times New Roman"/>
          <w:lang w:eastAsia="en-GB"/>
        </w:rPr>
      </w:pPr>
      <w:bookmarkStart w:id="34" w:name="_Toc226065016"/>
      <w:r>
        <w:rPr>
          <w:rFonts w:eastAsia="Times New Roman"/>
          <w:lang w:eastAsia="en-GB"/>
        </w:rPr>
        <w:t>6. Action Plan</w:t>
      </w:r>
      <w:bookmarkEnd w:id="34"/>
      <w:r>
        <w:rPr>
          <w:rFonts w:eastAsia="Times New Roman"/>
          <w:lang w:eastAsia="en-GB"/>
        </w:rPr>
        <w:t xml:space="preserve"> </w:t>
      </w:r>
    </w:p>
    <w:p w14:paraId="1107950A" w14:textId="64549F80" w:rsidR="005067C0"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In order to improve my performance in the future projects, I have cr</w:t>
      </w:r>
      <w:r>
        <w:rPr>
          <w:rFonts w:ascii="Arial" w:eastAsia="Times New Roman" w:hAnsi="Arial" w:cs="Arial"/>
          <w:sz w:val="24"/>
          <w:szCs w:val="24"/>
          <w:lang w:eastAsia="en-GB"/>
        </w:rPr>
        <w:t>eated a structured action plan:</w:t>
      </w:r>
    </w:p>
    <w:p w14:paraId="2EC8FBF2" w14:textId="0E05A5A7" w:rsidR="005067C0" w:rsidRPr="005067C0" w:rsidRDefault="005067C0" w:rsidP="005067C0">
      <w:pPr>
        <w:spacing w:before="100" w:beforeAutospacing="1" w:after="100" w:afterAutospacing="1"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1. Improve Research Skills:</w:t>
      </w:r>
    </w:p>
    <w:p w14:paraId="6F7650F2" w14:textId="77777777" w:rsidR="005067C0" w:rsidRPr="005067C0" w:rsidRDefault="005067C0" w:rsidP="005067C0">
      <w:pPr>
        <w:pStyle w:val="ListParagraph"/>
        <w:numPr>
          <w:ilvl w:val="0"/>
          <w:numId w:val="27"/>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Pay attention to the fact that the latest academic and industry-specific materials are used to do critical assessment.</w:t>
      </w:r>
    </w:p>
    <w:p w14:paraId="58C7776F" w14:textId="271FBDA6" w:rsidR="005067C0" w:rsidRPr="005067C0" w:rsidRDefault="005067C0" w:rsidP="005067C0">
      <w:pPr>
        <w:pStyle w:val="ListParagraph"/>
        <w:numPr>
          <w:ilvl w:val="0"/>
          <w:numId w:val="27"/>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Reliable data should be used, and this should be done using industry reports, peer-reviewed journals, and company filings.</w:t>
      </w:r>
    </w:p>
    <w:p w14:paraId="19268FB6" w14:textId="70362805" w:rsidR="005067C0" w:rsidRPr="004B34E6" w:rsidRDefault="005067C0" w:rsidP="004B34E6">
      <w:pPr>
        <w:pStyle w:val="NoSpacing"/>
        <w:jc w:val="both"/>
        <w:rPr>
          <w:rFonts w:ascii="Arial" w:eastAsia="Times New Roman" w:hAnsi="Arial" w:cs="Arial"/>
          <w:b/>
          <w:sz w:val="32"/>
          <w:szCs w:val="26"/>
          <w:lang w:eastAsia="en-GB"/>
        </w:rPr>
      </w:pPr>
      <w:r w:rsidRPr="004B34E6">
        <w:rPr>
          <w:rFonts w:ascii="Arial" w:hAnsi="Arial" w:cs="Arial"/>
          <w:b/>
          <w:sz w:val="24"/>
          <w:lang w:eastAsia="en-GB"/>
        </w:rPr>
        <w:t>2. Time Management:</w:t>
      </w:r>
    </w:p>
    <w:p w14:paraId="776402EB" w14:textId="77777777" w:rsidR="005067C0" w:rsidRPr="005067C0" w:rsidRDefault="005067C0" w:rsidP="005067C0">
      <w:pPr>
        <w:pStyle w:val="ListParagraph"/>
        <w:numPr>
          <w:ilvl w:val="0"/>
          <w:numId w:val="28"/>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Enhance time allocation on data collection and analysis so as to avoid last minute pressure.</w:t>
      </w:r>
    </w:p>
    <w:p w14:paraId="3454CBA3" w14:textId="79C067A6" w:rsidR="005067C0" w:rsidRPr="005067C0" w:rsidRDefault="005067C0" w:rsidP="005067C0">
      <w:pPr>
        <w:pStyle w:val="ListParagraph"/>
        <w:numPr>
          <w:ilvl w:val="0"/>
          <w:numId w:val="28"/>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To ensure that progress is continuous, split up big tasks into smaller and manageable tasks.</w:t>
      </w:r>
    </w:p>
    <w:p w14:paraId="235452C1" w14:textId="3918EF12" w:rsidR="005067C0" w:rsidRPr="004B34E6" w:rsidRDefault="005067C0" w:rsidP="004B34E6">
      <w:pPr>
        <w:jc w:val="both"/>
        <w:rPr>
          <w:rFonts w:ascii="Arial" w:eastAsia="Times New Roman" w:hAnsi="Arial" w:cs="Arial"/>
          <w:b/>
          <w:sz w:val="32"/>
          <w:szCs w:val="26"/>
          <w:lang w:eastAsia="en-GB"/>
        </w:rPr>
      </w:pPr>
      <w:r w:rsidRPr="004B34E6">
        <w:rPr>
          <w:rFonts w:ascii="Arial" w:hAnsi="Arial" w:cs="Arial"/>
          <w:b/>
          <w:sz w:val="24"/>
          <w:lang w:eastAsia="en-GB"/>
        </w:rPr>
        <w:t>3. Critical Thinking:</w:t>
      </w:r>
    </w:p>
    <w:p w14:paraId="74F77FD7" w14:textId="77777777" w:rsidR="005067C0" w:rsidRPr="005067C0" w:rsidRDefault="005067C0" w:rsidP="005067C0">
      <w:pPr>
        <w:pStyle w:val="ListParagraph"/>
        <w:numPr>
          <w:ilvl w:val="0"/>
          <w:numId w:val="29"/>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Exercise doubting assumptions and strategies, e.g. comparing the hybrid strategy of Toyota to the trends of EVs.</w:t>
      </w:r>
    </w:p>
    <w:p w14:paraId="7F64C908" w14:textId="28F266BC" w:rsidR="005067C0" w:rsidRPr="005067C0" w:rsidRDefault="005067C0" w:rsidP="005067C0">
      <w:pPr>
        <w:pStyle w:val="ListParagraph"/>
        <w:numPr>
          <w:ilvl w:val="0"/>
          <w:numId w:val="29"/>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Consider different viewpoints to enhance analysis and determine the possible biases.</w:t>
      </w:r>
    </w:p>
    <w:p w14:paraId="6F0D8A9B" w14:textId="4D7AA09C" w:rsidR="005067C0" w:rsidRPr="004B34E6" w:rsidRDefault="005067C0" w:rsidP="004B34E6">
      <w:pPr>
        <w:jc w:val="both"/>
        <w:rPr>
          <w:rFonts w:ascii="Arial" w:eastAsia="Times New Roman" w:hAnsi="Arial" w:cs="Arial"/>
          <w:b/>
          <w:sz w:val="32"/>
          <w:szCs w:val="26"/>
          <w:lang w:eastAsia="en-GB"/>
        </w:rPr>
      </w:pPr>
      <w:r w:rsidRPr="004B34E6">
        <w:rPr>
          <w:rFonts w:ascii="Arial" w:hAnsi="Arial" w:cs="Arial"/>
          <w:b/>
          <w:sz w:val="24"/>
          <w:lang w:eastAsia="en-GB"/>
        </w:rPr>
        <w:t>4. Application of Frameworks:</w:t>
      </w:r>
    </w:p>
    <w:p w14:paraId="758B48F4" w14:textId="77777777" w:rsidR="005067C0" w:rsidRPr="005067C0" w:rsidRDefault="005067C0" w:rsidP="005067C0">
      <w:pPr>
        <w:pStyle w:val="ListParagraph"/>
        <w:numPr>
          <w:ilvl w:val="0"/>
          <w:numId w:val="30"/>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Make sure that such frameworks as PESTLE and Porters Diamond are used in a coherent manner without repetition.</w:t>
      </w:r>
    </w:p>
    <w:p w14:paraId="2A85B116" w14:textId="25569903" w:rsidR="005067C0" w:rsidRPr="005067C0" w:rsidRDefault="005067C0" w:rsidP="005067C0">
      <w:pPr>
        <w:pStyle w:val="ListParagraph"/>
        <w:numPr>
          <w:ilvl w:val="0"/>
          <w:numId w:val="30"/>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Combine frameworks with data to complement clarity and critical insight.</w:t>
      </w:r>
    </w:p>
    <w:p w14:paraId="7619E181" w14:textId="78FD79B0" w:rsidR="005067C0" w:rsidRPr="004B34E6" w:rsidRDefault="005067C0" w:rsidP="004B34E6">
      <w:pPr>
        <w:jc w:val="both"/>
        <w:rPr>
          <w:rFonts w:ascii="Arial" w:eastAsia="Times New Roman" w:hAnsi="Arial" w:cs="Arial"/>
          <w:b/>
          <w:sz w:val="32"/>
          <w:szCs w:val="26"/>
          <w:lang w:eastAsia="en-GB"/>
        </w:rPr>
      </w:pPr>
      <w:r w:rsidRPr="004B34E6">
        <w:rPr>
          <w:rFonts w:ascii="Arial" w:hAnsi="Arial" w:cs="Arial"/>
          <w:b/>
          <w:sz w:val="24"/>
          <w:lang w:eastAsia="en-GB"/>
        </w:rPr>
        <w:t>5. Writing and Presentation Skills:</w:t>
      </w:r>
    </w:p>
    <w:p w14:paraId="59ED0088" w14:textId="77777777" w:rsidR="005067C0" w:rsidRPr="005067C0" w:rsidRDefault="005067C0" w:rsidP="005067C0">
      <w:pPr>
        <w:pStyle w:val="ListParagraph"/>
        <w:numPr>
          <w:ilvl w:val="0"/>
          <w:numId w:val="31"/>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Pay attention to precise, brief and organized writing to convey the findings.</w:t>
      </w:r>
    </w:p>
    <w:p w14:paraId="7AA35EAC" w14:textId="2AB3FD8C" w:rsidR="005067C0" w:rsidRPr="005067C0" w:rsidRDefault="005067C0" w:rsidP="005067C0">
      <w:pPr>
        <w:pStyle w:val="ListParagraph"/>
        <w:numPr>
          <w:ilvl w:val="0"/>
          <w:numId w:val="31"/>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Be strategic in using charts, tables and diagrams to prove important points.</w:t>
      </w:r>
    </w:p>
    <w:p w14:paraId="440C5982" w14:textId="5244CBF5" w:rsidR="005067C0" w:rsidRPr="004B34E6" w:rsidRDefault="005067C0" w:rsidP="004B34E6">
      <w:pPr>
        <w:jc w:val="both"/>
        <w:rPr>
          <w:rFonts w:ascii="Arial" w:eastAsia="Times New Roman" w:hAnsi="Arial" w:cs="Arial"/>
          <w:b/>
          <w:sz w:val="32"/>
          <w:szCs w:val="26"/>
          <w:lang w:eastAsia="en-GB"/>
        </w:rPr>
      </w:pPr>
      <w:r w:rsidRPr="004B34E6">
        <w:rPr>
          <w:rFonts w:ascii="Arial" w:hAnsi="Arial" w:cs="Arial"/>
          <w:b/>
          <w:sz w:val="24"/>
          <w:lang w:eastAsia="en-GB"/>
        </w:rPr>
        <w:t>6. Continuous Reflection:</w:t>
      </w:r>
    </w:p>
    <w:p w14:paraId="28D2B9E1" w14:textId="77777777" w:rsidR="005067C0" w:rsidRPr="005067C0" w:rsidRDefault="005067C0" w:rsidP="005067C0">
      <w:pPr>
        <w:pStyle w:val="ListParagraph"/>
        <w:numPr>
          <w:ilvl w:val="0"/>
          <w:numId w:val="32"/>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Keep a reflective journal during the next projects in order to track the challenges, solutions, and outcomes of learning.</w:t>
      </w:r>
    </w:p>
    <w:p w14:paraId="0682E828" w14:textId="2BCBEDDF" w:rsidR="005067C0" w:rsidRPr="005067C0" w:rsidRDefault="005067C0" w:rsidP="005067C0">
      <w:pPr>
        <w:pStyle w:val="ListParagraph"/>
        <w:numPr>
          <w:ilvl w:val="0"/>
          <w:numId w:val="32"/>
        </w:num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Make recurring improvements through use of reflection, to make sure that personal and academic development occurs.</w:t>
      </w:r>
    </w:p>
    <w:p w14:paraId="7399C2F0" w14:textId="6323940F" w:rsidR="00A535EB" w:rsidRPr="005067C0" w:rsidRDefault="005067C0" w:rsidP="005067C0">
      <w:pPr>
        <w:spacing w:before="100" w:beforeAutospacing="1" w:after="100" w:afterAutospacing="1" w:line="360" w:lineRule="auto"/>
        <w:jc w:val="both"/>
        <w:rPr>
          <w:rFonts w:ascii="Arial" w:eastAsia="Times New Roman" w:hAnsi="Arial" w:cs="Arial"/>
          <w:sz w:val="24"/>
          <w:szCs w:val="24"/>
          <w:lang w:eastAsia="en-GB"/>
        </w:rPr>
      </w:pPr>
      <w:r w:rsidRPr="005067C0">
        <w:rPr>
          <w:rFonts w:ascii="Arial" w:eastAsia="Times New Roman" w:hAnsi="Arial" w:cs="Arial"/>
          <w:sz w:val="24"/>
          <w:szCs w:val="24"/>
          <w:lang w:eastAsia="en-GB"/>
        </w:rPr>
        <w:t>This action plan will enable me to work on the quality of my research as well as make my analysis more effective, in the end, resulting in more insightful, evidence-based, and academically sound reports.</w:t>
      </w:r>
    </w:p>
    <w:p w14:paraId="54FE1D27" w14:textId="77777777" w:rsidR="001A50F5" w:rsidRPr="001A50F5" w:rsidRDefault="001A50F5" w:rsidP="006C71C6">
      <w:pPr>
        <w:pStyle w:val="Heading1"/>
        <w:rPr>
          <w:rFonts w:eastAsia="Aptos"/>
          <w:lang w:val="en-US"/>
        </w:rPr>
      </w:pPr>
      <w:bookmarkStart w:id="35" w:name="_Toc226065017"/>
      <w:r w:rsidRPr="001A50F5">
        <w:rPr>
          <w:rFonts w:eastAsia="Aptos"/>
          <w:lang w:val="en-US"/>
        </w:rPr>
        <w:t>Reference</w:t>
      </w:r>
      <w:bookmarkEnd w:id="35"/>
      <w:r w:rsidRPr="001A50F5">
        <w:rPr>
          <w:rFonts w:eastAsia="Aptos"/>
          <w:lang w:val="en-US"/>
        </w:rPr>
        <w:t xml:space="preserve"> </w:t>
      </w:r>
    </w:p>
    <w:p w14:paraId="4ED23B44" w14:textId="5A761685"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Ahmad, N. and </w:t>
      </w:r>
      <w:proofErr w:type="spellStart"/>
      <w:r w:rsidRPr="0049022F">
        <w:rPr>
          <w:rFonts w:ascii="Arial" w:hAnsi="Arial" w:cs="Arial"/>
          <w:sz w:val="24"/>
        </w:rPr>
        <w:t>Hashim</w:t>
      </w:r>
      <w:proofErr w:type="spellEnd"/>
      <w:r w:rsidRPr="0049022F">
        <w:rPr>
          <w:rFonts w:ascii="Arial" w:hAnsi="Arial" w:cs="Arial"/>
          <w:sz w:val="24"/>
        </w:rPr>
        <w:t xml:space="preserve">, S. (2022) Toyota Motor Corporation: The Competitive Advantage, Journal of Business Research, 134, pp. 395–403. </w:t>
      </w:r>
      <w:hyperlink r:id="rId13" w:history="1">
        <w:r w:rsidRPr="002C52E7">
          <w:rPr>
            <w:rStyle w:val="Hyperlink"/>
            <w:rFonts w:ascii="Arial" w:hAnsi="Arial" w:cs="Arial"/>
            <w:sz w:val="24"/>
          </w:rPr>
          <w:t>https://www.sciencedirect.com/science/article/pii/S0148296321005649</w:t>
        </w:r>
      </w:hyperlink>
      <w:r>
        <w:rPr>
          <w:rFonts w:ascii="Arial" w:hAnsi="Arial" w:cs="Arial"/>
          <w:sz w:val="24"/>
        </w:rPr>
        <w:t xml:space="preserve"> </w:t>
      </w:r>
    </w:p>
    <w:p w14:paraId="72387B43" w14:textId="0550B556"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Akbar, P. and </w:t>
      </w:r>
      <w:proofErr w:type="spellStart"/>
      <w:r w:rsidRPr="0049022F">
        <w:rPr>
          <w:rFonts w:ascii="Arial" w:hAnsi="Arial" w:cs="Arial"/>
          <w:sz w:val="24"/>
        </w:rPr>
        <w:t>Marhaban</w:t>
      </w:r>
      <w:proofErr w:type="spellEnd"/>
      <w:r w:rsidRPr="0049022F">
        <w:rPr>
          <w:rFonts w:ascii="Arial" w:hAnsi="Arial" w:cs="Arial"/>
          <w:sz w:val="24"/>
        </w:rPr>
        <w:t xml:space="preserve">, M. (2023) Analysis of Lean Manufacturing Implementation in Automotive Industry, International Journal of Industrial Engineering, 30(1), pp. 12–23. </w:t>
      </w:r>
      <w:hyperlink r:id="rId14" w:history="1">
        <w:r w:rsidRPr="002C52E7">
          <w:rPr>
            <w:rStyle w:val="Hyperlink"/>
            <w:rFonts w:ascii="Arial" w:hAnsi="Arial" w:cs="Arial"/>
            <w:sz w:val="24"/>
          </w:rPr>
          <w:t>https://doi.org/10.1007/s40092-022-00504-x</w:t>
        </w:r>
      </w:hyperlink>
      <w:r>
        <w:rPr>
          <w:rFonts w:ascii="Arial" w:hAnsi="Arial" w:cs="Arial"/>
          <w:sz w:val="24"/>
        </w:rPr>
        <w:t xml:space="preserve"> </w:t>
      </w:r>
    </w:p>
    <w:p w14:paraId="7BDDB831" w14:textId="4F765DC0" w:rsidR="0049022F" w:rsidRPr="0049022F" w:rsidRDefault="0049022F" w:rsidP="0049022F">
      <w:pPr>
        <w:pStyle w:val="ListParagraph"/>
        <w:numPr>
          <w:ilvl w:val="0"/>
          <w:numId w:val="33"/>
        </w:numPr>
        <w:spacing w:line="360" w:lineRule="auto"/>
        <w:jc w:val="both"/>
        <w:rPr>
          <w:rFonts w:ascii="Arial" w:hAnsi="Arial" w:cs="Arial"/>
          <w:sz w:val="24"/>
        </w:rPr>
      </w:pPr>
      <w:proofErr w:type="spellStart"/>
      <w:r w:rsidRPr="0049022F">
        <w:rPr>
          <w:rFonts w:ascii="Arial" w:hAnsi="Arial" w:cs="Arial"/>
          <w:sz w:val="24"/>
        </w:rPr>
        <w:t>Alon</w:t>
      </w:r>
      <w:proofErr w:type="spellEnd"/>
      <w:r w:rsidRPr="0049022F">
        <w:rPr>
          <w:rFonts w:ascii="Arial" w:hAnsi="Arial" w:cs="Arial"/>
          <w:sz w:val="24"/>
        </w:rPr>
        <w:t xml:space="preserve">, I., Qi, M. and Cui, L. (2025) Global Automotive Industry in Transition, Business Strategy Review, 36(2), pp. 50–67. </w:t>
      </w:r>
      <w:hyperlink r:id="rId15" w:history="1">
        <w:r w:rsidRPr="002C52E7">
          <w:rPr>
            <w:rStyle w:val="Hyperlink"/>
            <w:rFonts w:ascii="Arial" w:hAnsi="Arial" w:cs="Arial"/>
            <w:sz w:val="24"/>
          </w:rPr>
          <w:t>https://onlinelibrary.wiley.com/journal/14678586</w:t>
        </w:r>
      </w:hyperlink>
      <w:r>
        <w:rPr>
          <w:rFonts w:ascii="Arial" w:hAnsi="Arial" w:cs="Arial"/>
          <w:sz w:val="24"/>
        </w:rPr>
        <w:t xml:space="preserve"> </w:t>
      </w:r>
    </w:p>
    <w:p w14:paraId="03F01D93" w14:textId="38147267"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Automotive World (2024) Japan Automotive Production Statistics 2023, Automotive World Insight. </w:t>
      </w:r>
      <w:hyperlink r:id="rId16" w:history="1">
        <w:r w:rsidRPr="002C52E7">
          <w:rPr>
            <w:rStyle w:val="Hyperlink"/>
            <w:rFonts w:ascii="Arial" w:hAnsi="Arial" w:cs="Arial"/>
            <w:sz w:val="24"/>
          </w:rPr>
          <w:t>https://www.automotiveworld.com/</w:t>
        </w:r>
      </w:hyperlink>
      <w:r>
        <w:rPr>
          <w:rFonts w:ascii="Arial" w:hAnsi="Arial" w:cs="Arial"/>
          <w:sz w:val="24"/>
        </w:rPr>
        <w:t xml:space="preserve"> </w:t>
      </w:r>
    </w:p>
    <w:p w14:paraId="2DAB47ED" w14:textId="299DCCE2" w:rsidR="0049022F" w:rsidRPr="0049022F" w:rsidRDefault="0049022F" w:rsidP="0049022F">
      <w:pPr>
        <w:pStyle w:val="ListParagraph"/>
        <w:numPr>
          <w:ilvl w:val="0"/>
          <w:numId w:val="33"/>
        </w:numPr>
        <w:spacing w:line="360" w:lineRule="auto"/>
        <w:jc w:val="both"/>
        <w:rPr>
          <w:rFonts w:ascii="Arial" w:hAnsi="Arial" w:cs="Arial"/>
          <w:sz w:val="24"/>
        </w:rPr>
      </w:pPr>
      <w:proofErr w:type="spellStart"/>
      <w:r w:rsidRPr="0049022F">
        <w:rPr>
          <w:rFonts w:ascii="Arial" w:hAnsi="Arial" w:cs="Arial"/>
          <w:sz w:val="24"/>
        </w:rPr>
        <w:t>Bohnsack</w:t>
      </w:r>
      <w:proofErr w:type="spellEnd"/>
      <w:r w:rsidRPr="0049022F">
        <w:rPr>
          <w:rFonts w:ascii="Arial" w:hAnsi="Arial" w:cs="Arial"/>
          <w:sz w:val="24"/>
        </w:rPr>
        <w:t xml:space="preserve">, R., </w:t>
      </w:r>
      <w:proofErr w:type="spellStart"/>
      <w:r w:rsidRPr="0049022F">
        <w:rPr>
          <w:rFonts w:ascii="Arial" w:hAnsi="Arial" w:cs="Arial"/>
          <w:sz w:val="24"/>
        </w:rPr>
        <w:t>Pinkse</w:t>
      </w:r>
      <w:proofErr w:type="spellEnd"/>
      <w:r w:rsidRPr="0049022F">
        <w:rPr>
          <w:rFonts w:ascii="Arial" w:hAnsi="Arial" w:cs="Arial"/>
          <w:sz w:val="24"/>
        </w:rPr>
        <w:t xml:space="preserve">, J. and </w:t>
      </w:r>
      <w:proofErr w:type="spellStart"/>
      <w:r w:rsidRPr="0049022F">
        <w:rPr>
          <w:rFonts w:ascii="Arial" w:hAnsi="Arial" w:cs="Arial"/>
          <w:sz w:val="24"/>
        </w:rPr>
        <w:t>Kolk</w:t>
      </w:r>
      <w:proofErr w:type="spellEnd"/>
      <w:r w:rsidRPr="0049022F">
        <w:rPr>
          <w:rFonts w:ascii="Arial" w:hAnsi="Arial" w:cs="Arial"/>
          <w:sz w:val="24"/>
        </w:rPr>
        <w:t xml:space="preserve">, A. (2021) Business Models for Sustainable Technologies: Lessons from the Automotive Sector, Journal of Cleaner Production, 315, 128100. </w:t>
      </w:r>
      <w:hyperlink r:id="rId17" w:history="1">
        <w:r w:rsidRPr="002C52E7">
          <w:rPr>
            <w:rStyle w:val="Hyperlink"/>
            <w:rFonts w:ascii="Arial" w:hAnsi="Arial" w:cs="Arial"/>
            <w:sz w:val="24"/>
          </w:rPr>
          <w:t>https://www.sciencedirect.com/science/article/pii/S0959652621004903</w:t>
        </w:r>
      </w:hyperlink>
      <w:r>
        <w:rPr>
          <w:rFonts w:ascii="Arial" w:hAnsi="Arial" w:cs="Arial"/>
          <w:sz w:val="24"/>
        </w:rPr>
        <w:t xml:space="preserve"> </w:t>
      </w:r>
    </w:p>
    <w:p w14:paraId="1EF3196E" w14:textId="65132170"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Boston Consulting Group (2023) The Future of the Electric Vehicle Market, BCG Report. </w:t>
      </w:r>
      <w:hyperlink r:id="rId18" w:history="1">
        <w:r w:rsidRPr="002C52E7">
          <w:rPr>
            <w:rStyle w:val="Hyperlink"/>
            <w:rFonts w:ascii="Arial" w:hAnsi="Arial" w:cs="Arial"/>
            <w:sz w:val="24"/>
          </w:rPr>
          <w:t>https://www.bcg.com/publications/2023/future-of-electric-vehicle-market</w:t>
        </w:r>
      </w:hyperlink>
      <w:r>
        <w:rPr>
          <w:rFonts w:ascii="Arial" w:hAnsi="Arial" w:cs="Arial"/>
          <w:sz w:val="24"/>
        </w:rPr>
        <w:t xml:space="preserve"> </w:t>
      </w:r>
    </w:p>
    <w:p w14:paraId="6F234BA1" w14:textId="056F7D8C"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Chen, J. and Su, Y. (2024) Electric Vehicle Adoption in Asia, Asian Journal of Sustainable Mobility, 8(1), pp. 5–22. </w:t>
      </w:r>
      <w:hyperlink r:id="rId19" w:history="1">
        <w:r w:rsidRPr="002C52E7">
          <w:rPr>
            <w:rStyle w:val="Hyperlink"/>
            <w:rFonts w:ascii="Arial" w:hAnsi="Arial" w:cs="Arial"/>
            <w:sz w:val="24"/>
          </w:rPr>
          <w:t>https://ajsm.org/articles/ajsm-2024-08-01</w:t>
        </w:r>
      </w:hyperlink>
      <w:r>
        <w:rPr>
          <w:rFonts w:ascii="Arial" w:hAnsi="Arial" w:cs="Arial"/>
          <w:sz w:val="24"/>
        </w:rPr>
        <w:t xml:space="preserve"> </w:t>
      </w:r>
    </w:p>
    <w:p w14:paraId="381941F2" w14:textId="317BF179"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Deloitte (2023) Global Automotive Consumer Study 2023, Deloitte Insights. </w:t>
      </w:r>
      <w:hyperlink r:id="rId20" w:history="1">
        <w:r w:rsidRPr="002C52E7">
          <w:rPr>
            <w:rStyle w:val="Hyperlink"/>
            <w:rFonts w:ascii="Arial" w:hAnsi="Arial" w:cs="Arial"/>
            <w:sz w:val="24"/>
          </w:rPr>
          <w:t>https://www2.deloitte.com/us/en/insights/industry/automotive/global-auto-industry-consumer-trends.html</w:t>
        </w:r>
      </w:hyperlink>
      <w:r>
        <w:rPr>
          <w:rFonts w:ascii="Arial" w:hAnsi="Arial" w:cs="Arial"/>
          <w:sz w:val="24"/>
        </w:rPr>
        <w:t xml:space="preserve"> </w:t>
      </w:r>
    </w:p>
    <w:p w14:paraId="3C03AE77" w14:textId="3E58569D"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Ernst &amp; Young (2024) 2024 Global Automotive Trends, EY Industry Reports. </w:t>
      </w:r>
      <w:hyperlink r:id="rId21" w:history="1">
        <w:r w:rsidRPr="002C52E7">
          <w:rPr>
            <w:rStyle w:val="Hyperlink"/>
            <w:rFonts w:ascii="Arial" w:hAnsi="Arial" w:cs="Arial"/>
            <w:sz w:val="24"/>
          </w:rPr>
          <w:t>https://www.ey.com/en_gl/automotive-transportation</w:t>
        </w:r>
      </w:hyperlink>
      <w:r>
        <w:rPr>
          <w:rFonts w:ascii="Arial" w:hAnsi="Arial" w:cs="Arial"/>
          <w:sz w:val="24"/>
        </w:rPr>
        <w:t xml:space="preserve"> </w:t>
      </w:r>
    </w:p>
    <w:p w14:paraId="7448E4FE" w14:textId="216B33BA"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European Automobile Manufacturers Association (2023) World Motor Vehicle Production Data. </w:t>
      </w:r>
      <w:hyperlink r:id="rId22" w:history="1">
        <w:r w:rsidRPr="002C52E7">
          <w:rPr>
            <w:rStyle w:val="Hyperlink"/>
            <w:rFonts w:ascii="Arial" w:hAnsi="Arial" w:cs="Arial"/>
            <w:sz w:val="24"/>
          </w:rPr>
          <w:t>https://www.acea.auto/publications/world-motor-vehicle-production-statistics/</w:t>
        </w:r>
      </w:hyperlink>
      <w:r>
        <w:rPr>
          <w:rFonts w:ascii="Arial" w:hAnsi="Arial" w:cs="Arial"/>
          <w:sz w:val="24"/>
        </w:rPr>
        <w:t xml:space="preserve"> </w:t>
      </w:r>
    </w:p>
    <w:p w14:paraId="2B85D558" w14:textId="117EE7C5"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Fukuda, I., Hashimoto, M. and Kato, T. (2022) Japan’s Aging Population and Automotive Demand, Japan Economic Review, 73(4), pp. 521–538. </w:t>
      </w:r>
      <w:hyperlink r:id="rId23" w:history="1">
        <w:r w:rsidRPr="002C52E7">
          <w:rPr>
            <w:rStyle w:val="Hyperlink"/>
            <w:rFonts w:ascii="Arial" w:hAnsi="Arial" w:cs="Arial"/>
            <w:sz w:val="24"/>
          </w:rPr>
          <w:t>https://www.springer.com/journal/41287</w:t>
        </w:r>
      </w:hyperlink>
      <w:r>
        <w:rPr>
          <w:rFonts w:ascii="Arial" w:hAnsi="Arial" w:cs="Arial"/>
          <w:sz w:val="24"/>
        </w:rPr>
        <w:t xml:space="preserve"> </w:t>
      </w:r>
    </w:p>
    <w:p w14:paraId="48564831" w14:textId="5BD62E5B"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Gupta, S. and Tanaka, R. (2023) EV Strategy Challenges for Traditional Automakers, Journal of Strategic Innovation, 12(3), pp. 88–102. </w:t>
      </w:r>
      <w:hyperlink r:id="rId24" w:history="1">
        <w:r w:rsidRPr="002C52E7">
          <w:rPr>
            <w:rStyle w:val="Hyperlink"/>
            <w:rFonts w:ascii="Arial" w:hAnsi="Arial" w:cs="Arial"/>
            <w:sz w:val="24"/>
          </w:rPr>
          <w:t>https://www.emerald.com/insight/publication/issn/2059-3526</w:t>
        </w:r>
      </w:hyperlink>
      <w:r>
        <w:rPr>
          <w:rFonts w:ascii="Arial" w:hAnsi="Arial" w:cs="Arial"/>
          <w:sz w:val="24"/>
        </w:rPr>
        <w:t xml:space="preserve"> </w:t>
      </w:r>
    </w:p>
    <w:p w14:paraId="311C549F" w14:textId="4D3B51A2" w:rsidR="0049022F" w:rsidRPr="0049022F" w:rsidRDefault="0049022F" w:rsidP="0049022F">
      <w:pPr>
        <w:pStyle w:val="ListParagraph"/>
        <w:numPr>
          <w:ilvl w:val="0"/>
          <w:numId w:val="33"/>
        </w:numPr>
        <w:spacing w:line="360" w:lineRule="auto"/>
        <w:jc w:val="both"/>
        <w:rPr>
          <w:rFonts w:ascii="Arial" w:hAnsi="Arial" w:cs="Arial"/>
          <w:sz w:val="24"/>
        </w:rPr>
      </w:pPr>
      <w:proofErr w:type="spellStart"/>
      <w:r w:rsidRPr="0049022F">
        <w:rPr>
          <w:rFonts w:ascii="Arial" w:hAnsi="Arial" w:cs="Arial"/>
          <w:sz w:val="24"/>
        </w:rPr>
        <w:t>Hensher</w:t>
      </w:r>
      <w:proofErr w:type="spellEnd"/>
      <w:r w:rsidRPr="0049022F">
        <w:rPr>
          <w:rFonts w:ascii="Arial" w:hAnsi="Arial" w:cs="Arial"/>
          <w:sz w:val="24"/>
        </w:rPr>
        <w:t xml:space="preserve">, D. and Li, Z. (2024) Consumer Preference Shifts Toward EVs, Transportation Research Part D, 105, 103297. </w:t>
      </w:r>
      <w:hyperlink r:id="rId25" w:history="1">
        <w:r w:rsidRPr="002C52E7">
          <w:rPr>
            <w:rStyle w:val="Hyperlink"/>
            <w:rFonts w:ascii="Arial" w:hAnsi="Arial" w:cs="Arial"/>
            <w:sz w:val="24"/>
          </w:rPr>
          <w:t>https://www.sciencedirect.com/science/article/pii/S1361920923002789</w:t>
        </w:r>
      </w:hyperlink>
      <w:r>
        <w:rPr>
          <w:rFonts w:ascii="Arial" w:hAnsi="Arial" w:cs="Arial"/>
          <w:sz w:val="24"/>
        </w:rPr>
        <w:t xml:space="preserve"> </w:t>
      </w:r>
    </w:p>
    <w:p w14:paraId="26E722EB" w14:textId="70A0F253"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International Energy Agency (2024) Global EV Outlook 2024, IEA. </w:t>
      </w:r>
      <w:hyperlink r:id="rId26" w:history="1">
        <w:r w:rsidRPr="002C52E7">
          <w:rPr>
            <w:rStyle w:val="Hyperlink"/>
            <w:rFonts w:ascii="Arial" w:hAnsi="Arial" w:cs="Arial"/>
            <w:sz w:val="24"/>
          </w:rPr>
          <w:t>https://www.iea.org/reports/global-ev-outlook-2024</w:t>
        </w:r>
      </w:hyperlink>
      <w:r>
        <w:rPr>
          <w:rFonts w:ascii="Arial" w:hAnsi="Arial" w:cs="Arial"/>
          <w:sz w:val="24"/>
        </w:rPr>
        <w:t xml:space="preserve"> </w:t>
      </w:r>
    </w:p>
    <w:p w14:paraId="0C334BF8" w14:textId="4226C11C"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Ito, M. (2023) Toyota Production System and Lean Manufacturing, International Journal of Operations &amp; Production Management, 43(7), pp. 995–1010. </w:t>
      </w:r>
      <w:hyperlink r:id="rId27" w:history="1">
        <w:r w:rsidRPr="002C52E7">
          <w:rPr>
            <w:rStyle w:val="Hyperlink"/>
            <w:rFonts w:ascii="Arial" w:hAnsi="Arial" w:cs="Arial"/>
            <w:sz w:val="24"/>
          </w:rPr>
          <w:t>https://www.emerald.com/insight/publication/issn/0144-3577</w:t>
        </w:r>
      </w:hyperlink>
      <w:r>
        <w:rPr>
          <w:rFonts w:ascii="Arial" w:hAnsi="Arial" w:cs="Arial"/>
          <w:sz w:val="24"/>
        </w:rPr>
        <w:t xml:space="preserve"> </w:t>
      </w:r>
    </w:p>
    <w:p w14:paraId="26F61E38" w14:textId="6B5AF20E"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Japan Automobile Manufacturers Association (2024) Production &amp; Export Data. </w:t>
      </w:r>
      <w:hyperlink r:id="rId28" w:history="1">
        <w:r w:rsidRPr="002C52E7">
          <w:rPr>
            <w:rStyle w:val="Hyperlink"/>
            <w:rFonts w:ascii="Arial" w:hAnsi="Arial" w:cs="Arial"/>
            <w:sz w:val="24"/>
          </w:rPr>
          <w:t>https://www.jama.or.jp/en/statistics/</w:t>
        </w:r>
      </w:hyperlink>
      <w:r>
        <w:rPr>
          <w:rFonts w:ascii="Arial" w:hAnsi="Arial" w:cs="Arial"/>
          <w:sz w:val="24"/>
        </w:rPr>
        <w:t xml:space="preserve"> </w:t>
      </w:r>
    </w:p>
    <w:p w14:paraId="4AF21BDE" w14:textId="4EBADD39"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Japan External Trade Organization (2023) Japan Automotive Industry Overview. </w:t>
      </w:r>
      <w:hyperlink r:id="rId29" w:history="1">
        <w:r w:rsidRPr="002C52E7">
          <w:rPr>
            <w:rStyle w:val="Hyperlink"/>
            <w:rFonts w:ascii="Arial" w:hAnsi="Arial" w:cs="Arial"/>
            <w:sz w:val="24"/>
          </w:rPr>
          <w:t>https://www.jetro.go.jp/en/invest/industry/automotive.html</w:t>
        </w:r>
      </w:hyperlink>
      <w:r>
        <w:rPr>
          <w:rFonts w:ascii="Arial" w:hAnsi="Arial" w:cs="Arial"/>
          <w:sz w:val="24"/>
        </w:rPr>
        <w:t xml:space="preserve"> </w:t>
      </w:r>
    </w:p>
    <w:p w14:paraId="4523DF1A" w14:textId="4EDE3545"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Johnson, G. and Turner, R. (2022) Toyota’s Global Strategies and Competitive Advantage, Strategic Management Journal, 43(11), pp. 2147–2165. </w:t>
      </w:r>
      <w:hyperlink r:id="rId30" w:history="1">
        <w:r w:rsidRPr="002C52E7">
          <w:rPr>
            <w:rStyle w:val="Hyperlink"/>
            <w:rFonts w:ascii="Arial" w:hAnsi="Arial" w:cs="Arial"/>
            <w:sz w:val="24"/>
          </w:rPr>
          <w:t>https://onlinelibrary.wiley.com/journal/10970266</w:t>
        </w:r>
      </w:hyperlink>
      <w:r>
        <w:rPr>
          <w:rFonts w:ascii="Arial" w:hAnsi="Arial" w:cs="Arial"/>
          <w:sz w:val="24"/>
        </w:rPr>
        <w:t xml:space="preserve"> </w:t>
      </w:r>
    </w:p>
    <w:p w14:paraId="0C32BEEB" w14:textId="627512CC"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Kobayashi, K. (2023) Supply Chain Disruption in Japanese Manufacturing, Journal of Supply Chain Management, 59(1), pp. 15–28. </w:t>
      </w:r>
      <w:hyperlink r:id="rId31" w:history="1">
        <w:r w:rsidRPr="002C52E7">
          <w:rPr>
            <w:rStyle w:val="Hyperlink"/>
            <w:rFonts w:ascii="Arial" w:hAnsi="Arial" w:cs="Arial"/>
            <w:sz w:val="24"/>
          </w:rPr>
          <w:t>https://onlinelibrary.wiley.com/journal/1745493x</w:t>
        </w:r>
      </w:hyperlink>
      <w:r>
        <w:rPr>
          <w:rFonts w:ascii="Arial" w:hAnsi="Arial" w:cs="Arial"/>
          <w:sz w:val="24"/>
        </w:rPr>
        <w:t xml:space="preserve"> </w:t>
      </w:r>
    </w:p>
    <w:p w14:paraId="11D2E204" w14:textId="15833AF5"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KPMG (2024) Automotive Industry Outlook 2024, KPMG Insights. </w:t>
      </w:r>
      <w:hyperlink r:id="rId32" w:history="1">
        <w:r w:rsidRPr="002C52E7">
          <w:rPr>
            <w:rStyle w:val="Hyperlink"/>
            <w:rFonts w:ascii="Arial" w:hAnsi="Arial" w:cs="Arial"/>
            <w:sz w:val="24"/>
          </w:rPr>
          <w:t>https://home.kpmg/xx/en/home/insights/2024/01/automotive-industry-outlook.html</w:t>
        </w:r>
      </w:hyperlink>
      <w:r>
        <w:rPr>
          <w:rFonts w:ascii="Arial" w:hAnsi="Arial" w:cs="Arial"/>
          <w:sz w:val="24"/>
        </w:rPr>
        <w:t xml:space="preserve"> </w:t>
      </w:r>
    </w:p>
    <w:p w14:paraId="6235601C" w14:textId="48D2DACF"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Lam, Q. and Nguyen, L. (2022) PESTLE Applications in Automotive Analysis, Business Analysis Quarterly, 15(4), pp. 49–62. </w:t>
      </w:r>
      <w:hyperlink r:id="rId33" w:history="1">
        <w:r w:rsidRPr="002C52E7">
          <w:rPr>
            <w:rStyle w:val="Hyperlink"/>
            <w:rFonts w:ascii="Arial" w:hAnsi="Arial" w:cs="Arial"/>
            <w:sz w:val="24"/>
          </w:rPr>
          <w:t>https://www.springer.com/journal/42488</w:t>
        </w:r>
      </w:hyperlink>
      <w:r>
        <w:rPr>
          <w:rFonts w:ascii="Arial" w:hAnsi="Arial" w:cs="Arial"/>
          <w:sz w:val="24"/>
        </w:rPr>
        <w:t xml:space="preserve"> </w:t>
      </w:r>
    </w:p>
    <w:p w14:paraId="34B4F5E7" w14:textId="373E4A28"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McKinsey &amp; Company (2024) The Future of Mobility: Electrification and Beyond. </w:t>
      </w:r>
      <w:hyperlink r:id="rId34" w:history="1">
        <w:r w:rsidRPr="002C52E7">
          <w:rPr>
            <w:rStyle w:val="Hyperlink"/>
            <w:rFonts w:ascii="Arial" w:hAnsi="Arial" w:cs="Arial"/>
            <w:sz w:val="24"/>
          </w:rPr>
          <w:t>https://www.mckinsey.com/industries/automotive-and-assembly/our-insights</w:t>
        </w:r>
      </w:hyperlink>
      <w:r>
        <w:rPr>
          <w:rFonts w:ascii="Arial" w:hAnsi="Arial" w:cs="Arial"/>
          <w:sz w:val="24"/>
        </w:rPr>
        <w:t xml:space="preserve"> </w:t>
      </w:r>
    </w:p>
    <w:p w14:paraId="1D4A6FB1" w14:textId="7610BA01"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METI – Ministry of Economy, Trade and Industry (2023) White Paper on Automotive Manufacturing. </w:t>
      </w:r>
      <w:hyperlink r:id="rId35" w:history="1">
        <w:r w:rsidRPr="002C52E7">
          <w:rPr>
            <w:rStyle w:val="Hyperlink"/>
            <w:rFonts w:ascii="Arial" w:hAnsi="Arial" w:cs="Arial"/>
            <w:sz w:val="24"/>
          </w:rPr>
          <w:t>https://www.meti.go.jp/english/report/data/auto2023.html</w:t>
        </w:r>
      </w:hyperlink>
      <w:r>
        <w:rPr>
          <w:rFonts w:ascii="Arial" w:hAnsi="Arial" w:cs="Arial"/>
          <w:sz w:val="24"/>
        </w:rPr>
        <w:t xml:space="preserve"> </w:t>
      </w:r>
    </w:p>
    <w:p w14:paraId="4BABABCC" w14:textId="49EC1883" w:rsidR="0049022F" w:rsidRPr="0049022F" w:rsidRDefault="0049022F" w:rsidP="0049022F">
      <w:pPr>
        <w:pStyle w:val="ListParagraph"/>
        <w:numPr>
          <w:ilvl w:val="0"/>
          <w:numId w:val="33"/>
        </w:numPr>
        <w:spacing w:line="360" w:lineRule="auto"/>
        <w:jc w:val="both"/>
        <w:rPr>
          <w:rFonts w:ascii="Arial" w:hAnsi="Arial" w:cs="Arial"/>
          <w:sz w:val="24"/>
        </w:rPr>
      </w:pPr>
      <w:proofErr w:type="spellStart"/>
      <w:r w:rsidRPr="0049022F">
        <w:rPr>
          <w:rFonts w:ascii="Arial" w:hAnsi="Arial" w:cs="Arial"/>
          <w:sz w:val="24"/>
        </w:rPr>
        <w:t>Mintzberg</w:t>
      </w:r>
      <w:proofErr w:type="spellEnd"/>
      <w:r w:rsidRPr="0049022F">
        <w:rPr>
          <w:rFonts w:ascii="Arial" w:hAnsi="Arial" w:cs="Arial"/>
          <w:sz w:val="24"/>
        </w:rPr>
        <w:t xml:space="preserve">, H. (2023) Competitive Strategy and National Advantage, Journal of Business Strategy, 44(2), pp. 32–44. </w:t>
      </w:r>
      <w:hyperlink r:id="rId36" w:history="1">
        <w:r w:rsidRPr="002C52E7">
          <w:rPr>
            <w:rStyle w:val="Hyperlink"/>
            <w:rFonts w:ascii="Arial" w:hAnsi="Arial" w:cs="Arial"/>
            <w:sz w:val="24"/>
          </w:rPr>
          <w:t>https://www.emerald.com/insight/publication/issn/0275-6668</w:t>
        </w:r>
      </w:hyperlink>
      <w:r>
        <w:rPr>
          <w:rFonts w:ascii="Arial" w:hAnsi="Arial" w:cs="Arial"/>
          <w:sz w:val="24"/>
        </w:rPr>
        <w:t xml:space="preserve"> </w:t>
      </w:r>
    </w:p>
    <w:p w14:paraId="13EA8A6D" w14:textId="61A2976D"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Nakano, C., Sato, H. and Yamada, Y. (2024) Hybrids vs EVs: Strategic Shifts in Japan, Journal of Sustainable Transport, 21(6), pp. 712–729. </w:t>
      </w:r>
      <w:hyperlink r:id="rId37" w:history="1">
        <w:r w:rsidRPr="002C52E7">
          <w:rPr>
            <w:rStyle w:val="Hyperlink"/>
            <w:rFonts w:ascii="Arial" w:hAnsi="Arial" w:cs="Arial"/>
            <w:sz w:val="24"/>
          </w:rPr>
          <w:t>https://www.tandfonline.com/loi/sjst20</w:t>
        </w:r>
      </w:hyperlink>
      <w:r>
        <w:rPr>
          <w:rFonts w:ascii="Arial" w:hAnsi="Arial" w:cs="Arial"/>
          <w:sz w:val="24"/>
        </w:rPr>
        <w:t xml:space="preserve"> </w:t>
      </w:r>
    </w:p>
    <w:p w14:paraId="27CD3EDB" w14:textId="4CD8E999"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Nissan Motor Co. (2023) Annual Report. </w:t>
      </w:r>
      <w:hyperlink r:id="rId38" w:history="1">
        <w:r w:rsidRPr="002C52E7">
          <w:rPr>
            <w:rStyle w:val="Hyperlink"/>
            <w:rFonts w:ascii="Arial" w:hAnsi="Arial" w:cs="Arial"/>
            <w:sz w:val="24"/>
          </w:rPr>
          <w:t>https://www.nissan-global.com/EN/IR/FINANCIAL/annual-reports/</w:t>
        </w:r>
      </w:hyperlink>
      <w:r>
        <w:rPr>
          <w:rFonts w:ascii="Arial" w:hAnsi="Arial" w:cs="Arial"/>
          <w:sz w:val="24"/>
        </w:rPr>
        <w:t xml:space="preserve"> </w:t>
      </w:r>
    </w:p>
    <w:p w14:paraId="07F12770" w14:textId="1C65E4D6"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PwC (2024) Automotive Trends 2024: Electrify, Digitise, Decarbonise. </w:t>
      </w:r>
      <w:hyperlink r:id="rId39" w:history="1">
        <w:r w:rsidRPr="002C52E7">
          <w:rPr>
            <w:rStyle w:val="Hyperlink"/>
            <w:rFonts w:ascii="Arial" w:hAnsi="Arial" w:cs="Arial"/>
            <w:sz w:val="24"/>
          </w:rPr>
          <w:t>https://www.pwc.com/gx/en/industries/automotive/publications</w:t>
        </w:r>
      </w:hyperlink>
      <w:r>
        <w:rPr>
          <w:rFonts w:ascii="Arial" w:hAnsi="Arial" w:cs="Arial"/>
          <w:sz w:val="24"/>
        </w:rPr>
        <w:t xml:space="preserve"> </w:t>
      </w:r>
    </w:p>
    <w:p w14:paraId="498298ED" w14:textId="75E95451" w:rsidR="0049022F" w:rsidRPr="0049022F" w:rsidRDefault="0049022F" w:rsidP="0049022F">
      <w:pPr>
        <w:pStyle w:val="ListParagraph"/>
        <w:numPr>
          <w:ilvl w:val="0"/>
          <w:numId w:val="33"/>
        </w:numPr>
        <w:spacing w:line="360" w:lineRule="auto"/>
        <w:jc w:val="both"/>
        <w:rPr>
          <w:rFonts w:ascii="Arial" w:hAnsi="Arial" w:cs="Arial"/>
          <w:sz w:val="24"/>
        </w:rPr>
      </w:pPr>
      <w:proofErr w:type="spellStart"/>
      <w:r w:rsidRPr="0049022F">
        <w:rPr>
          <w:rFonts w:ascii="Arial" w:hAnsi="Arial" w:cs="Arial"/>
          <w:sz w:val="24"/>
        </w:rPr>
        <w:t>Rajwani</w:t>
      </w:r>
      <w:proofErr w:type="spellEnd"/>
      <w:r w:rsidRPr="0049022F">
        <w:rPr>
          <w:rFonts w:ascii="Arial" w:hAnsi="Arial" w:cs="Arial"/>
          <w:sz w:val="24"/>
        </w:rPr>
        <w:t xml:space="preserve">, T. and Lawton, T. (2024) Corporate Strategy in Global Automakers, Journal of Corporate Governance, 30(1), pp. 4–18. </w:t>
      </w:r>
      <w:hyperlink r:id="rId40" w:history="1">
        <w:r w:rsidRPr="002C52E7">
          <w:rPr>
            <w:rStyle w:val="Hyperlink"/>
            <w:rFonts w:ascii="Arial" w:hAnsi="Arial" w:cs="Arial"/>
            <w:sz w:val="24"/>
          </w:rPr>
          <w:t>https://www.emerald.com/insight/publication/issn/1472-0701</w:t>
        </w:r>
      </w:hyperlink>
      <w:r>
        <w:rPr>
          <w:rFonts w:ascii="Arial" w:hAnsi="Arial" w:cs="Arial"/>
          <w:sz w:val="24"/>
        </w:rPr>
        <w:t xml:space="preserve"> </w:t>
      </w:r>
    </w:p>
    <w:p w14:paraId="3231A081" w14:textId="31F70ED0"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Sasaki, T. (2021) Export Dynamics of Japanese Automobiles, International Trade Journal, 35(5), pp. 411–430. </w:t>
      </w:r>
      <w:hyperlink r:id="rId41" w:history="1">
        <w:r w:rsidRPr="002C52E7">
          <w:rPr>
            <w:rStyle w:val="Hyperlink"/>
            <w:rFonts w:ascii="Arial" w:hAnsi="Arial" w:cs="Arial"/>
            <w:sz w:val="24"/>
          </w:rPr>
          <w:t>https://www.tandfonline.com/loi/uitj20</w:t>
        </w:r>
      </w:hyperlink>
      <w:r>
        <w:rPr>
          <w:rFonts w:ascii="Arial" w:hAnsi="Arial" w:cs="Arial"/>
          <w:sz w:val="24"/>
        </w:rPr>
        <w:t xml:space="preserve"> </w:t>
      </w:r>
    </w:p>
    <w:p w14:paraId="34E737A0" w14:textId="631043CA" w:rsidR="0049022F" w:rsidRPr="0049022F" w:rsidRDefault="0049022F" w:rsidP="0049022F">
      <w:pPr>
        <w:pStyle w:val="ListParagraph"/>
        <w:numPr>
          <w:ilvl w:val="0"/>
          <w:numId w:val="33"/>
        </w:numPr>
        <w:spacing w:line="360" w:lineRule="auto"/>
        <w:jc w:val="both"/>
        <w:rPr>
          <w:rFonts w:ascii="Arial" w:hAnsi="Arial" w:cs="Arial"/>
          <w:sz w:val="24"/>
        </w:rPr>
      </w:pPr>
      <w:proofErr w:type="spellStart"/>
      <w:r w:rsidRPr="0049022F">
        <w:rPr>
          <w:rFonts w:ascii="Arial" w:hAnsi="Arial" w:cs="Arial"/>
          <w:sz w:val="24"/>
        </w:rPr>
        <w:t>Statista</w:t>
      </w:r>
      <w:proofErr w:type="spellEnd"/>
      <w:r w:rsidRPr="0049022F">
        <w:rPr>
          <w:rFonts w:ascii="Arial" w:hAnsi="Arial" w:cs="Arial"/>
          <w:sz w:val="24"/>
        </w:rPr>
        <w:t xml:space="preserve"> (2024) Global Automotive Production Statistics. </w:t>
      </w:r>
      <w:hyperlink r:id="rId42" w:history="1">
        <w:r w:rsidRPr="002C52E7">
          <w:rPr>
            <w:rStyle w:val="Hyperlink"/>
            <w:rFonts w:ascii="Arial" w:hAnsi="Arial" w:cs="Arial"/>
            <w:sz w:val="24"/>
          </w:rPr>
          <w:t>https://www.statista.com/topics/979/global-automobile-industry/</w:t>
        </w:r>
      </w:hyperlink>
      <w:r>
        <w:rPr>
          <w:rFonts w:ascii="Arial" w:hAnsi="Arial" w:cs="Arial"/>
          <w:sz w:val="24"/>
        </w:rPr>
        <w:t xml:space="preserve"> </w:t>
      </w:r>
    </w:p>
    <w:p w14:paraId="254DC8E6" w14:textId="091D77C8"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Suzuki, Y. (2021) Emerging Markets and Automotive Growth, Asian Economic Papers, 20(3), pp. 65–84. </w:t>
      </w:r>
      <w:hyperlink r:id="rId43" w:history="1">
        <w:r w:rsidRPr="002C52E7">
          <w:rPr>
            <w:rStyle w:val="Hyperlink"/>
            <w:rFonts w:ascii="Arial" w:hAnsi="Arial" w:cs="Arial"/>
            <w:sz w:val="24"/>
          </w:rPr>
          <w:t>https://www.mitpressjournals.org/loi/aswp</w:t>
        </w:r>
      </w:hyperlink>
      <w:r>
        <w:rPr>
          <w:rFonts w:ascii="Arial" w:hAnsi="Arial" w:cs="Arial"/>
          <w:sz w:val="24"/>
        </w:rPr>
        <w:t xml:space="preserve"> </w:t>
      </w:r>
    </w:p>
    <w:p w14:paraId="3420D5E1" w14:textId="38B540BA"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Tanaka, J. (2023) Challenges of Japan’s Demographic Change, Population and Society Journal, 27(1), pp. 50–67. </w:t>
      </w:r>
      <w:hyperlink r:id="rId44" w:history="1">
        <w:r w:rsidRPr="002C52E7">
          <w:rPr>
            <w:rStyle w:val="Hyperlink"/>
            <w:rFonts w:ascii="Arial" w:hAnsi="Arial" w:cs="Arial"/>
            <w:sz w:val="24"/>
          </w:rPr>
          <w:t>https://www.springer.com/journal/41287</w:t>
        </w:r>
      </w:hyperlink>
      <w:r>
        <w:rPr>
          <w:rFonts w:ascii="Arial" w:hAnsi="Arial" w:cs="Arial"/>
          <w:sz w:val="24"/>
        </w:rPr>
        <w:t xml:space="preserve"> </w:t>
      </w:r>
    </w:p>
    <w:p w14:paraId="6AB9E6A9" w14:textId="61FE436E"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Toyota Motor Corporation (2024) Integrated Report. </w:t>
      </w:r>
      <w:hyperlink r:id="rId45" w:history="1">
        <w:r w:rsidRPr="002C52E7">
          <w:rPr>
            <w:rStyle w:val="Hyperlink"/>
            <w:rFonts w:ascii="Arial" w:hAnsi="Arial" w:cs="Arial"/>
            <w:sz w:val="24"/>
          </w:rPr>
          <w:t>https://global.toyota/en/ir/library/annual/</w:t>
        </w:r>
      </w:hyperlink>
      <w:r>
        <w:rPr>
          <w:rFonts w:ascii="Arial" w:hAnsi="Arial" w:cs="Arial"/>
          <w:sz w:val="24"/>
        </w:rPr>
        <w:t xml:space="preserve"> </w:t>
      </w:r>
    </w:p>
    <w:p w14:paraId="78D2DDFF" w14:textId="4802C3AB"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Toyota Motor Corporation (2023) Sustainability Report. </w:t>
      </w:r>
      <w:hyperlink r:id="rId46" w:history="1">
        <w:r w:rsidRPr="002C52E7">
          <w:rPr>
            <w:rStyle w:val="Hyperlink"/>
            <w:rFonts w:ascii="Arial" w:hAnsi="Arial" w:cs="Arial"/>
            <w:sz w:val="24"/>
          </w:rPr>
          <w:t>https://global.toyota/en/sustainability/report/</w:t>
        </w:r>
      </w:hyperlink>
      <w:r>
        <w:rPr>
          <w:rFonts w:ascii="Arial" w:hAnsi="Arial" w:cs="Arial"/>
          <w:sz w:val="24"/>
        </w:rPr>
        <w:t xml:space="preserve"> </w:t>
      </w:r>
    </w:p>
    <w:p w14:paraId="4C9B8276" w14:textId="620BF45B"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Toyota Motor Corporation (2022) Case Study: Toyota Production System. </w:t>
      </w:r>
      <w:hyperlink r:id="rId47" w:history="1">
        <w:r w:rsidRPr="002C52E7">
          <w:rPr>
            <w:rStyle w:val="Hyperlink"/>
            <w:rFonts w:ascii="Arial" w:hAnsi="Arial" w:cs="Arial"/>
            <w:sz w:val="24"/>
          </w:rPr>
          <w:t>https://global.toyota/en/company/vision-and-philosophy/</w:t>
        </w:r>
      </w:hyperlink>
      <w:r>
        <w:rPr>
          <w:rFonts w:ascii="Arial" w:hAnsi="Arial" w:cs="Arial"/>
          <w:sz w:val="24"/>
        </w:rPr>
        <w:t xml:space="preserve"> </w:t>
      </w:r>
    </w:p>
    <w:p w14:paraId="04E8C868" w14:textId="25236F8B" w:rsidR="0049022F"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World Bank (2024) GDP and Manufacturing Data: Japan. </w:t>
      </w:r>
      <w:hyperlink r:id="rId48" w:history="1">
        <w:r w:rsidRPr="002C52E7">
          <w:rPr>
            <w:rStyle w:val="Hyperlink"/>
            <w:rFonts w:ascii="Arial" w:hAnsi="Arial" w:cs="Arial"/>
            <w:sz w:val="24"/>
          </w:rPr>
          <w:t>https://data.worldbank.org/country/japan</w:t>
        </w:r>
      </w:hyperlink>
      <w:r>
        <w:rPr>
          <w:rFonts w:ascii="Arial" w:hAnsi="Arial" w:cs="Arial"/>
          <w:sz w:val="24"/>
        </w:rPr>
        <w:t xml:space="preserve"> </w:t>
      </w:r>
    </w:p>
    <w:p w14:paraId="175BD116" w14:textId="384B186A" w:rsidR="00B87790" w:rsidRPr="0049022F" w:rsidRDefault="0049022F" w:rsidP="0049022F">
      <w:pPr>
        <w:pStyle w:val="ListParagraph"/>
        <w:numPr>
          <w:ilvl w:val="0"/>
          <w:numId w:val="33"/>
        </w:numPr>
        <w:spacing w:line="360" w:lineRule="auto"/>
        <w:jc w:val="both"/>
        <w:rPr>
          <w:rFonts w:ascii="Arial" w:hAnsi="Arial" w:cs="Arial"/>
          <w:sz w:val="24"/>
        </w:rPr>
      </w:pPr>
      <w:r w:rsidRPr="0049022F">
        <w:rPr>
          <w:rFonts w:ascii="Arial" w:hAnsi="Arial" w:cs="Arial"/>
          <w:sz w:val="24"/>
        </w:rPr>
        <w:t xml:space="preserve">Zhang, L. and Wang, D. (2024) EV Infrastructure and Market Adoption, Journal of Future Mobility, 10(1), pp. 23–39. </w:t>
      </w:r>
      <w:hyperlink r:id="rId49" w:history="1">
        <w:r w:rsidRPr="002C52E7">
          <w:rPr>
            <w:rStyle w:val="Hyperlink"/>
            <w:rFonts w:ascii="Arial" w:hAnsi="Arial" w:cs="Arial"/>
            <w:sz w:val="24"/>
          </w:rPr>
          <w:t>https://www.springer.com/journal/41062</w:t>
        </w:r>
      </w:hyperlink>
      <w:r>
        <w:rPr>
          <w:rFonts w:ascii="Arial" w:hAnsi="Arial" w:cs="Arial"/>
          <w:sz w:val="24"/>
        </w:rPr>
        <w:t xml:space="preserve"> </w:t>
      </w:r>
    </w:p>
    <w:sectPr w:rsidR="00B87790" w:rsidRPr="0049022F"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CF222" w14:textId="77777777" w:rsidR="0020448D" w:rsidRDefault="0020448D">
      <w:pPr>
        <w:spacing w:after="0" w:line="240" w:lineRule="auto"/>
      </w:pPr>
      <w:r>
        <w:separator/>
      </w:r>
    </w:p>
  </w:endnote>
  <w:endnote w:type="continuationSeparator" w:id="0">
    <w:p w14:paraId="5B816A5E" w14:textId="77777777" w:rsidR="0020448D" w:rsidRDefault="00204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DCEF" w14:textId="7E1AD12B" w:rsidR="00C448AD" w:rsidRDefault="00C448AD">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772B2E">
      <w:rPr>
        <w:rFonts w:ascii="Calibri" w:eastAsia="Calibri" w:hAnsi="Calibri" w:cs="Calibri"/>
        <w:noProof/>
        <w:color w:val="000000"/>
      </w:rPr>
      <w:t>18</w:t>
    </w:r>
    <w:r>
      <w:rPr>
        <w:color w:val="000000"/>
      </w:rPr>
      <w:fldChar w:fldCharType="end"/>
    </w:r>
  </w:p>
  <w:p w14:paraId="5F139649" w14:textId="77777777" w:rsidR="00C448AD" w:rsidRDefault="00C448A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8F3BA" w14:textId="77777777" w:rsidR="0020448D" w:rsidRDefault="0020448D">
      <w:pPr>
        <w:spacing w:after="0" w:line="240" w:lineRule="auto"/>
      </w:pPr>
      <w:r>
        <w:separator/>
      </w:r>
    </w:p>
  </w:footnote>
  <w:footnote w:type="continuationSeparator" w:id="0">
    <w:p w14:paraId="78AE58E1" w14:textId="77777777" w:rsidR="0020448D" w:rsidRDefault="00204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B4D06"/>
    <w:multiLevelType w:val="hybridMultilevel"/>
    <w:tmpl w:val="65166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DA4395"/>
    <w:multiLevelType w:val="multilevel"/>
    <w:tmpl w:val="BE54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F2F17"/>
    <w:multiLevelType w:val="hybridMultilevel"/>
    <w:tmpl w:val="5F64E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7716C"/>
    <w:multiLevelType w:val="multilevel"/>
    <w:tmpl w:val="3D2A0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C4294B"/>
    <w:multiLevelType w:val="hybridMultilevel"/>
    <w:tmpl w:val="B1DE0F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96373A"/>
    <w:multiLevelType w:val="multilevel"/>
    <w:tmpl w:val="B5AA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E771C0"/>
    <w:multiLevelType w:val="hybridMultilevel"/>
    <w:tmpl w:val="67CC6D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77B91"/>
    <w:multiLevelType w:val="multilevel"/>
    <w:tmpl w:val="9BB8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6A3A9B"/>
    <w:multiLevelType w:val="multilevel"/>
    <w:tmpl w:val="F6F2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404A34"/>
    <w:multiLevelType w:val="multilevel"/>
    <w:tmpl w:val="FE4A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4620E"/>
    <w:multiLevelType w:val="hybridMultilevel"/>
    <w:tmpl w:val="E23E00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A70AE"/>
    <w:multiLevelType w:val="hybridMultilevel"/>
    <w:tmpl w:val="2A240E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F406F"/>
    <w:multiLevelType w:val="hybridMultilevel"/>
    <w:tmpl w:val="3FE6C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F4AB6"/>
    <w:multiLevelType w:val="multilevel"/>
    <w:tmpl w:val="D08E5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79661D"/>
    <w:multiLevelType w:val="hybridMultilevel"/>
    <w:tmpl w:val="43EE5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1B0CC9"/>
    <w:multiLevelType w:val="multilevel"/>
    <w:tmpl w:val="6F08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9F39F8"/>
    <w:multiLevelType w:val="multilevel"/>
    <w:tmpl w:val="452A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160379"/>
    <w:multiLevelType w:val="multilevel"/>
    <w:tmpl w:val="BF3E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6E53BF"/>
    <w:multiLevelType w:val="multilevel"/>
    <w:tmpl w:val="200E2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E93184"/>
    <w:multiLevelType w:val="hybridMultilevel"/>
    <w:tmpl w:val="B67AE9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322B8A"/>
    <w:multiLevelType w:val="multilevel"/>
    <w:tmpl w:val="EE90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414D07"/>
    <w:multiLevelType w:val="multilevel"/>
    <w:tmpl w:val="B5AE5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E66679"/>
    <w:multiLevelType w:val="hybridMultilevel"/>
    <w:tmpl w:val="E820DB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EE4591"/>
    <w:multiLevelType w:val="hybridMultilevel"/>
    <w:tmpl w:val="3DA8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44436"/>
    <w:multiLevelType w:val="hybridMultilevel"/>
    <w:tmpl w:val="FAC269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25210A"/>
    <w:multiLevelType w:val="multilevel"/>
    <w:tmpl w:val="6DFE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8F5AA1"/>
    <w:multiLevelType w:val="multilevel"/>
    <w:tmpl w:val="3B38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8398F"/>
    <w:multiLevelType w:val="multilevel"/>
    <w:tmpl w:val="CBF63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9057F7"/>
    <w:multiLevelType w:val="multilevel"/>
    <w:tmpl w:val="CAD6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727B82"/>
    <w:multiLevelType w:val="hybridMultilevel"/>
    <w:tmpl w:val="FC34F5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796FFE"/>
    <w:multiLevelType w:val="hybridMultilevel"/>
    <w:tmpl w:val="4C828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EA6A0E"/>
    <w:multiLevelType w:val="multilevel"/>
    <w:tmpl w:val="ADDC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030DD4"/>
    <w:multiLevelType w:val="multilevel"/>
    <w:tmpl w:val="3CFE3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7924316">
    <w:abstractNumId w:val="0"/>
  </w:num>
  <w:num w:numId="2" w16cid:durableId="367024334">
    <w:abstractNumId w:val="24"/>
  </w:num>
  <w:num w:numId="3" w16cid:durableId="1573193945">
    <w:abstractNumId w:val="11"/>
  </w:num>
  <w:num w:numId="4" w16cid:durableId="124274958">
    <w:abstractNumId w:val="6"/>
  </w:num>
  <w:num w:numId="5" w16cid:durableId="1555696055">
    <w:abstractNumId w:val="21"/>
  </w:num>
  <w:num w:numId="6" w16cid:durableId="1679194293">
    <w:abstractNumId w:val="26"/>
  </w:num>
  <w:num w:numId="7" w16cid:durableId="249392855">
    <w:abstractNumId w:val="17"/>
  </w:num>
  <w:num w:numId="8" w16cid:durableId="1003971438">
    <w:abstractNumId w:val="15"/>
  </w:num>
  <w:num w:numId="9" w16cid:durableId="1218663118">
    <w:abstractNumId w:val="20"/>
  </w:num>
  <w:num w:numId="10" w16cid:durableId="688679222">
    <w:abstractNumId w:val="27"/>
  </w:num>
  <w:num w:numId="11" w16cid:durableId="1290698457">
    <w:abstractNumId w:val="28"/>
  </w:num>
  <w:num w:numId="12" w16cid:durableId="1017971141">
    <w:abstractNumId w:val="7"/>
  </w:num>
  <w:num w:numId="13" w16cid:durableId="241642919">
    <w:abstractNumId w:val="13"/>
  </w:num>
  <w:num w:numId="14" w16cid:durableId="71122447">
    <w:abstractNumId w:val="5"/>
  </w:num>
  <w:num w:numId="15" w16cid:durableId="997659885">
    <w:abstractNumId w:val="16"/>
  </w:num>
  <w:num w:numId="16" w16cid:durableId="1160775291">
    <w:abstractNumId w:val="18"/>
  </w:num>
  <w:num w:numId="17" w16cid:durableId="774517579">
    <w:abstractNumId w:val="3"/>
  </w:num>
  <w:num w:numId="18" w16cid:durableId="305206601">
    <w:abstractNumId w:val="9"/>
  </w:num>
  <w:num w:numId="19" w16cid:durableId="1310598632">
    <w:abstractNumId w:val="25"/>
  </w:num>
  <w:num w:numId="20" w16cid:durableId="917403864">
    <w:abstractNumId w:val="1"/>
  </w:num>
  <w:num w:numId="21" w16cid:durableId="892693095">
    <w:abstractNumId w:val="31"/>
  </w:num>
  <w:num w:numId="22" w16cid:durableId="1430077606">
    <w:abstractNumId w:val="8"/>
  </w:num>
  <w:num w:numId="23" w16cid:durableId="2032760255">
    <w:abstractNumId w:val="32"/>
  </w:num>
  <w:num w:numId="24" w16cid:durableId="474445707">
    <w:abstractNumId w:val="23"/>
  </w:num>
  <w:num w:numId="25" w16cid:durableId="74742931">
    <w:abstractNumId w:val="29"/>
  </w:num>
  <w:num w:numId="26" w16cid:durableId="318387465">
    <w:abstractNumId w:val="12"/>
  </w:num>
  <w:num w:numId="27" w16cid:durableId="1578057470">
    <w:abstractNumId w:val="14"/>
  </w:num>
  <w:num w:numId="28" w16cid:durableId="1498882192">
    <w:abstractNumId w:val="2"/>
  </w:num>
  <w:num w:numId="29" w16cid:durableId="1093549685">
    <w:abstractNumId w:val="19"/>
  </w:num>
  <w:num w:numId="30" w16cid:durableId="994919959">
    <w:abstractNumId w:val="22"/>
  </w:num>
  <w:num w:numId="31" w16cid:durableId="637876579">
    <w:abstractNumId w:val="30"/>
  </w:num>
  <w:num w:numId="32" w16cid:durableId="160194004">
    <w:abstractNumId w:val="10"/>
  </w:num>
  <w:num w:numId="33" w16cid:durableId="71010969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846"/>
    <w:rsid w:val="00002742"/>
    <w:rsid w:val="00005A9A"/>
    <w:rsid w:val="00010027"/>
    <w:rsid w:val="00010563"/>
    <w:rsid w:val="00013CC9"/>
    <w:rsid w:val="000148AE"/>
    <w:rsid w:val="00015105"/>
    <w:rsid w:val="000166F6"/>
    <w:rsid w:val="000205B8"/>
    <w:rsid w:val="000219F3"/>
    <w:rsid w:val="00031E20"/>
    <w:rsid w:val="000332B5"/>
    <w:rsid w:val="00035E3D"/>
    <w:rsid w:val="00035E3E"/>
    <w:rsid w:val="000415CF"/>
    <w:rsid w:val="00041B1D"/>
    <w:rsid w:val="000434C5"/>
    <w:rsid w:val="00043608"/>
    <w:rsid w:val="00051DD0"/>
    <w:rsid w:val="00054512"/>
    <w:rsid w:val="0005454C"/>
    <w:rsid w:val="00060D21"/>
    <w:rsid w:val="0006107F"/>
    <w:rsid w:val="00061289"/>
    <w:rsid w:val="00063C11"/>
    <w:rsid w:val="0006590B"/>
    <w:rsid w:val="000743C4"/>
    <w:rsid w:val="00081F05"/>
    <w:rsid w:val="00083560"/>
    <w:rsid w:val="00092987"/>
    <w:rsid w:val="0009426A"/>
    <w:rsid w:val="000966E4"/>
    <w:rsid w:val="00096FCF"/>
    <w:rsid w:val="000A1995"/>
    <w:rsid w:val="000A1AA1"/>
    <w:rsid w:val="000A1EF6"/>
    <w:rsid w:val="000A627C"/>
    <w:rsid w:val="000B3261"/>
    <w:rsid w:val="000B5A41"/>
    <w:rsid w:val="000C14A4"/>
    <w:rsid w:val="000C660D"/>
    <w:rsid w:val="000D0C15"/>
    <w:rsid w:val="000D2C11"/>
    <w:rsid w:val="000D51B2"/>
    <w:rsid w:val="000E6A78"/>
    <w:rsid w:val="000E7846"/>
    <w:rsid w:val="00103736"/>
    <w:rsid w:val="001047C8"/>
    <w:rsid w:val="00107205"/>
    <w:rsid w:val="00124055"/>
    <w:rsid w:val="001259BC"/>
    <w:rsid w:val="00142662"/>
    <w:rsid w:val="001454D1"/>
    <w:rsid w:val="001510EF"/>
    <w:rsid w:val="00155089"/>
    <w:rsid w:val="00161318"/>
    <w:rsid w:val="001716FD"/>
    <w:rsid w:val="00173A32"/>
    <w:rsid w:val="00175A6B"/>
    <w:rsid w:val="00177B83"/>
    <w:rsid w:val="00192680"/>
    <w:rsid w:val="001A32A8"/>
    <w:rsid w:val="001A508A"/>
    <w:rsid w:val="001A50F5"/>
    <w:rsid w:val="001A5555"/>
    <w:rsid w:val="001B059B"/>
    <w:rsid w:val="001B229E"/>
    <w:rsid w:val="001B425F"/>
    <w:rsid w:val="001B6DDA"/>
    <w:rsid w:val="001C04AF"/>
    <w:rsid w:val="001C2FAF"/>
    <w:rsid w:val="001C7138"/>
    <w:rsid w:val="001D08DF"/>
    <w:rsid w:val="001D7986"/>
    <w:rsid w:val="001F167B"/>
    <w:rsid w:val="002007F0"/>
    <w:rsid w:val="0020448D"/>
    <w:rsid w:val="00204AC3"/>
    <w:rsid w:val="00205E12"/>
    <w:rsid w:val="00206AF2"/>
    <w:rsid w:val="0020704B"/>
    <w:rsid w:val="00211E20"/>
    <w:rsid w:val="00213221"/>
    <w:rsid w:val="0021405B"/>
    <w:rsid w:val="0022094A"/>
    <w:rsid w:val="00222810"/>
    <w:rsid w:val="00225C49"/>
    <w:rsid w:val="00231C7F"/>
    <w:rsid w:val="002343AE"/>
    <w:rsid w:val="002344D1"/>
    <w:rsid w:val="002345C8"/>
    <w:rsid w:val="00235142"/>
    <w:rsid w:val="00247C50"/>
    <w:rsid w:val="002608A2"/>
    <w:rsid w:val="00266AE2"/>
    <w:rsid w:val="002720FC"/>
    <w:rsid w:val="002760F3"/>
    <w:rsid w:val="00280021"/>
    <w:rsid w:val="00280BCA"/>
    <w:rsid w:val="00283C36"/>
    <w:rsid w:val="00286C39"/>
    <w:rsid w:val="002908C6"/>
    <w:rsid w:val="0029307C"/>
    <w:rsid w:val="00294362"/>
    <w:rsid w:val="002A0E06"/>
    <w:rsid w:val="002A1E9A"/>
    <w:rsid w:val="002A2EC5"/>
    <w:rsid w:val="002A2F5B"/>
    <w:rsid w:val="002A362C"/>
    <w:rsid w:val="002A4640"/>
    <w:rsid w:val="002B0C68"/>
    <w:rsid w:val="002B3E19"/>
    <w:rsid w:val="002B5DD1"/>
    <w:rsid w:val="002C1426"/>
    <w:rsid w:val="002D115E"/>
    <w:rsid w:val="002D2661"/>
    <w:rsid w:val="002D3EB6"/>
    <w:rsid w:val="002D43DF"/>
    <w:rsid w:val="002D6349"/>
    <w:rsid w:val="002E0852"/>
    <w:rsid w:val="002E1245"/>
    <w:rsid w:val="002E2295"/>
    <w:rsid w:val="002F7EE9"/>
    <w:rsid w:val="00302782"/>
    <w:rsid w:val="00305A2B"/>
    <w:rsid w:val="003206C2"/>
    <w:rsid w:val="00326D58"/>
    <w:rsid w:val="00331AD8"/>
    <w:rsid w:val="0033404D"/>
    <w:rsid w:val="00336DD3"/>
    <w:rsid w:val="00337115"/>
    <w:rsid w:val="003405D9"/>
    <w:rsid w:val="00342B50"/>
    <w:rsid w:val="00346F8B"/>
    <w:rsid w:val="00347203"/>
    <w:rsid w:val="00350A7B"/>
    <w:rsid w:val="00356BF4"/>
    <w:rsid w:val="0036332A"/>
    <w:rsid w:val="00372B18"/>
    <w:rsid w:val="003834E4"/>
    <w:rsid w:val="003861AE"/>
    <w:rsid w:val="00393CFF"/>
    <w:rsid w:val="00395BCF"/>
    <w:rsid w:val="0039704B"/>
    <w:rsid w:val="003A326F"/>
    <w:rsid w:val="003A445C"/>
    <w:rsid w:val="003A61D3"/>
    <w:rsid w:val="003A7BEB"/>
    <w:rsid w:val="003B3B6A"/>
    <w:rsid w:val="003C01A2"/>
    <w:rsid w:val="003C13CA"/>
    <w:rsid w:val="003C160C"/>
    <w:rsid w:val="003C6D15"/>
    <w:rsid w:val="003D3E7D"/>
    <w:rsid w:val="003E0C3A"/>
    <w:rsid w:val="003E7614"/>
    <w:rsid w:val="00402BE0"/>
    <w:rsid w:val="00411409"/>
    <w:rsid w:val="00412DEC"/>
    <w:rsid w:val="00414832"/>
    <w:rsid w:val="00420382"/>
    <w:rsid w:val="00425C88"/>
    <w:rsid w:val="00430020"/>
    <w:rsid w:val="0043149C"/>
    <w:rsid w:val="00433B86"/>
    <w:rsid w:val="0043754B"/>
    <w:rsid w:val="00444F19"/>
    <w:rsid w:val="00455D7A"/>
    <w:rsid w:val="004565F9"/>
    <w:rsid w:val="00457DF7"/>
    <w:rsid w:val="00460151"/>
    <w:rsid w:val="0046214D"/>
    <w:rsid w:val="0047759B"/>
    <w:rsid w:val="004813B2"/>
    <w:rsid w:val="004861C4"/>
    <w:rsid w:val="00486884"/>
    <w:rsid w:val="00486F48"/>
    <w:rsid w:val="00486FCB"/>
    <w:rsid w:val="0049022F"/>
    <w:rsid w:val="00496C75"/>
    <w:rsid w:val="004B25C7"/>
    <w:rsid w:val="004B34E6"/>
    <w:rsid w:val="004C783E"/>
    <w:rsid w:val="004D0EE8"/>
    <w:rsid w:val="004D3366"/>
    <w:rsid w:val="004D37D9"/>
    <w:rsid w:val="004D39CD"/>
    <w:rsid w:val="004D5C9E"/>
    <w:rsid w:val="004D5CAD"/>
    <w:rsid w:val="004D73A1"/>
    <w:rsid w:val="004E0A31"/>
    <w:rsid w:val="004E22AA"/>
    <w:rsid w:val="004E4426"/>
    <w:rsid w:val="004E581D"/>
    <w:rsid w:val="004E6B49"/>
    <w:rsid w:val="004F16F8"/>
    <w:rsid w:val="004F3D55"/>
    <w:rsid w:val="004F4667"/>
    <w:rsid w:val="004F64E4"/>
    <w:rsid w:val="00501838"/>
    <w:rsid w:val="005067C0"/>
    <w:rsid w:val="005107B5"/>
    <w:rsid w:val="00512DDE"/>
    <w:rsid w:val="00525E70"/>
    <w:rsid w:val="005263A5"/>
    <w:rsid w:val="00535B9E"/>
    <w:rsid w:val="00542270"/>
    <w:rsid w:val="00543A90"/>
    <w:rsid w:val="005508E8"/>
    <w:rsid w:val="005510B7"/>
    <w:rsid w:val="00553BEF"/>
    <w:rsid w:val="00566C6F"/>
    <w:rsid w:val="00574AF4"/>
    <w:rsid w:val="0057512F"/>
    <w:rsid w:val="005767BB"/>
    <w:rsid w:val="00581FCA"/>
    <w:rsid w:val="005849EF"/>
    <w:rsid w:val="00585D85"/>
    <w:rsid w:val="00590800"/>
    <w:rsid w:val="005A0A07"/>
    <w:rsid w:val="005A5FB9"/>
    <w:rsid w:val="005A7462"/>
    <w:rsid w:val="005A7A13"/>
    <w:rsid w:val="005B1E17"/>
    <w:rsid w:val="005E408A"/>
    <w:rsid w:val="005F2132"/>
    <w:rsid w:val="005F2A68"/>
    <w:rsid w:val="0060328A"/>
    <w:rsid w:val="00606329"/>
    <w:rsid w:val="00606E5A"/>
    <w:rsid w:val="00612CAB"/>
    <w:rsid w:val="00621DCB"/>
    <w:rsid w:val="00626D0D"/>
    <w:rsid w:val="00636CB4"/>
    <w:rsid w:val="006422F6"/>
    <w:rsid w:val="00642A91"/>
    <w:rsid w:val="00643496"/>
    <w:rsid w:val="00643D28"/>
    <w:rsid w:val="0065420F"/>
    <w:rsid w:val="00656EFC"/>
    <w:rsid w:val="00657EF4"/>
    <w:rsid w:val="00671ACF"/>
    <w:rsid w:val="00671AE0"/>
    <w:rsid w:val="0067256C"/>
    <w:rsid w:val="00675C66"/>
    <w:rsid w:val="00685AE2"/>
    <w:rsid w:val="006864B2"/>
    <w:rsid w:val="00694333"/>
    <w:rsid w:val="006A0B46"/>
    <w:rsid w:val="006A2F42"/>
    <w:rsid w:val="006A30E4"/>
    <w:rsid w:val="006A3CB2"/>
    <w:rsid w:val="006B5F33"/>
    <w:rsid w:val="006B609B"/>
    <w:rsid w:val="006B671C"/>
    <w:rsid w:val="006C08D3"/>
    <w:rsid w:val="006C5E7A"/>
    <w:rsid w:val="006C71C6"/>
    <w:rsid w:val="006D2D9E"/>
    <w:rsid w:val="006D3CC2"/>
    <w:rsid w:val="006D5A57"/>
    <w:rsid w:val="006D7BE1"/>
    <w:rsid w:val="006E1ABB"/>
    <w:rsid w:val="006E53FA"/>
    <w:rsid w:val="006E7FA3"/>
    <w:rsid w:val="006F1327"/>
    <w:rsid w:val="006F7011"/>
    <w:rsid w:val="00704348"/>
    <w:rsid w:val="00706226"/>
    <w:rsid w:val="00710C41"/>
    <w:rsid w:val="00714127"/>
    <w:rsid w:val="00714998"/>
    <w:rsid w:val="00714D3F"/>
    <w:rsid w:val="00716814"/>
    <w:rsid w:val="00720228"/>
    <w:rsid w:val="00727F4B"/>
    <w:rsid w:val="00730903"/>
    <w:rsid w:val="0073542C"/>
    <w:rsid w:val="0075262B"/>
    <w:rsid w:val="00753769"/>
    <w:rsid w:val="00763516"/>
    <w:rsid w:val="00772B2E"/>
    <w:rsid w:val="0077686D"/>
    <w:rsid w:val="0078271B"/>
    <w:rsid w:val="00783E5B"/>
    <w:rsid w:val="00793186"/>
    <w:rsid w:val="007A0A3D"/>
    <w:rsid w:val="007A0FFA"/>
    <w:rsid w:val="007C010F"/>
    <w:rsid w:val="007C6264"/>
    <w:rsid w:val="007D0444"/>
    <w:rsid w:val="007D6FB5"/>
    <w:rsid w:val="007E0FA4"/>
    <w:rsid w:val="007E23F6"/>
    <w:rsid w:val="007E5DDC"/>
    <w:rsid w:val="00802946"/>
    <w:rsid w:val="008039D5"/>
    <w:rsid w:val="00804B41"/>
    <w:rsid w:val="00824578"/>
    <w:rsid w:val="0082478C"/>
    <w:rsid w:val="008274AE"/>
    <w:rsid w:val="00832209"/>
    <w:rsid w:val="00833AF3"/>
    <w:rsid w:val="008425C2"/>
    <w:rsid w:val="008430F9"/>
    <w:rsid w:val="00844221"/>
    <w:rsid w:val="00844B41"/>
    <w:rsid w:val="00851D6E"/>
    <w:rsid w:val="00851EFA"/>
    <w:rsid w:val="008530E7"/>
    <w:rsid w:val="00863FB9"/>
    <w:rsid w:val="008775F1"/>
    <w:rsid w:val="00885560"/>
    <w:rsid w:val="00896C02"/>
    <w:rsid w:val="008B25D0"/>
    <w:rsid w:val="008B38CE"/>
    <w:rsid w:val="008B3A98"/>
    <w:rsid w:val="008B6565"/>
    <w:rsid w:val="008C315F"/>
    <w:rsid w:val="008D30C1"/>
    <w:rsid w:val="008E660E"/>
    <w:rsid w:val="008E7C64"/>
    <w:rsid w:val="008F0D4B"/>
    <w:rsid w:val="00901DF6"/>
    <w:rsid w:val="009047AB"/>
    <w:rsid w:val="0090639A"/>
    <w:rsid w:val="009116CB"/>
    <w:rsid w:val="0091620A"/>
    <w:rsid w:val="00916AD8"/>
    <w:rsid w:val="00927E40"/>
    <w:rsid w:val="00936CED"/>
    <w:rsid w:val="009507D8"/>
    <w:rsid w:val="00951AF3"/>
    <w:rsid w:val="00972643"/>
    <w:rsid w:val="00977FEC"/>
    <w:rsid w:val="00982524"/>
    <w:rsid w:val="009825AF"/>
    <w:rsid w:val="00985368"/>
    <w:rsid w:val="009864FA"/>
    <w:rsid w:val="00986B18"/>
    <w:rsid w:val="00987F19"/>
    <w:rsid w:val="009938BC"/>
    <w:rsid w:val="009940D2"/>
    <w:rsid w:val="009A67DE"/>
    <w:rsid w:val="009A77CF"/>
    <w:rsid w:val="009D0717"/>
    <w:rsid w:val="009D320A"/>
    <w:rsid w:val="009D57D1"/>
    <w:rsid w:val="009D7B31"/>
    <w:rsid w:val="009F250A"/>
    <w:rsid w:val="009F2FA5"/>
    <w:rsid w:val="009F4543"/>
    <w:rsid w:val="009F7921"/>
    <w:rsid w:val="00A02505"/>
    <w:rsid w:val="00A03689"/>
    <w:rsid w:val="00A0558F"/>
    <w:rsid w:val="00A062C7"/>
    <w:rsid w:val="00A10357"/>
    <w:rsid w:val="00A11E9F"/>
    <w:rsid w:val="00A2083D"/>
    <w:rsid w:val="00A20873"/>
    <w:rsid w:val="00A22A1C"/>
    <w:rsid w:val="00A321FB"/>
    <w:rsid w:val="00A42D33"/>
    <w:rsid w:val="00A455FE"/>
    <w:rsid w:val="00A535EB"/>
    <w:rsid w:val="00A55AF7"/>
    <w:rsid w:val="00A65432"/>
    <w:rsid w:val="00A67D5C"/>
    <w:rsid w:val="00A7031E"/>
    <w:rsid w:val="00A82E96"/>
    <w:rsid w:val="00A84844"/>
    <w:rsid w:val="00AA2D51"/>
    <w:rsid w:val="00AA55B7"/>
    <w:rsid w:val="00AA73BA"/>
    <w:rsid w:val="00AB1D9E"/>
    <w:rsid w:val="00AB3BBA"/>
    <w:rsid w:val="00AC424A"/>
    <w:rsid w:val="00AC7B93"/>
    <w:rsid w:val="00AD0727"/>
    <w:rsid w:val="00AE7CF4"/>
    <w:rsid w:val="00AF0D57"/>
    <w:rsid w:val="00AF3610"/>
    <w:rsid w:val="00AF4BBC"/>
    <w:rsid w:val="00AF5848"/>
    <w:rsid w:val="00B059AE"/>
    <w:rsid w:val="00B05B66"/>
    <w:rsid w:val="00B068AA"/>
    <w:rsid w:val="00B07951"/>
    <w:rsid w:val="00B11290"/>
    <w:rsid w:val="00B14342"/>
    <w:rsid w:val="00B21D21"/>
    <w:rsid w:val="00B2631C"/>
    <w:rsid w:val="00B4409A"/>
    <w:rsid w:val="00B52389"/>
    <w:rsid w:val="00B56A0E"/>
    <w:rsid w:val="00B56F96"/>
    <w:rsid w:val="00B743C5"/>
    <w:rsid w:val="00B75BDA"/>
    <w:rsid w:val="00B82855"/>
    <w:rsid w:val="00B8729E"/>
    <w:rsid w:val="00B87790"/>
    <w:rsid w:val="00B95FAE"/>
    <w:rsid w:val="00BA0BAF"/>
    <w:rsid w:val="00BA67FF"/>
    <w:rsid w:val="00BA73C5"/>
    <w:rsid w:val="00BB72CB"/>
    <w:rsid w:val="00BB776F"/>
    <w:rsid w:val="00BB7DA8"/>
    <w:rsid w:val="00BC2542"/>
    <w:rsid w:val="00BD3265"/>
    <w:rsid w:val="00BD7314"/>
    <w:rsid w:val="00BE1679"/>
    <w:rsid w:val="00BE3D15"/>
    <w:rsid w:val="00BE6A11"/>
    <w:rsid w:val="00C019EA"/>
    <w:rsid w:val="00C03AF7"/>
    <w:rsid w:val="00C03AF9"/>
    <w:rsid w:val="00C16609"/>
    <w:rsid w:val="00C166BA"/>
    <w:rsid w:val="00C174AD"/>
    <w:rsid w:val="00C2303B"/>
    <w:rsid w:val="00C230EA"/>
    <w:rsid w:val="00C23A1D"/>
    <w:rsid w:val="00C268DF"/>
    <w:rsid w:val="00C40E7C"/>
    <w:rsid w:val="00C418D8"/>
    <w:rsid w:val="00C41ACC"/>
    <w:rsid w:val="00C448AD"/>
    <w:rsid w:val="00C45255"/>
    <w:rsid w:val="00C45CF8"/>
    <w:rsid w:val="00C54577"/>
    <w:rsid w:val="00C546CD"/>
    <w:rsid w:val="00C63075"/>
    <w:rsid w:val="00C63A3C"/>
    <w:rsid w:val="00C731ED"/>
    <w:rsid w:val="00C859BE"/>
    <w:rsid w:val="00C879C7"/>
    <w:rsid w:val="00C90652"/>
    <w:rsid w:val="00C90663"/>
    <w:rsid w:val="00C92DD1"/>
    <w:rsid w:val="00CB4826"/>
    <w:rsid w:val="00CC58F9"/>
    <w:rsid w:val="00CD1B34"/>
    <w:rsid w:val="00CD3321"/>
    <w:rsid w:val="00CD43D1"/>
    <w:rsid w:val="00CD7930"/>
    <w:rsid w:val="00CE000B"/>
    <w:rsid w:val="00CE0329"/>
    <w:rsid w:val="00CE0FDD"/>
    <w:rsid w:val="00CE31D3"/>
    <w:rsid w:val="00CE4FDC"/>
    <w:rsid w:val="00CF57A1"/>
    <w:rsid w:val="00D024E0"/>
    <w:rsid w:val="00D057BD"/>
    <w:rsid w:val="00D074C2"/>
    <w:rsid w:val="00D1392E"/>
    <w:rsid w:val="00D13C1B"/>
    <w:rsid w:val="00D15F4F"/>
    <w:rsid w:val="00D178FE"/>
    <w:rsid w:val="00D17FFE"/>
    <w:rsid w:val="00D2138C"/>
    <w:rsid w:val="00D21D3B"/>
    <w:rsid w:val="00D319B8"/>
    <w:rsid w:val="00D32EB6"/>
    <w:rsid w:val="00D345FD"/>
    <w:rsid w:val="00D41637"/>
    <w:rsid w:val="00D43E52"/>
    <w:rsid w:val="00D456B1"/>
    <w:rsid w:val="00D47DAF"/>
    <w:rsid w:val="00D54F01"/>
    <w:rsid w:val="00D71074"/>
    <w:rsid w:val="00D71658"/>
    <w:rsid w:val="00D779A4"/>
    <w:rsid w:val="00D81721"/>
    <w:rsid w:val="00D849F5"/>
    <w:rsid w:val="00D87EEA"/>
    <w:rsid w:val="00D92D26"/>
    <w:rsid w:val="00D97EFD"/>
    <w:rsid w:val="00DA6236"/>
    <w:rsid w:val="00DA667E"/>
    <w:rsid w:val="00DA72FE"/>
    <w:rsid w:val="00DC2236"/>
    <w:rsid w:val="00DC2E42"/>
    <w:rsid w:val="00DC31DC"/>
    <w:rsid w:val="00DD3B05"/>
    <w:rsid w:val="00DE61C7"/>
    <w:rsid w:val="00DF2873"/>
    <w:rsid w:val="00DF68C9"/>
    <w:rsid w:val="00DF6DC7"/>
    <w:rsid w:val="00E07DC0"/>
    <w:rsid w:val="00E14A21"/>
    <w:rsid w:val="00E16622"/>
    <w:rsid w:val="00E30C8E"/>
    <w:rsid w:val="00E326CD"/>
    <w:rsid w:val="00E32F4A"/>
    <w:rsid w:val="00E40B8D"/>
    <w:rsid w:val="00E44B36"/>
    <w:rsid w:val="00E45E0A"/>
    <w:rsid w:val="00E539EC"/>
    <w:rsid w:val="00E541E7"/>
    <w:rsid w:val="00E70C89"/>
    <w:rsid w:val="00E71E3E"/>
    <w:rsid w:val="00E74B11"/>
    <w:rsid w:val="00E74EA3"/>
    <w:rsid w:val="00E76F15"/>
    <w:rsid w:val="00E8787D"/>
    <w:rsid w:val="00E916C3"/>
    <w:rsid w:val="00E96618"/>
    <w:rsid w:val="00EA00FA"/>
    <w:rsid w:val="00EA0751"/>
    <w:rsid w:val="00EB0893"/>
    <w:rsid w:val="00EB108F"/>
    <w:rsid w:val="00EB1357"/>
    <w:rsid w:val="00EB6FE2"/>
    <w:rsid w:val="00EB71C5"/>
    <w:rsid w:val="00EC295E"/>
    <w:rsid w:val="00EC3D6B"/>
    <w:rsid w:val="00ED2F87"/>
    <w:rsid w:val="00ED66F4"/>
    <w:rsid w:val="00EE2DDD"/>
    <w:rsid w:val="00EE4DE6"/>
    <w:rsid w:val="00EF068F"/>
    <w:rsid w:val="00EF5448"/>
    <w:rsid w:val="00EF5EFC"/>
    <w:rsid w:val="00F01DAB"/>
    <w:rsid w:val="00F1170E"/>
    <w:rsid w:val="00F225E9"/>
    <w:rsid w:val="00F23031"/>
    <w:rsid w:val="00F34A99"/>
    <w:rsid w:val="00F3632B"/>
    <w:rsid w:val="00F40BEE"/>
    <w:rsid w:val="00F425BF"/>
    <w:rsid w:val="00F45CBC"/>
    <w:rsid w:val="00F53CBD"/>
    <w:rsid w:val="00F60A2B"/>
    <w:rsid w:val="00F677FF"/>
    <w:rsid w:val="00F81236"/>
    <w:rsid w:val="00F818BA"/>
    <w:rsid w:val="00F836FB"/>
    <w:rsid w:val="00F8659A"/>
    <w:rsid w:val="00F90811"/>
    <w:rsid w:val="00F90EB9"/>
    <w:rsid w:val="00F90F44"/>
    <w:rsid w:val="00F91516"/>
    <w:rsid w:val="00F965A4"/>
    <w:rsid w:val="00FA1303"/>
    <w:rsid w:val="00FA6CFB"/>
    <w:rsid w:val="00FB086F"/>
    <w:rsid w:val="00FB335C"/>
    <w:rsid w:val="00FC0085"/>
    <w:rsid w:val="00FC218A"/>
    <w:rsid w:val="00FC6878"/>
    <w:rsid w:val="00FD3FC4"/>
    <w:rsid w:val="00FD618B"/>
    <w:rsid w:val="00FE50CA"/>
    <w:rsid w:val="00FF3A9E"/>
    <w:rsid w:val="00FF5856"/>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D456B1"/>
    <w:pPr>
      <w:keepNext/>
      <w:keepLines/>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rsid w:val="00EB13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cm-author">
    <w:name w:val="cm-author"/>
    <w:basedOn w:val="DefaultParagraphFont"/>
    <w:rsid w:val="00CD1B34"/>
  </w:style>
  <w:style w:type="character" w:customStyle="1" w:styleId="Heading3Char">
    <w:name w:val="Heading 3 Char"/>
    <w:basedOn w:val="DefaultParagraphFont"/>
    <w:link w:val="Heading3"/>
    <w:uiPriority w:val="9"/>
    <w:rsid w:val="00D456B1"/>
    <w:rPr>
      <w:rFonts w:ascii="Arial" w:eastAsiaTheme="majorEastAsia" w:hAnsi="Arial"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EB1357"/>
    <w:rPr>
      <w:rFonts w:asciiTheme="majorHAnsi" w:eastAsiaTheme="majorEastAsia" w:hAnsiTheme="majorHAnsi" w:cstheme="majorBidi"/>
      <w:i/>
      <w:iCs/>
      <w:color w:val="2E74B5" w:themeColor="accent1" w:themeShade="BF"/>
      <w:lang w:val="en-GB"/>
    </w:rPr>
  </w:style>
  <w:style w:type="paragraph" w:styleId="Caption">
    <w:name w:val="caption"/>
    <w:basedOn w:val="Normal"/>
    <w:next w:val="Normal"/>
    <w:uiPriority w:val="35"/>
    <w:unhideWhenUsed/>
    <w:qFormat/>
    <w:rsid w:val="0033404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3404D"/>
    <w:pPr>
      <w:spacing w:after="0"/>
    </w:pPr>
    <w:rPr>
      <w:rFonts w:ascii="Arial" w:hAnsi="Arial"/>
    </w:rPr>
  </w:style>
  <w:style w:type="paragraph" w:styleId="NormalWeb">
    <w:name w:val="Normal (Web)"/>
    <w:basedOn w:val="Normal"/>
    <w:uiPriority w:val="99"/>
    <w:semiHidden/>
    <w:unhideWhenUsed/>
    <w:rsid w:val="003206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206C2"/>
    <w:rPr>
      <w:b/>
      <w:bCs/>
    </w:rPr>
  </w:style>
  <w:style w:type="paragraph" w:styleId="NoSpacing">
    <w:name w:val="No Spacing"/>
    <w:uiPriority w:val="1"/>
    <w:qFormat/>
    <w:rsid w:val="004B34E6"/>
    <w:pPr>
      <w:spacing w:after="0" w:line="240" w:lineRule="auto"/>
    </w:pPr>
    <w:rPr>
      <w:lang w:val="en-GB"/>
    </w:rPr>
  </w:style>
  <w:style w:type="character" w:styleId="CommentReference">
    <w:name w:val="annotation reference"/>
    <w:basedOn w:val="DefaultParagraphFont"/>
    <w:uiPriority w:val="99"/>
    <w:semiHidden/>
    <w:unhideWhenUsed/>
    <w:rsid w:val="00EF068F"/>
    <w:rPr>
      <w:sz w:val="16"/>
      <w:szCs w:val="16"/>
    </w:rPr>
  </w:style>
  <w:style w:type="paragraph" w:styleId="CommentText">
    <w:name w:val="annotation text"/>
    <w:basedOn w:val="Normal"/>
    <w:link w:val="CommentTextChar"/>
    <w:uiPriority w:val="99"/>
    <w:unhideWhenUsed/>
    <w:rsid w:val="00EF068F"/>
    <w:pPr>
      <w:spacing w:line="240" w:lineRule="auto"/>
    </w:pPr>
    <w:rPr>
      <w:sz w:val="20"/>
      <w:szCs w:val="20"/>
    </w:rPr>
  </w:style>
  <w:style w:type="character" w:customStyle="1" w:styleId="CommentTextChar">
    <w:name w:val="Comment Text Char"/>
    <w:basedOn w:val="DefaultParagraphFont"/>
    <w:link w:val="CommentText"/>
    <w:uiPriority w:val="99"/>
    <w:rsid w:val="00EF068F"/>
    <w:rPr>
      <w:sz w:val="20"/>
      <w:szCs w:val="20"/>
      <w:lang w:val="en-GB"/>
    </w:rPr>
  </w:style>
  <w:style w:type="paragraph" w:styleId="CommentSubject">
    <w:name w:val="annotation subject"/>
    <w:basedOn w:val="CommentText"/>
    <w:next w:val="CommentText"/>
    <w:link w:val="CommentSubjectChar"/>
    <w:uiPriority w:val="99"/>
    <w:semiHidden/>
    <w:unhideWhenUsed/>
    <w:rsid w:val="00EF068F"/>
    <w:rPr>
      <w:b/>
      <w:bCs/>
    </w:rPr>
  </w:style>
  <w:style w:type="character" w:customStyle="1" w:styleId="CommentSubjectChar">
    <w:name w:val="Comment Subject Char"/>
    <w:basedOn w:val="CommentTextChar"/>
    <w:link w:val="CommentSubject"/>
    <w:uiPriority w:val="99"/>
    <w:semiHidden/>
    <w:rsid w:val="00EF068F"/>
    <w:rPr>
      <w:b/>
      <w:bCs/>
      <w:sz w:val="20"/>
      <w:szCs w:val="20"/>
      <w:lang w:val="en-GB"/>
    </w:rPr>
  </w:style>
  <w:style w:type="paragraph" w:styleId="BalloonText">
    <w:name w:val="Balloon Text"/>
    <w:basedOn w:val="Normal"/>
    <w:link w:val="BalloonTextChar"/>
    <w:uiPriority w:val="99"/>
    <w:semiHidden/>
    <w:unhideWhenUsed/>
    <w:rsid w:val="00B75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BDA"/>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139269201">
      <w:bodyDiv w:val="1"/>
      <w:marLeft w:val="0"/>
      <w:marRight w:val="0"/>
      <w:marTop w:val="0"/>
      <w:marBottom w:val="0"/>
      <w:divBdr>
        <w:top w:val="none" w:sz="0" w:space="0" w:color="auto"/>
        <w:left w:val="none" w:sz="0" w:space="0" w:color="auto"/>
        <w:bottom w:val="none" w:sz="0" w:space="0" w:color="auto"/>
        <w:right w:val="none" w:sz="0" w:space="0" w:color="auto"/>
      </w:divBdr>
      <w:divsChild>
        <w:div w:id="481699089">
          <w:marLeft w:val="0"/>
          <w:marRight w:val="0"/>
          <w:marTop w:val="0"/>
          <w:marBottom w:val="0"/>
          <w:divBdr>
            <w:top w:val="none" w:sz="0" w:space="0" w:color="auto"/>
            <w:left w:val="none" w:sz="0" w:space="0" w:color="auto"/>
            <w:bottom w:val="none" w:sz="0" w:space="0" w:color="auto"/>
            <w:right w:val="none" w:sz="0" w:space="0" w:color="auto"/>
          </w:divBdr>
          <w:divsChild>
            <w:div w:id="12701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181650">
      <w:bodyDiv w:val="1"/>
      <w:marLeft w:val="0"/>
      <w:marRight w:val="0"/>
      <w:marTop w:val="0"/>
      <w:marBottom w:val="0"/>
      <w:divBdr>
        <w:top w:val="none" w:sz="0" w:space="0" w:color="auto"/>
        <w:left w:val="none" w:sz="0" w:space="0" w:color="auto"/>
        <w:bottom w:val="none" w:sz="0" w:space="0" w:color="auto"/>
        <w:right w:val="none" w:sz="0" w:space="0" w:color="auto"/>
      </w:divBdr>
      <w:divsChild>
        <w:div w:id="111167212">
          <w:marLeft w:val="0"/>
          <w:marRight w:val="0"/>
          <w:marTop w:val="0"/>
          <w:marBottom w:val="0"/>
          <w:divBdr>
            <w:top w:val="none" w:sz="0" w:space="0" w:color="auto"/>
            <w:left w:val="none" w:sz="0" w:space="0" w:color="auto"/>
            <w:bottom w:val="none" w:sz="0" w:space="0" w:color="auto"/>
            <w:right w:val="none" w:sz="0" w:space="0" w:color="auto"/>
          </w:divBdr>
          <w:divsChild>
            <w:div w:id="2089039149">
              <w:marLeft w:val="0"/>
              <w:marRight w:val="0"/>
              <w:marTop w:val="0"/>
              <w:marBottom w:val="0"/>
              <w:divBdr>
                <w:top w:val="none" w:sz="0" w:space="0" w:color="auto"/>
                <w:left w:val="none" w:sz="0" w:space="0" w:color="auto"/>
                <w:bottom w:val="none" w:sz="0" w:space="0" w:color="auto"/>
                <w:right w:val="none" w:sz="0" w:space="0" w:color="auto"/>
              </w:divBdr>
            </w:div>
          </w:divsChild>
        </w:div>
        <w:div w:id="379205404">
          <w:marLeft w:val="0"/>
          <w:marRight w:val="0"/>
          <w:marTop w:val="0"/>
          <w:marBottom w:val="0"/>
          <w:divBdr>
            <w:top w:val="none" w:sz="0" w:space="0" w:color="auto"/>
            <w:left w:val="none" w:sz="0" w:space="0" w:color="auto"/>
            <w:bottom w:val="none" w:sz="0" w:space="0" w:color="auto"/>
            <w:right w:val="none" w:sz="0" w:space="0" w:color="auto"/>
          </w:divBdr>
          <w:divsChild>
            <w:div w:id="885794916">
              <w:marLeft w:val="0"/>
              <w:marRight w:val="0"/>
              <w:marTop w:val="0"/>
              <w:marBottom w:val="0"/>
              <w:divBdr>
                <w:top w:val="none" w:sz="0" w:space="0" w:color="auto"/>
                <w:left w:val="none" w:sz="0" w:space="0" w:color="auto"/>
                <w:bottom w:val="none" w:sz="0" w:space="0" w:color="auto"/>
                <w:right w:val="none" w:sz="0" w:space="0" w:color="auto"/>
              </w:divBdr>
            </w:div>
          </w:divsChild>
        </w:div>
        <w:div w:id="874385751">
          <w:marLeft w:val="0"/>
          <w:marRight w:val="0"/>
          <w:marTop w:val="0"/>
          <w:marBottom w:val="0"/>
          <w:divBdr>
            <w:top w:val="none" w:sz="0" w:space="0" w:color="auto"/>
            <w:left w:val="none" w:sz="0" w:space="0" w:color="auto"/>
            <w:bottom w:val="none" w:sz="0" w:space="0" w:color="auto"/>
            <w:right w:val="none" w:sz="0" w:space="0" w:color="auto"/>
          </w:divBdr>
          <w:divsChild>
            <w:div w:id="130600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030408">
      <w:bodyDiv w:val="1"/>
      <w:marLeft w:val="0"/>
      <w:marRight w:val="0"/>
      <w:marTop w:val="0"/>
      <w:marBottom w:val="0"/>
      <w:divBdr>
        <w:top w:val="none" w:sz="0" w:space="0" w:color="auto"/>
        <w:left w:val="none" w:sz="0" w:space="0" w:color="auto"/>
        <w:bottom w:val="none" w:sz="0" w:space="0" w:color="auto"/>
        <w:right w:val="none" w:sz="0" w:space="0" w:color="auto"/>
      </w:divBdr>
      <w:divsChild>
        <w:div w:id="962148797">
          <w:marLeft w:val="0"/>
          <w:marRight w:val="0"/>
          <w:marTop w:val="0"/>
          <w:marBottom w:val="0"/>
          <w:divBdr>
            <w:top w:val="none" w:sz="0" w:space="0" w:color="auto"/>
            <w:left w:val="none" w:sz="0" w:space="0" w:color="auto"/>
            <w:bottom w:val="none" w:sz="0" w:space="0" w:color="auto"/>
            <w:right w:val="none" w:sz="0" w:space="0" w:color="auto"/>
          </w:divBdr>
          <w:divsChild>
            <w:div w:id="1807046123">
              <w:marLeft w:val="0"/>
              <w:marRight w:val="0"/>
              <w:marTop w:val="0"/>
              <w:marBottom w:val="0"/>
              <w:divBdr>
                <w:top w:val="none" w:sz="0" w:space="0" w:color="auto"/>
                <w:left w:val="none" w:sz="0" w:space="0" w:color="auto"/>
                <w:bottom w:val="none" w:sz="0" w:space="0" w:color="auto"/>
                <w:right w:val="none" w:sz="0" w:space="0" w:color="auto"/>
              </w:divBdr>
            </w:div>
          </w:divsChild>
        </w:div>
        <w:div w:id="2088573823">
          <w:marLeft w:val="0"/>
          <w:marRight w:val="0"/>
          <w:marTop w:val="0"/>
          <w:marBottom w:val="0"/>
          <w:divBdr>
            <w:top w:val="none" w:sz="0" w:space="0" w:color="auto"/>
            <w:left w:val="none" w:sz="0" w:space="0" w:color="auto"/>
            <w:bottom w:val="none" w:sz="0" w:space="0" w:color="auto"/>
            <w:right w:val="none" w:sz="0" w:space="0" w:color="auto"/>
          </w:divBdr>
          <w:divsChild>
            <w:div w:id="1214343649">
              <w:marLeft w:val="0"/>
              <w:marRight w:val="0"/>
              <w:marTop w:val="0"/>
              <w:marBottom w:val="0"/>
              <w:divBdr>
                <w:top w:val="none" w:sz="0" w:space="0" w:color="auto"/>
                <w:left w:val="none" w:sz="0" w:space="0" w:color="auto"/>
                <w:bottom w:val="none" w:sz="0" w:space="0" w:color="auto"/>
                <w:right w:val="none" w:sz="0" w:space="0" w:color="auto"/>
              </w:divBdr>
            </w:div>
          </w:divsChild>
        </w:div>
        <w:div w:id="443772126">
          <w:marLeft w:val="0"/>
          <w:marRight w:val="0"/>
          <w:marTop w:val="0"/>
          <w:marBottom w:val="0"/>
          <w:divBdr>
            <w:top w:val="none" w:sz="0" w:space="0" w:color="auto"/>
            <w:left w:val="none" w:sz="0" w:space="0" w:color="auto"/>
            <w:bottom w:val="none" w:sz="0" w:space="0" w:color="auto"/>
            <w:right w:val="none" w:sz="0" w:space="0" w:color="auto"/>
          </w:divBdr>
          <w:divsChild>
            <w:div w:id="507871151">
              <w:marLeft w:val="0"/>
              <w:marRight w:val="0"/>
              <w:marTop w:val="0"/>
              <w:marBottom w:val="0"/>
              <w:divBdr>
                <w:top w:val="none" w:sz="0" w:space="0" w:color="auto"/>
                <w:left w:val="none" w:sz="0" w:space="0" w:color="auto"/>
                <w:bottom w:val="none" w:sz="0" w:space="0" w:color="auto"/>
                <w:right w:val="none" w:sz="0" w:space="0" w:color="auto"/>
              </w:divBdr>
            </w:div>
          </w:divsChild>
        </w:div>
        <w:div w:id="1959608464">
          <w:marLeft w:val="0"/>
          <w:marRight w:val="0"/>
          <w:marTop w:val="0"/>
          <w:marBottom w:val="0"/>
          <w:divBdr>
            <w:top w:val="none" w:sz="0" w:space="0" w:color="auto"/>
            <w:left w:val="none" w:sz="0" w:space="0" w:color="auto"/>
            <w:bottom w:val="none" w:sz="0" w:space="0" w:color="auto"/>
            <w:right w:val="none" w:sz="0" w:space="0" w:color="auto"/>
          </w:divBdr>
          <w:divsChild>
            <w:div w:id="1017580788">
              <w:marLeft w:val="0"/>
              <w:marRight w:val="0"/>
              <w:marTop w:val="0"/>
              <w:marBottom w:val="0"/>
              <w:divBdr>
                <w:top w:val="none" w:sz="0" w:space="0" w:color="auto"/>
                <w:left w:val="none" w:sz="0" w:space="0" w:color="auto"/>
                <w:bottom w:val="none" w:sz="0" w:space="0" w:color="auto"/>
                <w:right w:val="none" w:sz="0" w:space="0" w:color="auto"/>
              </w:divBdr>
            </w:div>
          </w:divsChild>
        </w:div>
        <w:div w:id="2128891704">
          <w:marLeft w:val="0"/>
          <w:marRight w:val="0"/>
          <w:marTop w:val="0"/>
          <w:marBottom w:val="0"/>
          <w:divBdr>
            <w:top w:val="none" w:sz="0" w:space="0" w:color="auto"/>
            <w:left w:val="none" w:sz="0" w:space="0" w:color="auto"/>
            <w:bottom w:val="none" w:sz="0" w:space="0" w:color="auto"/>
            <w:right w:val="none" w:sz="0" w:space="0" w:color="auto"/>
          </w:divBdr>
          <w:divsChild>
            <w:div w:id="688415280">
              <w:marLeft w:val="0"/>
              <w:marRight w:val="0"/>
              <w:marTop w:val="0"/>
              <w:marBottom w:val="0"/>
              <w:divBdr>
                <w:top w:val="none" w:sz="0" w:space="0" w:color="auto"/>
                <w:left w:val="none" w:sz="0" w:space="0" w:color="auto"/>
                <w:bottom w:val="none" w:sz="0" w:space="0" w:color="auto"/>
                <w:right w:val="none" w:sz="0" w:space="0" w:color="auto"/>
              </w:divBdr>
            </w:div>
          </w:divsChild>
        </w:div>
        <w:div w:id="2085761605">
          <w:marLeft w:val="0"/>
          <w:marRight w:val="0"/>
          <w:marTop w:val="0"/>
          <w:marBottom w:val="0"/>
          <w:divBdr>
            <w:top w:val="none" w:sz="0" w:space="0" w:color="auto"/>
            <w:left w:val="none" w:sz="0" w:space="0" w:color="auto"/>
            <w:bottom w:val="none" w:sz="0" w:space="0" w:color="auto"/>
            <w:right w:val="none" w:sz="0" w:space="0" w:color="auto"/>
          </w:divBdr>
          <w:divsChild>
            <w:div w:id="140333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135056">
      <w:bodyDiv w:val="1"/>
      <w:marLeft w:val="0"/>
      <w:marRight w:val="0"/>
      <w:marTop w:val="0"/>
      <w:marBottom w:val="0"/>
      <w:divBdr>
        <w:top w:val="none" w:sz="0" w:space="0" w:color="auto"/>
        <w:left w:val="none" w:sz="0" w:space="0" w:color="auto"/>
        <w:bottom w:val="none" w:sz="0" w:space="0" w:color="auto"/>
        <w:right w:val="none" w:sz="0" w:space="0" w:color="auto"/>
      </w:divBdr>
      <w:divsChild>
        <w:div w:id="727067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7980550">
      <w:bodyDiv w:val="1"/>
      <w:marLeft w:val="0"/>
      <w:marRight w:val="0"/>
      <w:marTop w:val="0"/>
      <w:marBottom w:val="0"/>
      <w:divBdr>
        <w:top w:val="none" w:sz="0" w:space="0" w:color="auto"/>
        <w:left w:val="none" w:sz="0" w:space="0" w:color="auto"/>
        <w:bottom w:val="none" w:sz="0" w:space="0" w:color="auto"/>
        <w:right w:val="none" w:sz="0" w:space="0" w:color="auto"/>
      </w:divBdr>
      <w:divsChild>
        <w:div w:id="178541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938798">
      <w:bodyDiv w:val="1"/>
      <w:marLeft w:val="0"/>
      <w:marRight w:val="0"/>
      <w:marTop w:val="0"/>
      <w:marBottom w:val="0"/>
      <w:divBdr>
        <w:top w:val="none" w:sz="0" w:space="0" w:color="auto"/>
        <w:left w:val="none" w:sz="0" w:space="0" w:color="auto"/>
        <w:bottom w:val="none" w:sz="0" w:space="0" w:color="auto"/>
        <w:right w:val="none" w:sz="0" w:space="0" w:color="auto"/>
      </w:divBdr>
    </w:div>
    <w:div w:id="166497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148296321005649" TargetMode="External" /><Relationship Id="rId18" Type="http://schemas.openxmlformats.org/officeDocument/2006/relationships/hyperlink" Target="https://www.bcg.com/publications/2023/future-of-electric-vehicle-market" TargetMode="External" /><Relationship Id="rId26" Type="http://schemas.openxmlformats.org/officeDocument/2006/relationships/hyperlink" Target="https://www.iea.org/reports/global-ev-outlook-2024" TargetMode="External" /><Relationship Id="rId39" Type="http://schemas.openxmlformats.org/officeDocument/2006/relationships/hyperlink" Target="https://www.pwc.com/gx/en/industries/automotive/publications" TargetMode="External" /><Relationship Id="rId3" Type="http://schemas.openxmlformats.org/officeDocument/2006/relationships/styles" Target="styles.xml" /><Relationship Id="rId21" Type="http://schemas.openxmlformats.org/officeDocument/2006/relationships/hyperlink" Target="https://www.ey.com/en_gl/automotive-transportation" TargetMode="External" /><Relationship Id="rId34" Type="http://schemas.openxmlformats.org/officeDocument/2006/relationships/hyperlink" Target="https://www.mckinsey.com/industries/automotive-and-assembly/our-insights" TargetMode="External" /><Relationship Id="rId42" Type="http://schemas.openxmlformats.org/officeDocument/2006/relationships/hyperlink" Target="https://www.statista.com/topics/979/global-automobile-industry/" TargetMode="External" /><Relationship Id="rId47" Type="http://schemas.openxmlformats.org/officeDocument/2006/relationships/hyperlink" Target="https://global.toyota/en/company/vision-and-philosophy/" TargetMode="External" /><Relationship Id="rId50"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hyperlink" Target="https://www.sciencedirect.com/science/article/pii/S0959652621004903" TargetMode="External" /><Relationship Id="rId25" Type="http://schemas.openxmlformats.org/officeDocument/2006/relationships/hyperlink" Target="https://www.sciencedirect.com/science/article/pii/S1361920923002789" TargetMode="External" /><Relationship Id="rId33" Type="http://schemas.openxmlformats.org/officeDocument/2006/relationships/hyperlink" Target="https://www.springer.com/journal/42488" TargetMode="External" /><Relationship Id="rId38" Type="http://schemas.openxmlformats.org/officeDocument/2006/relationships/hyperlink" Target="https://www.nissan-global.com/EN/IR/FINANCIAL/annual-reports/" TargetMode="External" /><Relationship Id="rId46" Type="http://schemas.openxmlformats.org/officeDocument/2006/relationships/hyperlink" Target="https://global.toyota/en/sustainability/report/" TargetMode="External" /><Relationship Id="rId2" Type="http://schemas.openxmlformats.org/officeDocument/2006/relationships/numbering" Target="numbering.xml" /><Relationship Id="rId16" Type="http://schemas.openxmlformats.org/officeDocument/2006/relationships/hyperlink" Target="https://www.automotiveworld.com/" TargetMode="External" /><Relationship Id="rId20" Type="http://schemas.openxmlformats.org/officeDocument/2006/relationships/hyperlink" Target="https://www2.deloitte.com/us/en/insights/industry/automotive/global-auto-industry-consumer-trends.html" TargetMode="External" /><Relationship Id="rId29" Type="http://schemas.openxmlformats.org/officeDocument/2006/relationships/hyperlink" Target="https://www.jetro.go.jp/en/invest/industry/automotive.html" TargetMode="External" /><Relationship Id="rId41" Type="http://schemas.openxmlformats.org/officeDocument/2006/relationships/hyperlink" Target="https://www.tandfonline.com/loi/uitj2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24" Type="http://schemas.openxmlformats.org/officeDocument/2006/relationships/hyperlink" Target="https://www.emerald.com/insight/publication/issn/2059-3526" TargetMode="External" /><Relationship Id="rId32" Type="http://schemas.openxmlformats.org/officeDocument/2006/relationships/hyperlink" Target="https://home.kpmg/xx/en/home/insights/2024/01/automotive-industry-outlook.html" TargetMode="External" /><Relationship Id="rId37" Type="http://schemas.openxmlformats.org/officeDocument/2006/relationships/hyperlink" Target="https://www.tandfonline.com/loi/sjst20" TargetMode="External" /><Relationship Id="rId40" Type="http://schemas.openxmlformats.org/officeDocument/2006/relationships/hyperlink" Target="https://www.emerald.com/insight/publication/issn/1472-0701" TargetMode="External" /><Relationship Id="rId45" Type="http://schemas.openxmlformats.org/officeDocument/2006/relationships/hyperlink" Target="https://global.toyota/en/ir/library/annual/" TargetMode="External" /><Relationship Id="rId5" Type="http://schemas.openxmlformats.org/officeDocument/2006/relationships/webSettings" Target="webSettings.xml" /><Relationship Id="rId15" Type="http://schemas.openxmlformats.org/officeDocument/2006/relationships/hyperlink" Target="https://onlinelibrary.wiley.com/journal/14678586" TargetMode="External" /><Relationship Id="rId23" Type="http://schemas.openxmlformats.org/officeDocument/2006/relationships/hyperlink" Target="https://www.springer.com/journal/41287" TargetMode="External" /><Relationship Id="rId28" Type="http://schemas.openxmlformats.org/officeDocument/2006/relationships/hyperlink" Target="https://www.jama.or.jp/en/statistics/" TargetMode="External" /><Relationship Id="rId36" Type="http://schemas.openxmlformats.org/officeDocument/2006/relationships/hyperlink" Target="https://www.emerald.com/insight/publication/issn/0275-6668" TargetMode="External" /><Relationship Id="rId49" Type="http://schemas.openxmlformats.org/officeDocument/2006/relationships/hyperlink" Target="https://www.springer.com/journal/41062" TargetMode="External" /><Relationship Id="rId10" Type="http://schemas.openxmlformats.org/officeDocument/2006/relationships/chart" Target="charts/chart1.xml" /><Relationship Id="rId19" Type="http://schemas.openxmlformats.org/officeDocument/2006/relationships/hyperlink" Target="https://ajsm.org/articles/ajsm-2024-08-01" TargetMode="External" /><Relationship Id="rId31" Type="http://schemas.openxmlformats.org/officeDocument/2006/relationships/hyperlink" Target="https://onlinelibrary.wiley.com/journal/1745493x" TargetMode="External" /><Relationship Id="rId44" Type="http://schemas.openxmlformats.org/officeDocument/2006/relationships/hyperlink" Target="https://www.springer.com/journal/41287"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doi.org/10.1007/s40092-022-00504-x" TargetMode="External" /><Relationship Id="rId22" Type="http://schemas.openxmlformats.org/officeDocument/2006/relationships/hyperlink" Target="https://www.acea.auto/publications/world-motor-vehicle-production-statistics/" TargetMode="External" /><Relationship Id="rId27" Type="http://schemas.openxmlformats.org/officeDocument/2006/relationships/hyperlink" Target="https://www.emerald.com/insight/publication/issn/0144-3577" TargetMode="External" /><Relationship Id="rId30" Type="http://schemas.openxmlformats.org/officeDocument/2006/relationships/hyperlink" Target="https://onlinelibrary.wiley.com/journal/10970266" TargetMode="External" /><Relationship Id="rId35" Type="http://schemas.openxmlformats.org/officeDocument/2006/relationships/hyperlink" Target="https://www.meti.go.jp/english/report/data/auto2023.html" TargetMode="External" /><Relationship Id="rId43" Type="http://schemas.openxmlformats.org/officeDocument/2006/relationships/hyperlink" Target="https://www.mitpressjournals.org/loi/aswp" TargetMode="External" /><Relationship Id="rId48" Type="http://schemas.openxmlformats.org/officeDocument/2006/relationships/hyperlink" Target="https://data.worldbank.org/country/japan" TargetMode="External" /><Relationship Id="rId8" Type="http://schemas.openxmlformats.org/officeDocument/2006/relationships/image" Target="media/image1.png" /><Relationship Id="rId51" Type="http://schemas.openxmlformats.org/officeDocument/2006/relationships/theme" Target="theme/theme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Vehicles Produced (millions)</c:v>
                </c:pt>
              </c:strCache>
            </c:strRef>
          </c:tx>
          <c:spPr>
            <a:solidFill>
              <a:schemeClr val="accent1"/>
            </a:solidFill>
            <a:ln>
              <a:noFill/>
            </a:ln>
            <a:effectLst/>
          </c:spPr>
          <c:invertIfNegative val="0"/>
          <c:cat>
            <c:strRef>
              <c:f>Sheet1!$A$2:$A$12</c:f>
              <c:strCache>
                <c:ptCount val="11"/>
                <c:pt idx="0">
                  <c:v>2015</c:v>
                </c:pt>
                <c:pt idx="1">
                  <c:v>2016</c:v>
                </c:pt>
                <c:pt idx="2">
                  <c:v>2017</c:v>
                </c:pt>
                <c:pt idx="3">
                  <c:v>2018</c:v>
                </c:pt>
                <c:pt idx="4">
                  <c:v>2019</c:v>
                </c:pt>
                <c:pt idx="5">
                  <c:v>2020</c:v>
                </c:pt>
                <c:pt idx="6">
                  <c:v>2021</c:v>
                </c:pt>
                <c:pt idx="7">
                  <c:v>2022</c:v>
                </c:pt>
                <c:pt idx="8">
                  <c:v>2023</c:v>
                </c:pt>
                <c:pt idx="9">
                  <c:v>2024</c:v>
                </c:pt>
                <c:pt idx="10">
                  <c:v>2025*</c:v>
                </c:pt>
              </c:strCache>
            </c:strRef>
          </c:cat>
          <c:val>
            <c:numRef>
              <c:f>Sheet1!$B$2:$B$12</c:f>
              <c:numCache>
                <c:formatCode>General</c:formatCode>
                <c:ptCount val="11"/>
                <c:pt idx="0">
                  <c:v>9.5</c:v>
                </c:pt>
                <c:pt idx="1">
                  <c:v>9.8000000000000007</c:v>
                </c:pt>
                <c:pt idx="2">
                  <c:v>10</c:v>
                </c:pt>
                <c:pt idx="3">
                  <c:v>9.6</c:v>
                </c:pt>
                <c:pt idx="4">
                  <c:v>9.3000000000000007</c:v>
                </c:pt>
                <c:pt idx="5">
                  <c:v>8.5</c:v>
                </c:pt>
                <c:pt idx="6">
                  <c:v>8.6999999999999993</c:v>
                </c:pt>
                <c:pt idx="7">
                  <c:v>8.8000000000000007</c:v>
                </c:pt>
                <c:pt idx="8">
                  <c:v>8</c:v>
                </c:pt>
                <c:pt idx="9">
                  <c:v>8.1</c:v>
                </c:pt>
                <c:pt idx="10">
                  <c:v>8.3000000000000007</c:v>
                </c:pt>
              </c:numCache>
            </c:numRef>
          </c:val>
          <c:extLst>
            <c:ext xmlns:c16="http://schemas.microsoft.com/office/drawing/2014/chart" uri="{C3380CC4-5D6E-409C-BE32-E72D297353CC}">
              <c16:uniqueId val="{00000000-7DD0-46C7-9EE3-729C9A431402}"/>
            </c:ext>
          </c:extLst>
        </c:ser>
        <c:dLbls>
          <c:showLegendKey val="0"/>
          <c:showVal val="0"/>
          <c:showCatName val="0"/>
          <c:showSerName val="0"/>
          <c:showPercent val="0"/>
          <c:showBubbleSize val="0"/>
        </c:dLbls>
        <c:gapWidth val="219"/>
        <c:overlap val="-27"/>
        <c:axId val="389686760"/>
        <c:axId val="389692336"/>
      </c:barChart>
      <c:catAx>
        <c:axId val="389686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692336"/>
        <c:crosses val="autoZero"/>
        <c:auto val="1"/>
        <c:lblAlgn val="ctr"/>
        <c:lblOffset val="100"/>
        <c:noMultiLvlLbl val="0"/>
      </c:catAx>
      <c:valAx>
        <c:axId val="389692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686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F92C9-BC98-4C8E-8FC0-9CFA957C39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7073</Words>
  <Characters>40322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MLC</dc:creator>
  <cp:keywords/>
  <dc:description/>
  <cp:lastModifiedBy>Sultana Akter</cp:lastModifiedBy>
  <cp:revision>2</cp:revision>
  <dcterms:created xsi:type="dcterms:W3CDTF">2026-04-26T21:13:00Z</dcterms:created>
  <dcterms:modified xsi:type="dcterms:W3CDTF">2026-04-26T21:13:00Z</dcterms:modified>
</cp:coreProperties>
</file>