
<file path=[Content_Types].xml><?xml version="1.0" encoding="utf-8"?>
<Types xmlns="http://schemas.openxmlformats.org/package/2006/content-types">
  <Default Extension="xml" ContentType="application/xml"/>
  <Default Extension="xlsx" ContentType="application/vnd.openxmlformats-officedocument.spreadsheetml.sheet"/>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comments.xml" ContentType="application/vnd.openxmlformats-officedocument.wordprocessingml.comments+xml"/>
  <Override PartName="/word/commentsExtended.xml" ContentType="application/vnd.openxmlformats-officedocument.wordprocessingml.commentsExtended+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5C571C2">
      <w:pPr>
        <w:pStyle w:val="2"/>
        <w:jc w:val="center"/>
        <w:rPr>
          <w:sz w:val="84"/>
          <w:szCs w:val="84"/>
        </w:rPr>
      </w:pPr>
      <w:bookmarkStart w:id="0" w:name="_Toc27344"/>
      <w:bookmarkStart w:id="1" w:name="_Toc4965"/>
      <w:bookmarkStart w:id="2" w:name="_Toc31635"/>
      <w:bookmarkStart w:id="3" w:name="_Toc18658"/>
      <w:bookmarkStart w:id="4" w:name="_Toc12863"/>
      <w:r>
        <w:rPr>
          <w:sz w:val="84"/>
          <w:szCs w:val="84"/>
        </w:rPr>
        <w:t>U</w:t>
      </w:r>
      <w:r>
        <w:rPr>
          <w:rFonts w:hint="eastAsia"/>
          <w:sz w:val="84"/>
          <w:szCs w:val="84"/>
        </w:rPr>
        <w:t>niversity of Wales</w:t>
      </w:r>
      <w:bookmarkEnd w:id="0"/>
    </w:p>
    <w:p w14:paraId="12A9FCD7">
      <w:pPr>
        <w:pStyle w:val="2"/>
        <w:jc w:val="center"/>
        <w:rPr>
          <w:sz w:val="84"/>
          <w:szCs w:val="84"/>
        </w:rPr>
      </w:pPr>
      <w:bookmarkStart w:id="5" w:name="_Toc19912"/>
      <w:r>
        <w:rPr>
          <w:rFonts w:hint="eastAsia"/>
          <w:sz w:val="84"/>
          <w:szCs w:val="84"/>
        </w:rPr>
        <w:t>Trinity Saint David</w:t>
      </w:r>
      <w:r>
        <w:rPr>
          <w:sz w:val="84"/>
          <w:szCs w:val="84"/>
        </w:rPr>
        <w:t xml:space="preserve"> </w:t>
      </w:r>
      <w:bookmarkEnd w:id="1"/>
      <w:bookmarkEnd w:id="2"/>
      <w:bookmarkEnd w:id="3"/>
      <w:bookmarkEnd w:id="4"/>
      <w:bookmarkStart w:id="6" w:name="_Toc24434"/>
      <w:bookmarkStart w:id="7" w:name="_Toc31779"/>
      <w:bookmarkStart w:id="8" w:name="_Toc3519"/>
      <w:r>
        <w:rPr>
          <w:sz w:val="84"/>
          <w:szCs w:val="84"/>
        </w:rPr>
        <w:t>Dissertation</w:t>
      </w:r>
      <w:bookmarkEnd w:id="5"/>
      <w:bookmarkEnd w:id="6"/>
      <w:bookmarkEnd w:id="7"/>
      <w:bookmarkEnd w:id="8"/>
    </w:p>
    <w:p w14:paraId="1E558406">
      <w:pPr>
        <w:rPr>
          <w:rFonts w:cs="Times New Roman"/>
        </w:rPr>
      </w:pPr>
    </w:p>
    <w:p w14:paraId="51B68B55">
      <w:pPr>
        <w:rPr>
          <w:rFonts w:cs="Times New Roman"/>
        </w:rPr>
      </w:pPr>
    </w:p>
    <w:p w14:paraId="630C1BB6">
      <w:pPr>
        <w:rPr>
          <w:rFonts w:cs="Times New Roman"/>
        </w:rPr>
      </w:pPr>
    </w:p>
    <w:p w14:paraId="628FFB2B">
      <w:pPr>
        <w:jc w:val="center"/>
        <w:rPr>
          <w:rFonts w:cs="Times New Roman"/>
          <w:sz w:val="48"/>
          <w:szCs w:val="48"/>
        </w:rPr>
      </w:pPr>
      <w:r>
        <w:rPr>
          <w:rFonts w:hint="eastAsia" w:cs="Times New Roman"/>
          <w:sz w:val="48"/>
          <w:szCs w:val="48"/>
        </w:rPr>
        <w:t>Comparative study of Ford and BYD</w:t>
      </w:r>
    </w:p>
    <w:p w14:paraId="48A38998">
      <w:pPr>
        <w:rPr>
          <w:rFonts w:cs="Times New Roman"/>
        </w:rPr>
      </w:pPr>
    </w:p>
    <w:p w14:paraId="44E2786A">
      <w:pPr>
        <w:rPr>
          <w:rFonts w:cs="Times New Roman"/>
        </w:rPr>
      </w:pPr>
    </w:p>
    <w:p w14:paraId="3F325F70">
      <w:pPr>
        <w:jc w:val="center"/>
        <w:rPr>
          <w:rFonts w:cs="Times New Roman"/>
        </w:rPr>
      </w:pPr>
      <w:r>
        <w:rPr>
          <w:rFonts w:cs="Times New Roman"/>
        </w:rPr>
        <w:t>Xun Zhou</w:t>
      </w:r>
    </w:p>
    <w:p w14:paraId="0A8418DE">
      <w:pPr>
        <w:jc w:val="center"/>
        <w:rPr>
          <w:rFonts w:cs="Times New Roman"/>
        </w:rPr>
      </w:pPr>
      <w:r>
        <w:rPr>
          <w:rFonts w:cs="Times New Roman"/>
        </w:rPr>
        <w:t>Student ID:2227421</w:t>
      </w:r>
    </w:p>
    <w:p w14:paraId="08BAB393">
      <w:pPr>
        <w:rPr>
          <w:rFonts w:cs="Times New Roman"/>
        </w:rPr>
      </w:pPr>
    </w:p>
    <w:p w14:paraId="7D87C758">
      <w:pPr>
        <w:jc w:val="center"/>
        <w:outlineLvl w:val="0"/>
        <w:rPr>
          <w:rFonts w:cs="Times New Roman"/>
          <w:sz w:val="30"/>
          <w:szCs w:val="30"/>
        </w:rPr>
      </w:pPr>
      <w:bookmarkStart w:id="9" w:name="_Toc4566"/>
      <w:r>
        <w:rPr>
          <w:rFonts w:hint="eastAsia" w:cs="Times New Roman"/>
          <w:sz w:val="30"/>
          <w:szCs w:val="30"/>
        </w:rPr>
        <w:t>27</w:t>
      </w:r>
      <w:r>
        <w:rPr>
          <w:rFonts w:hint="eastAsia" w:cs="Times New Roman"/>
          <w:sz w:val="30"/>
          <w:szCs w:val="30"/>
          <w:vertAlign w:val="superscript"/>
        </w:rPr>
        <w:t>th</w:t>
      </w:r>
      <w:r>
        <w:rPr>
          <w:rFonts w:hint="eastAsia" w:cs="Times New Roman"/>
          <w:sz w:val="30"/>
          <w:szCs w:val="30"/>
        </w:rPr>
        <w:t xml:space="preserve"> September 2024</w:t>
      </w:r>
      <w:bookmarkEnd w:id="9"/>
    </w:p>
    <w:p w14:paraId="5CF77CF8">
      <w:pPr>
        <w:jc w:val="center"/>
        <w:rPr>
          <w:rFonts w:cs="Times New Roman"/>
          <w:sz w:val="30"/>
          <w:szCs w:val="30"/>
        </w:rPr>
      </w:pPr>
    </w:p>
    <w:p w14:paraId="1D8215A1">
      <w:pPr>
        <w:jc w:val="center"/>
        <w:rPr>
          <w:rFonts w:cs="Times New Roman"/>
          <w:sz w:val="30"/>
          <w:szCs w:val="30"/>
        </w:rPr>
      </w:pPr>
    </w:p>
    <w:p w14:paraId="22848BAB">
      <w:pPr>
        <w:jc w:val="center"/>
        <w:rPr>
          <w:rFonts w:cs="Times New Roman"/>
          <w:sz w:val="30"/>
          <w:szCs w:val="30"/>
        </w:rPr>
      </w:pPr>
    </w:p>
    <w:p w14:paraId="51EEF237">
      <w:pPr>
        <w:jc w:val="center"/>
        <w:rPr>
          <w:rFonts w:cs="Times New Roman"/>
          <w:sz w:val="30"/>
          <w:szCs w:val="30"/>
        </w:rPr>
      </w:pPr>
      <w:r>
        <w:rPr>
          <w:rFonts w:hint="eastAsia" w:cs="Times New Roman"/>
          <w:sz w:val="30"/>
          <w:szCs w:val="30"/>
        </w:rPr>
        <w:t>Submitted to the University of Wales in partial fulfillment for the degree of Master of Business Administration</w:t>
      </w:r>
    </w:p>
    <w:p w14:paraId="56CF12AD">
      <w:pPr>
        <w:jc w:val="center"/>
        <w:rPr>
          <w:rFonts w:cs="Times New Roman"/>
          <w:i/>
          <w:iCs/>
          <w:sz w:val="30"/>
          <w:szCs w:val="30"/>
        </w:rPr>
      </w:pPr>
      <w:r>
        <w:rPr>
          <w:rFonts w:hint="eastAsia" w:cs="Times New Roman"/>
          <w:i/>
          <w:iCs/>
          <w:sz w:val="30"/>
          <w:szCs w:val="30"/>
        </w:rPr>
        <w:t>University of Wales Trinity Saint David</w:t>
      </w:r>
    </w:p>
    <w:p w14:paraId="7AEA7248">
      <w:pPr>
        <w:jc w:val="center"/>
        <w:rPr>
          <w:rFonts w:cs="Times New Roman"/>
          <w:sz w:val="30"/>
          <w:szCs w:val="30"/>
        </w:rPr>
        <w:sectPr>
          <w:headerReference r:id="rId7" w:type="default"/>
          <w:footerReference r:id="rId9" w:type="default"/>
          <w:headerReference r:id="rId8" w:type="even"/>
          <w:footerReference r:id="rId10" w:type="even"/>
          <w:pgSz w:w="11906" w:h="16838"/>
          <w:pgMar w:top="1418" w:right="1134" w:bottom="1418" w:left="1701" w:header="851" w:footer="992" w:gutter="0"/>
          <w:cols w:space="425" w:num="1"/>
          <w:docGrid w:type="lines" w:linePitch="326" w:charSpace="0"/>
        </w:sectPr>
      </w:pPr>
      <w:r>
        <w:rPr>
          <w:rFonts w:hint="eastAsia" w:cs="Times New Roman"/>
          <w:sz w:val="30"/>
          <w:szCs w:val="30"/>
        </w:rPr>
        <w:t>2024</w:t>
      </w:r>
    </w:p>
    <w:p w14:paraId="34461628">
      <w:pPr>
        <w:pStyle w:val="2"/>
        <w:spacing w:line="360" w:lineRule="auto"/>
        <w:rPr>
          <w:rFonts w:cs="Times New Roman"/>
        </w:rPr>
      </w:pPr>
      <w:bookmarkStart w:id="10" w:name="_Toc4813"/>
      <w:bookmarkStart w:id="11" w:name="_Toc24877"/>
      <w:bookmarkStart w:id="12" w:name="_Toc8396"/>
      <w:bookmarkStart w:id="13" w:name="_Toc3512"/>
      <w:r>
        <w:rPr>
          <w:rFonts w:cs="Times New Roman"/>
        </w:rPr>
        <w:t>Abstract</w:t>
      </w:r>
      <w:bookmarkEnd w:id="10"/>
      <w:bookmarkEnd w:id="11"/>
      <w:bookmarkEnd w:id="12"/>
      <w:bookmarkEnd w:id="13"/>
    </w:p>
    <w:p w14:paraId="7FCCD252">
      <w:pPr>
        <w:rPr>
          <w:rFonts w:cs="Times New Roman"/>
          <w:color w:val="0000FF"/>
        </w:rPr>
      </w:pPr>
      <w:r>
        <w:rPr>
          <w:rFonts w:cs="Times New Roman"/>
        </w:rPr>
        <w:t>This study aims to explore some differences between electric vehicles and fuel vehicles in the product life cycle by studying two automobile companies, Ford and BYD. The comparison includes: the use cost of the two different cars, the production cost and profit margin of the two cars, and the impact of various external factors including infrastructure on the development prospects of the two cars. In general, it is to explore whether the replacement of traditional power vehicles by electric vehicles is a normal business behavior caused by changes in the product life cycle from the two directions of manufacturers and consumers. To achieve this goal, the feedback from the consumer side will be analyzed through questionnaires. The main analysis of the production side will focus on financial report analysis. Literature analysis will be used to discuss issues such as resource sustainability and environmental protection. After a series of comprehensive analyses, it is concluded that electric vehicles are not only more sustainable than traditional fuel vehicles in terms of natural resources, but also can significantly reduce greenhouse gas emissions. And for automobile manufacturers, producing electric vehicles can bring higher profit margins. On the other hand, for consumers, electric vehicles are also a more economical option overall than traditional fuel vehicles.</w:t>
      </w:r>
    </w:p>
    <w:p w14:paraId="6FAD932A">
      <w:pPr>
        <w:rPr>
          <w:rFonts w:cs="Times New Roman"/>
          <w:color w:val="0000FF"/>
        </w:rPr>
      </w:pPr>
    </w:p>
    <w:p w14:paraId="70F3AA5D">
      <w:pPr>
        <w:rPr>
          <w:rFonts w:cs="Times New Roman"/>
          <w:color w:val="0000FF"/>
        </w:rPr>
      </w:pPr>
    </w:p>
    <w:p w14:paraId="4EDBB895">
      <w:pPr>
        <w:rPr>
          <w:rFonts w:cs="Times New Roman"/>
          <w:color w:val="0000FF"/>
        </w:rPr>
      </w:pPr>
    </w:p>
    <w:p w14:paraId="5E44FD46">
      <w:pPr>
        <w:rPr>
          <w:rFonts w:cs="Times New Roman"/>
          <w:color w:val="0000FF"/>
        </w:rPr>
      </w:pPr>
    </w:p>
    <w:p w14:paraId="17B55BC5">
      <w:pPr>
        <w:rPr>
          <w:rFonts w:cs="Times New Roman"/>
          <w:color w:val="0000FF"/>
        </w:rPr>
      </w:pPr>
    </w:p>
    <w:p w14:paraId="238E5947">
      <w:pPr>
        <w:rPr>
          <w:rFonts w:cs="Times New Roman"/>
          <w:color w:val="0000FF"/>
        </w:rPr>
      </w:pPr>
    </w:p>
    <w:p w14:paraId="2703C1ED">
      <w:pPr>
        <w:rPr>
          <w:rFonts w:cs="Times New Roman"/>
          <w:color w:val="0000FF"/>
        </w:rPr>
      </w:pPr>
    </w:p>
    <w:p w14:paraId="56335F5D">
      <w:pPr>
        <w:rPr>
          <w:rFonts w:cs="Times New Roman"/>
          <w:color w:val="0000FF"/>
        </w:rPr>
      </w:pPr>
    </w:p>
    <w:p w14:paraId="0BDE4A74">
      <w:pPr>
        <w:rPr>
          <w:rFonts w:cs="Times New Roman"/>
          <w:color w:val="0000FF"/>
        </w:rPr>
      </w:pPr>
    </w:p>
    <w:p w14:paraId="69DB0B8C">
      <w:pPr>
        <w:spacing w:line="240" w:lineRule="auto"/>
        <w:rPr>
          <w:rFonts w:ascii="Arial" w:hAnsi="Arial" w:cs="Arial"/>
          <w:spacing w:val="-2"/>
        </w:rPr>
      </w:pPr>
    </w:p>
    <w:p w14:paraId="1356D7AC">
      <w:pPr>
        <w:outlineLvl w:val="0"/>
        <w:rPr>
          <w:rFonts w:cs="Times New Roman"/>
        </w:rPr>
      </w:pPr>
      <w:bookmarkStart w:id="14" w:name="_Toc21792"/>
      <w:r>
        <w:rPr>
          <w:rFonts w:cs="Times New Roman"/>
        </w:rPr>
        <w:t>DECLARATION</w:t>
      </w:r>
      <w:bookmarkEnd w:id="14"/>
    </w:p>
    <w:p w14:paraId="059CA4D9">
      <w:pPr>
        <w:rPr>
          <w:rFonts w:cs="Times New Roman"/>
        </w:rPr>
      </w:pPr>
      <w:r>
        <w:rPr>
          <w:rFonts w:cs="Times New Roman"/>
        </w:rPr>
        <w:t>This work has not previously been accepted in substance for any degree and is not being concurrently submitted in candidature for any degree.</w:t>
      </w:r>
      <w:r>
        <w:rPr>
          <w:rFonts w:cs="Times New Roman"/>
        </w:rPr>
        <w:tab/>
      </w:r>
    </w:p>
    <w:p w14:paraId="656CD79F">
      <w:pPr>
        <w:rPr>
          <w:rFonts w:cs="Times New Roman"/>
        </w:rPr>
      </w:pPr>
    </w:p>
    <w:p w14:paraId="1B98D0D8">
      <w:pPr>
        <w:rPr>
          <w:rFonts w:cs="Times New Roman"/>
        </w:rPr>
      </w:pPr>
      <w:r>
        <w:rPr>
          <w:rFonts w:cs="Times New Roman"/>
        </w:rPr>
        <w:t>Signed ...................</w:t>
      </w:r>
      <w:r>
        <w:rPr>
          <w:rFonts w:hint="eastAsia" w:cs="Times New Roman"/>
        </w:rPr>
        <w:t>Xun Zhou</w:t>
      </w:r>
      <w:r>
        <w:rPr>
          <w:rFonts w:cs="Times New Roman"/>
        </w:rPr>
        <w:t>................................................... (candidate)</w:t>
      </w:r>
      <w:r>
        <w:rPr>
          <w:rFonts w:cs="Times New Roman"/>
        </w:rPr>
        <w:tab/>
      </w:r>
    </w:p>
    <w:p w14:paraId="5090BF64">
      <w:pPr>
        <w:rPr>
          <w:rFonts w:cs="Times New Roman"/>
        </w:rPr>
      </w:pPr>
    </w:p>
    <w:p w14:paraId="5C0B3FC2">
      <w:pPr>
        <w:rPr>
          <w:rFonts w:cs="Times New Roman"/>
        </w:rPr>
      </w:pPr>
      <w:r>
        <w:rPr>
          <w:rFonts w:cs="Times New Roman"/>
        </w:rPr>
        <w:t>Date ........................................................................</w:t>
      </w:r>
      <w:r>
        <w:rPr>
          <w:rFonts w:cs="Times New Roman"/>
        </w:rPr>
        <w:tab/>
      </w:r>
    </w:p>
    <w:p w14:paraId="3699ECEA">
      <w:pPr>
        <w:rPr>
          <w:rFonts w:cs="Times New Roman"/>
        </w:rPr>
      </w:pPr>
    </w:p>
    <w:p w14:paraId="4A229503">
      <w:pPr>
        <w:outlineLvl w:val="0"/>
        <w:rPr>
          <w:rFonts w:cs="Times New Roman"/>
        </w:rPr>
      </w:pPr>
      <w:bookmarkStart w:id="15" w:name="_Toc21548"/>
      <w:r>
        <w:rPr>
          <w:rFonts w:cs="Times New Roman"/>
        </w:rPr>
        <w:t>STATEMENT 1</w:t>
      </w:r>
      <w:bookmarkEnd w:id="15"/>
      <w:r>
        <w:rPr>
          <w:rFonts w:cs="Times New Roman"/>
        </w:rPr>
        <w:tab/>
      </w:r>
    </w:p>
    <w:p w14:paraId="2BBB8349">
      <w:pPr>
        <w:rPr>
          <w:rFonts w:cs="Times New Roman"/>
        </w:rPr>
      </w:pPr>
    </w:p>
    <w:p w14:paraId="53A85046">
      <w:pPr>
        <w:rPr>
          <w:rFonts w:cs="Times New Roman"/>
        </w:rPr>
      </w:pPr>
      <w:r>
        <w:rPr>
          <w:rFonts w:cs="Times New Roman"/>
        </w:rPr>
        <w:t xml:space="preserve">This work is the result of my own investigations, except where otherwise stated. </w:t>
      </w:r>
    </w:p>
    <w:p w14:paraId="7B1C7594">
      <w:pPr>
        <w:rPr>
          <w:rFonts w:cs="Times New Roman"/>
        </w:rPr>
      </w:pPr>
    </w:p>
    <w:p w14:paraId="0DD79B0A">
      <w:pPr>
        <w:rPr>
          <w:rFonts w:cs="Times New Roman"/>
        </w:rPr>
      </w:pPr>
      <w:r>
        <w:rPr>
          <w:rFonts w:cs="Times New Roman"/>
        </w:rPr>
        <w:t>Other sources are acknowledged by footnotes giving explicit references.  A bibliography is appended.</w:t>
      </w:r>
    </w:p>
    <w:p w14:paraId="2363943E">
      <w:pPr>
        <w:rPr>
          <w:rFonts w:cs="Times New Roman"/>
        </w:rPr>
      </w:pPr>
    </w:p>
    <w:p w14:paraId="3E3ADE8C">
      <w:pPr>
        <w:rPr>
          <w:rFonts w:cs="Times New Roman"/>
        </w:rPr>
      </w:pPr>
      <w:r>
        <w:rPr>
          <w:rFonts w:cs="Times New Roman"/>
        </w:rPr>
        <w:t>Signed ..................</w:t>
      </w:r>
      <w:r>
        <w:rPr>
          <w:rFonts w:hint="eastAsia" w:cs="Times New Roman"/>
        </w:rPr>
        <w:t>Xun Zhou</w:t>
      </w:r>
      <w:r>
        <w:rPr>
          <w:rFonts w:cs="Times New Roman"/>
        </w:rPr>
        <w:t>................................................... (candidate)</w:t>
      </w:r>
      <w:r>
        <w:rPr>
          <w:rFonts w:cs="Times New Roman"/>
        </w:rPr>
        <w:tab/>
      </w:r>
    </w:p>
    <w:p w14:paraId="73787A65">
      <w:pPr>
        <w:rPr>
          <w:rFonts w:cs="Times New Roman"/>
        </w:rPr>
      </w:pPr>
    </w:p>
    <w:p w14:paraId="6FFC7737">
      <w:pPr>
        <w:rPr>
          <w:rFonts w:cs="Times New Roman"/>
        </w:rPr>
      </w:pPr>
      <w:r>
        <w:rPr>
          <w:rFonts w:cs="Times New Roman"/>
        </w:rPr>
        <w:t>Date ........................................................................</w:t>
      </w:r>
      <w:r>
        <w:rPr>
          <w:rFonts w:cs="Times New Roman"/>
        </w:rPr>
        <w:tab/>
      </w:r>
    </w:p>
    <w:p w14:paraId="43766301">
      <w:pPr>
        <w:rPr>
          <w:rFonts w:cs="Times New Roman"/>
        </w:rPr>
      </w:pPr>
    </w:p>
    <w:p w14:paraId="2FC0F81A">
      <w:pPr>
        <w:outlineLvl w:val="0"/>
        <w:rPr>
          <w:rFonts w:cs="Times New Roman"/>
        </w:rPr>
      </w:pPr>
      <w:bookmarkStart w:id="16" w:name="_Toc1005"/>
      <w:r>
        <w:rPr>
          <w:rFonts w:cs="Times New Roman"/>
        </w:rPr>
        <w:t>STATEMENT 2</w:t>
      </w:r>
      <w:bookmarkEnd w:id="16"/>
      <w:r>
        <w:rPr>
          <w:rFonts w:cs="Times New Roman"/>
        </w:rPr>
        <w:tab/>
      </w:r>
    </w:p>
    <w:p w14:paraId="18FAD603">
      <w:pPr>
        <w:rPr>
          <w:rFonts w:cs="Times New Roman"/>
        </w:rPr>
      </w:pPr>
    </w:p>
    <w:p w14:paraId="69F0FF63">
      <w:pPr>
        <w:rPr>
          <w:rFonts w:cs="Times New Roman"/>
        </w:rPr>
      </w:pPr>
      <w:r>
        <w:rPr>
          <w:rFonts w:cs="Times New Roman"/>
        </w:rPr>
        <w:t>I hereby give consent for my work, if accepted, to be available for photocopying and for inter-library loan, and for the title and summary to be made available to outside organisations.</w:t>
      </w:r>
      <w:r>
        <w:rPr>
          <w:rFonts w:cs="Times New Roman"/>
        </w:rPr>
        <w:tab/>
      </w:r>
    </w:p>
    <w:p w14:paraId="5D82720C">
      <w:pPr>
        <w:rPr>
          <w:rFonts w:cs="Times New Roman"/>
        </w:rPr>
      </w:pPr>
    </w:p>
    <w:p w14:paraId="705E2494">
      <w:pPr>
        <w:rPr>
          <w:rFonts w:cs="Times New Roman"/>
        </w:rPr>
      </w:pPr>
    </w:p>
    <w:p w14:paraId="66AE2305">
      <w:pPr>
        <w:rPr>
          <w:rFonts w:cs="Times New Roman"/>
        </w:rPr>
      </w:pPr>
      <w:r>
        <w:rPr>
          <w:rFonts w:cs="Times New Roman"/>
        </w:rPr>
        <w:t>Signed ........................</w:t>
      </w:r>
      <w:r>
        <w:rPr>
          <w:rFonts w:hint="eastAsia" w:cs="Times New Roman"/>
        </w:rPr>
        <w:t>Xun Zhou</w:t>
      </w:r>
      <w:r>
        <w:rPr>
          <w:rFonts w:cs="Times New Roman"/>
        </w:rPr>
        <w:t>............................................. (candidate)</w:t>
      </w:r>
      <w:r>
        <w:rPr>
          <w:rFonts w:cs="Times New Roman"/>
        </w:rPr>
        <w:tab/>
      </w:r>
    </w:p>
    <w:p w14:paraId="41826E54">
      <w:pPr>
        <w:rPr>
          <w:rFonts w:cs="Times New Roman"/>
        </w:rPr>
      </w:pPr>
    </w:p>
    <w:p w14:paraId="43CF5B7D">
      <w:pPr>
        <w:rPr>
          <w:rFonts w:cs="Times New Roman"/>
        </w:rPr>
      </w:pPr>
      <w:r>
        <w:rPr>
          <w:rFonts w:cs="Times New Roman"/>
        </w:rPr>
        <w:t>Date ........................................................................</w:t>
      </w:r>
    </w:p>
    <w:p w14:paraId="04F5B57D">
      <w:pPr>
        <w:rPr>
          <w:rFonts w:cs="Times New Roman"/>
        </w:rPr>
      </w:pPr>
    </w:p>
    <w:p w14:paraId="61401F2D">
      <w:pPr>
        <w:pStyle w:val="2"/>
        <w:bidi w:val="0"/>
        <w:jc w:val="center"/>
      </w:pPr>
      <w:bookmarkStart w:id="17" w:name="_Toc28207"/>
      <w:bookmarkStart w:id="18" w:name="_Toc25694"/>
      <w:bookmarkStart w:id="19" w:name="_Toc19883"/>
      <w:r>
        <w:t>Table of Contents</w:t>
      </w:r>
      <w:bookmarkEnd w:id="17"/>
      <w:bookmarkEnd w:id="18"/>
      <w:bookmarkEnd w:id="19"/>
    </w:p>
    <w:sdt>
      <w:sdtPr>
        <w:rPr>
          <w:rFonts w:eastAsia="SimSun" w:cs="Times New Roman"/>
          <w:sz w:val="21"/>
          <w:lang w:val="en-GB" w:eastAsia="en-US"/>
        </w:rPr>
        <w:id w:val="147473931"/>
        <w15:color w:val="DBDBDB"/>
        <w:docPartObj>
          <w:docPartGallery w:val="Table of Contents"/>
          <w:docPartUnique/>
        </w:docPartObj>
      </w:sdtPr>
      <w:sdtEndPr>
        <w:rPr>
          <w:rFonts w:cs="Times New Roman" w:eastAsiaTheme="minorHAnsi"/>
          <w:sz w:val="22"/>
          <w:lang w:val="en-GB" w:eastAsia="en-US"/>
        </w:rPr>
      </w:sdtEndPr>
      <w:sdtContent>
        <w:p w14:paraId="09B3B08C">
          <w:pPr>
            <w:pStyle w:val="10"/>
            <w:tabs>
              <w:tab w:val="right" w:leader="dot" w:pos="8296"/>
            </w:tabs>
            <w:jc w:val="center"/>
            <w:rPr>
              <w:rFonts w:ascii="Times New Roman" w:hAnsi="Times New Roman" w:cs="Times New Roman" w:eastAsiaTheme="minorEastAsia"/>
              <w:color w:val="000000" w:themeColor="text1"/>
              <w:kern w:val="2"/>
              <w:sz w:val="24"/>
              <w:szCs w:val="22"/>
              <w:lang w:val="en-US" w:eastAsia="zh-CN" w:bidi="ar-SA"/>
              <w14:textFill>
                <w14:solidFill>
                  <w14:schemeClr w14:val="tx1"/>
                </w14:solidFill>
              </w14:textFill>
            </w:rPr>
          </w:pPr>
          <w:r>
            <w:rPr>
              <w:rFonts w:cs="Times New Roman"/>
            </w:rPr>
            <w:fldChar w:fldCharType="begin"/>
          </w:r>
          <w:r>
            <w:rPr>
              <w:rFonts w:cs="Times New Roman"/>
            </w:rPr>
            <w:instrText xml:space="preserve">TOC \o "1-3" \h \u </w:instrText>
          </w:r>
          <w:r>
            <w:rPr>
              <w:rFonts w:cs="Times New Roman"/>
            </w:rPr>
            <w:fldChar w:fldCharType="separate"/>
          </w:r>
        </w:p>
        <w:p w14:paraId="09BFFCB3">
          <w:pPr>
            <w:pStyle w:val="10"/>
            <w:tabs>
              <w:tab w:val="right" w:leader="dot" w:pos="8306"/>
            </w:tabs>
          </w:pPr>
          <w:r>
            <w:rPr>
              <w:rFonts w:cs="Times New Roman"/>
            </w:rPr>
            <w:fldChar w:fldCharType="begin"/>
          </w:r>
          <w:r>
            <w:rPr>
              <w:rFonts w:cs="Times New Roman"/>
            </w:rPr>
            <w:instrText xml:space="preserve"> HYPERLINK \l _Toc27344 </w:instrText>
          </w:r>
          <w:r>
            <w:rPr>
              <w:rFonts w:cs="Times New Roman"/>
            </w:rPr>
            <w:fldChar w:fldCharType="separate"/>
          </w:r>
          <w:r>
            <w:rPr>
              <w:szCs w:val="84"/>
            </w:rPr>
            <w:t>U</w:t>
          </w:r>
          <w:r>
            <w:rPr>
              <w:rFonts w:hint="eastAsia"/>
              <w:szCs w:val="84"/>
            </w:rPr>
            <w:t>niversity of Wales</w:t>
          </w:r>
          <w:r>
            <w:tab/>
          </w:r>
          <w:r>
            <w:fldChar w:fldCharType="begin"/>
          </w:r>
          <w:r>
            <w:instrText xml:space="preserve"> PAGEREF _Toc27344 \h </w:instrText>
          </w:r>
          <w:r>
            <w:fldChar w:fldCharType="separate"/>
          </w:r>
          <w:r>
            <w:t>1</w:t>
          </w:r>
          <w:r>
            <w:fldChar w:fldCharType="end"/>
          </w:r>
          <w:r>
            <w:rPr>
              <w:rFonts w:cs="Times New Roman"/>
            </w:rPr>
            <w:fldChar w:fldCharType="end"/>
          </w:r>
        </w:p>
        <w:p w14:paraId="0C192660">
          <w:pPr>
            <w:pStyle w:val="10"/>
            <w:tabs>
              <w:tab w:val="right" w:leader="dot" w:pos="8306"/>
            </w:tabs>
          </w:pPr>
          <w:r>
            <w:rPr>
              <w:rFonts w:cs="Times New Roman"/>
            </w:rPr>
            <w:fldChar w:fldCharType="begin"/>
          </w:r>
          <w:r>
            <w:rPr>
              <w:rFonts w:cs="Times New Roman"/>
            </w:rPr>
            <w:instrText xml:space="preserve"> HYPERLINK \l _Toc19912 </w:instrText>
          </w:r>
          <w:r>
            <w:rPr>
              <w:rFonts w:cs="Times New Roman"/>
            </w:rPr>
            <w:fldChar w:fldCharType="separate"/>
          </w:r>
          <w:r>
            <w:rPr>
              <w:rFonts w:hint="eastAsia"/>
              <w:szCs w:val="84"/>
            </w:rPr>
            <w:t>Trinity Saint David</w:t>
          </w:r>
          <w:r>
            <w:rPr>
              <w:szCs w:val="84"/>
            </w:rPr>
            <w:t xml:space="preserve"> Dissertation</w:t>
          </w:r>
          <w:r>
            <w:tab/>
          </w:r>
          <w:r>
            <w:fldChar w:fldCharType="begin"/>
          </w:r>
          <w:r>
            <w:instrText xml:space="preserve"> PAGEREF _Toc19912 \h </w:instrText>
          </w:r>
          <w:r>
            <w:fldChar w:fldCharType="separate"/>
          </w:r>
          <w:r>
            <w:t>1</w:t>
          </w:r>
          <w:r>
            <w:fldChar w:fldCharType="end"/>
          </w:r>
          <w:r>
            <w:rPr>
              <w:rFonts w:cs="Times New Roman"/>
            </w:rPr>
            <w:fldChar w:fldCharType="end"/>
          </w:r>
        </w:p>
        <w:p w14:paraId="752C98EA">
          <w:pPr>
            <w:pStyle w:val="10"/>
            <w:tabs>
              <w:tab w:val="right" w:leader="dot" w:pos="8306"/>
            </w:tabs>
          </w:pPr>
          <w:r>
            <w:rPr>
              <w:rFonts w:cs="Times New Roman"/>
            </w:rPr>
            <w:fldChar w:fldCharType="begin"/>
          </w:r>
          <w:r>
            <w:rPr>
              <w:rFonts w:cs="Times New Roman"/>
            </w:rPr>
            <w:instrText xml:space="preserve"> HYPERLINK \l _Toc4566 </w:instrText>
          </w:r>
          <w:r>
            <w:rPr>
              <w:rFonts w:cs="Times New Roman"/>
            </w:rPr>
            <w:fldChar w:fldCharType="separate"/>
          </w:r>
          <w:r>
            <w:rPr>
              <w:rFonts w:hint="eastAsia" w:cs="Times New Roman"/>
              <w:szCs w:val="30"/>
            </w:rPr>
            <w:t>27</w:t>
          </w:r>
          <w:r>
            <w:rPr>
              <w:rFonts w:hint="eastAsia" w:cs="Times New Roman"/>
              <w:szCs w:val="30"/>
              <w:vertAlign w:val="superscript"/>
            </w:rPr>
            <w:t>th</w:t>
          </w:r>
          <w:r>
            <w:rPr>
              <w:rFonts w:hint="eastAsia" w:cs="Times New Roman"/>
              <w:szCs w:val="30"/>
            </w:rPr>
            <w:t xml:space="preserve"> September 2024</w:t>
          </w:r>
          <w:r>
            <w:tab/>
          </w:r>
          <w:r>
            <w:fldChar w:fldCharType="begin"/>
          </w:r>
          <w:r>
            <w:instrText xml:space="preserve"> PAGEREF _Toc4566 \h </w:instrText>
          </w:r>
          <w:r>
            <w:fldChar w:fldCharType="separate"/>
          </w:r>
          <w:r>
            <w:t>1</w:t>
          </w:r>
          <w:r>
            <w:fldChar w:fldCharType="end"/>
          </w:r>
          <w:r>
            <w:rPr>
              <w:rFonts w:cs="Times New Roman"/>
            </w:rPr>
            <w:fldChar w:fldCharType="end"/>
          </w:r>
        </w:p>
        <w:p w14:paraId="2DE90870">
          <w:pPr>
            <w:pStyle w:val="10"/>
            <w:tabs>
              <w:tab w:val="right" w:leader="dot" w:pos="8306"/>
            </w:tabs>
          </w:pPr>
          <w:r>
            <w:rPr>
              <w:rFonts w:cs="Times New Roman"/>
            </w:rPr>
            <w:fldChar w:fldCharType="begin"/>
          </w:r>
          <w:r>
            <w:rPr>
              <w:rFonts w:cs="Times New Roman"/>
            </w:rPr>
            <w:instrText xml:space="preserve"> HYPERLINK \l _Toc3512 </w:instrText>
          </w:r>
          <w:r>
            <w:rPr>
              <w:rFonts w:cs="Times New Roman"/>
            </w:rPr>
            <w:fldChar w:fldCharType="separate"/>
          </w:r>
          <w:r>
            <w:rPr>
              <w:rFonts w:cs="Times New Roman"/>
            </w:rPr>
            <w:t>Abstract</w:t>
          </w:r>
          <w:r>
            <w:tab/>
          </w:r>
          <w:r>
            <w:fldChar w:fldCharType="begin"/>
          </w:r>
          <w:r>
            <w:instrText xml:space="preserve"> PAGEREF _Toc3512 \h </w:instrText>
          </w:r>
          <w:r>
            <w:fldChar w:fldCharType="separate"/>
          </w:r>
          <w:r>
            <w:t>2</w:t>
          </w:r>
          <w:r>
            <w:fldChar w:fldCharType="end"/>
          </w:r>
          <w:r>
            <w:rPr>
              <w:rFonts w:cs="Times New Roman"/>
            </w:rPr>
            <w:fldChar w:fldCharType="end"/>
          </w:r>
        </w:p>
        <w:p w14:paraId="095076E7">
          <w:pPr>
            <w:pStyle w:val="10"/>
            <w:tabs>
              <w:tab w:val="right" w:leader="dot" w:pos="8306"/>
            </w:tabs>
          </w:pPr>
          <w:r>
            <w:rPr>
              <w:rFonts w:cs="Times New Roman"/>
            </w:rPr>
            <w:fldChar w:fldCharType="begin"/>
          </w:r>
          <w:r>
            <w:rPr>
              <w:rFonts w:cs="Times New Roman"/>
            </w:rPr>
            <w:instrText xml:space="preserve"> HYPERLINK \l _Toc21792 </w:instrText>
          </w:r>
          <w:r>
            <w:rPr>
              <w:rFonts w:cs="Times New Roman"/>
            </w:rPr>
            <w:fldChar w:fldCharType="separate"/>
          </w:r>
          <w:r>
            <w:rPr>
              <w:rFonts w:cs="Times New Roman"/>
            </w:rPr>
            <w:t>DECLARATION</w:t>
          </w:r>
          <w:r>
            <w:tab/>
          </w:r>
          <w:r>
            <w:fldChar w:fldCharType="begin"/>
          </w:r>
          <w:r>
            <w:instrText xml:space="preserve"> PAGEREF _Toc21792 \h </w:instrText>
          </w:r>
          <w:r>
            <w:fldChar w:fldCharType="separate"/>
          </w:r>
          <w:r>
            <w:t>3</w:t>
          </w:r>
          <w:r>
            <w:fldChar w:fldCharType="end"/>
          </w:r>
          <w:r>
            <w:rPr>
              <w:rFonts w:cs="Times New Roman"/>
            </w:rPr>
            <w:fldChar w:fldCharType="end"/>
          </w:r>
        </w:p>
        <w:p w14:paraId="3DB6444A">
          <w:pPr>
            <w:pStyle w:val="10"/>
            <w:tabs>
              <w:tab w:val="right" w:leader="dot" w:pos="8306"/>
            </w:tabs>
          </w:pPr>
          <w:r>
            <w:rPr>
              <w:rFonts w:cs="Times New Roman"/>
            </w:rPr>
            <w:fldChar w:fldCharType="begin"/>
          </w:r>
          <w:r>
            <w:rPr>
              <w:rFonts w:cs="Times New Roman"/>
            </w:rPr>
            <w:instrText xml:space="preserve"> HYPERLINK \l _Toc21548 </w:instrText>
          </w:r>
          <w:r>
            <w:rPr>
              <w:rFonts w:cs="Times New Roman"/>
            </w:rPr>
            <w:fldChar w:fldCharType="separate"/>
          </w:r>
          <w:r>
            <w:rPr>
              <w:rFonts w:cs="Times New Roman"/>
            </w:rPr>
            <w:t>STATEMENT 1</w:t>
          </w:r>
          <w:r>
            <w:tab/>
          </w:r>
          <w:r>
            <w:fldChar w:fldCharType="begin"/>
          </w:r>
          <w:r>
            <w:instrText xml:space="preserve"> PAGEREF _Toc21548 \h </w:instrText>
          </w:r>
          <w:r>
            <w:fldChar w:fldCharType="separate"/>
          </w:r>
          <w:r>
            <w:t>3</w:t>
          </w:r>
          <w:r>
            <w:fldChar w:fldCharType="end"/>
          </w:r>
          <w:r>
            <w:rPr>
              <w:rFonts w:cs="Times New Roman"/>
            </w:rPr>
            <w:fldChar w:fldCharType="end"/>
          </w:r>
        </w:p>
        <w:p w14:paraId="01E0ABCF">
          <w:pPr>
            <w:pStyle w:val="10"/>
            <w:tabs>
              <w:tab w:val="right" w:leader="dot" w:pos="8306"/>
            </w:tabs>
          </w:pPr>
          <w:r>
            <w:rPr>
              <w:rFonts w:cs="Times New Roman"/>
            </w:rPr>
            <w:fldChar w:fldCharType="begin"/>
          </w:r>
          <w:r>
            <w:rPr>
              <w:rFonts w:cs="Times New Roman"/>
            </w:rPr>
            <w:instrText xml:space="preserve"> HYPERLINK \l _Toc1005 </w:instrText>
          </w:r>
          <w:r>
            <w:rPr>
              <w:rFonts w:cs="Times New Roman"/>
            </w:rPr>
            <w:fldChar w:fldCharType="separate"/>
          </w:r>
          <w:r>
            <w:rPr>
              <w:rFonts w:cs="Times New Roman"/>
            </w:rPr>
            <w:t>STATEMENT 2</w:t>
          </w:r>
          <w:r>
            <w:tab/>
          </w:r>
          <w:r>
            <w:fldChar w:fldCharType="begin"/>
          </w:r>
          <w:r>
            <w:instrText xml:space="preserve"> PAGEREF _Toc1005 \h </w:instrText>
          </w:r>
          <w:r>
            <w:fldChar w:fldCharType="separate"/>
          </w:r>
          <w:r>
            <w:t>3</w:t>
          </w:r>
          <w:r>
            <w:fldChar w:fldCharType="end"/>
          </w:r>
          <w:r>
            <w:rPr>
              <w:rFonts w:cs="Times New Roman"/>
            </w:rPr>
            <w:fldChar w:fldCharType="end"/>
          </w:r>
        </w:p>
        <w:p w14:paraId="2A9CF574">
          <w:pPr>
            <w:pStyle w:val="10"/>
            <w:tabs>
              <w:tab w:val="right" w:leader="dot" w:pos="8306"/>
            </w:tabs>
          </w:pPr>
          <w:r>
            <w:rPr>
              <w:rFonts w:cs="Times New Roman"/>
            </w:rPr>
            <w:fldChar w:fldCharType="begin"/>
          </w:r>
          <w:r>
            <w:rPr>
              <w:rFonts w:cs="Times New Roman"/>
            </w:rPr>
            <w:instrText xml:space="preserve"> HYPERLINK \l _Toc10216 </w:instrText>
          </w:r>
          <w:r>
            <w:rPr>
              <w:rFonts w:cs="Times New Roman"/>
            </w:rPr>
            <w:fldChar w:fldCharType="separate"/>
          </w:r>
          <w:r>
            <w:rPr>
              <w:rFonts w:hint="eastAsia"/>
            </w:rPr>
            <w:t>Acknowledgements</w:t>
          </w:r>
          <w:r>
            <w:tab/>
          </w:r>
          <w:r>
            <w:fldChar w:fldCharType="begin"/>
          </w:r>
          <w:r>
            <w:instrText xml:space="preserve"> PAGEREF _Toc10216 \h </w:instrText>
          </w:r>
          <w:r>
            <w:fldChar w:fldCharType="separate"/>
          </w:r>
          <w:r>
            <w:t>6</w:t>
          </w:r>
          <w:r>
            <w:fldChar w:fldCharType="end"/>
          </w:r>
          <w:r>
            <w:rPr>
              <w:rFonts w:cs="Times New Roman"/>
            </w:rPr>
            <w:fldChar w:fldCharType="end"/>
          </w:r>
        </w:p>
        <w:p w14:paraId="7202B9F8">
          <w:pPr>
            <w:pStyle w:val="10"/>
            <w:tabs>
              <w:tab w:val="right" w:leader="dot" w:pos="8306"/>
            </w:tabs>
          </w:pPr>
          <w:r>
            <w:rPr>
              <w:rFonts w:cs="Times New Roman"/>
            </w:rPr>
            <w:fldChar w:fldCharType="begin"/>
          </w:r>
          <w:r>
            <w:rPr>
              <w:rFonts w:cs="Times New Roman"/>
            </w:rPr>
            <w:instrText xml:space="preserve"> HYPERLINK \l _Toc13419 </w:instrText>
          </w:r>
          <w:r>
            <w:rPr>
              <w:rFonts w:cs="Times New Roman"/>
            </w:rPr>
            <w:fldChar w:fldCharType="separate"/>
          </w:r>
          <w:r>
            <w:rPr>
              <w:rFonts w:hint="eastAsia" w:eastAsia="SimSun" w:cs="Times New Roman"/>
            </w:rPr>
            <w:t>Chapter 1</w:t>
          </w:r>
          <w:r>
            <w:rPr>
              <w:rFonts w:eastAsia="SimSun" w:cs="Times New Roman"/>
            </w:rPr>
            <w:t>.</w:t>
          </w:r>
          <w:r>
            <w:rPr>
              <w:rFonts w:hint="eastAsia" w:eastAsia="SimSun" w:cs="Times New Roman"/>
            </w:rPr>
            <w:t xml:space="preserve"> </w:t>
          </w:r>
          <w:r>
            <w:rPr>
              <w:rFonts w:hint="eastAsia"/>
            </w:rPr>
            <w:t>Introduction</w:t>
          </w:r>
          <w:r>
            <w:tab/>
          </w:r>
          <w:r>
            <w:fldChar w:fldCharType="begin"/>
          </w:r>
          <w:r>
            <w:instrText xml:space="preserve"> PAGEREF _Toc13419 \h </w:instrText>
          </w:r>
          <w:r>
            <w:fldChar w:fldCharType="separate"/>
          </w:r>
          <w:r>
            <w:t>7</w:t>
          </w:r>
          <w:r>
            <w:fldChar w:fldCharType="end"/>
          </w:r>
          <w:r>
            <w:rPr>
              <w:rFonts w:cs="Times New Roman"/>
            </w:rPr>
            <w:fldChar w:fldCharType="end"/>
          </w:r>
        </w:p>
        <w:p w14:paraId="23C3543E">
          <w:pPr>
            <w:pStyle w:val="10"/>
            <w:tabs>
              <w:tab w:val="right" w:leader="dot" w:pos="8306"/>
            </w:tabs>
          </w:pPr>
          <w:r>
            <w:rPr>
              <w:rFonts w:cs="Times New Roman"/>
            </w:rPr>
            <w:fldChar w:fldCharType="begin"/>
          </w:r>
          <w:r>
            <w:rPr>
              <w:rFonts w:cs="Times New Roman"/>
            </w:rPr>
            <w:instrText xml:space="preserve"> HYPERLINK \l _Toc12024 </w:instrText>
          </w:r>
          <w:r>
            <w:rPr>
              <w:rFonts w:cs="Times New Roman"/>
            </w:rPr>
            <w:fldChar w:fldCharType="separate"/>
          </w:r>
          <w:r>
            <w:t>1. From a political perspective</w:t>
          </w:r>
          <w:r>
            <w:tab/>
          </w:r>
          <w:r>
            <w:fldChar w:fldCharType="begin"/>
          </w:r>
          <w:r>
            <w:instrText xml:space="preserve"> PAGEREF _Toc12024 \h </w:instrText>
          </w:r>
          <w:r>
            <w:fldChar w:fldCharType="separate"/>
          </w:r>
          <w:r>
            <w:t>8</w:t>
          </w:r>
          <w:r>
            <w:fldChar w:fldCharType="end"/>
          </w:r>
          <w:r>
            <w:rPr>
              <w:rFonts w:cs="Times New Roman"/>
            </w:rPr>
            <w:fldChar w:fldCharType="end"/>
          </w:r>
        </w:p>
        <w:p w14:paraId="2C925255">
          <w:pPr>
            <w:pStyle w:val="10"/>
            <w:tabs>
              <w:tab w:val="right" w:leader="dot" w:pos="8306"/>
            </w:tabs>
          </w:pPr>
          <w:r>
            <w:rPr>
              <w:rFonts w:cs="Times New Roman"/>
            </w:rPr>
            <w:fldChar w:fldCharType="begin"/>
          </w:r>
          <w:r>
            <w:rPr>
              <w:rFonts w:cs="Times New Roman"/>
            </w:rPr>
            <w:instrText xml:space="preserve"> HYPERLINK \l _Toc706 </w:instrText>
          </w:r>
          <w:r>
            <w:rPr>
              <w:rFonts w:cs="Times New Roman"/>
            </w:rPr>
            <w:fldChar w:fldCharType="separate"/>
          </w:r>
          <w:r>
            <w:t>2. From an economic perspective</w:t>
          </w:r>
          <w:r>
            <w:tab/>
          </w:r>
          <w:r>
            <w:fldChar w:fldCharType="begin"/>
          </w:r>
          <w:r>
            <w:instrText xml:space="preserve"> PAGEREF _Toc706 \h </w:instrText>
          </w:r>
          <w:r>
            <w:fldChar w:fldCharType="separate"/>
          </w:r>
          <w:r>
            <w:t>9</w:t>
          </w:r>
          <w:r>
            <w:fldChar w:fldCharType="end"/>
          </w:r>
          <w:r>
            <w:rPr>
              <w:rFonts w:cs="Times New Roman"/>
            </w:rPr>
            <w:fldChar w:fldCharType="end"/>
          </w:r>
        </w:p>
        <w:p w14:paraId="467C4F62">
          <w:pPr>
            <w:pStyle w:val="10"/>
            <w:tabs>
              <w:tab w:val="right" w:leader="dot" w:pos="8306"/>
            </w:tabs>
          </w:pPr>
          <w:r>
            <w:rPr>
              <w:rFonts w:cs="Times New Roman"/>
            </w:rPr>
            <w:fldChar w:fldCharType="begin"/>
          </w:r>
          <w:r>
            <w:rPr>
              <w:rFonts w:cs="Times New Roman"/>
            </w:rPr>
            <w:instrText xml:space="preserve"> HYPERLINK \l _Toc4610 </w:instrText>
          </w:r>
          <w:r>
            <w:rPr>
              <w:rFonts w:cs="Times New Roman"/>
            </w:rPr>
            <w:fldChar w:fldCharType="separate"/>
          </w:r>
          <w:r>
            <w:t>3. From a social perspective</w:t>
          </w:r>
          <w:r>
            <w:tab/>
          </w:r>
          <w:r>
            <w:fldChar w:fldCharType="begin"/>
          </w:r>
          <w:r>
            <w:instrText xml:space="preserve"> PAGEREF _Toc4610 \h </w:instrText>
          </w:r>
          <w:r>
            <w:fldChar w:fldCharType="separate"/>
          </w:r>
          <w:r>
            <w:t>10</w:t>
          </w:r>
          <w:r>
            <w:fldChar w:fldCharType="end"/>
          </w:r>
          <w:r>
            <w:rPr>
              <w:rFonts w:cs="Times New Roman"/>
            </w:rPr>
            <w:fldChar w:fldCharType="end"/>
          </w:r>
        </w:p>
        <w:p w14:paraId="55D91EC2">
          <w:pPr>
            <w:pStyle w:val="10"/>
            <w:tabs>
              <w:tab w:val="right" w:leader="dot" w:pos="8306"/>
            </w:tabs>
          </w:pPr>
          <w:r>
            <w:rPr>
              <w:rFonts w:cs="Times New Roman"/>
            </w:rPr>
            <w:fldChar w:fldCharType="begin"/>
          </w:r>
          <w:r>
            <w:rPr>
              <w:rFonts w:cs="Times New Roman"/>
            </w:rPr>
            <w:instrText xml:space="preserve"> HYPERLINK \l _Toc1430 </w:instrText>
          </w:r>
          <w:r>
            <w:rPr>
              <w:rFonts w:cs="Times New Roman"/>
            </w:rPr>
            <w:fldChar w:fldCharType="separate"/>
          </w:r>
          <w:r>
            <w:t>4. From a technical perspective</w:t>
          </w:r>
          <w:r>
            <w:tab/>
          </w:r>
          <w:r>
            <w:fldChar w:fldCharType="begin"/>
          </w:r>
          <w:r>
            <w:instrText xml:space="preserve"> PAGEREF _Toc1430 \h </w:instrText>
          </w:r>
          <w:r>
            <w:fldChar w:fldCharType="separate"/>
          </w:r>
          <w:r>
            <w:t>12</w:t>
          </w:r>
          <w:r>
            <w:fldChar w:fldCharType="end"/>
          </w:r>
          <w:r>
            <w:rPr>
              <w:rFonts w:cs="Times New Roman"/>
            </w:rPr>
            <w:fldChar w:fldCharType="end"/>
          </w:r>
        </w:p>
        <w:p w14:paraId="2D7A4A4F">
          <w:pPr>
            <w:pStyle w:val="10"/>
            <w:tabs>
              <w:tab w:val="right" w:leader="dot" w:pos="8306"/>
            </w:tabs>
          </w:pPr>
          <w:r>
            <w:rPr>
              <w:rFonts w:cs="Times New Roman"/>
            </w:rPr>
            <w:fldChar w:fldCharType="begin"/>
          </w:r>
          <w:r>
            <w:rPr>
              <w:rFonts w:cs="Times New Roman"/>
            </w:rPr>
            <w:instrText xml:space="preserve"> HYPERLINK \l _Toc17230 </w:instrText>
          </w:r>
          <w:r>
            <w:rPr>
              <w:rFonts w:cs="Times New Roman"/>
            </w:rPr>
            <w:fldChar w:fldCharType="separate"/>
          </w:r>
          <w:r>
            <w:t>5. From an environmental perspective</w:t>
          </w:r>
          <w:r>
            <w:tab/>
          </w:r>
          <w:r>
            <w:fldChar w:fldCharType="begin"/>
          </w:r>
          <w:r>
            <w:instrText xml:space="preserve"> PAGEREF _Toc17230 \h </w:instrText>
          </w:r>
          <w:r>
            <w:fldChar w:fldCharType="separate"/>
          </w:r>
          <w:r>
            <w:t>13</w:t>
          </w:r>
          <w:r>
            <w:fldChar w:fldCharType="end"/>
          </w:r>
          <w:r>
            <w:rPr>
              <w:rFonts w:cs="Times New Roman"/>
            </w:rPr>
            <w:fldChar w:fldCharType="end"/>
          </w:r>
        </w:p>
        <w:p w14:paraId="14A001BB">
          <w:pPr>
            <w:pStyle w:val="10"/>
            <w:tabs>
              <w:tab w:val="right" w:leader="dot" w:pos="8306"/>
            </w:tabs>
          </w:pPr>
          <w:r>
            <w:rPr>
              <w:rFonts w:cs="Times New Roman"/>
            </w:rPr>
            <w:fldChar w:fldCharType="begin"/>
          </w:r>
          <w:r>
            <w:rPr>
              <w:rFonts w:cs="Times New Roman"/>
            </w:rPr>
            <w:instrText xml:space="preserve"> HYPERLINK \l _Toc2942 </w:instrText>
          </w:r>
          <w:r>
            <w:rPr>
              <w:rFonts w:cs="Times New Roman"/>
            </w:rPr>
            <w:fldChar w:fldCharType="separate"/>
          </w:r>
          <w:r>
            <w:t>6. From a legal perspective</w:t>
          </w:r>
          <w:r>
            <w:tab/>
          </w:r>
          <w:r>
            <w:fldChar w:fldCharType="begin"/>
          </w:r>
          <w:r>
            <w:instrText xml:space="preserve"> PAGEREF _Toc2942 \h </w:instrText>
          </w:r>
          <w:r>
            <w:fldChar w:fldCharType="separate"/>
          </w:r>
          <w:r>
            <w:t>14</w:t>
          </w:r>
          <w:r>
            <w:fldChar w:fldCharType="end"/>
          </w:r>
          <w:r>
            <w:rPr>
              <w:rFonts w:cs="Times New Roman"/>
            </w:rPr>
            <w:fldChar w:fldCharType="end"/>
          </w:r>
        </w:p>
        <w:p w14:paraId="6084C344">
          <w:pPr>
            <w:pStyle w:val="10"/>
            <w:tabs>
              <w:tab w:val="right" w:leader="dot" w:pos="8306"/>
            </w:tabs>
          </w:pPr>
          <w:r>
            <w:rPr>
              <w:rFonts w:cs="Times New Roman"/>
            </w:rPr>
            <w:fldChar w:fldCharType="begin"/>
          </w:r>
          <w:r>
            <w:rPr>
              <w:rFonts w:cs="Times New Roman"/>
            </w:rPr>
            <w:instrText xml:space="preserve"> HYPERLINK \l _Toc3799 </w:instrText>
          </w:r>
          <w:r>
            <w:rPr>
              <w:rFonts w:cs="Times New Roman"/>
            </w:rPr>
            <w:fldChar w:fldCharType="separate"/>
          </w:r>
          <w:r>
            <w:rPr>
              <w:rFonts w:hint="eastAsia"/>
            </w:rPr>
            <w:t>Chapter 2</w:t>
          </w:r>
          <w:r>
            <w:t>.</w:t>
          </w:r>
          <w:r>
            <w:rPr>
              <w:rFonts w:hint="eastAsia"/>
            </w:rPr>
            <w:t xml:space="preserve"> L</w:t>
          </w:r>
          <w:r>
            <w:t xml:space="preserve">iterature </w:t>
          </w:r>
          <w:r>
            <w:rPr>
              <w:rFonts w:hint="eastAsia"/>
            </w:rPr>
            <w:t>R</w:t>
          </w:r>
          <w:r>
            <w:t>eview</w:t>
          </w:r>
          <w:r>
            <w:tab/>
          </w:r>
          <w:r>
            <w:fldChar w:fldCharType="begin"/>
          </w:r>
          <w:r>
            <w:instrText xml:space="preserve"> PAGEREF _Toc3799 \h </w:instrText>
          </w:r>
          <w:r>
            <w:fldChar w:fldCharType="separate"/>
          </w:r>
          <w:r>
            <w:t>17</w:t>
          </w:r>
          <w:r>
            <w:fldChar w:fldCharType="end"/>
          </w:r>
          <w:r>
            <w:rPr>
              <w:rFonts w:cs="Times New Roman"/>
            </w:rPr>
            <w:fldChar w:fldCharType="end"/>
          </w:r>
        </w:p>
        <w:p w14:paraId="7DF9FE84">
          <w:pPr>
            <w:pStyle w:val="12"/>
            <w:tabs>
              <w:tab w:val="right" w:leader="dot" w:pos="8306"/>
            </w:tabs>
          </w:pPr>
          <w:r>
            <w:rPr>
              <w:rFonts w:cs="Times New Roman"/>
            </w:rPr>
            <w:fldChar w:fldCharType="begin"/>
          </w:r>
          <w:r>
            <w:rPr>
              <w:rFonts w:cs="Times New Roman"/>
            </w:rPr>
            <w:instrText xml:space="preserve"> HYPERLINK \l _Toc4414 </w:instrText>
          </w:r>
          <w:r>
            <w:rPr>
              <w:rFonts w:cs="Times New Roman"/>
            </w:rPr>
            <w:fldChar w:fldCharType="separate"/>
          </w:r>
          <w:r>
            <w:rPr>
              <w:rFonts w:hint="eastAsia"/>
              <w:bCs/>
              <w:szCs w:val="32"/>
            </w:rPr>
            <w:t>2</w:t>
          </w:r>
          <w:r>
            <w:rPr>
              <w:bCs/>
              <w:szCs w:val="32"/>
            </w:rPr>
            <w:t>.1</w:t>
          </w:r>
          <w:r>
            <w:rPr>
              <w:rFonts w:hint="eastAsia"/>
              <w:bCs/>
              <w:szCs w:val="32"/>
            </w:rPr>
            <w:t xml:space="preserve"> </w:t>
          </w:r>
          <w:r>
            <w:rPr>
              <w:bCs/>
              <w:szCs w:val="32"/>
            </w:rPr>
            <w:t>The necessity of replacing fuel vehicles with electric vehicles</w:t>
          </w:r>
          <w:r>
            <w:tab/>
          </w:r>
          <w:r>
            <w:fldChar w:fldCharType="begin"/>
          </w:r>
          <w:r>
            <w:instrText xml:space="preserve"> PAGEREF _Toc4414 \h </w:instrText>
          </w:r>
          <w:r>
            <w:fldChar w:fldCharType="separate"/>
          </w:r>
          <w:r>
            <w:t>17</w:t>
          </w:r>
          <w:r>
            <w:fldChar w:fldCharType="end"/>
          </w:r>
          <w:r>
            <w:rPr>
              <w:rFonts w:cs="Times New Roman"/>
            </w:rPr>
            <w:fldChar w:fldCharType="end"/>
          </w:r>
        </w:p>
        <w:p w14:paraId="3A3B0598">
          <w:pPr>
            <w:pStyle w:val="12"/>
            <w:tabs>
              <w:tab w:val="right" w:leader="dot" w:pos="8306"/>
            </w:tabs>
          </w:pPr>
          <w:r>
            <w:rPr>
              <w:rFonts w:cs="Times New Roman"/>
            </w:rPr>
            <w:fldChar w:fldCharType="begin"/>
          </w:r>
          <w:r>
            <w:rPr>
              <w:rFonts w:cs="Times New Roman"/>
            </w:rPr>
            <w:instrText xml:space="preserve"> HYPERLINK \l _Toc17446 </w:instrText>
          </w:r>
          <w:r>
            <w:rPr>
              <w:rFonts w:cs="Times New Roman"/>
            </w:rPr>
            <w:fldChar w:fldCharType="separate"/>
          </w:r>
          <w:r>
            <w:rPr>
              <w:rFonts w:hint="eastAsia"/>
              <w:bCs/>
              <w:szCs w:val="32"/>
            </w:rPr>
            <w:t>2</w:t>
          </w:r>
          <w:r>
            <w:rPr>
              <w:bCs/>
              <w:szCs w:val="32"/>
            </w:rPr>
            <w:t>.2</w:t>
          </w:r>
          <w:r>
            <w:rPr>
              <w:rFonts w:hint="eastAsia"/>
              <w:bCs/>
              <w:szCs w:val="32"/>
            </w:rPr>
            <w:t xml:space="preserve"> </w:t>
          </w:r>
          <w:r>
            <w:rPr>
              <w:bCs/>
              <w:szCs w:val="32"/>
            </w:rPr>
            <w:t>Reliability and Economical</w:t>
          </w:r>
          <w:r>
            <w:tab/>
          </w:r>
          <w:r>
            <w:fldChar w:fldCharType="begin"/>
          </w:r>
          <w:r>
            <w:instrText xml:space="preserve"> PAGEREF _Toc17446 \h </w:instrText>
          </w:r>
          <w:r>
            <w:fldChar w:fldCharType="separate"/>
          </w:r>
          <w:r>
            <w:t>18</w:t>
          </w:r>
          <w:r>
            <w:fldChar w:fldCharType="end"/>
          </w:r>
          <w:r>
            <w:rPr>
              <w:rFonts w:cs="Times New Roman"/>
            </w:rPr>
            <w:fldChar w:fldCharType="end"/>
          </w:r>
        </w:p>
        <w:p w14:paraId="21A9F699">
          <w:pPr>
            <w:pStyle w:val="12"/>
            <w:tabs>
              <w:tab w:val="right" w:leader="dot" w:pos="8306"/>
            </w:tabs>
          </w:pPr>
          <w:r>
            <w:rPr>
              <w:rFonts w:cs="Times New Roman"/>
            </w:rPr>
            <w:fldChar w:fldCharType="begin"/>
          </w:r>
          <w:r>
            <w:rPr>
              <w:rFonts w:cs="Times New Roman"/>
            </w:rPr>
            <w:instrText xml:space="preserve"> HYPERLINK \l _Toc7878 </w:instrText>
          </w:r>
          <w:r>
            <w:rPr>
              <w:rFonts w:cs="Times New Roman"/>
            </w:rPr>
            <w:fldChar w:fldCharType="separate"/>
          </w:r>
          <w:r>
            <w:rPr>
              <w:rFonts w:hint="eastAsia" w:cs="Times New Roman"/>
              <w:bCs/>
              <w:szCs w:val="32"/>
            </w:rPr>
            <w:t>2</w:t>
          </w:r>
          <w:r>
            <w:rPr>
              <w:rFonts w:cs="Times New Roman"/>
              <w:bCs/>
              <w:szCs w:val="32"/>
            </w:rPr>
            <w:t>.3</w:t>
          </w:r>
          <w:r>
            <w:rPr>
              <w:rFonts w:hint="eastAsia" w:cs="Times New Roman"/>
              <w:bCs/>
              <w:szCs w:val="32"/>
            </w:rPr>
            <w:t xml:space="preserve"> Manufacturing</w:t>
          </w:r>
          <w:r>
            <w:rPr>
              <w:rFonts w:cs="Times New Roman"/>
              <w:bCs/>
              <w:szCs w:val="32"/>
            </w:rPr>
            <w:t xml:space="preserve"> </w:t>
          </w:r>
          <w:r>
            <w:rPr>
              <w:rFonts w:hint="eastAsia" w:cs="Times New Roman"/>
              <w:bCs/>
              <w:szCs w:val="32"/>
            </w:rPr>
            <w:t>Costs</w:t>
          </w:r>
          <w:r>
            <w:tab/>
          </w:r>
          <w:r>
            <w:fldChar w:fldCharType="begin"/>
          </w:r>
          <w:r>
            <w:instrText xml:space="preserve"> PAGEREF _Toc7878 \h </w:instrText>
          </w:r>
          <w:r>
            <w:fldChar w:fldCharType="separate"/>
          </w:r>
          <w:r>
            <w:t>20</w:t>
          </w:r>
          <w:r>
            <w:fldChar w:fldCharType="end"/>
          </w:r>
          <w:r>
            <w:rPr>
              <w:rFonts w:cs="Times New Roman"/>
            </w:rPr>
            <w:fldChar w:fldCharType="end"/>
          </w:r>
        </w:p>
        <w:p w14:paraId="1FE628A9">
          <w:pPr>
            <w:pStyle w:val="12"/>
            <w:tabs>
              <w:tab w:val="right" w:leader="dot" w:pos="8306"/>
            </w:tabs>
          </w:pPr>
          <w:r>
            <w:rPr>
              <w:rFonts w:cs="Times New Roman"/>
            </w:rPr>
            <w:fldChar w:fldCharType="begin"/>
          </w:r>
          <w:r>
            <w:rPr>
              <w:rFonts w:cs="Times New Roman"/>
            </w:rPr>
            <w:instrText xml:space="preserve"> HYPERLINK \l _Toc4041 </w:instrText>
          </w:r>
          <w:r>
            <w:rPr>
              <w:rFonts w:cs="Times New Roman"/>
            </w:rPr>
            <w:fldChar w:fldCharType="separate"/>
          </w:r>
          <w:r>
            <w:rPr>
              <w:rFonts w:hint="eastAsia" w:cs="Times New Roman"/>
              <w:bCs/>
              <w:szCs w:val="32"/>
            </w:rPr>
            <w:t>2</w:t>
          </w:r>
          <w:r>
            <w:rPr>
              <w:rFonts w:cs="Times New Roman"/>
              <w:bCs/>
              <w:szCs w:val="32"/>
            </w:rPr>
            <w:t>.4</w:t>
          </w:r>
          <w:r>
            <w:rPr>
              <w:rFonts w:hint="eastAsia" w:cs="Times New Roman"/>
              <w:bCs/>
              <w:szCs w:val="32"/>
            </w:rPr>
            <w:t xml:space="preserve"> Charging </w:t>
          </w:r>
          <w:r>
            <w:rPr>
              <w:rFonts w:cs="Times New Roman"/>
              <w:bCs/>
              <w:szCs w:val="32"/>
            </w:rPr>
            <w:t>Infrastructure Limitations</w:t>
          </w:r>
          <w:r>
            <w:tab/>
          </w:r>
          <w:r>
            <w:fldChar w:fldCharType="begin"/>
          </w:r>
          <w:r>
            <w:instrText xml:space="preserve"> PAGEREF _Toc4041 \h </w:instrText>
          </w:r>
          <w:r>
            <w:fldChar w:fldCharType="separate"/>
          </w:r>
          <w:r>
            <w:t>22</w:t>
          </w:r>
          <w:r>
            <w:fldChar w:fldCharType="end"/>
          </w:r>
          <w:r>
            <w:rPr>
              <w:rFonts w:cs="Times New Roman"/>
            </w:rPr>
            <w:fldChar w:fldCharType="end"/>
          </w:r>
        </w:p>
        <w:p w14:paraId="74378108">
          <w:pPr>
            <w:pStyle w:val="12"/>
            <w:tabs>
              <w:tab w:val="right" w:leader="dot" w:pos="8306"/>
            </w:tabs>
          </w:pPr>
          <w:r>
            <w:rPr>
              <w:rFonts w:cs="Times New Roman"/>
            </w:rPr>
            <w:fldChar w:fldCharType="begin"/>
          </w:r>
          <w:r>
            <w:rPr>
              <w:rFonts w:cs="Times New Roman"/>
            </w:rPr>
            <w:instrText xml:space="preserve"> HYPERLINK \l _Toc26955 </w:instrText>
          </w:r>
          <w:r>
            <w:rPr>
              <w:rFonts w:cs="Times New Roman"/>
            </w:rPr>
            <w:fldChar w:fldCharType="separate"/>
          </w:r>
          <w:r>
            <w:rPr>
              <w:rFonts w:hint="eastAsia" w:cs="Times New Roman"/>
              <w:bCs/>
              <w:szCs w:val="32"/>
            </w:rPr>
            <w:t>2</w:t>
          </w:r>
          <w:r>
            <w:rPr>
              <w:rFonts w:cs="Times New Roman"/>
              <w:bCs/>
              <w:szCs w:val="32"/>
            </w:rPr>
            <w:t>.5</w:t>
          </w:r>
          <w:r>
            <w:rPr>
              <w:rFonts w:hint="eastAsia" w:cs="Times New Roman"/>
              <w:bCs/>
              <w:szCs w:val="32"/>
            </w:rPr>
            <w:t xml:space="preserve"> </w:t>
          </w:r>
          <w:r>
            <w:rPr>
              <w:rFonts w:cs="Times New Roman"/>
              <w:bCs/>
              <w:szCs w:val="32"/>
            </w:rPr>
            <w:t>Resources Supply and Demand</w:t>
          </w:r>
          <w:r>
            <w:tab/>
          </w:r>
          <w:r>
            <w:fldChar w:fldCharType="begin"/>
          </w:r>
          <w:r>
            <w:instrText xml:space="preserve"> PAGEREF _Toc26955 \h </w:instrText>
          </w:r>
          <w:r>
            <w:fldChar w:fldCharType="separate"/>
          </w:r>
          <w:r>
            <w:t>24</w:t>
          </w:r>
          <w:r>
            <w:fldChar w:fldCharType="end"/>
          </w:r>
          <w:r>
            <w:rPr>
              <w:rFonts w:cs="Times New Roman"/>
            </w:rPr>
            <w:fldChar w:fldCharType="end"/>
          </w:r>
        </w:p>
        <w:p w14:paraId="4EFD59DD">
          <w:pPr>
            <w:pStyle w:val="10"/>
            <w:tabs>
              <w:tab w:val="right" w:leader="dot" w:pos="8306"/>
            </w:tabs>
          </w:pPr>
          <w:r>
            <w:rPr>
              <w:rFonts w:cs="Times New Roman"/>
            </w:rPr>
            <w:fldChar w:fldCharType="begin"/>
          </w:r>
          <w:r>
            <w:rPr>
              <w:rFonts w:cs="Times New Roman"/>
            </w:rPr>
            <w:instrText xml:space="preserve"> HYPERLINK \l _Toc2454 </w:instrText>
          </w:r>
          <w:r>
            <w:rPr>
              <w:rFonts w:cs="Times New Roman"/>
            </w:rPr>
            <w:fldChar w:fldCharType="separate"/>
          </w:r>
          <w:r>
            <w:rPr>
              <w:rFonts w:hint="eastAsia"/>
            </w:rPr>
            <w:t>Chapter 3</w:t>
          </w:r>
          <w:r>
            <w:t xml:space="preserve">. </w:t>
          </w:r>
          <w:r>
            <w:rPr>
              <w:rFonts w:hint="eastAsia"/>
            </w:rPr>
            <w:t>Methodology</w:t>
          </w:r>
          <w:r>
            <w:tab/>
          </w:r>
          <w:r>
            <w:fldChar w:fldCharType="begin"/>
          </w:r>
          <w:r>
            <w:instrText xml:space="preserve"> PAGEREF _Toc2454 \h </w:instrText>
          </w:r>
          <w:r>
            <w:fldChar w:fldCharType="separate"/>
          </w:r>
          <w:r>
            <w:t>29</w:t>
          </w:r>
          <w:r>
            <w:fldChar w:fldCharType="end"/>
          </w:r>
          <w:r>
            <w:rPr>
              <w:rFonts w:cs="Times New Roman"/>
            </w:rPr>
            <w:fldChar w:fldCharType="end"/>
          </w:r>
        </w:p>
        <w:p w14:paraId="2BC313D2">
          <w:pPr>
            <w:pStyle w:val="12"/>
            <w:tabs>
              <w:tab w:val="right" w:leader="dot" w:pos="8306"/>
            </w:tabs>
          </w:pPr>
          <w:r>
            <w:rPr>
              <w:rFonts w:cs="Times New Roman"/>
            </w:rPr>
            <w:fldChar w:fldCharType="begin"/>
          </w:r>
          <w:r>
            <w:rPr>
              <w:rFonts w:cs="Times New Roman"/>
            </w:rPr>
            <w:instrText xml:space="preserve"> HYPERLINK \l _Toc19181 </w:instrText>
          </w:r>
          <w:r>
            <w:rPr>
              <w:rFonts w:cs="Times New Roman"/>
            </w:rPr>
            <w:fldChar w:fldCharType="separate"/>
          </w:r>
          <w:r>
            <w:rPr>
              <w:rFonts w:hint="eastAsia"/>
            </w:rPr>
            <w:t>3</w:t>
          </w:r>
          <w:r>
            <w:t>.1 Aims and Objectives</w:t>
          </w:r>
          <w:r>
            <w:tab/>
          </w:r>
          <w:r>
            <w:fldChar w:fldCharType="begin"/>
          </w:r>
          <w:r>
            <w:instrText xml:space="preserve"> PAGEREF _Toc19181 \h </w:instrText>
          </w:r>
          <w:r>
            <w:fldChar w:fldCharType="separate"/>
          </w:r>
          <w:r>
            <w:t>29</w:t>
          </w:r>
          <w:r>
            <w:fldChar w:fldCharType="end"/>
          </w:r>
          <w:r>
            <w:rPr>
              <w:rFonts w:cs="Times New Roman"/>
            </w:rPr>
            <w:fldChar w:fldCharType="end"/>
          </w:r>
        </w:p>
        <w:p w14:paraId="5A2E2589">
          <w:pPr>
            <w:pStyle w:val="12"/>
            <w:tabs>
              <w:tab w:val="right" w:leader="dot" w:pos="8306"/>
            </w:tabs>
          </w:pPr>
          <w:r>
            <w:rPr>
              <w:rFonts w:cs="Times New Roman"/>
            </w:rPr>
            <w:fldChar w:fldCharType="begin"/>
          </w:r>
          <w:r>
            <w:rPr>
              <w:rFonts w:cs="Times New Roman"/>
            </w:rPr>
            <w:instrText xml:space="preserve"> HYPERLINK \l _Toc26159 </w:instrText>
          </w:r>
          <w:r>
            <w:rPr>
              <w:rFonts w:cs="Times New Roman"/>
            </w:rPr>
            <w:fldChar w:fldCharType="separate"/>
          </w:r>
          <w:r>
            <w:rPr>
              <w:rFonts w:hint="eastAsia"/>
            </w:rPr>
            <w:t>3</w:t>
          </w:r>
          <w:r>
            <w:t>.2 Research Rationale</w:t>
          </w:r>
          <w:r>
            <w:tab/>
          </w:r>
          <w:r>
            <w:fldChar w:fldCharType="begin"/>
          </w:r>
          <w:r>
            <w:instrText xml:space="preserve"> PAGEREF _Toc26159 \h </w:instrText>
          </w:r>
          <w:r>
            <w:fldChar w:fldCharType="separate"/>
          </w:r>
          <w:r>
            <w:t>29</w:t>
          </w:r>
          <w:r>
            <w:fldChar w:fldCharType="end"/>
          </w:r>
          <w:r>
            <w:rPr>
              <w:rFonts w:cs="Times New Roman"/>
            </w:rPr>
            <w:fldChar w:fldCharType="end"/>
          </w:r>
        </w:p>
        <w:p w14:paraId="6CE06288">
          <w:pPr>
            <w:pStyle w:val="12"/>
            <w:tabs>
              <w:tab w:val="right" w:leader="dot" w:pos="8306"/>
            </w:tabs>
          </w:pPr>
          <w:r>
            <w:rPr>
              <w:rFonts w:cs="Times New Roman"/>
            </w:rPr>
            <w:fldChar w:fldCharType="begin"/>
          </w:r>
          <w:r>
            <w:rPr>
              <w:rFonts w:cs="Times New Roman"/>
            </w:rPr>
            <w:instrText xml:space="preserve"> HYPERLINK \l _Toc25800 </w:instrText>
          </w:r>
          <w:r>
            <w:rPr>
              <w:rFonts w:cs="Times New Roman"/>
            </w:rPr>
            <w:fldChar w:fldCharType="separate"/>
          </w:r>
          <w:r>
            <w:rPr>
              <w:rFonts w:hint="eastAsia"/>
            </w:rPr>
            <w:t>3</w:t>
          </w:r>
          <w:r>
            <w:t>.3 Research Design</w:t>
          </w:r>
          <w:r>
            <w:tab/>
          </w:r>
          <w:r>
            <w:fldChar w:fldCharType="begin"/>
          </w:r>
          <w:r>
            <w:instrText xml:space="preserve"> PAGEREF _Toc25800 \h </w:instrText>
          </w:r>
          <w:r>
            <w:fldChar w:fldCharType="separate"/>
          </w:r>
          <w:r>
            <w:t>29</w:t>
          </w:r>
          <w:r>
            <w:fldChar w:fldCharType="end"/>
          </w:r>
          <w:r>
            <w:rPr>
              <w:rFonts w:cs="Times New Roman"/>
            </w:rPr>
            <w:fldChar w:fldCharType="end"/>
          </w:r>
        </w:p>
        <w:p w14:paraId="68178046">
          <w:pPr>
            <w:pStyle w:val="12"/>
            <w:tabs>
              <w:tab w:val="right" w:leader="dot" w:pos="8306"/>
            </w:tabs>
          </w:pPr>
          <w:r>
            <w:rPr>
              <w:rFonts w:cs="Times New Roman"/>
            </w:rPr>
            <w:fldChar w:fldCharType="begin"/>
          </w:r>
          <w:r>
            <w:rPr>
              <w:rFonts w:cs="Times New Roman"/>
            </w:rPr>
            <w:instrText xml:space="preserve"> HYPERLINK \l _Toc27986 </w:instrText>
          </w:r>
          <w:r>
            <w:rPr>
              <w:rFonts w:cs="Times New Roman"/>
            </w:rPr>
            <w:fldChar w:fldCharType="separate"/>
          </w:r>
          <w:r>
            <w:rPr>
              <w:rFonts w:hint="eastAsia"/>
            </w:rPr>
            <w:t>3</w:t>
          </w:r>
          <w:r>
            <w:t>.4 Research Paradigm</w:t>
          </w:r>
          <w:r>
            <w:tab/>
          </w:r>
          <w:r>
            <w:fldChar w:fldCharType="begin"/>
          </w:r>
          <w:r>
            <w:instrText xml:space="preserve"> PAGEREF _Toc27986 \h </w:instrText>
          </w:r>
          <w:r>
            <w:fldChar w:fldCharType="separate"/>
          </w:r>
          <w:r>
            <w:t>31</w:t>
          </w:r>
          <w:r>
            <w:fldChar w:fldCharType="end"/>
          </w:r>
          <w:r>
            <w:rPr>
              <w:rFonts w:cs="Times New Roman"/>
            </w:rPr>
            <w:fldChar w:fldCharType="end"/>
          </w:r>
        </w:p>
        <w:p w14:paraId="09D02F2E">
          <w:pPr>
            <w:pStyle w:val="12"/>
            <w:tabs>
              <w:tab w:val="right" w:leader="dot" w:pos="8306"/>
            </w:tabs>
          </w:pPr>
          <w:r>
            <w:rPr>
              <w:rFonts w:cs="Times New Roman"/>
            </w:rPr>
            <w:fldChar w:fldCharType="begin"/>
          </w:r>
          <w:r>
            <w:rPr>
              <w:rFonts w:cs="Times New Roman"/>
            </w:rPr>
            <w:instrText xml:space="preserve"> HYPERLINK \l _Toc9832 </w:instrText>
          </w:r>
          <w:r>
            <w:rPr>
              <w:rFonts w:cs="Times New Roman"/>
            </w:rPr>
            <w:fldChar w:fldCharType="separate"/>
          </w:r>
          <w:r>
            <w:rPr>
              <w:rFonts w:hint="eastAsia"/>
            </w:rPr>
            <w:t>3</w:t>
          </w:r>
          <w:r>
            <w:t>.5 Data Collection</w:t>
          </w:r>
          <w:r>
            <w:tab/>
          </w:r>
          <w:r>
            <w:fldChar w:fldCharType="begin"/>
          </w:r>
          <w:r>
            <w:instrText xml:space="preserve"> PAGEREF _Toc9832 \h </w:instrText>
          </w:r>
          <w:r>
            <w:fldChar w:fldCharType="separate"/>
          </w:r>
          <w:r>
            <w:t>32</w:t>
          </w:r>
          <w:r>
            <w:fldChar w:fldCharType="end"/>
          </w:r>
          <w:r>
            <w:rPr>
              <w:rFonts w:cs="Times New Roman"/>
            </w:rPr>
            <w:fldChar w:fldCharType="end"/>
          </w:r>
        </w:p>
        <w:p w14:paraId="72A6AA6B">
          <w:pPr>
            <w:pStyle w:val="12"/>
            <w:tabs>
              <w:tab w:val="right" w:leader="dot" w:pos="8306"/>
            </w:tabs>
          </w:pPr>
          <w:r>
            <w:rPr>
              <w:rFonts w:cs="Times New Roman"/>
            </w:rPr>
            <w:fldChar w:fldCharType="begin"/>
          </w:r>
          <w:r>
            <w:rPr>
              <w:rFonts w:cs="Times New Roman"/>
            </w:rPr>
            <w:instrText xml:space="preserve"> HYPERLINK \l _Toc9211 </w:instrText>
          </w:r>
          <w:r>
            <w:rPr>
              <w:rFonts w:cs="Times New Roman"/>
            </w:rPr>
            <w:fldChar w:fldCharType="separate"/>
          </w:r>
          <w:r>
            <w:rPr>
              <w:rFonts w:hint="eastAsia"/>
            </w:rPr>
            <w:t>3</w:t>
          </w:r>
          <w:r>
            <w:t>.6 Population and Sample</w:t>
          </w:r>
          <w:r>
            <w:tab/>
          </w:r>
          <w:r>
            <w:fldChar w:fldCharType="begin"/>
          </w:r>
          <w:r>
            <w:instrText xml:space="preserve"> PAGEREF _Toc9211 \h </w:instrText>
          </w:r>
          <w:r>
            <w:fldChar w:fldCharType="separate"/>
          </w:r>
          <w:r>
            <w:t>33</w:t>
          </w:r>
          <w:r>
            <w:fldChar w:fldCharType="end"/>
          </w:r>
          <w:r>
            <w:rPr>
              <w:rFonts w:cs="Times New Roman"/>
            </w:rPr>
            <w:fldChar w:fldCharType="end"/>
          </w:r>
        </w:p>
        <w:p w14:paraId="6CBE1809">
          <w:pPr>
            <w:pStyle w:val="12"/>
            <w:tabs>
              <w:tab w:val="right" w:leader="dot" w:pos="8306"/>
            </w:tabs>
          </w:pPr>
          <w:r>
            <w:rPr>
              <w:rFonts w:cs="Times New Roman"/>
            </w:rPr>
            <w:fldChar w:fldCharType="begin"/>
          </w:r>
          <w:r>
            <w:rPr>
              <w:rFonts w:cs="Times New Roman"/>
            </w:rPr>
            <w:instrText xml:space="preserve"> HYPERLINK \l _Toc3570 </w:instrText>
          </w:r>
          <w:r>
            <w:rPr>
              <w:rFonts w:cs="Times New Roman"/>
            </w:rPr>
            <w:fldChar w:fldCharType="separate"/>
          </w:r>
          <w:r>
            <w:rPr>
              <w:rFonts w:hint="eastAsia"/>
            </w:rPr>
            <w:t>3</w:t>
          </w:r>
          <w:r>
            <w:t xml:space="preserve">.7 Data and </w:t>
          </w:r>
          <w:r>
            <w:rPr>
              <w:rFonts w:hint="eastAsia"/>
            </w:rPr>
            <w:t>analysis</w:t>
          </w:r>
          <w:r>
            <w:tab/>
          </w:r>
          <w:r>
            <w:fldChar w:fldCharType="begin"/>
          </w:r>
          <w:r>
            <w:instrText xml:space="preserve"> PAGEREF _Toc3570 \h </w:instrText>
          </w:r>
          <w:r>
            <w:fldChar w:fldCharType="separate"/>
          </w:r>
          <w:r>
            <w:t>35</w:t>
          </w:r>
          <w:r>
            <w:fldChar w:fldCharType="end"/>
          </w:r>
          <w:r>
            <w:rPr>
              <w:rFonts w:cs="Times New Roman"/>
            </w:rPr>
            <w:fldChar w:fldCharType="end"/>
          </w:r>
        </w:p>
        <w:p w14:paraId="6FBC3F2E">
          <w:pPr>
            <w:pStyle w:val="12"/>
            <w:tabs>
              <w:tab w:val="right" w:leader="dot" w:pos="8306"/>
            </w:tabs>
          </w:pPr>
          <w:r>
            <w:rPr>
              <w:rFonts w:cs="Times New Roman"/>
            </w:rPr>
            <w:fldChar w:fldCharType="begin"/>
          </w:r>
          <w:r>
            <w:rPr>
              <w:rFonts w:cs="Times New Roman"/>
            </w:rPr>
            <w:instrText xml:space="preserve"> HYPERLINK \l _Toc20591 </w:instrText>
          </w:r>
          <w:r>
            <w:rPr>
              <w:rFonts w:cs="Times New Roman"/>
            </w:rPr>
            <w:fldChar w:fldCharType="separate"/>
          </w:r>
          <w:r>
            <w:rPr>
              <w:rFonts w:hint="eastAsia"/>
            </w:rPr>
            <w:t>3</w:t>
          </w:r>
          <w:r>
            <w:t>.8 Reliability and Viability</w:t>
          </w:r>
          <w:r>
            <w:tab/>
          </w:r>
          <w:r>
            <w:fldChar w:fldCharType="begin"/>
          </w:r>
          <w:r>
            <w:instrText xml:space="preserve"> PAGEREF _Toc20591 \h </w:instrText>
          </w:r>
          <w:r>
            <w:fldChar w:fldCharType="separate"/>
          </w:r>
          <w:r>
            <w:t>36</w:t>
          </w:r>
          <w:r>
            <w:fldChar w:fldCharType="end"/>
          </w:r>
          <w:r>
            <w:rPr>
              <w:rFonts w:cs="Times New Roman"/>
            </w:rPr>
            <w:fldChar w:fldCharType="end"/>
          </w:r>
        </w:p>
        <w:p w14:paraId="1DE0B9B3">
          <w:pPr>
            <w:pStyle w:val="7"/>
            <w:tabs>
              <w:tab w:val="right" w:leader="dot" w:pos="8306"/>
            </w:tabs>
          </w:pPr>
          <w:r>
            <w:rPr>
              <w:rFonts w:cs="Times New Roman"/>
            </w:rPr>
            <w:fldChar w:fldCharType="begin"/>
          </w:r>
          <w:r>
            <w:rPr>
              <w:rFonts w:cs="Times New Roman"/>
            </w:rPr>
            <w:instrText xml:space="preserve"> HYPERLINK \l _Toc20098 </w:instrText>
          </w:r>
          <w:r>
            <w:rPr>
              <w:rFonts w:cs="Times New Roman"/>
            </w:rPr>
            <w:fldChar w:fldCharType="separate"/>
          </w:r>
          <w:r>
            <w:rPr>
              <w:rFonts w:hint="eastAsia" w:cs="Times New Roman"/>
            </w:rPr>
            <w:t>3</w:t>
          </w:r>
          <w:r>
            <w:rPr>
              <w:rFonts w:cs="Times New Roman"/>
            </w:rPr>
            <w:t>.8.1 Limitations of the Research</w:t>
          </w:r>
          <w:r>
            <w:tab/>
          </w:r>
          <w:r>
            <w:fldChar w:fldCharType="begin"/>
          </w:r>
          <w:r>
            <w:instrText xml:space="preserve"> PAGEREF _Toc20098 \h </w:instrText>
          </w:r>
          <w:r>
            <w:fldChar w:fldCharType="separate"/>
          </w:r>
          <w:r>
            <w:t>37</w:t>
          </w:r>
          <w:r>
            <w:fldChar w:fldCharType="end"/>
          </w:r>
          <w:r>
            <w:rPr>
              <w:rFonts w:cs="Times New Roman"/>
            </w:rPr>
            <w:fldChar w:fldCharType="end"/>
          </w:r>
        </w:p>
        <w:p w14:paraId="252DD0F1">
          <w:pPr>
            <w:pStyle w:val="12"/>
            <w:tabs>
              <w:tab w:val="right" w:leader="dot" w:pos="8306"/>
            </w:tabs>
          </w:pPr>
          <w:r>
            <w:rPr>
              <w:rFonts w:cs="Times New Roman"/>
            </w:rPr>
            <w:fldChar w:fldCharType="begin"/>
          </w:r>
          <w:r>
            <w:rPr>
              <w:rFonts w:cs="Times New Roman"/>
            </w:rPr>
            <w:instrText xml:space="preserve"> HYPERLINK \l _Toc28570 </w:instrText>
          </w:r>
          <w:r>
            <w:rPr>
              <w:rFonts w:cs="Times New Roman"/>
            </w:rPr>
            <w:fldChar w:fldCharType="separate"/>
          </w:r>
          <w:r>
            <w:rPr>
              <w:rFonts w:hint="eastAsia"/>
            </w:rPr>
            <w:t>3</w:t>
          </w:r>
          <w:r>
            <w:t>.9 Research Ethics</w:t>
          </w:r>
          <w:r>
            <w:tab/>
          </w:r>
          <w:r>
            <w:fldChar w:fldCharType="begin"/>
          </w:r>
          <w:r>
            <w:instrText xml:space="preserve"> PAGEREF _Toc28570 \h </w:instrText>
          </w:r>
          <w:r>
            <w:fldChar w:fldCharType="separate"/>
          </w:r>
          <w:r>
            <w:t>38</w:t>
          </w:r>
          <w:r>
            <w:fldChar w:fldCharType="end"/>
          </w:r>
          <w:r>
            <w:rPr>
              <w:rFonts w:cs="Times New Roman"/>
            </w:rPr>
            <w:fldChar w:fldCharType="end"/>
          </w:r>
        </w:p>
        <w:p w14:paraId="37C177E4">
          <w:pPr>
            <w:pStyle w:val="10"/>
            <w:tabs>
              <w:tab w:val="right" w:leader="dot" w:pos="8306"/>
            </w:tabs>
          </w:pPr>
          <w:r>
            <w:rPr>
              <w:rFonts w:cs="Times New Roman"/>
            </w:rPr>
            <w:fldChar w:fldCharType="begin"/>
          </w:r>
          <w:r>
            <w:rPr>
              <w:rFonts w:cs="Times New Roman"/>
            </w:rPr>
            <w:instrText xml:space="preserve"> HYPERLINK \l _Toc13966 </w:instrText>
          </w:r>
          <w:r>
            <w:rPr>
              <w:rFonts w:cs="Times New Roman"/>
            </w:rPr>
            <w:fldChar w:fldCharType="separate"/>
          </w:r>
          <w:r>
            <w:rPr>
              <w:rFonts w:hint="eastAsia" w:cs="Times New Roman"/>
            </w:rPr>
            <w:t>Chapter 4</w:t>
          </w:r>
          <w:r>
            <w:rPr>
              <w:rFonts w:cs="Times New Roman"/>
            </w:rPr>
            <w:t>.</w:t>
          </w:r>
          <w:r>
            <w:rPr>
              <w:rFonts w:hint="eastAsia" w:cs="Times New Roman"/>
            </w:rPr>
            <w:t xml:space="preserve"> Findings</w:t>
          </w:r>
          <w:r>
            <w:tab/>
          </w:r>
          <w:r>
            <w:fldChar w:fldCharType="begin"/>
          </w:r>
          <w:r>
            <w:instrText xml:space="preserve"> PAGEREF _Toc13966 \h </w:instrText>
          </w:r>
          <w:r>
            <w:fldChar w:fldCharType="separate"/>
          </w:r>
          <w:r>
            <w:t>40</w:t>
          </w:r>
          <w:r>
            <w:fldChar w:fldCharType="end"/>
          </w:r>
          <w:r>
            <w:rPr>
              <w:rFonts w:cs="Times New Roman"/>
            </w:rPr>
            <w:fldChar w:fldCharType="end"/>
          </w:r>
        </w:p>
        <w:p w14:paraId="4D5E0EF5">
          <w:pPr>
            <w:pStyle w:val="12"/>
            <w:tabs>
              <w:tab w:val="right" w:leader="dot" w:pos="8306"/>
            </w:tabs>
          </w:pPr>
          <w:r>
            <w:rPr>
              <w:rFonts w:cs="Times New Roman"/>
            </w:rPr>
            <w:fldChar w:fldCharType="begin"/>
          </w:r>
          <w:r>
            <w:rPr>
              <w:rFonts w:cs="Times New Roman"/>
            </w:rPr>
            <w:instrText xml:space="preserve"> HYPERLINK \l _Toc11884 </w:instrText>
          </w:r>
          <w:r>
            <w:rPr>
              <w:rFonts w:cs="Times New Roman"/>
            </w:rPr>
            <w:fldChar w:fldCharType="separate"/>
          </w:r>
          <w:r>
            <w:t>4.1 Presentation and Interpretation of the Data</w:t>
          </w:r>
          <w:r>
            <w:tab/>
          </w:r>
          <w:r>
            <w:fldChar w:fldCharType="begin"/>
          </w:r>
          <w:r>
            <w:instrText xml:space="preserve"> PAGEREF _Toc11884 \h </w:instrText>
          </w:r>
          <w:r>
            <w:fldChar w:fldCharType="separate"/>
          </w:r>
          <w:r>
            <w:t>40</w:t>
          </w:r>
          <w:r>
            <w:fldChar w:fldCharType="end"/>
          </w:r>
          <w:r>
            <w:rPr>
              <w:rFonts w:cs="Times New Roman"/>
            </w:rPr>
            <w:fldChar w:fldCharType="end"/>
          </w:r>
        </w:p>
        <w:p w14:paraId="4B8B73B6">
          <w:pPr>
            <w:pStyle w:val="7"/>
            <w:tabs>
              <w:tab w:val="right" w:leader="dot" w:pos="8306"/>
            </w:tabs>
          </w:pPr>
          <w:r>
            <w:rPr>
              <w:rFonts w:cs="Times New Roman"/>
            </w:rPr>
            <w:fldChar w:fldCharType="begin"/>
          </w:r>
          <w:r>
            <w:rPr>
              <w:rFonts w:cs="Times New Roman"/>
            </w:rPr>
            <w:instrText xml:space="preserve"> HYPERLINK \l _Toc15953 </w:instrText>
          </w:r>
          <w:r>
            <w:rPr>
              <w:rFonts w:cs="Times New Roman"/>
            </w:rPr>
            <w:fldChar w:fldCharType="separate"/>
          </w:r>
          <w:r>
            <w:rPr>
              <w:rFonts w:hint="eastAsia"/>
            </w:rPr>
            <w:t>4</w:t>
          </w:r>
          <w:r>
            <w:t>.1</w:t>
          </w:r>
          <w:r>
            <w:rPr>
              <w:rFonts w:hint="eastAsia"/>
              <w:lang w:val="en-US" w:eastAsia="zh-CN"/>
            </w:rPr>
            <w:t>.1</w:t>
          </w:r>
          <w:r>
            <w:rPr>
              <w:rFonts w:hint="eastAsia"/>
            </w:rPr>
            <w:t xml:space="preserve"> </w:t>
          </w:r>
          <w:r>
            <w:t>Introduction</w:t>
          </w:r>
          <w:r>
            <w:tab/>
          </w:r>
          <w:r>
            <w:fldChar w:fldCharType="begin"/>
          </w:r>
          <w:r>
            <w:instrText xml:space="preserve"> PAGEREF _Toc15953 \h </w:instrText>
          </w:r>
          <w:r>
            <w:fldChar w:fldCharType="separate"/>
          </w:r>
          <w:r>
            <w:t>40</w:t>
          </w:r>
          <w:r>
            <w:fldChar w:fldCharType="end"/>
          </w:r>
          <w:r>
            <w:rPr>
              <w:rFonts w:cs="Times New Roman"/>
            </w:rPr>
            <w:fldChar w:fldCharType="end"/>
          </w:r>
        </w:p>
        <w:p w14:paraId="4BF2355E">
          <w:pPr>
            <w:pStyle w:val="7"/>
            <w:tabs>
              <w:tab w:val="right" w:leader="dot" w:pos="8306"/>
            </w:tabs>
          </w:pPr>
          <w:r>
            <w:rPr>
              <w:rFonts w:cs="Times New Roman"/>
            </w:rPr>
            <w:fldChar w:fldCharType="begin"/>
          </w:r>
          <w:r>
            <w:rPr>
              <w:rFonts w:cs="Times New Roman"/>
            </w:rPr>
            <w:instrText xml:space="preserve"> HYPERLINK \l _Toc20251 </w:instrText>
          </w:r>
          <w:r>
            <w:rPr>
              <w:rFonts w:cs="Times New Roman"/>
            </w:rPr>
            <w:fldChar w:fldCharType="separate"/>
          </w:r>
          <w:r>
            <w:rPr>
              <w:rFonts w:hint="eastAsia"/>
            </w:rPr>
            <w:t>4</w:t>
          </w:r>
          <w:r>
            <w:t>.</w:t>
          </w:r>
          <w:r>
            <w:rPr>
              <w:rFonts w:hint="eastAsia"/>
              <w:lang w:val="en-US" w:eastAsia="zh-CN"/>
            </w:rPr>
            <w:t>1.</w:t>
          </w:r>
          <w:r>
            <w:rPr>
              <w:rFonts w:hint="eastAsia"/>
            </w:rPr>
            <w:t xml:space="preserve">2 </w:t>
          </w:r>
          <w:r>
            <w:rPr>
              <w:rFonts w:cs="Times New Roman"/>
            </w:rPr>
            <w:t>Questionnaires</w:t>
          </w:r>
          <w:r>
            <w:tab/>
          </w:r>
          <w:r>
            <w:fldChar w:fldCharType="begin"/>
          </w:r>
          <w:r>
            <w:instrText xml:space="preserve"> PAGEREF _Toc20251 \h </w:instrText>
          </w:r>
          <w:r>
            <w:fldChar w:fldCharType="separate"/>
          </w:r>
          <w:r>
            <w:t>41</w:t>
          </w:r>
          <w:r>
            <w:fldChar w:fldCharType="end"/>
          </w:r>
          <w:r>
            <w:rPr>
              <w:rFonts w:cs="Times New Roman"/>
            </w:rPr>
            <w:fldChar w:fldCharType="end"/>
          </w:r>
        </w:p>
        <w:p w14:paraId="5B13C320">
          <w:pPr>
            <w:pStyle w:val="7"/>
            <w:tabs>
              <w:tab w:val="right" w:leader="dot" w:pos="8306"/>
            </w:tabs>
          </w:pPr>
          <w:r>
            <w:rPr>
              <w:rFonts w:cs="Times New Roman"/>
            </w:rPr>
            <w:fldChar w:fldCharType="begin"/>
          </w:r>
          <w:r>
            <w:rPr>
              <w:rFonts w:cs="Times New Roman"/>
            </w:rPr>
            <w:instrText xml:space="preserve"> HYPERLINK \l _Toc9856 </w:instrText>
          </w:r>
          <w:r>
            <w:rPr>
              <w:rFonts w:cs="Times New Roman"/>
            </w:rPr>
            <w:fldChar w:fldCharType="separate"/>
          </w:r>
          <w:r>
            <w:rPr>
              <w:rFonts w:hint="eastAsia" w:cs="Times New Roman"/>
            </w:rPr>
            <w:t>4</w:t>
          </w:r>
          <w:r>
            <w:rPr>
              <w:rFonts w:cs="Times New Roman"/>
            </w:rPr>
            <w:t>.</w:t>
          </w:r>
          <w:r>
            <w:rPr>
              <w:rFonts w:hint="eastAsia" w:cs="Times New Roman"/>
              <w:lang w:val="en-US" w:eastAsia="zh-CN"/>
            </w:rPr>
            <w:t>1</w:t>
          </w:r>
          <w:r>
            <w:rPr>
              <w:rFonts w:cs="Times New Roman"/>
            </w:rPr>
            <w:t>.</w:t>
          </w:r>
          <w:r>
            <w:rPr>
              <w:rFonts w:hint="eastAsia" w:cs="Times New Roman"/>
              <w:lang w:val="en-US" w:eastAsia="zh-CN"/>
            </w:rPr>
            <w:t>3</w:t>
          </w:r>
          <w:r>
            <w:rPr>
              <w:rFonts w:cs="Times New Roman"/>
            </w:rPr>
            <w:t xml:space="preserve"> Consumer questionnaire feedback</w:t>
          </w:r>
          <w:r>
            <w:tab/>
          </w:r>
          <w:r>
            <w:fldChar w:fldCharType="begin"/>
          </w:r>
          <w:r>
            <w:instrText xml:space="preserve"> PAGEREF _Toc9856 \h </w:instrText>
          </w:r>
          <w:r>
            <w:fldChar w:fldCharType="separate"/>
          </w:r>
          <w:r>
            <w:t>41</w:t>
          </w:r>
          <w:r>
            <w:fldChar w:fldCharType="end"/>
          </w:r>
          <w:r>
            <w:rPr>
              <w:rFonts w:cs="Times New Roman"/>
            </w:rPr>
            <w:fldChar w:fldCharType="end"/>
          </w:r>
        </w:p>
        <w:p w14:paraId="586D3719">
          <w:pPr>
            <w:pStyle w:val="12"/>
            <w:tabs>
              <w:tab w:val="right" w:leader="dot" w:pos="8306"/>
            </w:tabs>
          </w:pPr>
          <w:r>
            <w:rPr>
              <w:rFonts w:cs="Times New Roman"/>
            </w:rPr>
            <w:fldChar w:fldCharType="begin"/>
          </w:r>
          <w:r>
            <w:rPr>
              <w:rFonts w:cs="Times New Roman"/>
            </w:rPr>
            <w:instrText xml:space="preserve"> HYPERLINK \l _Toc24946 </w:instrText>
          </w:r>
          <w:r>
            <w:rPr>
              <w:rFonts w:cs="Times New Roman"/>
            </w:rPr>
            <w:fldChar w:fldCharType="separate"/>
          </w:r>
          <w:r>
            <w:rPr>
              <w:rFonts w:hint="eastAsia"/>
            </w:rPr>
            <w:t>4.</w:t>
          </w:r>
          <w:r>
            <w:rPr>
              <w:rFonts w:hint="eastAsia"/>
              <w:lang w:val="en-US" w:eastAsia="zh-CN"/>
            </w:rPr>
            <w:t xml:space="preserve">2 </w:t>
          </w:r>
          <w:r>
            <w:rPr>
              <w:rFonts w:hint="eastAsia"/>
            </w:rPr>
            <w:t>Financial report Analysis</w:t>
          </w:r>
          <w:r>
            <w:tab/>
          </w:r>
          <w:r>
            <w:fldChar w:fldCharType="begin"/>
          </w:r>
          <w:r>
            <w:instrText xml:space="preserve"> PAGEREF _Toc24946 \h </w:instrText>
          </w:r>
          <w:r>
            <w:fldChar w:fldCharType="separate"/>
          </w:r>
          <w:r>
            <w:t>47</w:t>
          </w:r>
          <w:r>
            <w:fldChar w:fldCharType="end"/>
          </w:r>
          <w:r>
            <w:rPr>
              <w:rFonts w:cs="Times New Roman"/>
            </w:rPr>
            <w:fldChar w:fldCharType="end"/>
          </w:r>
        </w:p>
        <w:p w14:paraId="2489EEA5">
          <w:pPr>
            <w:pStyle w:val="7"/>
            <w:tabs>
              <w:tab w:val="right" w:leader="dot" w:pos="8306"/>
            </w:tabs>
          </w:pPr>
          <w:r>
            <w:rPr>
              <w:rFonts w:cs="Times New Roman"/>
            </w:rPr>
            <w:fldChar w:fldCharType="begin"/>
          </w:r>
          <w:r>
            <w:rPr>
              <w:rFonts w:cs="Times New Roman"/>
            </w:rPr>
            <w:instrText xml:space="preserve"> HYPERLINK \l _Toc4584 </w:instrText>
          </w:r>
          <w:r>
            <w:rPr>
              <w:rFonts w:cs="Times New Roman"/>
            </w:rPr>
            <w:fldChar w:fldCharType="separate"/>
          </w:r>
          <w:r>
            <w:rPr>
              <w:rFonts w:hint="eastAsia" w:cs="Times New Roman"/>
            </w:rPr>
            <w:t>4</w:t>
          </w:r>
          <w:r>
            <w:rPr>
              <w:rFonts w:cs="Times New Roman"/>
            </w:rPr>
            <w:t>.</w:t>
          </w:r>
          <w:r>
            <w:rPr>
              <w:rFonts w:hint="eastAsia" w:cs="Times New Roman"/>
              <w:lang w:val="en-US" w:eastAsia="zh-CN"/>
            </w:rPr>
            <w:t>2</w:t>
          </w:r>
          <w:r>
            <w:rPr>
              <w:rFonts w:cs="Times New Roman"/>
            </w:rPr>
            <w:t>.</w:t>
          </w:r>
          <w:r>
            <w:rPr>
              <w:rFonts w:hint="eastAsia" w:cs="Times New Roman"/>
            </w:rPr>
            <w:t>1</w:t>
          </w:r>
          <w:r>
            <w:rPr>
              <w:rFonts w:cs="Times New Roman"/>
            </w:rPr>
            <w:t xml:space="preserve"> Comparative Analysis of BYD and Ford's Financial Reports</w:t>
          </w:r>
          <w:r>
            <w:tab/>
          </w:r>
          <w:r>
            <w:fldChar w:fldCharType="begin"/>
          </w:r>
          <w:r>
            <w:instrText xml:space="preserve"> PAGEREF _Toc4584 \h </w:instrText>
          </w:r>
          <w:r>
            <w:fldChar w:fldCharType="separate"/>
          </w:r>
          <w:r>
            <w:t>48</w:t>
          </w:r>
          <w:r>
            <w:fldChar w:fldCharType="end"/>
          </w:r>
          <w:r>
            <w:rPr>
              <w:rFonts w:cs="Times New Roman"/>
            </w:rPr>
            <w:fldChar w:fldCharType="end"/>
          </w:r>
        </w:p>
        <w:p w14:paraId="39C1CC0D">
          <w:pPr>
            <w:pStyle w:val="12"/>
            <w:tabs>
              <w:tab w:val="right" w:leader="dot" w:pos="8306"/>
            </w:tabs>
          </w:pPr>
          <w:r>
            <w:rPr>
              <w:rFonts w:cs="Times New Roman"/>
            </w:rPr>
            <w:fldChar w:fldCharType="begin"/>
          </w:r>
          <w:r>
            <w:rPr>
              <w:rFonts w:cs="Times New Roman"/>
            </w:rPr>
            <w:instrText xml:space="preserve"> HYPERLINK \l _Toc11924 </w:instrText>
          </w:r>
          <w:r>
            <w:rPr>
              <w:rFonts w:cs="Times New Roman"/>
            </w:rPr>
            <w:fldChar w:fldCharType="separate"/>
          </w:r>
          <w:r>
            <w:rPr>
              <w:rFonts w:hint="eastAsia"/>
              <w:lang w:val="en-US" w:eastAsia="zh-CN"/>
            </w:rPr>
            <w:t>4.3 Conclusion</w:t>
          </w:r>
          <w:r>
            <w:tab/>
          </w:r>
          <w:r>
            <w:fldChar w:fldCharType="begin"/>
          </w:r>
          <w:r>
            <w:instrText xml:space="preserve"> PAGEREF _Toc11924 \h </w:instrText>
          </w:r>
          <w:r>
            <w:fldChar w:fldCharType="separate"/>
          </w:r>
          <w:r>
            <w:t>53</w:t>
          </w:r>
          <w:r>
            <w:fldChar w:fldCharType="end"/>
          </w:r>
          <w:r>
            <w:rPr>
              <w:rFonts w:cs="Times New Roman"/>
            </w:rPr>
            <w:fldChar w:fldCharType="end"/>
          </w:r>
        </w:p>
        <w:p w14:paraId="122F9CCF">
          <w:pPr>
            <w:pStyle w:val="10"/>
            <w:tabs>
              <w:tab w:val="right" w:leader="dot" w:pos="8306"/>
            </w:tabs>
          </w:pPr>
          <w:r>
            <w:rPr>
              <w:rFonts w:cs="Times New Roman"/>
            </w:rPr>
            <w:fldChar w:fldCharType="begin"/>
          </w:r>
          <w:r>
            <w:rPr>
              <w:rFonts w:cs="Times New Roman"/>
            </w:rPr>
            <w:instrText xml:space="preserve"> HYPERLINK \l _Toc6298 </w:instrText>
          </w:r>
          <w:r>
            <w:rPr>
              <w:rFonts w:cs="Times New Roman"/>
            </w:rPr>
            <w:fldChar w:fldCharType="separate"/>
          </w:r>
          <w:r>
            <w:rPr>
              <w:rFonts w:hint="eastAsia"/>
            </w:rPr>
            <w:t>Chapter 5.</w:t>
          </w:r>
          <w:r>
            <w:t xml:space="preserve"> Conclusion</w:t>
          </w:r>
          <w:r>
            <w:tab/>
          </w:r>
          <w:r>
            <w:fldChar w:fldCharType="begin"/>
          </w:r>
          <w:r>
            <w:instrText xml:space="preserve"> PAGEREF _Toc6298 \h </w:instrText>
          </w:r>
          <w:r>
            <w:fldChar w:fldCharType="separate"/>
          </w:r>
          <w:r>
            <w:t>55</w:t>
          </w:r>
          <w:r>
            <w:fldChar w:fldCharType="end"/>
          </w:r>
          <w:r>
            <w:rPr>
              <w:rFonts w:cs="Times New Roman"/>
            </w:rPr>
            <w:fldChar w:fldCharType="end"/>
          </w:r>
        </w:p>
        <w:p w14:paraId="0A80941C">
          <w:pPr>
            <w:pStyle w:val="10"/>
            <w:tabs>
              <w:tab w:val="right" w:leader="dot" w:pos="8306"/>
            </w:tabs>
          </w:pPr>
          <w:r>
            <w:rPr>
              <w:rFonts w:cs="Times New Roman"/>
            </w:rPr>
            <w:fldChar w:fldCharType="begin"/>
          </w:r>
          <w:r>
            <w:rPr>
              <w:rFonts w:cs="Times New Roman"/>
            </w:rPr>
            <w:instrText xml:space="preserve"> HYPERLINK \l _Toc31707 </w:instrText>
          </w:r>
          <w:r>
            <w:rPr>
              <w:rFonts w:cs="Times New Roman"/>
            </w:rPr>
            <w:fldChar w:fldCharType="separate"/>
          </w:r>
          <w:r>
            <w:rPr>
              <w:rFonts w:hint="eastAsia" w:cs="Times New Roman"/>
            </w:rPr>
            <w:t>Chapter 6</w:t>
          </w:r>
          <w:r>
            <w:rPr>
              <w:rFonts w:cs="Times New Roman"/>
            </w:rPr>
            <w:t>.</w:t>
          </w:r>
          <w:r>
            <w:rPr>
              <w:rFonts w:hint="eastAsia" w:cs="Times New Roman"/>
            </w:rPr>
            <w:t xml:space="preserve"> </w:t>
          </w:r>
          <w:r>
            <w:rPr>
              <w:rFonts w:cs="Times New Roman"/>
            </w:rPr>
            <w:t>Reference</w:t>
          </w:r>
          <w:r>
            <w:tab/>
          </w:r>
          <w:r>
            <w:fldChar w:fldCharType="begin"/>
          </w:r>
          <w:r>
            <w:instrText xml:space="preserve"> PAGEREF _Toc31707 \h </w:instrText>
          </w:r>
          <w:r>
            <w:fldChar w:fldCharType="separate"/>
          </w:r>
          <w:r>
            <w:t>58</w:t>
          </w:r>
          <w:r>
            <w:fldChar w:fldCharType="end"/>
          </w:r>
          <w:r>
            <w:rPr>
              <w:rFonts w:cs="Times New Roman"/>
            </w:rPr>
            <w:fldChar w:fldCharType="end"/>
          </w:r>
        </w:p>
        <w:p w14:paraId="0D6E209A">
          <w:pPr>
            <w:pStyle w:val="10"/>
            <w:tabs>
              <w:tab w:val="right" w:leader="dot" w:pos="8306"/>
            </w:tabs>
          </w:pPr>
          <w:r>
            <w:rPr>
              <w:rFonts w:cs="Times New Roman"/>
            </w:rPr>
            <w:fldChar w:fldCharType="begin"/>
          </w:r>
          <w:r>
            <w:rPr>
              <w:rFonts w:cs="Times New Roman"/>
            </w:rPr>
            <w:instrText xml:space="preserve"> HYPERLINK \l _Toc2510 </w:instrText>
          </w:r>
          <w:r>
            <w:rPr>
              <w:rFonts w:cs="Times New Roman"/>
            </w:rPr>
            <w:fldChar w:fldCharType="separate"/>
          </w:r>
          <w:r>
            <w:rPr>
              <w:rFonts w:hint="eastAsia" w:cs="Times New Roman"/>
            </w:rPr>
            <w:t>Chapter 7</w:t>
          </w:r>
          <w:r>
            <w:rPr>
              <w:rFonts w:cs="Times New Roman"/>
            </w:rPr>
            <w:t>.</w:t>
          </w:r>
          <w:r>
            <w:rPr>
              <w:rFonts w:hint="eastAsia" w:cs="Times New Roman"/>
            </w:rPr>
            <w:t xml:space="preserve"> </w:t>
          </w:r>
          <w:r>
            <w:rPr>
              <w:rFonts w:cs="Times New Roman"/>
            </w:rPr>
            <w:t>Appendix</w:t>
          </w:r>
          <w:r>
            <w:tab/>
          </w:r>
          <w:r>
            <w:fldChar w:fldCharType="begin"/>
          </w:r>
          <w:r>
            <w:instrText xml:space="preserve"> PAGEREF _Toc2510 \h </w:instrText>
          </w:r>
          <w:r>
            <w:fldChar w:fldCharType="separate"/>
          </w:r>
          <w:r>
            <w:t>83</w:t>
          </w:r>
          <w:r>
            <w:fldChar w:fldCharType="end"/>
          </w:r>
          <w:r>
            <w:rPr>
              <w:rFonts w:cs="Times New Roman"/>
            </w:rPr>
            <w:fldChar w:fldCharType="end"/>
          </w:r>
        </w:p>
        <w:p w14:paraId="6AF3F7B5">
          <w:pPr>
            <w:pStyle w:val="10"/>
            <w:tabs>
              <w:tab w:val="right" w:leader="dot" w:pos="8306"/>
            </w:tabs>
          </w:pPr>
          <w:r>
            <w:rPr>
              <w:rFonts w:cs="Times New Roman"/>
            </w:rPr>
            <w:fldChar w:fldCharType="begin"/>
          </w:r>
          <w:r>
            <w:rPr>
              <w:rFonts w:cs="Times New Roman"/>
            </w:rPr>
            <w:instrText xml:space="preserve"> HYPERLINK \l _Toc9665 </w:instrText>
          </w:r>
          <w:r>
            <w:rPr>
              <w:rFonts w:cs="Times New Roman"/>
            </w:rPr>
            <w:fldChar w:fldCharType="separate"/>
          </w:r>
          <w:r>
            <w:rPr>
              <w:rFonts w:cs="Times New Roman"/>
            </w:rPr>
            <w:t>2.What type of car is it?</w:t>
          </w:r>
          <w:r>
            <w:tab/>
          </w:r>
          <w:r>
            <w:fldChar w:fldCharType="begin"/>
          </w:r>
          <w:r>
            <w:instrText xml:space="preserve"> PAGEREF _Toc9665 \h </w:instrText>
          </w:r>
          <w:r>
            <w:fldChar w:fldCharType="separate"/>
          </w:r>
          <w:r>
            <w:t>85</w:t>
          </w:r>
          <w:r>
            <w:fldChar w:fldCharType="end"/>
          </w:r>
          <w:r>
            <w:rPr>
              <w:rFonts w:cs="Times New Roman"/>
            </w:rPr>
            <w:fldChar w:fldCharType="end"/>
          </w:r>
        </w:p>
        <w:p w14:paraId="4D1DDC81">
          <w:pPr>
            <w:pStyle w:val="12"/>
            <w:tabs>
              <w:tab w:val="right" w:leader="dot" w:pos="8306"/>
            </w:tabs>
          </w:pPr>
          <w:r>
            <w:rPr>
              <w:rFonts w:cs="Times New Roman"/>
            </w:rPr>
            <w:fldChar w:fldCharType="begin"/>
          </w:r>
          <w:r>
            <w:rPr>
              <w:rFonts w:cs="Times New Roman"/>
            </w:rPr>
            <w:instrText xml:space="preserve"> HYPERLINK \l _Toc31154 </w:instrText>
          </w:r>
          <w:r>
            <w:rPr>
              <w:rFonts w:cs="Times New Roman"/>
            </w:rPr>
            <w:fldChar w:fldCharType="separate"/>
          </w:r>
          <w:r>
            <w:rPr>
              <w:rFonts w:cs="Times New Roman"/>
            </w:rPr>
            <w:t>1-2 years</w:t>
          </w:r>
          <w:r>
            <w:tab/>
          </w:r>
          <w:r>
            <w:fldChar w:fldCharType="begin"/>
          </w:r>
          <w:r>
            <w:instrText xml:space="preserve"> PAGEREF _Toc31154 \h </w:instrText>
          </w:r>
          <w:r>
            <w:fldChar w:fldCharType="separate"/>
          </w:r>
          <w:r>
            <w:t>86</w:t>
          </w:r>
          <w:r>
            <w:fldChar w:fldCharType="end"/>
          </w:r>
          <w:r>
            <w:rPr>
              <w:rFonts w:cs="Times New Roman"/>
            </w:rPr>
            <w:fldChar w:fldCharType="end"/>
          </w:r>
        </w:p>
        <w:p w14:paraId="4DD0D044">
          <w:pPr>
            <w:pStyle w:val="10"/>
            <w:tabs>
              <w:tab w:val="right" w:leader="dot" w:pos="8306"/>
            </w:tabs>
          </w:pPr>
          <w:r>
            <w:rPr>
              <w:rFonts w:cs="Times New Roman"/>
            </w:rPr>
            <w:fldChar w:fldCharType="begin"/>
          </w:r>
          <w:r>
            <w:rPr>
              <w:rFonts w:cs="Times New Roman"/>
            </w:rPr>
            <w:instrText xml:space="preserve"> HYPERLINK \l _Toc23282 </w:instrText>
          </w:r>
          <w:r>
            <w:rPr>
              <w:rFonts w:cs="Times New Roman"/>
            </w:rPr>
            <w:fldChar w:fldCharType="separate"/>
          </w:r>
          <w:r>
            <w:rPr>
              <w:rFonts w:cs="Times New Roman"/>
            </w:rPr>
            <w:t>17.Type of car?</w:t>
          </w:r>
          <w:r>
            <w:tab/>
          </w:r>
          <w:r>
            <w:fldChar w:fldCharType="begin"/>
          </w:r>
          <w:r>
            <w:instrText xml:space="preserve"> PAGEREF _Toc23282 \h </w:instrText>
          </w:r>
          <w:r>
            <w:fldChar w:fldCharType="separate"/>
          </w:r>
          <w:r>
            <w:t>88</w:t>
          </w:r>
          <w:r>
            <w:fldChar w:fldCharType="end"/>
          </w:r>
          <w:r>
            <w:rPr>
              <w:rFonts w:cs="Times New Roman"/>
            </w:rPr>
            <w:fldChar w:fldCharType="end"/>
          </w:r>
        </w:p>
        <w:p w14:paraId="6E53B679">
          <w:pPr>
            <w:pStyle w:val="10"/>
            <w:tabs>
              <w:tab w:val="right" w:leader="dot" w:pos="8306"/>
            </w:tabs>
          </w:pPr>
          <w:r>
            <w:rPr>
              <w:rFonts w:cs="Times New Roman"/>
            </w:rPr>
            <w:fldChar w:fldCharType="begin"/>
          </w:r>
          <w:r>
            <w:rPr>
              <w:rFonts w:cs="Times New Roman"/>
            </w:rPr>
            <w:instrText xml:space="preserve"> HYPERLINK \l _Toc25263 </w:instrText>
          </w:r>
          <w:r>
            <w:rPr>
              <w:rFonts w:cs="Times New Roman"/>
            </w:rPr>
            <w:fldChar w:fldCharType="separate"/>
          </w:r>
          <w:r>
            <w:rPr>
              <w:rFonts w:hint="eastAsia" w:cs="Times New Roman"/>
            </w:rPr>
            <w:t>Chapter 8</w:t>
          </w:r>
          <w:r>
            <w:rPr>
              <w:rFonts w:cs="Times New Roman"/>
            </w:rPr>
            <w:t>.</w:t>
          </w:r>
          <w:r>
            <w:rPr>
              <w:rFonts w:hint="eastAsia" w:cs="Times New Roman"/>
            </w:rPr>
            <w:t xml:space="preserve"> Charts</w:t>
          </w:r>
          <w:r>
            <w:tab/>
          </w:r>
          <w:r>
            <w:fldChar w:fldCharType="begin"/>
          </w:r>
          <w:r>
            <w:instrText xml:space="preserve"> PAGEREF _Toc25263 \h </w:instrText>
          </w:r>
          <w:r>
            <w:fldChar w:fldCharType="separate"/>
          </w:r>
          <w:r>
            <w:t>91</w:t>
          </w:r>
          <w:r>
            <w:fldChar w:fldCharType="end"/>
          </w:r>
          <w:r>
            <w:rPr>
              <w:rFonts w:cs="Times New Roman"/>
            </w:rPr>
            <w:fldChar w:fldCharType="end"/>
          </w:r>
        </w:p>
        <w:p w14:paraId="42F4809C">
          <w:pPr>
            <w:tabs>
              <w:tab w:val="right" w:leader="dot" w:pos="8306"/>
            </w:tabs>
            <w:jc w:val="center"/>
            <w:rPr>
              <w:rFonts w:eastAsia="SimSun" w:cs="Times New Roman"/>
              <w:b/>
              <w:bCs/>
              <w:kern w:val="44"/>
              <w:sz w:val="44"/>
              <w:szCs w:val="44"/>
            </w:rPr>
          </w:pPr>
          <w:r>
            <w:rPr>
              <w:rFonts w:cs="Times New Roman"/>
            </w:rPr>
            <w:fldChar w:fldCharType="end"/>
          </w:r>
        </w:p>
      </w:sdtContent>
    </w:sdt>
    <w:p w14:paraId="4874AEF5"/>
    <w:p w14:paraId="321418F8"/>
    <w:p w14:paraId="66415A71"/>
    <w:p w14:paraId="318C02D8"/>
    <w:p w14:paraId="71DC0247"/>
    <w:p w14:paraId="419B265A"/>
    <w:p w14:paraId="45FBFA6E"/>
    <w:p w14:paraId="50FFE7F4"/>
    <w:p w14:paraId="0F9E93F1"/>
    <w:p w14:paraId="38F6B5DE">
      <w:pPr>
        <w:pStyle w:val="2"/>
        <w:jc w:val="center"/>
      </w:pPr>
      <w:bookmarkStart w:id="20" w:name="_Toc10216"/>
      <w:bookmarkStart w:id="108" w:name="_GoBack"/>
      <w:bookmarkEnd w:id="108"/>
      <w:r>
        <w:rPr>
          <w:rFonts w:hint="eastAsia"/>
        </w:rPr>
        <w:t>Acknowledgements</w:t>
      </w:r>
      <w:bookmarkEnd w:id="20"/>
    </w:p>
    <w:p w14:paraId="6BABCD47">
      <w:r>
        <w:rPr>
          <w:rFonts w:hint="eastAsia"/>
        </w:rPr>
        <w:t>I would like to express my special thanks to my dissertation advisor Marie Pitson for her guidance and education during my dissertation. I would also like to express my special thanks to my parents who provided financial support and my friend Geng Lida who provided spiritual support throughout my postgraduate study. I would also like to thank all the participants in the questionnaire for providing information and time.</w:t>
      </w:r>
    </w:p>
    <w:p w14:paraId="38EF0F82"/>
    <w:p w14:paraId="4632CBA9"/>
    <w:p w14:paraId="25BBFFA4"/>
    <w:p w14:paraId="384B09F9"/>
    <w:p w14:paraId="31CA75AB"/>
    <w:p w14:paraId="3F10DD4A"/>
    <w:p w14:paraId="40987688"/>
    <w:p w14:paraId="33D78D6A"/>
    <w:p w14:paraId="439AFF90"/>
    <w:p w14:paraId="57B84D03"/>
    <w:p w14:paraId="4AD7D8C6"/>
    <w:p w14:paraId="0D515701"/>
    <w:p w14:paraId="418AF4C3"/>
    <w:p w14:paraId="4F2290D9"/>
    <w:p w14:paraId="506CE719"/>
    <w:p w14:paraId="4EF8A232"/>
    <w:p w14:paraId="64D3A7B9"/>
    <w:p w14:paraId="083334B4"/>
    <w:p w14:paraId="05063442"/>
    <w:p w14:paraId="5A0F6952">
      <w:pPr>
        <w:pStyle w:val="2"/>
        <w:rPr>
          <w:rFonts w:eastAsia="SimSun" w:cs="Times New Roman"/>
        </w:rPr>
      </w:pPr>
      <w:bookmarkStart w:id="21" w:name="_Toc13419"/>
      <w:r>
        <w:rPr>
          <w:rFonts w:hint="eastAsia" w:eastAsia="SimSun" w:cs="Times New Roman"/>
        </w:rPr>
        <w:t>Chapter 1</w:t>
      </w:r>
      <w:r>
        <w:rPr>
          <w:rFonts w:eastAsia="SimSun" w:cs="Times New Roman"/>
        </w:rPr>
        <w:t>.</w:t>
      </w:r>
      <w:r>
        <w:rPr>
          <w:rFonts w:hint="eastAsia" w:eastAsia="SimSun" w:cs="Times New Roman"/>
        </w:rPr>
        <w:t xml:space="preserve"> </w:t>
      </w:r>
      <w:r>
        <w:rPr>
          <w:rFonts w:hint="eastAsia"/>
        </w:rPr>
        <w:t>Introduction</w:t>
      </w:r>
      <w:bookmarkEnd w:id="21"/>
    </w:p>
    <w:p w14:paraId="1C48421D">
      <w:pPr>
        <w:rPr>
          <w:rFonts w:cs="Times New Roman"/>
        </w:rPr>
      </w:pPr>
      <w:r>
        <w:rPr>
          <w:rFonts w:cs="Times New Roman"/>
        </w:rPr>
        <w:t>When Karl Benz invented the internal combustion engine car in 1885, the world entered an era of great revolution in the transportation industry</w:t>
      </w:r>
      <w:r>
        <w:rPr>
          <w:rFonts w:hint="eastAsia" w:cs="Times New Roman"/>
        </w:rPr>
        <w:t xml:space="preserve"> (Peña, 2022)</w:t>
      </w:r>
      <w:r>
        <w:rPr>
          <w:rFonts w:cs="Times New Roman"/>
        </w:rPr>
        <w:t xml:space="preserve">. The internal combustion engine </w:t>
      </w:r>
      <w:r>
        <w:rPr>
          <w:rFonts w:hint="eastAsia" w:cs="Times New Roman"/>
        </w:rPr>
        <w:t>reduce the reliance of the</w:t>
      </w:r>
      <w:r>
        <w:rPr>
          <w:rFonts w:cs="Times New Roman"/>
        </w:rPr>
        <w:t xml:space="preserve"> animal power from the short-distance land transportation field in industrial society, and also made steam power no longer the only option for long-distance land transportation in industrial society</w:t>
      </w:r>
      <w:r>
        <w:rPr>
          <w:rFonts w:hint="eastAsia" w:cs="Times New Roman"/>
        </w:rPr>
        <w:t xml:space="preserve"> (Yin, 2023)</w:t>
      </w:r>
      <w:r>
        <w:rPr>
          <w:rFonts w:cs="Times New Roman"/>
        </w:rPr>
        <w:t>. The number of small vehicles driven by internal combustion engines even became an important measure of people's living standards in a society in the second half of the</w:t>
      </w:r>
      <w:r>
        <w:rPr>
          <w:rFonts w:hint="eastAsia" w:cs="Times New Roman"/>
        </w:rPr>
        <w:t xml:space="preserve"> 20</w:t>
      </w:r>
      <w:r>
        <w:rPr>
          <w:rFonts w:hint="eastAsia" w:cs="Times New Roman"/>
          <w:vertAlign w:val="superscript"/>
        </w:rPr>
        <w:t>th</w:t>
      </w:r>
      <w:r>
        <w:rPr>
          <w:rFonts w:cs="Times New Roman"/>
        </w:rPr>
        <w:t xml:space="preserve"> century. It is no exaggeration to say that the history of the 20</w:t>
      </w:r>
      <w:r>
        <w:rPr>
          <w:rFonts w:cs="Times New Roman"/>
          <w:vertAlign w:val="superscript"/>
        </w:rPr>
        <w:t>th</w:t>
      </w:r>
      <w:r>
        <w:rPr>
          <w:rFonts w:cs="Times New Roman"/>
        </w:rPr>
        <w:t xml:space="preserve"> century is full of vehicles driven by internal combustion engines.</w:t>
      </w:r>
      <w:r>
        <w:rPr>
          <w:rFonts w:hint="eastAsia" w:cs="Times New Roman"/>
        </w:rPr>
        <w:t xml:space="preserve"> </w:t>
      </w:r>
      <w:r>
        <w:rPr>
          <w:rFonts w:cs="Times New Roman"/>
        </w:rPr>
        <w:t>However, when time entered the 21</w:t>
      </w:r>
      <w:r>
        <w:rPr>
          <w:rFonts w:cs="Times New Roman"/>
          <w:vertAlign w:val="superscript"/>
        </w:rPr>
        <w:t>st</w:t>
      </w:r>
      <w:r>
        <w:rPr>
          <w:rFonts w:cs="Times New Roman"/>
        </w:rPr>
        <w:t xml:space="preserve"> century, with the advancement of technology and the increasingly severe environmental problems, especially greenhouse gas emissions, the dominant position of internal combustion engine vehicles in the land transportation industry began to be challenged</w:t>
      </w:r>
      <w:r>
        <w:rPr>
          <w:rFonts w:hint="eastAsia" w:cs="Times New Roman"/>
        </w:rPr>
        <w:t xml:space="preserve"> (</w:t>
      </w:r>
      <w:r>
        <w:rPr>
          <w:rFonts w:cs="Times New Roman"/>
        </w:rPr>
        <w:t>Reitz,</w:t>
      </w:r>
      <w:r>
        <w:rPr>
          <w:rFonts w:hint="eastAsia" w:cs="Times New Roman"/>
        </w:rPr>
        <w:t xml:space="preserve"> </w:t>
      </w:r>
      <w:r>
        <w:rPr>
          <w:rFonts w:cs="Times New Roman"/>
        </w:rPr>
        <w:t>2020</w:t>
      </w:r>
      <w:r>
        <w:rPr>
          <w:rFonts w:hint="eastAsia" w:cs="Times New Roman"/>
        </w:rPr>
        <w:t>)</w:t>
      </w:r>
      <w:r>
        <w:rPr>
          <w:rFonts w:cs="Times New Roman"/>
        </w:rPr>
        <w:t>. First, the profit margins of manufacturers of internal combustion engine vehicles are becoming increasingly thin and even often negative</w:t>
      </w:r>
      <w:r>
        <w:rPr>
          <w:rFonts w:hint="eastAsia" w:cs="Times New Roman"/>
        </w:rPr>
        <w:t xml:space="preserve"> </w:t>
      </w:r>
      <w:r>
        <w:rPr>
          <w:rFonts w:cs="Times New Roman"/>
        </w:rPr>
        <w:t>(United States Securities And Exchange Commission, 2023). Secondly, with the consumption of oil resources, the energy crisis has become more and more the sword of Damocles hanging over the heads of human society</w:t>
      </w:r>
      <w:r>
        <w:rPr>
          <w:rFonts w:hint="eastAsia" w:cs="Times New Roman"/>
        </w:rPr>
        <w:t xml:space="preserve"> (Xu, 2023)</w:t>
      </w:r>
      <w:r>
        <w:rPr>
          <w:rFonts w:cs="Times New Roman"/>
        </w:rPr>
        <w:t xml:space="preserve">. At the same time, consumers' demand for sustainable transportation solutions is also growing. All this requires the automotive industry to respond. </w:t>
      </w:r>
      <w:r>
        <w:rPr>
          <w:rFonts w:hint="eastAsia" w:cs="Times New Roman"/>
        </w:rPr>
        <w:t>In addition to that</w:t>
      </w:r>
      <w:r>
        <w:rPr>
          <w:rFonts w:cs="Times New Roman"/>
        </w:rPr>
        <w:t xml:space="preserve"> in the second decade of the 21</w:t>
      </w:r>
      <w:r>
        <w:rPr>
          <w:rFonts w:cs="Times New Roman"/>
          <w:vertAlign w:val="superscript"/>
        </w:rPr>
        <w:t>st</w:t>
      </w:r>
      <w:r>
        <w:rPr>
          <w:rFonts w:cs="Times New Roman"/>
        </w:rPr>
        <w:t xml:space="preserve"> century, the answer is to replace traditional fuel-powered vehicles with electric vehicles.</w:t>
      </w:r>
    </w:p>
    <w:p w14:paraId="1B1D056A">
      <w:pPr>
        <w:rPr>
          <w:rFonts w:cs="Times New Roman"/>
        </w:rPr>
      </w:pPr>
    </w:p>
    <w:p w14:paraId="436573CC">
      <w:pPr>
        <w:rPr>
          <w:rFonts w:cs="Times New Roman"/>
        </w:rPr>
      </w:pPr>
      <w:r>
        <w:rPr>
          <w:rFonts w:cs="Times New Roman"/>
        </w:rPr>
        <w:t xml:space="preserve">In this wave of change, newly emerged electric vehicle manufacturers such as BYD and Tesla </w:t>
      </w:r>
      <w:r>
        <w:rPr>
          <w:rFonts w:hint="eastAsia" w:cs="Times New Roman"/>
        </w:rPr>
        <w:t>can be considered as a group of powers</w:t>
      </w:r>
      <w:r>
        <w:rPr>
          <w:rFonts w:cs="Times New Roman"/>
        </w:rPr>
        <w:t xml:space="preserve"> formed a competitive relationship with traditional power vehicle manufacturers such as Ford and General Dynamics</w:t>
      </w:r>
      <w:r>
        <w:rPr>
          <w:rFonts w:hint="eastAsia" w:cs="Times New Roman"/>
        </w:rPr>
        <w:t xml:space="preserve"> (Maradin, 2022)</w:t>
      </w:r>
      <w:r>
        <w:rPr>
          <w:rFonts w:cs="Times New Roman"/>
        </w:rPr>
        <w:t>. From a more macro perspective, this is a competition to see whether electric vehicles can replace the status of traditional power vehicles in the current social production and life as an industrial product. Or to put it in a more professional way, whether electric vehicles are a substitute for products that have caused traditional power vehicles to enter a period of decline</w:t>
      </w:r>
      <w:r>
        <w:rPr>
          <w:rFonts w:hint="eastAsia" w:cs="Times New Roman"/>
        </w:rPr>
        <w:t xml:space="preserve"> (Un-Noor, 2017)</w:t>
      </w:r>
      <w:r>
        <w:rPr>
          <w:rFonts w:cs="Times New Roman"/>
        </w:rPr>
        <w:t>.</w:t>
      </w:r>
    </w:p>
    <w:p w14:paraId="26182D1B">
      <w:pPr>
        <w:rPr>
          <w:rFonts w:cs="Times New Roman"/>
        </w:rPr>
      </w:pPr>
    </w:p>
    <w:p w14:paraId="0887300A">
      <w:pPr>
        <w:rPr>
          <w:rFonts w:cs="Times New Roman"/>
        </w:rPr>
      </w:pPr>
      <w:r>
        <w:rPr>
          <w:rFonts w:cs="Times New Roman"/>
        </w:rPr>
        <w:t>If PESTEL analysis model</w:t>
      </w:r>
      <w:r>
        <w:rPr>
          <w:rFonts w:hint="eastAsia" w:cs="Times New Roman"/>
        </w:rPr>
        <w:t xml:space="preserve"> is used</w:t>
      </w:r>
      <w:r>
        <w:rPr>
          <w:rFonts w:cs="Times New Roman"/>
        </w:rPr>
        <w:t xml:space="preserve"> to conduct a macro analysis of this issue, </w:t>
      </w:r>
      <w:r>
        <w:rPr>
          <w:rFonts w:hint="eastAsia" w:cs="Times New Roman"/>
        </w:rPr>
        <w:t xml:space="preserve">it can be </w:t>
      </w:r>
      <w:r>
        <w:rPr>
          <w:rFonts w:cs="Times New Roman"/>
        </w:rPr>
        <w:t>f</w:t>
      </w:r>
      <w:r>
        <w:rPr>
          <w:rFonts w:hint="eastAsia" w:cs="Times New Roman"/>
        </w:rPr>
        <w:t>ound</w:t>
      </w:r>
      <w:r>
        <w:rPr>
          <w:rFonts w:cs="Times New Roman"/>
        </w:rPr>
        <w:t xml:space="preserve"> that</w:t>
      </w:r>
    </w:p>
    <w:p w14:paraId="454AB132">
      <w:pPr>
        <w:rPr>
          <w:rFonts w:cs="Times New Roman"/>
        </w:rPr>
      </w:pPr>
    </w:p>
    <w:p w14:paraId="5D7CA287">
      <w:pPr>
        <w:pStyle w:val="13"/>
        <w:outlineLvl w:val="0"/>
      </w:pPr>
      <w:bookmarkStart w:id="22" w:name="_Toc12024"/>
      <w:r>
        <w:t>1. From a political perspective</w:t>
      </w:r>
      <w:bookmarkEnd w:id="22"/>
    </w:p>
    <w:p w14:paraId="11740D4E">
      <w:pPr>
        <w:rPr>
          <w:rFonts w:cs="Times New Roman"/>
        </w:rPr>
      </w:pPr>
    </w:p>
    <w:p w14:paraId="2C2F3145">
      <w:pPr>
        <w:rPr>
          <w:rFonts w:cs="Times New Roman"/>
        </w:rPr>
      </w:pPr>
      <w:r>
        <w:rPr>
          <w:rFonts w:cs="Times New Roman"/>
        </w:rPr>
        <w:t>Government policy: Many countries</w:t>
      </w:r>
      <w:r>
        <w:rPr>
          <w:rFonts w:hint="eastAsia" w:cs="Times New Roman"/>
        </w:rPr>
        <w:t xml:space="preserve"> and regions like China, EU, USA and India</w:t>
      </w:r>
      <w:r>
        <w:rPr>
          <w:rFonts w:cs="Times New Roman"/>
        </w:rPr>
        <w:t xml:space="preserve"> have introduced policies to support electric vehicles, such as car purchase subsidies, tax cuts and green credits.</w:t>
      </w:r>
      <w:r>
        <w:rPr>
          <w:rFonts w:hint="eastAsia" w:cs="Times New Roman"/>
        </w:rPr>
        <w:t xml:space="preserve"> In general, governments of major countries around the world hope to gradually phase out the production and sales of traditional power vehicles and replace them with electric vehicles between the 2020s and 2050s.(Why The Automotive Future Is Electric, 2021)Some of the more radical ones, like the Indian government, have even pledged to completely replace traditional fuel vehicles with electric vehicles by 2030</w:t>
      </w:r>
      <w:r>
        <w:rPr>
          <w:rFonts w:cs="Times New Roman"/>
        </w:rPr>
        <w:t xml:space="preserve"> </w:t>
      </w:r>
      <w:r>
        <w:rPr>
          <w:rFonts w:hint="eastAsia" w:cs="Times New Roman"/>
        </w:rPr>
        <w:t>(Vidhi, 2018).</w:t>
      </w:r>
    </w:p>
    <w:p w14:paraId="2981E5EE">
      <w:pPr>
        <w:rPr>
          <w:rFonts w:cs="Times New Roman"/>
        </w:rPr>
      </w:pPr>
    </w:p>
    <w:p w14:paraId="775EA856">
      <w:pPr>
        <w:rPr>
          <w:rFonts w:cs="Times New Roman"/>
        </w:rPr>
      </w:pPr>
      <w:r>
        <w:rPr>
          <w:rFonts w:cs="Times New Roman"/>
        </w:rPr>
        <w:t xml:space="preserve">Environmental regulations: </w:t>
      </w:r>
      <w:r>
        <w:rPr>
          <w:rFonts w:hint="eastAsia" w:cs="Times New Roman"/>
        </w:rPr>
        <w:t>Policies and laws that aim to protect environment</w:t>
      </w:r>
      <w:r>
        <w:rPr>
          <w:rFonts w:cs="Times New Roman"/>
        </w:rPr>
        <w:t xml:space="preserve"> have become a critical driver in the automotive industry's shift towards electric vehicles (EVs). Governments worldwide are implementing increasingly stringent emission standards aimed at reducing greenhouse gas emissions and improving air quality. For instance, the European Union has set ambitious targets to cut CO2 emissions from new cars by 55% by 2030, with a target of reaching net-zero emissions by 2050 (European Commission, 2021). Similarly, in the United States, the Environmental Protection Agency (EPA) is revising its standards to push for lower emissions, which includes a focus on promoting electric and hybrid vehicles (EPA, 2022).</w:t>
      </w:r>
    </w:p>
    <w:p w14:paraId="056CD306">
      <w:pPr>
        <w:rPr>
          <w:rFonts w:cs="Times New Roman"/>
        </w:rPr>
      </w:pPr>
    </w:p>
    <w:p w14:paraId="3AE83052">
      <w:pPr>
        <w:rPr>
          <w:rFonts w:cs="Times New Roman"/>
        </w:rPr>
      </w:pPr>
      <w:r>
        <w:rPr>
          <w:rFonts w:cs="Times New Roman"/>
        </w:rPr>
        <w:t>International agreements: International environmental</w:t>
      </w:r>
      <w:r>
        <w:rPr>
          <w:rFonts w:hint="eastAsia" w:cs="Times New Roman"/>
        </w:rPr>
        <w:t xml:space="preserve"> protections</w:t>
      </w:r>
      <w:r>
        <w:rPr>
          <w:rFonts w:cs="Times New Roman"/>
        </w:rPr>
        <w:t xml:space="preserve"> efforts like the Paris Agreement, have significantly influenced national policies aimed at reducing greenhouse gas emissions. The Paris Agreement, adopted in 2015, sets forth a collective commitment from nearly 200 countries to limit global warming to well below 2 degrees Celsius above pre-industrial levels, with an aspirational goal of limiting the temperature increase to 1.5 degrees Celsius (United Nations, 2015). This landmark agreement has prompted nations to formulate and implement more rigorous environmental policies, including those that encourage the adoption of electric vehicles (EVs).</w:t>
      </w:r>
    </w:p>
    <w:p w14:paraId="78929AE5">
      <w:pPr>
        <w:rPr>
          <w:rFonts w:cs="Times New Roman"/>
        </w:rPr>
      </w:pPr>
    </w:p>
    <w:p w14:paraId="2B4D2C9E">
      <w:pPr>
        <w:pStyle w:val="13"/>
        <w:outlineLvl w:val="0"/>
      </w:pPr>
      <w:bookmarkStart w:id="23" w:name="_Toc706"/>
      <w:r>
        <w:t>2. From an economic perspective</w:t>
      </w:r>
      <w:bookmarkEnd w:id="23"/>
    </w:p>
    <w:p w14:paraId="4AB572C1">
      <w:pPr>
        <w:rPr>
          <w:rFonts w:cs="Times New Roman"/>
        </w:rPr>
      </w:pPr>
    </w:p>
    <w:p w14:paraId="2E002949">
      <w:pPr>
        <w:rPr>
          <w:rFonts w:cs="Times New Roman"/>
        </w:rPr>
      </w:pPr>
      <w:r>
        <w:rPr>
          <w:rFonts w:cs="Times New Roman"/>
        </w:rPr>
        <w:t>Market trends: With ongoing technological progress and the realization of economies of scale, the production cost of electric vehicles (EVs) is expected to decrease significantly in the coming years. Advances in battery technology are at the forefront of this cost reduction. For instance, the development of lithium-ion batteries has led to substantial improvements in energy density and reductions in production costs. According to a report by BloombergNEF, the average cost of lithium-ion battery packs has dropped by approximately 89% since 2010, falling below $137 per kilowatt-hour in 2020 (BloombergNEF, 2021). This trend is projected to continue as manufacturers optimize production processes and invest in new technologies.</w:t>
      </w:r>
    </w:p>
    <w:p w14:paraId="573CA0D2">
      <w:pPr>
        <w:rPr>
          <w:rFonts w:cs="Times New Roman"/>
        </w:rPr>
      </w:pPr>
    </w:p>
    <w:p w14:paraId="4BF2872F">
      <w:pPr>
        <w:rPr>
          <w:rFonts w:cs="Times New Roman"/>
          <w:szCs w:val="24"/>
        </w:rPr>
      </w:pPr>
      <w:r>
        <w:rPr>
          <w:rFonts w:cs="Times New Roman"/>
        </w:rPr>
        <w:t xml:space="preserve">Additionally, as more automakers </w:t>
      </w:r>
      <w:r>
        <w:rPr>
          <w:rFonts w:hint="eastAsia" w:cs="Times New Roman"/>
        </w:rPr>
        <w:t>increased</w:t>
      </w:r>
      <w:r>
        <w:rPr>
          <w:rFonts w:cs="Times New Roman"/>
        </w:rPr>
        <w:t xml:space="preserve"> their EV production</w:t>
      </w:r>
      <w:r>
        <w:rPr>
          <w:rFonts w:hint="eastAsia" w:cs="Times New Roman"/>
        </w:rPr>
        <w:t xml:space="preserve"> capacity</w:t>
      </w:r>
      <w:r>
        <w:rPr>
          <w:rFonts w:cs="Times New Roman"/>
        </w:rPr>
        <w:t>, they benefit from economies of scale. The more vehicles that are produced, the lower the per-unit cost becomes due to fixed costs being spread over a larger number of units. Major manufacturers, such as Tesla and Volkswagen, are already investing billions in Gigafactories designed to mass-produce batteries and EV components, which is expected to lead to even lower costs (Tesla, 2021; Volkswagen, 2021).</w:t>
      </w:r>
      <w:r>
        <w:rPr>
          <w:rStyle w:val="23"/>
          <w:rFonts w:hint="eastAsia"/>
        </w:rPr>
        <w:t xml:space="preserve"> </w:t>
      </w:r>
      <w:r>
        <w:rPr>
          <w:rStyle w:val="23"/>
          <w:rFonts w:hint="eastAsia"/>
          <w:sz w:val="24"/>
          <w:szCs w:val="24"/>
        </w:rPr>
        <w:t>BYD, which sold an astonishing 3 million vehicles in 2023, ranking first in the industry, will undoubtedly be the biggest beneficiary of the scale effect in electric vehicle production(Lesjak, 2024). Of course, Ford, which sold 4.4 million vehicles of all types in 2023, also benefited greatly from economies of scale(Mathlide, 2024).</w:t>
      </w:r>
    </w:p>
    <w:p w14:paraId="3238E952">
      <w:pPr>
        <w:rPr>
          <w:rFonts w:cs="Times New Roman"/>
        </w:rPr>
      </w:pPr>
    </w:p>
    <w:p w14:paraId="4C5BC10F">
      <w:pPr>
        <w:rPr>
          <w:rFonts w:cs="Times New Roman"/>
        </w:rPr>
      </w:pPr>
      <w:r>
        <w:rPr>
          <w:rFonts w:cs="Times New Roman"/>
        </w:rPr>
        <w:t xml:space="preserve">Energy prices: When crude oil prices surge due to geopolitical tensions or supply chain disruptions, consumers may experience a corresponding increase in fuel prices, leading to higher operating costs for traditional vehicles. According to the U.S. Energy Information Administration (EIA), a 10% increase in crude oil prices can result in a nearly identical rise in gasoline prices at the pump (EIA, 2023). </w:t>
      </w:r>
    </w:p>
    <w:p w14:paraId="770A4738">
      <w:pPr>
        <w:rPr>
          <w:rFonts w:cs="Times New Roman"/>
        </w:rPr>
      </w:pPr>
    </w:p>
    <w:p w14:paraId="605B2953">
      <w:pPr>
        <w:rPr>
          <w:rFonts w:cs="Times New Roman"/>
        </w:rPr>
      </w:pPr>
      <w:r>
        <w:rPr>
          <w:rFonts w:cs="Times New Roman"/>
        </w:rPr>
        <w:t>In contrast, the electricity costs associated with electric vehicles (EVs) tend to be more stable and less susceptible to rapid fluctuations. The price of electricity is influenced by a broader range of factors, including local energy policies, renewable energy sources, and grid demand, making it relatively predictable over time. For example, the International Energy Agency (IEA) reports that while electricity prices can vary, they do not typically exhibit the same volatility as oil prices (IEA, 2022). This stability in electricity costs contributes to a more predictable overall ownership cost for EVs, enhancing their appeal as an economical alternative to fuel vehicles.</w:t>
      </w:r>
    </w:p>
    <w:p w14:paraId="244D4A44">
      <w:pPr>
        <w:rPr>
          <w:rFonts w:cs="Times New Roman"/>
        </w:rPr>
      </w:pPr>
    </w:p>
    <w:p w14:paraId="4426E8DF">
      <w:pPr>
        <w:pStyle w:val="13"/>
        <w:outlineLvl w:val="0"/>
      </w:pPr>
      <w:bookmarkStart w:id="24" w:name="_Toc4610"/>
      <w:r>
        <w:t>3. From a social perspective</w:t>
      </w:r>
      <w:bookmarkEnd w:id="24"/>
    </w:p>
    <w:p w14:paraId="23C08882">
      <w:pPr>
        <w:rPr>
          <w:rFonts w:cs="Times New Roman"/>
        </w:rPr>
      </w:pPr>
    </w:p>
    <w:p w14:paraId="2C41A05F">
      <w:pPr>
        <w:rPr>
          <w:rFonts w:cs="Times New Roman"/>
        </w:rPr>
      </w:pPr>
      <w:r>
        <w:rPr>
          <w:rFonts w:cs="Times New Roman"/>
        </w:rPr>
        <w:t>Consumer preferences:</w:t>
      </w:r>
      <w:r>
        <w:rPr>
          <w:rFonts w:hint="eastAsia" w:cs="Times New Roman"/>
        </w:rPr>
        <w:t xml:space="preserve"> </w:t>
      </w:r>
      <w:r>
        <w:rPr>
          <w:rFonts w:cs="Times New Roman"/>
        </w:rPr>
        <w:t>According to a 2021 survey by Deloitte, nearly 70% of consumers indicated that environmental impact plays a significant role in their vehicle purchasing decisions (Deloitte, 2021).Additionally, government incentives and policies aimed at reducing carbon emissions have bolstered this trend. Many countries are implementing tax credits, rebates, and subsidies for EV buyers, which not only make electric vehicles more financially accessible but also align with consumers' values regarding sustainability. For instance, the U.S. government offers a federal tax credit of up to $7,500 for qualifying EV purchases (U.S. Department of Energy, 2022).</w:t>
      </w:r>
    </w:p>
    <w:p w14:paraId="6CB21861">
      <w:pPr>
        <w:rPr>
          <w:rFonts w:cs="Times New Roman"/>
        </w:rPr>
      </w:pPr>
    </w:p>
    <w:p w14:paraId="075E201A">
      <w:pPr>
        <w:rPr>
          <w:rFonts w:cs="Times New Roman"/>
        </w:rPr>
      </w:pPr>
      <w:r>
        <w:rPr>
          <w:rFonts w:cs="Times New Roman"/>
        </w:rPr>
        <w:t xml:space="preserve">Furthermore, advancements in EV technology, such as improved battery efficiency and the expansion of charging infrastructure, have alleviated previous concerns about range anxiety and charging accessibility. A report from the International Council on Clean Transportation (ICCT) highlights that the number of public charging stations has increased significantly, making EVs a more viable option for consumers (ICCT, 2023). </w:t>
      </w:r>
    </w:p>
    <w:p w14:paraId="4102376C">
      <w:pPr>
        <w:rPr>
          <w:rFonts w:cs="Times New Roman"/>
        </w:rPr>
      </w:pPr>
    </w:p>
    <w:p w14:paraId="0D1509FF">
      <w:pPr>
        <w:rPr>
          <w:rFonts w:cs="Times New Roman"/>
        </w:rPr>
      </w:pPr>
      <w:r>
        <w:rPr>
          <w:rFonts w:cs="Times New Roman"/>
        </w:rPr>
        <w:t xml:space="preserve">Increased awareness: </w:t>
      </w:r>
      <w:r>
        <w:rPr>
          <w:rFonts w:hint="eastAsia" w:cs="Times New Roman"/>
        </w:rPr>
        <w:t>U</w:t>
      </w:r>
      <w:r>
        <w:rPr>
          <w:rFonts w:cs="Times New Roman"/>
        </w:rPr>
        <w:t>rban air quality issues have prompted a growing concern over the health impacts of air pollution, particularly in densely populated areas. According to the World Health Organization (WHO</w:t>
      </w:r>
      <w:r>
        <w:rPr>
          <w:rFonts w:hint="eastAsia" w:cs="Times New Roman"/>
          <w:lang w:val="en-US" w:eastAsia="zh-CN"/>
        </w:rPr>
        <w:t>, 2021</w:t>
      </w:r>
      <w:r>
        <w:rPr>
          <w:rFonts w:cs="Times New Roman"/>
        </w:rPr>
        <w:t>), air pollution is responsible for approximately 7 million premature deaths globally each year, with vehicle emissions being a significant contributor. This alarming statistic has spurred public discourse and policy initiatives aimed at reducing emissions, further increasing interest in EVs as a cleaner alternative.</w:t>
      </w:r>
    </w:p>
    <w:p w14:paraId="7B2D345B">
      <w:pPr>
        <w:rPr>
          <w:rFonts w:cs="Times New Roman"/>
        </w:rPr>
      </w:pPr>
    </w:p>
    <w:p w14:paraId="103E7428">
      <w:pPr>
        <w:rPr>
          <w:rFonts w:cs="Times New Roman"/>
        </w:rPr>
      </w:pPr>
      <w:r>
        <w:rPr>
          <w:rFonts w:cs="Times New Roman"/>
        </w:rPr>
        <w:t>Infrastructure: A study by the International Council on Clean Transportation (ICCT</w:t>
      </w:r>
      <w:r>
        <w:rPr>
          <w:rFonts w:hint="eastAsia" w:cs="Times New Roman"/>
        </w:rPr>
        <w:t>, 2023</w:t>
      </w:r>
      <w:r>
        <w:rPr>
          <w:rFonts w:cs="Times New Roman"/>
        </w:rPr>
        <w:t>) indicates that a robust network of charging stations significantly alleviates range anxiet</w:t>
      </w:r>
      <w:r>
        <w:rPr>
          <w:rFonts w:hint="eastAsia" w:cs="Times New Roman"/>
        </w:rPr>
        <w:t>y (</w:t>
      </w:r>
      <w:r>
        <w:rPr>
          <w:rFonts w:cs="Times New Roman"/>
        </w:rPr>
        <w:t>the fear of running out of battery power without access to a charging point</w:t>
      </w:r>
      <w:r>
        <w:rPr>
          <w:rFonts w:hint="eastAsia" w:cs="Times New Roman"/>
        </w:rPr>
        <w:t>) w</w:t>
      </w:r>
      <w:r>
        <w:rPr>
          <w:rFonts w:cs="Times New Roman"/>
        </w:rPr>
        <w:t>hich has historically been a major barrier to EV adoption. This makes the growth of charging infrastructure crucial to the tram user experience.</w:t>
      </w:r>
    </w:p>
    <w:p w14:paraId="46FAE7FD">
      <w:pPr>
        <w:rPr>
          <w:rFonts w:cs="Times New Roman"/>
        </w:rPr>
      </w:pPr>
    </w:p>
    <w:p w14:paraId="22A2BD5D">
      <w:pPr>
        <w:rPr>
          <w:rFonts w:cs="Times New Roman"/>
        </w:rPr>
      </w:pPr>
      <w:r>
        <w:rPr>
          <w:rFonts w:cs="Times New Roman"/>
        </w:rPr>
        <w:t>According to a report from the U.S. Department of Energy</w:t>
      </w:r>
      <w:r>
        <w:rPr>
          <w:rFonts w:hint="eastAsia" w:cs="Times New Roman"/>
        </w:rPr>
        <w:t>(2023)</w:t>
      </w:r>
      <w:r>
        <w:rPr>
          <w:rFonts w:cs="Times New Roman"/>
        </w:rPr>
        <w:t>, the number of public charging stations in the U.S. has increased dramatically, with over 100,000 charging outlets available as of 2023. This expansion not only makes EV ownership more practical but also signals to consumers that the necessary infrastructure is in place to support their transition to electric mobility.</w:t>
      </w:r>
    </w:p>
    <w:p w14:paraId="58475434">
      <w:pPr>
        <w:rPr>
          <w:rFonts w:cs="Times New Roman"/>
        </w:rPr>
      </w:pPr>
    </w:p>
    <w:p w14:paraId="43762A4E">
      <w:pPr>
        <w:pStyle w:val="13"/>
        <w:outlineLvl w:val="0"/>
      </w:pPr>
      <w:bookmarkStart w:id="25" w:name="_Toc1430"/>
      <w:r>
        <w:t>4. From a technical perspective</w:t>
      </w:r>
      <w:bookmarkEnd w:id="25"/>
    </w:p>
    <w:p w14:paraId="2741BCE4">
      <w:pPr>
        <w:rPr>
          <w:rFonts w:cs="Times New Roman"/>
        </w:rPr>
      </w:pPr>
    </w:p>
    <w:p w14:paraId="1FF84667">
      <w:pPr>
        <w:rPr>
          <w:rFonts w:cs="Times New Roman"/>
        </w:rPr>
      </w:pPr>
      <w:r>
        <w:rPr>
          <w:rFonts w:cs="Times New Roman"/>
        </w:rPr>
        <w:t>Battery technology: A report by the International Energy Agency (IEA) highlights that many new electric models now offer ranges comparable to or exceeding those of traditional gasoline vehicles, which alleviates range anxiety—one of the primary barriers to EV adoption (IEA, 2022).</w:t>
      </w:r>
    </w:p>
    <w:p w14:paraId="12B1B383">
      <w:pPr>
        <w:rPr>
          <w:rFonts w:cs="Times New Roman"/>
        </w:rPr>
      </w:pPr>
    </w:p>
    <w:p w14:paraId="4640771D">
      <w:pPr>
        <w:rPr>
          <w:rFonts w:cs="Times New Roman"/>
        </w:rPr>
      </w:pPr>
      <w:r>
        <w:rPr>
          <w:rFonts w:cs="Times New Roman"/>
        </w:rPr>
        <w:t xml:space="preserve">In addition to range improvements, advancements in charging speed have also transformed the EV landscape. Technologies such as ultra-fast charging stations can provide up to 350 kW of power, enabling EVs to recharge to 80% in as little as 15 to 30 minutes. According to research by the U.S. Department of Energy, the proliferation of fast-charging infrastructure is critical for supporting long-distance travel and making EVs more appealing for everyday use (U.S. Department of Energy, 2023). </w:t>
      </w:r>
    </w:p>
    <w:p w14:paraId="32267B2A">
      <w:pPr>
        <w:rPr>
          <w:rFonts w:cs="Times New Roman"/>
        </w:rPr>
      </w:pPr>
    </w:p>
    <w:p w14:paraId="094FB5C1">
      <w:pPr>
        <w:rPr>
          <w:rFonts w:cs="Times New Roman"/>
        </w:rPr>
      </w:pPr>
      <w:r>
        <w:rPr>
          <w:rFonts w:cs="Times New Roman"/>
        </w:rPr>
        <w:t>As battery technology continues to evolve, the total cost of ownership for EVs is also expected to decline. With lower production costs and an extended lifespan, advanced batteries can make electric vehicles more economically competitive compared to their internal combustion engine counterparts. According to</w:t>
      </w:r>
      <w:r>
        <w:rPr>
          <w:rFonts w:hint="eastAsia" w:cs="Times New Roman"/>
          <w:lang w:val="en-US" w:eastAsia="zh-CN"/>
        </w:rPr>
        <w:t xml:space="preserve"> the information provided by the</w:t>
      </w:r>
      <w:r>
        <w:rPr>
          <w:rFonts w:cs="Times New Roman"/>
        </w:rPr>
        <w:t xml:space="preserve"> BloombergNEF</w:t>
      </w:r>
      <w:r>
        <w:rPr>
          <w:rFonts w:hint="eastAsia" w:cs="Times New Roman"/>
          <w:lang w:val="en-US" w:eastAsia="zh-CN"/>
        </w:rPr>
        <w:t xml:space="preserve"> at 2023</w:t>
      </w:r>
      <w:r>
        <w:rPr>
          <w:rFonts w:cs="Times New Roman"/>
        </w:rPr>
        <w:t>, the cost of lithium-ion batteries has dropped by over 80% since 2010, making EVs increasingly affordable for consumers.</w:t>
      </w:r>
    </w:p>
    <w:p w14:paraId="51FC6921">
      <w:pPr>
        <w:rPr>
          <w:rFonts w:cs="Times New Roman"/>
        </w:rPr>
      </w:pPr>
    </w:p>
    <w:p w14:paraId="5B5A03C8">
      <w:pPr>
        <w:rPr>
          <w:rFonts w:cs="Times New Roman"/>
        </w:rPr>
      </w:pPr>
      <w:r>
        <w:rPr>
          <w:rFonts w:cs="Times New Roman"/>
        </w:rPr>
        <w:t>Intelligence and automation: Electric vehicles usually integrate advanced intelligent technologies to improve driving experience and safety</w:t>
      </w:r>
      <w:r>
        <w:rPr>
          <w:rFonts w:hint="eastAsia" w:cs="Times New Roman"/>
          <w:lang w:val="en-US" w:eastAsia="zh-CN"/>
        </w:rPr>
        <w:t>(Abro, 2023)</w:t>
      </w:r>
      <w:r>
        <w:rPr>
          <w:rFonts w:cs="Times New Roman"/>
        </w:rPr>
        <w:t>.</w:t>
      </w:r>
    </w:p>
    <w:p w14:paraId="275005F8">
      <w:pPr>
        <w:rPr>
          <w:rFonts w:cs="Times New Roman"/>
        </w:rPr>
      </w:pPr>
    </w:p>
    <w:p w14:paraId="4401CDAA">
      <w:pPr>
        <w:rPr>
          <w:rFonts w:cs="Times New Roman"/>
        </w:rPr>
      </w:pPr>
      <w:r>
        <w:rPr>
          <w:rFonts w:cs="Times New Roman"/>
        </w:rPr>
        <w:t>Charging technology: The development of new technologies, such as fast charging and wireless charging, is crucial to the popularization of electric vehicles (EVs) as they address key barriers to adoption</w:t>
      </w:r>
      <w:r>
        <w:rPr>
          <w:rFonts w:hint="eastAsia" w:cs="Times New Roman"/>
          <w:lang w:val="en-US" w:eastAsia="zh-CN"/>
        </w:rPr>
        <w:t>.</w:t>
      </w:r>
      <w:r>
        <w:rPr>
          <w:rFonts w:cs="Times New Roman"/>
        </w:rPr>
        <w:t xml:space="preserve"> A</w:t>
      </w:r>
      <w:r>
        <w:rPr>
          <w:rFonts w:hint="eastAsia" w:cs="Times New Roman"/>
          <w:lang w:val="en-US" w:eastAsia="zh-CN"/>
        </w:rPr>
        <w:t>ccording to a</w:t>
      </w:r>
      <w:r>
        <w:rPr>
          <w:rFonts w:cs="Times New Roman"/>
        </w:rPr>
        <w:t xml:space="preserve"> report </w:t>
      </w:r>
      <w:r>
        <w:rPr>
          <w:rFonts w:hint="eastAsia" w:cs="Times New Roman"/>
          <w:lang w:val="en-US" w:eastAsia="zh-CN"/>
        </w:rPr>
        <w:t>published by</w:t>
      </w:r>
      <w:r>
        <w:rPr>
          <w:rFonts w:cs="Times New Roman"/>
        </w:rPr>
        <w:t xml:space="preserve"> the U.S. Department of Energy </w:t>
      </w:r>
      <w:r>
        <w:rPr>
          <w:rFonts w:hint="eastAsia" w:cs="Times New Roman"/>
          <w:sz w:val="24"/>
          <w:lang w:val="en-US" w:eastAsia="zh-CN"/>
        </w:rPr>
        <w:t>at 2023</w:t>
      </w:r>
      <w:r>
        <w:rPr>
          <w:rFonts w:cs="Times New Roman"/>
        </w:rPr>
        <w:t xml:space="preserve"> that the expansion of fast-charging infrastructure is essential for increasing consumer confidence in EVs .</w:t>
      </w:r>
    </w:p>
    <w:p w14:paraId="143BD30B">
      <w:pPr>
        <w:rPr>
          <w:rFonts w:cs="Times New Roman"/>
        </w:rPr>
      </w:pPr>
    </w:p>
    <w:p w14:paraId="561C1021">
      <w:pPr>
        <w:rPr>
          <w:rFonts w:cs="Times New Roman"/>
        </w:rPr>
      </w:pPr>
      <w:r>
        <w:rPr>
          <w:rFonts w:cs="Times New Roman"/>
        </w:rPr>
        <w:t>According to a survey</w:t>
      </w:r>
      <w:r>
        <w:rPr>
          <w:rFonts w:hint="eastAsia" w:cs="Times New Roman"/>
          <w:lang w:val="en-US" w:eastAsia="zh-CN"/>
        </w:rPr>
        <w:t xml:space="preserve"> result published</w:t>
      </w:r>
      <w:r>
        <w:rPr>
          <w:rFonts w:cs="Times New Roman"/>
        </w:rPr>
        <w:t xml:space="preserve"> by the Electric Vehicle Association</w:t>
      </w:r>
      <w:r>
        <w:rPr>
          <w:rFonts w:hint="eastAsia" w:cs="Times New Roman"/>
          <w:lang w:val="en-US" w:eastAsia="zh-CN"/>
        </w:rPr>
        <w:t xml:space="preserve"> at 2023</w:t>
      </w:r>
      <w:r>
        <w:rPr>
          <w:rFonts w:cs="Times New Roman"/>
        </w:rPr>
        <w:t>, 70% of respondents cited charging time and convenience as critical factors influencing their decision to purchase an electric vehicle. As charging technologies continue to evolve, they will play a pivotal role in making EVs a more attractive option for a broader audience.</w:t>
      </w:r>
    </w:p>
    <w:p w14:paraId="0DA3B89A">
      <w:pPr>
        <w:rPr>
          <w:rFonts w:cs="Times New Roman"/>
        </w:rPr>
      </w:pPr>
    </w:p>
    <w:p w14:paraId="5CEDB406">
      <w:pPr>
        <w:rPr>
          <w:rFonts w:cs="Times New Roman"/>
        </w:rPr>
      </w:pPr>
      <w:r>
        <w:rPr>
          <w:rFonts w:cs="Times New Roman"/>
        </w:rPr>
        <w:t>Furthermore, the integration of smart charging solutions, which optimize charging times based on grid demand and electricity prices, can enhance the efficiency and sustainability of the charging process. The International Energy Agency (IEA) emphasizes that these innovations not only benefit consumers but also contribute to a more resilient and reliable energy infrastructure, supporting the transition to a low-carbon economy (IEA, 2022).</w:t>
      </w:r>
    </w:p>
    <w:p w14:paraId="26204058">
      <w:pPr>
        <w:rPr>
          <w:rFonts w:cs="Times New Roman"/>
        </w:rPr>
      </w:pPr>
    </w:p>
    <w:p w14:paraId="3E51349A">
      <w:pPr>
        <w:pStyle w:val="13"/>
        <w:outlineLvl w:val="0"/>
      </w:pPr>
      <w:bookmarkStart w:id="26" w:name="_Toc17230"/>
      <w:r>
        <w:t>5. From an environmental perspective</w:t>
      </w:r>
      <w:bookmarkEnd w:id="26"/>
    </w:p>
    <w:p w14:paraId="4C5BE078">
      <w:pPr>
        <w:rPr>
          <w:rFonts w:cs="Times New Roman"/>
        </w:rPr>
      </w:pPr>
    </w:p>
    <w:p w14:paraId="7BBF4457">
      <w:pPr>
        <w:rPr>
          <w:rFonts w:cs="Times New Roman"/>
        </w:rPr>
      </w:pPr>
      <w:r>
        <w:rPr>
          <w:rFonts w:cs="Times New Roman"/>
        </w:rPr>
        <w:t>Emission reduction benefits: By replacing traditional internal combustion engine vehicles with electric models, cities can reduce harmful pollutants such as nitrogen oxides and particulate matter, which are known to exacerbate respiratory issues and other health problems among residents (U.S. Environmental Protection Agency, 2021).</w:t>
      </w:r>
    </w:p>
    <w:p w14:paraId="73ADBB42">
      <w:pPr>
        <w:rPr>
          <w:rFonts w:cs="Times New Roman"/>
        </w:rPr>
      </w:pPr>
    </w:p>
    <w:p w14:paraId="6AF5C457">
      <w:pPr>
        <w:rPr>
          <w:rFonts w:cs="Times New Roman"/>
        </w:rPr>
      </w:pPr>
      <w:r>
        <w:rPr>
          <w:rFonts w:cs="Times New Roman"/>
        </w:rPr>
        <w:t xml:space="preserve">Moreover, the transition to electric vehicles plays a crucial role in mitigating greenhouse gas emissions. Although the production of EVs and the generation of electricity can have associated emissions, studies have shown that the overall lifecycle emissions of electric vehicles are typically lower than those of gasoline or diesel vehicles, especially as the electricity grid becomes greener with more renewable energy sources (International Council on Clean Transportation, 2020). </w:t>
      </w:r>
    </w:p>
    <w:p w14:paraId="717A3710">
      <w:pPr>
        <w:rPr>
          <w:rFonts w:cs="Times New Roman"/>
        </w:rPr>
      </w:pPr>
    </w:p>
    <w:p w14:paraId="789F4B95">
      <w:pPr>
        <w:rPr>
          <w:rFonts w:cs="Times New Roman"/>
        </w:rPr>
      </w:pPr>
      <w:r>
        <w:rPr>
          <w:rFonts w:cs="Times New Roman"/>
        </w:rPr>
        <w:t>Resource use: Unlike traditional power vehicles that rely on oil resources, the resource problem of electric vehicles lies in the sustainability of the metal resources required</w:t>
      </w:r>
      <w:r>
        <w:rPr>
          <w:rFonts w:hint="eastAsia" w:cs="Times New Roman"/>
        </w:rPr>
        <w:t xml:space="preserve"> (Martins, 2021)</w:t>
      </w:r>
      <w:r>
        <w:rPr>
          <w:rFonts w:cs="Times New Roman"/>
        </w:rPr>
        <w:t>. This issue needs to be discussed from two aspects. On the one hand, there is the contradiction between the amount of mineral reserves and the speed of use. On the other hand, whether the development of the metal recycling industry can meet the needs of the industry.</w:t>
      </w:r>
    </w:p>
    <w:p w14:paraId="12238D31">
      <w:pPr>
        <w:rPr>
          <w:rFonts w:cs="Times New Roman"/>
        </w:rPr>
      </w:pPr>
    </w:p>
    <w:p w14:paraId="78EC403A">
      <w:pPr>
        <w:pStyle w:val="13"/>
        <w:outlineLvl w:val="0"/>
      </w:pPr>
      <w:bookmarkStart w:id="27" w:name="_Toc2942"/>
      <w:r>
        <w:t>6. From a legal perspective</w:t>
      </w:r>
      <w:bookmarkEnd w:id="27"/>
    </w:p>
    <w:p w14:paraId="1A68F073">
      <w:pPr>
        <w:rPr>
          <w:rFonts w:cs="Times New Roman"/>
        </w:rPr>
      </w:pPr>
    </w:p>
    <w:p w14:paraId="46DD3D86">
      <w:pPr>
        <w:rPr>
          <w:rFonts w:cs="Times New Roman"/>
        </w:rPr>
      </w:pPr>
      <w:r>
        <w:rPr>
          <w:rFonts w:cs="Times New Roman"/>
        </w:rPr>
        <w:t>Regulatory compliance: Automakers must adhere to stringent environmental regulations and safety standards established by various countries to legally sell electric vehicles (EVs). These regulations are designed to ensure that vehicles meet environmental performance benchmarks but also prioritize consumer safety</w:t>
      </w:r>
      <w:r>
        <w:rPr>
          <w:rFonts w:hint="eastAsia" w:cs="Times New Roman"/>
          <w:lang w:val="en-US" w:eastAsia="zh-CN"/>
        </w:rPr>
        <w:t>(Carey, 2023)(Parera, 2021)</w:t>
      </w:r>
      <w:r>
        <w:rPr>
          <w:rFonts w:cs="Times New Roman"/>
        </w:rPr>
        <w:t>.</w:t>
      </w:r>
    </w:p>
    <w:p w14:paraId="308E1E0A">
      <w:pPr>
        <w:rPr>
          <w:rFonts w:cs="Times New Roman"/>
        </w:rPr>
      </w:pPr>
    </w:p>
    <w:p w14:paraId="57232FBC">
      <w:pPr>
        <w:rPr>
          <w:rFonts w:cs="Times New Roman"/>
        </w:rPr>
      </w:pPr>
      <w:r>
        <w:rPr>
          <w:rFonts w:cs="Times New Roman"/>
        </w:rPr>
        <w:t>In the United States, for instance, the Environmental Protection Agency (EPA) sets emissions standards that EVs must comply with, which can include requirements on greenhouse gas emissions and energy efficiency (EPA, 2021). Similarly, the National Highway Traffic Safety Administration (NHTSA</w:t>
      </w:r>
      <w:r>
        <w:rPr>
          <w:rFonts w:hint="eastAsia" w:cs="Times New Roman"/>
          <w:lang w:val="en-US" w:eastAsia="zh-CN"/>
        </w:rPr>
        <w:t>, 2021</w:t>
      </w:r>
      <w:r>
        <w:rPr>
          <w:rFonts w:cs="Times New Roman"/>
        </w:rPr>
        <w:t>) enforces safety standards that cover crashworthiness, vehicle stability, and electrical safety, ensuring that EVs are safe for consumers.</w:t>
      </w:r>
    </w:p>
    <w:p w14:paraId="7BEB31C9">
      <w:pPr>
        <w:rPr>
          <w:rFonts w:cs="Times New Roman"/>
        </w:rPr>
      </w:pPr>
    </w:p>
    <w:p w14:paraId="08E1DAD8">
      <w:pPr>
        <w:rPr>
          <w:rFonts w:cs="Times New Roman"/>
        </w:rPr>
      </w:pPr>
      <w:r>
        <w:rPr>
          <w:rFonts w:cs="Times New Roman"/>
        </w:rPr>
        <w:t>In Europe, the European Union has implemented the "Euro 6" standards, which impose strict limits on emissions from all vehicles, including EVs, while also promoting the adoption of sustainable practices through initiatives such as the European Green Deal (European Commission, 2020). Additionally, the EU has specific directives regarding the safety of electric vehicles, addressing issues like battery safety and recycling.</w:t>
      </w:r>
    </w:p>
    <w:p w14:paraId="5B953675">
      <w:pPr>
        <w:rPr>
          <w:rFonts w:cs="Times New Roman"/>
        </w:rPr>
      </w:pPr>
    </w:p>
    <w:p w14:paraId="065703DE">
      <w:pPr>
        <w:rPr>
          <w:rFonts w:cs="Times New Roman"/>
        </w:rPr>
      </w:pPr>
      <w:r>
        <w:rPr>
          <w:rFonts w:cs="Times New Roman"/>
        </w:rPr>
        <w:t xml:space="preserve">Consumer protection law: Ensuring the rights and protection of electric vehicle (EV) consumers is essential for promoting a healthy and sustainable market </w:t>
      </w:r>
      <w:r>
        <w:rPr>
          <w:rFonts w:hint="eastAsia" w:cs="Times New Roman"/>
        </w:rPr>
        <w:t>(Liao, 2017)</w:t>
      </w:r>
      <w:r>
        <w:rPr>
          <w:rFonts w:cs="Times New Roman"/>
        </w:rPr>
        <w:t>. As the adoption of EVs accelerates, it becomes increasingly important to establish robust consumer protection frameworks that address issues such as product safety, warranty coverage, and transparent information regarding vehicle performance and environmental impact.</w:t>
      </w:r>
    </w:p>
    <w:p w14:paraId="533C1B90">
      <w:pPr>
        <w:rPr>
          <w:rFonts w:cs="Times New Roman"/>
        </w:rPr>
      </w:pPr>
    </w:p>
    <w:p w14:paraId="43FA3AD4">
      <w:pPr>
        <w:rPr>
          <w:rFonts w:cs="Times New Roman"/>
        </w:rPr>
      </w:pPr>
      <w:r>
        <w:rPr>
          <w:rFonts w:cs="Times New Roman"/>
        </w:rPr>
        <w:t>Consumer rights in the EV market include access to accurate information about vehicle capabilities, charging infrastructure, and total cost of ownership, including maintenance and energy costs. Regulatory bodies</w:t>
      </w:r>
      <w:commentRangeStart w:id="0"/>
      <w:r>
        <w:rPr>
          <w:rFonts w:cs="Times New Roman"/>
        </w:rPr>
        <w:t>, such as the Federal Trade Commission (FTC</w:t>
      </w:r>
      <w:r>
        <w:rPr>
          <w:rFonts w:hint="eastAsia" w:cs="Times New Roman"/>
          <w:lang w:val="en-US" w:eastAsia="zh-CN"/>
        </w:rPr>
        <w:t>, 2021</w:t>
      </w:r>
      <w:r>
        <w:rPr>
          <w:rFonts w:cs="Times New Roman"/>
        </w:rPr>
        <w:t xml:space="preserve">) </w:t>
      </w:r>
      <w:commentRangeEnd w:id="0"/>
      <w:r>
        <w:rPr>
          <w:rStyle w:val="23"/>
        </w:rPr>
        <w:commentReference w:id="0"/>
      </w:r>
      <w:r>
        <w:rPr>
          <w:rFonts w:cs="Times New Roman"/>
        </w:rPr>
        <w:t>in the United States, play a key role in enforcing truth-in-advertising laws to prevent misleading claims about EV performance and environmental benefits. Moreover, standardizing labeling practices can help consumers make informed choices, comparable to how fuel economy labels are used for traditional vehicles.</w:t>
      </w:r>
    </w:p>
    <w:p w14:paraId="71AFB6D9">
      <w:pPr>
        <w:rPr>
          <w:rFonts w:cs="Times New Roman"/>
        </w:rPr>
      </w:pPr>
    </w:p>
    <w:p w14:paraId="7D0688E2">
      <w:pPr>
        <w:rPr>
          <w:rFonts w:cs="Times New Roman"/>
        </w:rPr>
      </w:pPr>
      <w:r>
        <w:rPr>
          <w:rFonts w:cs="Times New Roman"/>
        </w:rPr>
        <w:t>It can be seen that electric vehicles have stronger competitive advantages than traditional fuel vehicles, but their existing problems still exist. It is obvious that a more detailed and comprehensive comparison is needed to draw a convincing conclusion about which is better.</w:t>
      </w:r>
    </w:p>
    <w:p w14:paraId="7EBE2F39">
      <w:pPr>
        <w:rPr>
          <w:rFonts w:cs="Times New Roman"/>
        </w:rPr>
      </w:pPr>
    </w:p>
    <w:p w14:paraId="612697EA">
      <w:pPr>
        <w:rPr>
          <w:rFonts w:cs="Times New Roman"/>
        </w:rPr>
      </w:pPr>
      <w:r>
        <w:rPr>
          <w:rFonts w:cs="Times New Roman"/>
        </w:rPr>
        <w:t xml:space="preserve">This </w:t>
      </w:r>
      <w:r>
        <w:rPr>
          <w:rFonts w:hint="default" w:cs="Times New Roman"/>
        </w:rPr>
        <w:t>dissertation</w:t>
      </w:r>
      <w:r>
        <w:rPr>
          <w:rFonts w:cs="Times New Roman"/>
        </w:rPr>
        <w:t xml:space="preserve"> will analyze the competitiveness of electric vehicles and traditional power vehicles in the automobile market by including analysis of BYD and Ford's company financial reports, analysis of the use feedback of the two companies' customers, analysis of the sustainability of electric and fuel vehicles, analysis of the speed of infrastructure construction supporting electric vehicles, and analysis of vehicle reliability.</w:t>
      </w:r>
    </w:p>
    <w:p w14:paraId="209ECFBD">
      <w:pPr>
        <w:rPr>
          <w:rFonts w:cs="Times New Roman"/>
        </w:rPr>
      </w:pPr>
    </w:p>
    <w:p w14:paraId="07945670">
      <w:pPr>
        <w:rPr>
          <w:rFonts w:cs="Times New Roman"/>
        </w:rPr>
      </w:pPr>
      <w:r>
        <w:rPr>
          <w:rFonts w:cs="Times New Roman"/>
        </w:rPr>
        <w:t>The significance of this study lies in its potential to inform policymakers, industry stakeholders, and consumers about the viability of electric vehicles as a sustainable alternative to gasoline-powered transportation. As governments around the world implement stricter emissions regulations and encourage the adoption of cleaner technologies, it is critical to understand the economic feasibility of this transition. In addition, this study will explore the broader impact on the automotive industry, including considerations of the development direction of supporting supply chain construction, infrastructure development, and changing trends in consumer acceptance</w:t>
      </w:r>
      <w:r>
        <w:rPr>
          <w:rFonts w:hint="eastAsia" w:cs="Times New Roman"/>
        </w:rPr>
        <w:t>(Borgstedt, 2017; Soares, 2023)</w:t>
      </w:r>
      <w:r>
        <w:rPr>
          <w:rFonts w:cs="Times New Roman"/>
        </w:rPr>
        <w:t>. These are all of considerable reference significance for future industry development trends and capital investment directions.</w:t>
      </w:r>
    </w:p>
    <w:p w14:paraId="60C4B2D2">
      <w:pPr>
        <w:rPr>
          <w:rFonts w:cs="Times New Roman"/>
        </w:rPr>
      </w:pPr>
    </w:p>
    <w:p w14:paraId="750CFB9A">
      <w:pPr>
        <w:rPr>
          <w:rFonts w:cs="Times New Roman"/>
        </w:rPr>
      </w:pPr>
      <w:r>
        <w:rPr>
          <w:rFonts w:cs="Times New Roman"/>
        </w:rPr>
        <w:t>In the following sections, this paper will outline the methods used in the comparative analysis, detail the results of the BYD and Ford case studies, and discuss the implications of these results for the future of the automotive industry. Ultimately, this study aims to contribute to the ongoing discussion on sustainable transportation and the role of electric vehicles in shaping a greener future.</w:t>
      </w:r>
    </w:p>
    <w:p w14:paraId="0E1D3092">
      <w:pPr>
        <w:rPr>
          <w:rFonts w:cs="Times New Roman"/>
        </w:rPr>
      </w:pPr>
    </w:p>
    <w:p w14:paraId="10DCFAA1">
      <w:pPr>
        <w:rPr>
          <w:rFonts w:cs="Times New Roman"/>
        </w:rPr>
      </w:pPr>
    </w:p>
    <w:p w14:paraId="08879EB3">
      <w:pPr>
        <w:rPr>
          <w:rFonts w:cs="Times New Roman"/>
        </w:rPr>
      </w:pPr>
    </w:p>
    <w:p w14:paraId="55DFF2F2">
      <w:pPr>
        <w:rPr>
          <w:rFonts w:cs="Times New Roman"/>
        </w:rPr>
      </w:pPr>
    </w:p>
    <w:p w14:paraId="0B78176B">
      <w:pPr>
        <w:rPr>
          <w:rFonts w:cs="Times New Roman"/>
        </w:rPr>
      </w:pPr>
    </w:p>
    <w:p w14:paraId="19270DC2">
      <w:pPr>
        <w:rPr>
          <w:rFonts w:cs="Times New Roman"/>
        </w:rPr>
      </w:pPr>
    </w:p>
    <w:p w14:paraId="0A479390">
      <w:pPr>
        <w:rPr>
          <w:rFonts w:cs="Times New Roman"/>
        </w:rPr>
      </w:pPr>
    </w:p>
    <w:p w14:paraId="76F4A4BF">
      <w:pPr>
        <w:rPr>
          <w:rFonts w:cs="Times New Roman"/>
        </w:rPr>
      </w:pPr>
    </w:p>
    <w:p w14:paraId="22611E63">
      <w:pPr>
        <w:rPr>
          <w:rFonts w:cs="Times New Roman"/>
        </w:rPr>
      </w:pPr>
    </w:p>
    <w:p w14:paraId="02D77E21">
      <w:pPr>
        <w:rPr>
          <w:rFonts w:cs="Times New Roman"/>
        </w:rPr>
      </w:pPr>
    </w:p>
    <w:p w14:paraId="162B6246">
      <w:pPr>
        <w:rPr>
          <w:rFonts w:cs="Times New Roman"/>
        </w:rPr>
      </w:pPr>
    </w:p>
    <w:p w14:paraId="73ACBADA">
      <w:pPr>
        <w:rPr>
          <w:rFonts w:cs="Times New Roman"/>
        </w:rPr>
      </w:pPr>
    </w:p>
    <w:p w14:paraId="23481D78">
      <w:pPr>
        <w:pStyle w:val="2"/>
        <w:ind w:left="425" w:hanging="425"/>
      </w:pPr>
      <w:bookmarkStart w:id="28" w:name="_Toc3745"/>
      <w:bookmarkStart w:id="29" w:name="_Toc15568"/>
      <w:bookmarkStart w:id="30" w:name="_Toc13201"/>
      <w:bookmarkStart w:id="31" w:name="_Toc3799"/>
      <w:r>
        <w:rPr>
          <w:rFonts w:hint="eastAsia"/>
        </w:rPr>
        <w:t>Chapter 2</w:t>
      </w:r>
      <w:r>
        <w:t>.</w:t>
      </w:r>
      <w:r>
        <w:rPr>
          <w:rFonts w:hint="eastAsia"/>
        </w:rPr>
        <w:t xml:space="preserve"> L</w:t>
      </w:r>
      <w:r>
        <w:t xml:space="preserve">iterature </w:t>
      </w:r>
      <w:r>
        <w:rPr>
          <w:rFonts w:hint="eastAsia"/>
        </w:rPr>
        <w:t>R</w:t>
      </w:r>
      <w:r>
        <w:t>eview</w:t>
      </w:r>
      <w:bookmarkEnd w:id="28"/>
      <w:bookmarkEnd w:id="29"/>
      <w:bookmarkEnd w:id="30"/>
      <w:bookmarkEnd w:id="31"/>
    </w:p>
    <w:p w14:paraId="209F58D1">
      <w:pPr>
        <w:pStyle w:val="3"/>
        <w:numPr>
          <w:ilvl w:val="1"/>
          <w:numId w:val="0"/>
        </w:numPr>
        <w:ind w:left="567" w:hanging="567"/>
        <w:rPr>
          <w:bCs/>
          <w:szCs w:val="32"/>
        </w:rPr>
      </w:pPr>
      <w:bookmarkStart w:id="32" w:name="_Toc4414"/>
      <w:bookmarkStart w:id="33" w:name="_Toc13863"/>
      <w:bookmarkStart w:id="34" w:name="_Toc18986"/>
      <w:r>
        <w:rPr>
          <w:rFonts w:hint="eastAsia"/>
          <w:bCs/>
          <w:szCs w:val="32"/>
        </w:rPr>
        <w:t>2</w:t>
      </w:r>
      <w:r>
        <w:rPr>
          <w:bCs/>
          <w:szCs w:val="32"/>
        </w:rPr>
        <w:t>.1</w:t>
      </w:r>
      <w:r>
        <w:rPr>
          <w:rFonts w:hint="eastAsia"/>
          <w:bCs/>
          <w:szCs w:val="32"/>
        </w:rPr>
        <w:t xml:space="preserve"> </w:t>
      </w:r>
      <w:r>
        <w:rPr>
          <w:bCs/>
          <w:szCs w:val="32"/>
        </w:rPr>
        <w:t>The necessity of replacing fuel vehicles with electric vehicles</w:t>
      </w:r>
      <w:bookmarkEnd w:id="32"/>
    </w:p>
    <w:p w14:paraId="1C1F03B3">
      <w:r>
        <w:t>Since the Industrial Revolution, human activities have had a huge negative impact on the earth's environment in terms of resource consumption and pollution. The high overlap between the Anthropocene</w:t>
      </w:r>
      <w:r>
        <w:rPr>
          <w:rFonts w:hint="eastAsia"/>
        </w:rPr>
        <w:t xml:space="preserve"> that start at the end of the 18</w:t>
      </w:r>
      <w:r>
        <w:rPr>
          <w:rFonts w:hint="eastAsia"/>
          <w:vertAlign w:val="superscript"/>
        </w:rPr>
        <w:t>th</w:t>
      </w:r>
      <w:r>
        <w:rPr>
          <w:rFonts w:hint="eastAsia"/>
        </w:rPr>
        <w:t xml:space="preserve"> century</w:t>
      </w:r>
      <w:r>
        <w:t xml:space="preserve"> in geology and the sixth mass extinction</w:t>
      </w:r>
      <w:r>
        <w:rPr>
          <w:rFonts w:hint="eastAsia"/>
        </w:rPr>
        <w:t xml:space="preserve"> that start at the 16</w:t>
      </w:r>
      <w:r>
        <w:rPr>
          <w:rFonts w:hint="eastAsia"/>
          <w:vertAlign w:val="superscript"/>
        </w:rPr>
        <w:t>th</w:t>
      </w:r>
      <w:r>
        <w:rPr>
          <w:rFonts w:hint="eastAsia"/>
        </w:rPr>
        <w:t xml:space="preserve"> century</w:t>
      </w:r>
      <w:r>
        <w:t xml:space="preserve"> in biology proves that humans must do something to maintain the sustainability of the earth's ecosystem from being completely destroyed</w:t>
      </w:r>
      <w:r>
        <w:rPr>
          <w:rFonts w:hint="eastAsia"/>
        </w:rPr>
        <w:t>(</w:t>
      </w:r>
      <w:r>
        <w:rPr>
          <w:rFonts w:cs="Times New Roman"/>
          <w:szCs w:val="24"/>
        </w:rPr>
        <w:t>Ruddiman</w:t>
      </w:r>
      <w:r>
        <w:rPr>
          <w:rFonts w:hint="eastAsia" w:cs="Times New Roman"/>
          <w:szCs w:val="24"/>
        </w:rPr>
        <w:t xml:space="preserve">, 2013; </w:t>
      </w:r>
      <w:r>
        <w:rPr>
          <w:rFonts w:hint="eastAsia"/>
        </w:rPr>
        <w:t>Cowie, 2022)</w:t>
      </w:r>
      <w:r>
        <w:t>. It is obvious that reducing carbon emissions and adopting a more resource-sustainable economic development model are necessary conditions for achieving harmonious coexistence between humans and the natural environment.</w:t>
      </w:r>
    </w:p>
    <w:p w14:paraId="6CDD9F39"/>
    <w:p w14:paraId="0D324C90">
      <w:pPr>
        <w:rPr>
          <w:rFonts w:eastAsia="SimSun" w:cs="Times New Roman"/>
        </w:rPr>
      </w:pPr>
      <w:r>
        <w:rPr>
          <w:rFonts w:eastAsia="SimSun" w:cs="Times New Roman"/>
        </w:rPr>
        <w:t>As the result of Kyoto Protocol</w:t>
      </w:r>
      <w:r>
        <w:rPr>
          <w:rFonts w:hint="eastAsia" w:eastAsia="SimSun" w:cs="Times New Roman"/>
        </w:rPr>
        <w:t xml:space="preserve"> which was signed at 2005</w:t>
      </w:r>
      <w:r>
        <w:rPr>
          <w:rFonts w:eastAsia="SimSun" w:cs="Times New Roman"/>
        </w:rPr>
        <w:t xml:space="preserve"> and many other international agreement about environmental protection</w:t>
      </w:r>
      <w:r>
        <w:rPr>
          <w:rFonts w:hint="eastAsia" w:eastAsia="SimSun" w:cs="Times New Roman"/>
        </w:rPr>
        <w:t xml:space="preserve"> like Copenhagen Accord singed at 2009 and Accord de Paris signed at 2015</w:t>
      </w:r>
      <w:r>
        <w:rPr>
          <w:rFonts w:eastAsia="SimSun" w:cs="Times New Roman"/>
        </w:rPr>
        <w:t xml:space="preserve">, whole world is trying to build a more sustainable and environmental friendly </w:t>
      </w:r>
      <w:r>
        <w:rPr>
          <w:rFonts w:hint="eastAsia" w:eastAsia="SimSun" w:cs="Times New Roman"/>
        </w:rPr>
        <w:t>Earth</w:t>
      </w:r>
      <w:r>
        <w:rPr>
          <w:rFonts w:eastAsia="SimSun" w:cs="Times New Roman"/>
        </w:rPr>
        <w:t xml:space="preserve">. That means less carbon dioxide releasing in </w:t>
      </w:r>
      <w:r>
        <w:rPr>
          <w:rFonts w:hint="eastAsia" w:eastAsia="SimSun" w:cs="Times New Roman"/>
        </w:rPr>
        <w:t>the first half of the 21</w:t>
      </w:r>
      <w:r>
        <w:rPr>
          <w:rFonts w:hint="eastAsia" w:eastAsia="SimSun" w:cs="Times New Roman"/>
          <w:vertAlign w:val="superscript"/>
        </w:rPr>
        <w:t>st</w:t>
      </w:r>
      <w:r>
        <w:rPr>
          <w:rFonts w:hint="eastAsia" w:eastAsia="SimSun" w:cs="Times New Roman"/>
        </w:rPr>
        <w:t xml:space="preserve"> century</w:t>
      </w:r>
      <w:r>
        <w:rPr>
          <w:rFonts w:eastAsia="SimSun" w:cs="Times New Roman"/>
        </w:rPr>
        <w:t xml:space="preserve"> and carbon neutral in </w:t>
      </w:r>
      <w:r>
        <w:rPr>
          <w:rFonts w:hint="eastAsia" w:eastAsia="SimSun" w:cs="Times New Roman"/>
        </w:rPr>
        <w:t>the second half of the 21</w:t>
      </w:r>
      <w:r>
        <w:rPr>
          <w:rFonts w:hint="eastAsia" w:eastAsia="SimSun" w:cs="Times New Roman"/>
          <w:vertAlign w:val="superscript"/>
        </w:rPr>
        <w:t>st</w:t>
      </w:r>
      <w:r>
        <w:rPr>
          <w:rFonts w:hint="eastAsia" w:eastAsia="SimSun" w:cs="Times New Roman"/>
        </w:rPr>
        <w:t xml:space="preserve"> century</w:t>
      </w:r>
      <w:r>
        <w:rPr>
          <w:rFonts w:eastAsia="SimSun" w:cs="Times New Roman"/>
        </w:rPr>
        <w:t xml:space="preserve"> which is a very hard thing to do as the </w:t>
      </w:r>
      <w:r>
        <w:rPr>
          <w:rFonts w:hint="eastAsia" w:eastAsia="SimSun" w:cs="Times New Roman"/>
        </w:rPr>
        <w:t>carbon dioxide</w:t>
      </w:r>
      <w:r>
        <w:rPr>
          <w:rFonts w:eastAsia="SimSun" w:cs="Times New Roman"/>
        </w:rPr>
        <w:t xml:space="preserve"> release</w:t>
      </w:r>
      <w:r>
        <w:rPr>
          <w:rFonts w:hint="eastAsia" w:eastAsia="SimSun" w:cs="Times New Roman"/>
        </w:rPr>
        <w:t>d due to human activity</w:t>
      </w:r>
      <w:r>
        <w:rPr>
          <w:rFonts w:eastAsia="SimSun" w:cs="Times New Roman"/>
        </w:rPr>
        <w:t xml:space="preserve"> last year was 36.8 billion tons（IEA， 2023</w:t>
      </w:r>
      <w:r>
        <w:rPr>
          <w:rFonts w:hint="eastAsia" w:eastAsia="SimSun" w:cs="Times New Roman"/>
        </w:rPr>
        <w:t>)</w:t>
      </w:r>
      <w:r>
        <w:rPr>
          <w:rFonts w:eastAsia="SimSun" w:cs="Times New Roman"/>
        </w:rPr>
        <w:t xml:space="preserve">. So </w:t>
      </w:r>
      <w:r>
        <w:rPr>
          <w:rFonts w:hint="eastAsia" w:eastAsia="SimSun" w:cs="Times New Roman"/>
        </w:rPr>
        <w:t>human as a whole</w:t>
      </w:r>
      <w:r>
        <w:rPr>
          <w:rFonts w:eastAsia="SimSun" w:cs="Times New Roman"/>
        </w:rPr>
        <w:t xml:space="preserve"> have to try very hard to cut </w:t>
      </w:r>
      <w:r>
        <w:rPr>
          <w:rFonts w:hint="eastAsia" w:eastAsia="SimSun" w:cs="Times New Roman"/>
        </w:rPr>
        <w:t>the</w:t>
      </w:r>
      <w:r>
        <w:rPr>
          <w:rFonts w:eastAsia="SimSun" w:cs="Times New Roman"/>
        </w:rPr>
        <w:t xml:space="preserve"> green house gas releasing in every aspects and try not to harm </w:t>
      </w:r>
      <w:r>
        <w:rPr>
          <w:rFonts w:hint="eastAsia" w:eastAsia="SimSun" w:cs="Times New Roman"/>
        </w:rPr>
        <w:t>economic</w:t>
      </w:r>
      <w:r>
        <w:rPr>
          <w:rFonts w:eastAsia="SimSun" w:cs="Times New Roman"/>
        </w:rPr>
        <w:t xml:space="preserve"> growth too much. For that reason if </w:t>
      </w:r>
      <w:r>
        <w:rPr>
          <w:rFonts w:hint="eastAsia" w:eastAsia="SimSun" w:cs="Times New Roman"/>
        </w:rPr>
        <w:t>human as a whole</w:t>
      </w:r>
      <w:r>
        <w:rPr>
          <w:rFonts w:eastAsia="SimSun" w:cs="Times New Roman"/>
        </w:rPr>
        <w:t xml:space="preserve"> can get rid of carbon emission caused by the car, then it will be a critical hit for the object completion. As in 2021, transportation-related emissions of</w:t>
      </w:r>
      <w:r>
        <w:rPr>
          <w:rFonts w:hint="eastAsia" w:eastAsia="SimSun" w:cs="Times New Roman"/>
        </w:rPr>
        <w:t xml:space="preserve"> carbon dioxide was</w:t>
      </w:r>
      <w:r>
        <w:rPr>
          <w:rFonts w:eastAsia="SimSun" w:cs="Times New Roman"/>
        </w:rPr>
        <w:t xml:space="preserve"> </w:t>
      </w:r>
      <w:r>
        <w:rPr>
          <w:rFonts w:hint="eastAsia" w:eastAsia="SimSun" w:cs="Times New Roman"/>
        </w:rPr>
        <w:t>1.74BMT</w:t>
      </w:r>
      <w:r>
        <w:rPr>
          <w:rFonts w:eastAsia="SimSun" w:cs="Times New Roman"/>
        </w:rPr>
        <w:t xml:space="preserve"> which is </w:t>
      </w:r>
      <w:r>
        <w:rPr>
          <w:rFonts w:hint="eastAsia" w:eastAsia="SimSun" w:cs="Times New Roman"/>
        </w:rPr>
        <w:t>38</w:t>
      </w:r>
      <w:r>
        <w:rPr>
          <w:rFonts w:eastAsia="SimSun" w:cs="Times New Roman"/>
        </w:rPr>
        <w:t xml:space="preserve">% of total </w:t>
      </w:r>
      <w:r>
        <w:rPr>
          <w:rFonts w:hint="eastAsia" w:eastAsia="SimSun" w:cs="Times New Roman"/>
        </w:rPr>
        <w:t>5</w:t>
      </w:r>
      <w:r>
        <w:rPr>
          <w:rFonts w:eastAsia="SimSun" w:cs="Times New Roman"/>
        </w:rPr>
        <w:t xml:space="preserve"> billion tons carbon releasing USA had in 2021(Congressional Budget Office, 2021)</w:t>
      </w:r>
      <w:r>
        <w:rPr>
          <w:rFonts w:hint="eastAsia" w:eastAsia="SimSun" w:cs="Times New Roman"/>
        </w:rPr>
        <w:t>.</w:t>
      </w:r>
      <w:r>
        <w:rPr>
          <w:rFonts w:eastAsia="SimSun" w:cs="Times New Roman"/>
        </w:rPr>
        <w:t xml:space="preserve"> In UK this proportion is much </w:t>
      </w:r>
      <w:r>
        <w:rPr>
          <w:rFonts w:hint="eastAsia" w:eastAsia="SimSun" w:cs="Times New Roman"/>
        </w:rPr>
        <w:t>lower</w:t>
      </w:r>
      <w:r>
        <w:rPr>
          <w:rFonts w:eastAsia="SimSun" w:cs="Times New Roman"/>
        </w:rPr>
        <w:t xml:space="preserve"> which is about 14.7% of its 566 million tons carbon releasing in 2017(</w:t>
      </w:r>
      <w:r>
        <w:rPr>
          <w:rFonts w:eastAsia="SimSun" w:cs="Times New Roman"/>
          <w:szCs w:val="24"/>
          <w:lang w:bidi="ar"/>
        </w:rPr>
        <w:t>Rudschies，</w:t>
      </w:r>
      <w:r>
        <w:rPr>
          <w:rFonts w:hint="eastAsia" w:eastAsia="SimSun" w:cs="Times New Roman"/>
          <w:szCs w:val="24"/>
          <w:lang w:bidi="ar"/>
        </w:rPr>
        <w:t>2</w:t>
      </w:r>
      <w:r>
        <w:rPr>
          <w:rFonts w:eastAsia="SimSun" w:cs="Times New Roman"/>
          <w:szCs w:val="24"/>
          <w:lang w:bidi="ar"/>
        </w:rPr>
        <w:t>024</w:t>
      </w:r>
      <w:r>
        <w:rPr>
          <w:rFonts w:eastAsia="SimSun" w:cs="Times New Roman"/>
        </w:rPr>
        <w:t>).</w:t>
      </w:r>
    </w:p>
    <w:p w14:paraId="5DAFF7B8">
      <w:pPr>
        <w:rPr>
          <w:b/>
          <w:bCs/>
          <w:sz w:val="32"/>
          <w:szCs w:val="32"/>
        </w:rPr>
      </w:pPr>
    </w:p>
    <w:p w14:paraId="42BF2BA7">
      <w:r>
        <w:t>In addition to efforts in climate sustainability for environmental purposes, resource sustainability are also essential to maintaining modern human life.</w:t>
      </w:r>
      <w:r>
        <w:rPr>
          <w:rFonts w:hint="eastAsia"/>
        </w:rPr>
        <w:t xml:space="preserve"> According to Gioietta Kuo</w:t>
      </w:r>
      <w:r>
        <w:t>’</w:t>
      </w:r>
      <w:r>
        <w:rPr>
          <w:rFonts w:hint="eastAsia"/>
        </w:rPr>
        <w:t>s report at 2019 , that human society as a whole could run out of petrol as early as 2052 .This means that finding a source of vehicle energy that can replace petrol has become a necessary condition for continuing to maintain convenient transportation and modern life built on this basis within 21</w:t>
      </w:r>
      <w:r>
        <w:rPr>
          <w:rFonts w:hint="eastAsia"/>
          <w:vertAlign w:val="superscript"/>
        </w:rPr>
        <w:t>st</w:t>
      </w:r>
      <w:r>
        <w:rPr>
          <w:rFonts w:hint="eastAsia"/>
        </w:rPr>
        <w:t xml:space="preserve"> century.</w:t>
      </w:r>
    </w:p>
    <w:p w14:paraId="3AFA8F64"/>
    <w:p w14:paraId="395BD47B">
      <w:pPr>
        <w:pStyle w:val="3"/>
        <w:numPr>
          <w:ilvl w:val="1"/>
          <w:numId w:val="0"/>
        </w:numPr>
        <w:ind w:left="567" w:hanging="567"/>
        <w:rPr>
          <w:bCs/>
          <w:szCs w:val="32"/>
        </w:rPr>
      </w:pPr>
      <w:bookmarkStart w:id="35" w:name="_Toc17446"/>
      <w:r>
        <w:rPr>
          <w:rFonts w:hint="eastAsia"/>
          <w:bCs/>
          <w:szCs w:val="32"/>
        </w:rPr>
        <w:t>2</w:t>
      </w:r>
      <w:r>
        <w:rPr>
          <w:bCs/>
          <w:szCs w:val="32"/>
        </w:rPr>
        <w:t>.2</w:t>
      </w:r>
      <w:r>
        <w:rPr>
          <w:rFonts w:hint="eastAsia"/>
          <w:bCs/>
          <w:szCs w:val="32"/>
        </w:rPr>
        <w:t xml:space="preserve"> </w:t>
      </w:r>
      <w:r>
        <w:rPr>
          <w:bCs/>
          <w:szCs w:val="32"/>
        </w:rPr>
        <w:t>Reliability and Economical</w:t>
      </w:r>
      <w:bookmarkEnd w:id="33"/>
      <w:bookmarkEnd w:id="34"/>
      <w:bookmarkEnd w:id="35"/>
    </w:p>
    <w:p w14:paraId="12F354C5">
      <w:pPr>
        <w:rPr>
          <w:rFonts w:cs="Times New Roman"/>
        </w:rPr>
      </w:pPr>
      <w:r>
        <w:rPr>
          <w:rFonts w:cs="Times New Roman"/>
        </w:rPr>
        <w:t>Reliability and economy are two core factors in vehicle use costs. The cost savings of highly reliable vehicles are not only reflected in reduced maintenance costs. More importantly, the longer trouble-free period and lower risk of encountering risks in emergency situations of highly reliable vehicles enable users of these vehicles to obtain more positive externality by owning vehicles</w:t>
      </w:r>
      <w:r>
        <w:rPr>
          <w:rFonts w:hint="eastAsia" w:cs="Times New Roman"/>
        </w:rPr>
        <w:t>(Farkas,2014)</w:t>
      </w:r>
      <w:r>
        <w:rPr>
          <w:rFonts w:cs="Times New Roman"/>
        </w:rPr>
        <w:t>. But reliability is often inversely related to cost. Generally speaking, higher cost leads to higher reliability</w:t>
      </w:r>
      <w:r>
        <w:rPr>
          <w:rFonts w:hint="eastAsia" w:cs="Times New Roman"/>
        </w:rPr>
        <w:t>(Murthy, 1990)</w:t>
      </w:r>
      <w:r>
        <w:rPr>
          <w:rFonts w:cs="Times New Roman"/>
        </w:rPr>
        <w:t xml:space="preserve">. So </w:t>
      </w:r>
      <w:r>
        <w:rPr>
          <w:rFonts w:hint="eastAsia" w:cs="Times New Roman"/>
        </w:rPr>
        <w:t>in most condition</w:t>
      </w:r>
      <w:r>
        <w:rPr>
          <w:rFonts w:cs="Times New Roman"/>
        </w:rPr>
        <w:t>,</w:t>
      </w:r>
      <w:r>
        <w:rPr>
          <w:rFonts w:hint="eastAsia" w:cs="Times New Roman"/>
        </w:rPr>
        <w:t xml:space="preserve"> car making companies</w:t>
      </w:r>
      <w:r>
        <w:rPr>
          <w:rFonts w:cs="Times New Roman"/>
        </w:rPr>
        <w:t xml:space="preserve"> need to find a balance between reliability and economy. Only in the most ideal situation </w:t>
      </w:r>
      <w:r>
        <w:rPr>
          <w:rFonts w:hint="eastAsia" w:cs="Times New Roman"/>
        </w:rPr>
        <w:t>that</w:t>
      </w:r>
      <w:r>
        <w:rPr>
          <w:rFonts w:cs="Times New Roman"/>
        </w:rPr>
        <w:t xml:space="preserve"> both reliability and economy</w:t>
      </w:r>
      <w:r>
        <w:rPr>
          <w:rFonts w:hint="eastAsia" w:cs="Times New Roman"/>
        </w:rPr>
        <w:t xml:space="preserve"> can be achieved</w:t>
      </w:r>
      <w:r>
        <w:rPr>
          <w:rFonts w:cs="Times New Roman"/>
        </w:rPr>
        <w:t xml:space="preserve"> at the same time.</w:t>
      </w:r>
    </w:p>
    <w:p w14:paraId="1C07B421">
      <w:pPr>
        <w:rPr>
          <w:rFonts w:cs="Times New Roman"/>
        </w:rPr>
      </w:pPr>
    </w:p>
    <w:p w14:paraId="6E96100E">
      <w:pPr>
        <w:rPr>
          <w:rFonts w:cs="Times New Roman"/>
        </w:rPr>
      </w:pPr>
      <w:r>
        <w:rPr>
          <w:rFonts w:cs="Times New Roman"/>
        </w:rPr>
        <w:t>The reliability of electric vehicles compared to traditional</w:t>
      </w:r>
      <w:r>
        <w:rPr>
          <w:rFonts w:hint="eastAsia" w:cs="Times New Roman"/>
        </w:rPr>
        <w:t xml:space="preserve"> petrol-</w:t>
      </w:r>
      <w:r>
        <w:rPr>
          <w:rFonts w:cs="Times New Roman"/>
        </w:rPr>
        <w:t>powered cars has long been a point of contention between supporters of both types of vehicles</w:t>
      </w:r>
      <w:r>
        <w:rPr>
          <w:rFonts w:hint="eastAsia" w:cs="Times New Roman"/>
        </w:rPr>
        <w:t>(Wilken, 2020)</w:t>
      </w:r>
      <w:r>
        <w:rPr>
          <w:rFonts w:cs="Times New Roman"/>
        </w:rPr>
        <w:t>. EVs</w:t>
      </w:r>
      <w:r>
        <w:rPr>
          <w:rFonts w:hint="eastAsia" w:cs="Times New Roman"/>
        </w:rPr>
        <w:t>(Electric vehicles)</w:t>
      </w:r>
      <w:r>
        <w:rPr>
          <w:rFonts w:cs="Times New Roman"/>
        </w:rPr>
        <w:t>, such as those produced by BYD, are often touted for their lower maintenance needs due to fewer moving parts compared to internal combustion engine (ICE) vehicles. Studies</w:t>
      </w:r>
      <w:r>
        <w:rPr>
          <w:rFonts w:hint="eastAsia" w:cs="Times New Roman"/>
        </w:rPr>
        <w:t xml:space="preserve"> carried by IEE</w:t>
      </w:r>
      <w:r>
        <w:rPr>
          <w:rFonts w:cs="Times New Roman"/>
        </w:rPr>
        <w:t xml:space="preserve"> indicate</w:t>
      </w:r>
      <w:r>
        <w:rPr>
          <w:rFonts w:hint="eastAsia" w:cs="Times New Roman"/>
        </w:rPr>
        <w:t>d</w:t>
      </w:r>
      <w:r>
        <w:rPr>
          <w:rFonts w:cs="Times New Roman"/>
        </w:rPr>
        <w:t xml:space="preserve"> that EVs have fewer mechanical failures and require less frequent servicing. BYD's models, for instance, have shown robust performance in terms of battery life and overall vehicle durability</w:t>
      </w:r>
      <w:r>
        <w:rPr>
          <w:rFonts w:hint="eastAsia" w:cs="Times New Roman"/>
        </w:rPr>
        <w:t>(Negarestani, 2012)</w:t>
      </w:r>
      <w:r>
        <w:rPr>
          <w:rFonts w:cs="Times New Roman"/>
        </w:rPr>
        <w:t>.</w:t>
      </w:r>
      <w:r>
        <w:rPr>
          <w:rFonts w:hint="eastAsia" w:cs="Times New Roman"/>
        </w:rPr>
        <w:t xml:space="preserve"> </w:t>
      </w:r>
    </w:p>
    <w:p w14:paraId="0DF2E086">
      <w:pPr>
        <w:rPr>
          <w:rFonts w:cs="Times New Roman"/>
        </w:rPr>
      </w:pPr>
    </w:p>
    <w:p w14:paraId="399C3CD6">
      <w:pPr>
        <w:rPr>
          <w:rFonts w:cs="Times New Roman"/>
        </w:rPr>
      </w:pPr>
      <w:r>
        <w:rPr>
          <w:rFonts w:cs="Times New Roman"/>
        </w:rPr>
        <w:t>Ford's conventional fuel vehicles were once the benchmark for reliability in the automotive industry. However, issues such as engine and transmission problems still pose challenges.</w:t>
      </w:r>
      <w:r>
        <w:rPr>
          <w:rFonts w:hint="eastAsia" w:cs="Times New Roman"/>
        </w:rPr>
        <w:t xml:space="preserve"> According to Seo and Seo 2024, the Ford 1.0 Ecoboost engine, which is used in more than a dozen different Ford vehicles, has been subject to several recalls. Coincidentally, according to Mulach's 2024 report, Ford's Australian users with a Ford F150 also reported abnormal failures in the transmission system. This led to two recalls with a waiting period of up to eight months. And this is not even the first time that Ford vehicles have had such serious problems in Australia.</w:t>
      </w:r>
      <w:r>
        <w:rPr>
          <w:rFonts w:cs="Times New Roman"/>
        </w:rPr>
        <w:t xml:space="preserve"> According to the figures provide by the ADAC, 2020 model-year TESLA Model 3 have a 0.11% rate of broke down which is only 1/6 of its fuel power competitor. The whole green power car industry defeat it traditional power competitor by a 0.49% failure rate over 0.69% failure rate(Rudschies, 2024).</w:t>
      </w:r>
      <w:r>
        <w:rPr>
          <w:rFonts w:hint="eastAsia" w:cs="Times New Roman"/>
        </w:rPr>
        <w:t xml:space="preserve"> The reliability performance of BYD's vehicles is even better than that of Tesla(Stone, 2024).</w:t>
      </w:r>
    </w:p>
    <w:p w14:paraId="39D6B483">
      <w:pPr>
        <w:rPr>
          <w:rFonts w:cs="Times New Roman"/>
        </w:rPr>
      </w:pPr>
    </w:p>
    <w:p w14:paraId="7CD7C61A">
      <w:pPr>
        <w:rPr>
          <w:rFonts w:cs="Times New Roman"/>
        </w:rPr>
      </w:pPr>
      <w:r>
        <w:rPr>
          <w:rFonts w:cs="Times New Roman"/>
        </w:rPr>
        <w:t>The market</w:t>
      </w:r>
      <w:r>
        <w:rPr>
          <w:rFonts w:hint="eastAsia" w:cs="Times New Roman"/>
        </w:rPr>
        <w:t xml:space="preserve"> price</w:t>
      </w:r>
      <w:r>
        <w:rPr>
          <w:rFonts w:cs="Times New Roman"/>
        </w:rPr>
        <w:t xml:space="preserve"> of the conventional fueled cars and EV are very different in different markets. It is a number affected by multiple factors like taxes,</w:t>
      </w:r>
      <w:r>
        <w:rPr>
          <w:rFonts w:hint="eastAsia" w:cs="Times New Roman"/>
        </w:rPr>
        <w:t xml:space="preserve"> government</w:t>
      </w:r>
      <w:r>
        <w:rPr>
          <w:rFonts w:cs="Times New Roman"/>
        </w:rPr>
        <w:t xml:space="preserve"> subsidy, </w:t>
      </w:r>
      <w:r>
        <w:rPr>
          <w:rFonts w:hint="eastAsia" w:cs="Times New Roman"/>
        </w:rPr>
        <w:t>manufacturing</w:t>
      </w:r>
      <w:r>
        <w:rPr>
          <w:rFonts w:cs="Times New Roman"/>
        </w:rPr>
        <w:t xml:space="preserve"> cost</w:t>
      </w:r>
      <w:r>
        <w:rPr>
          <w:rFonts w:hint="eastAsia" w:cs="Times New Roman"/>
        </w:rPr>
        <w:t>s</w:t>
      </w:r>
      <w:r>
        <w:rPr>
          <w:rFonts w:cs="Times New Roman"/>
        </w:rPr>
        <w:t xml:space="preserve"> and</w:t>
      </w:r>
      <w:r>
        <w:rPr>
          <w:rFonts w:hint="eastAsia" w:cs="Times New Roman"/>
        </w:rPr>
        <w:t xml:space="preserve"> the</w:t>
      </w:r>
      <w:r>
        <w:rPr>
          <w:rFonts w:cs="Times New Roman"/>
        </w:rPr>
        <w:t xml:space="preserve"> cost of sales. The direct result of that is the price of same cars can vary a lot in different markets.</w:t>
      </w:r>
      <w:r>
        <w:rPr>
          <w:rFonts w:hint="eastAsia" w:cs="Times New Roman"/>
        </w:rPr>
        <w:t>(See figure 1)</w:t>
      </w:r>
      <w:r>
        <w:rPr>
          <w:rFonts w:cs="Times New Roman"/>
        </w:rPr>
        <w:t xml:space="preserve"> </w:t>
      </w:r>
      <w:r>
        <w:rPr>
          <w:rFonts w:hint="eastAsia" w:cs="Times New Roman"/>
        </w:rPr>
        <w:t>It</w:t>
      </w:r>
      <w:r>
        <w:rPr>
          <w:rFonts w:cs="Times New Roman"/>
        </w:rPr>
        <w:t xml:space="preserve"> can</w:t>
      </w:r>
      <w:r>
        <w:rPr>
          <w:rFonts w:hint="eastAsia" w:cs="Times New Roman"/>
        </w:rPr>
        <w:t xml:space="preserve"> be</w:t>
      </w:r>
      <w:r>
        <w:rPr>
          <w:rFonts w:cs="Times New Roman"/>
        </w:rPr>
        <w:t xml:space="preserve"> see</w:t>
      </w:r>
      <w:r>
        <w:rPr>
          <w:rFonts w:hint="eastAsia" w:cs="Times New Roman"/>
        </w:rPr>
        <w:t>n</w:t>
      </w:r>
      <w:r>
        <w:rPr>
          <w:rFonts w:cs="Times New Roman"/>
        </w:rPr>
        <w:t xml:space="preserve"> that in UK a</w:t>
      </w:r>
      <w:r>
        <w:rPr>
          <w:rFonts w:hint="eastAsia" w:cs="Times New Roman"/>
        </w:rPr>
        <w:t>n</w:t>
      </w:r>
      <w:r>
        <w:rPr>
          <w:rFonts w:cs="Times New Roman"/>
        </w:rPr>
        <w:t xml:space="preserve"> EV is much more expensive than the same conventional powered vehicles of the same type. From the financial report, </w:t>
      </w:r>
      <w:r>
        <w:rPr>
          <w:rFonts w:hint="eastAsia" w:cs="Times New Roman"/>
        </w:rPr>
        <w:t>it</w:t>
      </w:r>
      <w:r>
        <w:rPr>
          <w:rFonts w:cs="Times New Roman"/>
        </w:rPr>
        <w:t xml:space="preserve"> can</w:t>
      </w:r>
      <w:r>
        <w:rPr>
          <w:rFonts w:hint="eastAsia" w:cs="Times New Roman"/>
        </w:rPr>
        <w:t xml:space="preserve"> been</w:t>
      </w:r>
      <w:r>
        <w:rPr>
          <w:rFonts w:cs="Times New Roman"/>
        </w:rPr>
        <w:t xml:space="preserve"> see</w:t>
      </w:r>
      <w:r>
        <w:rPr>
          <w:rFonts w:hint="eastAsia" w:cs="Times New Roman"/>
        </w:rPr>
        <w:t>n</w:t>
      </w:r>
      <w:r>
        <w:rPr>
          <w:rFonts w:cs="Times New Roman"/>
        </w:rPr>
        <w:t xml:space="preserve"> that the Chinese government’s subsidies to BYD will no longer appear in the financial report after 2021 financial report. On the other hand, it has been confirmed from </w:t>
      </w:r>
      <w:r>
        <w:rPr>
          <w:rFonts w:hint="eastAsia" w:cs="Times New Roman"/>
        </w:rPr>
        <w:t>both news media and government website</w:t>
      </w:r>
      <w:r>
        <w:rPr>
          <w:rFonts w:cs="Times New Roman"/>
        </w:rPr>
        <w:t xml:space="preserve"> that the Chinese government stopped</w:t>
      </w:r>
      <w:r>
        <w:rPr>
          <w:rFonts w:hint="eastAsia" w:cs="Times New Roman"/>
        </w:rPr>
        <w:t xml:space="preserve"> using government</w:t>
      </w:r>
      <w:r>
        <w:rPr>
          <w:rFonts w:cs="Times New Roman"/>
        </w:rPr>
        <w:t xml:space="preserve"> purchasing</w:t>
      </w:r>
      <w:r>
        <w:rPr>
          <w:rFonts w:hint="eastAsia" w:cs="Times New Roman"/>
        </w:rPr>
        <w:t xml:space="preserve"> as a kind of</w:t>
      </w:r>
      <w:r>
        <w:rPr>
          <w:rFonts w:cs="Times New Roman"/>
        </w:rPr>
        <w:t xml:space="preserve"> subsidies for new energy vehicles on the last day of 2022(BBC News </w:t>
      </w:r>
      <w:r>
        <w:rPr>
          <w:rFonts w:hint="eastAsia" w:cs="Times New Roman"/>
        </w:rPr>
        <w:t>Chinese</w:t>
      </w:r>
      <w:r>
        <w:rPr>
          <w:rFonts w:cs="Times New Roman"/>
        </w:rPr>
        <w:t>, 2023b)(</w:t>
      </w:r>
      <w:r>
        <w:rPr>
          <w:rFonts w:hint="eastAsia" w:cs="Times New Roman"/>
        </w:rPr>
        <w:t>Yu Shan</w:t>
      </w:r>
      <w:r>
        <w:rPr>
          <w:rFonts w:cs="Times New Roman"/>
        </w:rPr>
        <w:t xml:space="preserve">, n.d.-b). So </w:t>
      </w:r>
      <w:r>
        <w:rPr>
          <w:rFonts w:hint="eastAsia" w:cs="Times New Roman"/>
        </w:rPr>
        <w:t>the hypothesis</w:t>
      </w:r>
      <w:r>
        <w:rPr>
          <w:rFonts w:cs="Times New Roman"/>
        </w:rPr>
        <w:t xml:space="preserve"> that the reason EV are cheaper than conventional fueled car in China is due to the reason that it can generate enough profit in a lower price</w:t>
      </w:r>
      <w:r>
        <w:rPr>
          <w:rFonts w:hint="eastAsia" w:cs="Times New Roman"/>
        </w:rPr>
        <w:t xml:space="preserve"> is proved</w:t>
      </w:r>
      <w:r>
        <w:rPr>
          <w:rFonts w:cs="Times New Roman"/>
        </w:rPr>
        <w:t>. While at same time, UK have a 10% tariffs against all the imported vehicles, and they are going to raise that tariff to 17.4% for all the vehicles produced by BYD in the near future(Roberts, 2024b)(Bloomberg - Are You a Robot?, 2023b). While at same time, since Ford have two major manufacturing sites in the UK, it does not suffer the tariff influence. That also help Ford save about ₤1</w:t>
      </w:r>
      <w:r>
        <w:rPr>
          <w:rFonts w:hint="eastAsia" w:cs="Times New Roman"/>
        </w:rPr>
        <w:t>,</w:t>
      </w:r>
      <w:r>
        <w:rPr>
          <w:rFonts w:cs="Times New Roman"/>
        </w:rPr>
        <w:t>6</w:t>
      </w:r>
      <w:r>
        <w:rPr>
          <w:rFonts w:hint="eastAsia" w:cs="Times New Roman"/>
        </w:rPr>
        <w:t>00</w:t>
      </w:r>
      <w:r>
        <w:rPr>
          <w:rFonts w:cs="Times New Roman"/>
        </w:rPr>
        <w:t xml:space="preserve"> to ₤2</w:t>
      </w:r>
      <w:r>
        <w:rPr>
          <w:rFonts w:hint="eastAsia" w:cs="Times New Roman"/>
        </w:rPr>
        <w:t>,</w:t>
      </w:r>
      <w:r>
        <w:rPr>
          <w:rFonts w:cs="Times New Roman"/>
        </w:rPr>
        <w:t>8</w:t>
      </w:r>
      <w:r>
        <w:rPr>
          <w:rFonts w:hint="eastAsia" w:cs="Times New Roman"/>
        </w:rPr>
        <w:t>00</w:t>
      </w:r>
      <w:r>
        <w:rPr>
          <w:rFonts w:cs="Times New Roman"/>
        </w:rPr>
        <w:t xml:space="preserve"> shipping cost(Sky &amp; Sky, 2024b).That two difference explains most of the price difference. </w:t>
      </w:r>
    </w:p>
    <w:p w14:paraId="7CD7BC57">
      <w:pPr>
        <w:jc w:val="center"/>
        <w:rPr>
          <w:rFonts w:cs="Times New Roman"/>
        </w:rPr>
      </w:pPr>
      <w:r>
        <w:rPr>
          <w:rFonts w:hint="eastAsia" w:cs="Times New Roman"/>
        </w:rPr>
        <w:t>Figure 1:</w:t>
      </w:r>
      <w:r>
        <w:rPr>
          <w:rFonts w:cs="Times New Roman"/>
        </w:rPr>
        <w:t>Ford SUV and BYD SUV price comparison</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14:paraId="1B5389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7B616132">
            <w:pPr>
              <w:rPr>
                <w:rFonts w:cs="Times New Roman"/>
              </w:rPr>
            </w:pPr>
          </w:p>
        </w:tc>
        <w:tc>
          <w:tcPr>
            <w:tcW w:w="2841" w:type="dxa"/>
          </w:tcPr>
          <w:p w14:paraId="61DAA449">
            <w:pPr>
              <w:rPr>
                <w:rFonts w:cs="Times New Roman"/>
              </w:rPr>
            </w:pPr>
            <w:r>
              <w:rPr>
                <w:rFonts w:cs="Times New Roman"/>
              </w:rPr>
              <w:t>BYD Seal</w:t>
            </w:r>
            <w:r>
              <w:rPr>
                <w:rFonts w:hint="eastAsia" w:cs="Times New Roman"/>
              </w:rPr>
              <w:t>/Dolphin</w:t>
            </w:r>
          </w:p>
        </w:tc>
        <w:tc>
          <w:tcPr>
            <w:tcW w:w="2841" w:type="dxa"/>
          </w:tcPr>
          <w:p w14:paraId="1BDD7EBB">
            <w:pPr>
              <w:rPr>
                <w:rFonts w:cs="Times New Roman"/>
              </w:rPr>
            </w:pPr>
            <w:r>
              <w:rPr>
                <w:rFonts w:cs="Times New Roman"/>
              </w:rPr>
              <w:t>Ford escape</w:t>
            </w:r>
          </w:p>
        </w:tc>
      </w:tr>
      <w:tr w14:paraId="49EF21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6EC43FDF">
            <w:pPr>
              <w:rPr>
                <w:rFonts w:cs="Times New Roman"/>
              </w:rPr>
            </w:pPr>
            <w:r>
              <w:rPr>
                <w:rFonts w:hint="eastAsia" w:cs="Times New Roman"/>
              </w:rPr>
              <w:t>Price in China</w:t>
            </w:r>
          </w:p>
        </w:tc>
        <w:tc>
          <w:tcPr>
            <w:tcW w:w="2841" w:type="dxa"/>
          </w:tcPr>
          <w:p w14:paraId="79D34AFD">
            <w:pPr>
              <w:jc w:val="left"/>
              <w:rPr>
                <w:rFonts w:cs="Times New Roman"/>
              </w:rPr>
            </w:pPr>
            <w:r>
              <w:rPr>
                <w:rFonts w:ascii="Calibri" w:hAnsi="Calibri" w:cs="Calibri"/>
                <w:sz w:val="21"/>
                <w:szCs w:val="20"/>
              </w:rPr>
              <w:t>¥</w:t>
            </w:r>
            <w:r>
              <w:rPr>
                <w:rFonts w:cs="Times New Roman"/>
                <w:sz w:val="21"/>
                <w:szCs w:val="20"/>
              </w:rPr>
              <w:t>149</w:t>
            </w:r>
            <w:r>
              <w:rPr>
                <w:rFonts w:hint="eastAsia" w:cs="Times New Roman"/>
                <w:sz w:val="21"/>
                <w:szCs w:val="20"/>
              </w:rPr>
              <w:t>,</w:t>
            </w:r>
            <w:r>
              <w:rPr>
                <w:rFonts w:cs="Times New Roman"/>
                <w:sz w:val="21"/>
                <w:szCs w:val="20"/>
              </w:rPr>
              <w:t>8</w:t>
            </w:r>
            <w:r>
              <w:rPr>
                <w:rFonts w:hint="eastAsia" w:cs="Times New Roman"/>
                <w:sz w:val="21"/>
                <w:szCs w:val="20"/>
              </w:rPr>
              <w:t>00</w:t>
            </w:r>
            <w:r>
              <w:rPr>
                <w:rFonts w:cs="Times New Roman"/>
                <w:sz w:val="21"/>
                <w:szCs w:val="20"/>
              </w:rPr>
              <w:t xml:space="preserve">  to </w:t>
            </w:r>
            <w:r>
              <w:rPr>
                <w:rFonts w:ascii="Calibri" w:hAnsi="Calibri" w:cs="Calibri"/>
                <w:sz w:val="21"/>
                <w:szCs w:val="20"/>
              </w:rPr>
              <w:t>¥</w:t>
            </w:r>
            <w:r>
              <w:rPr>
                <w:rFonts w:cs="Times New Roman"/>
                <w:sz w:val="21"/>
                <w:szCs w:val="20"/>
              </w:rPr>
              <w:t>289</w:t>
            </w:r>
            <w:r>
              <w:rPr>
                <w:rFonts w:hint="eastAsia" w:cs="Times New Roman"/>
                <w:sz w:val="21"/>
                <w:szCs w:val="20"/>
              </w:rPr>
              <w:t>,</w:t>
            </w:r>
            <w:r>
              <w:rPr>
                <w:rFonts w:cs="Times New Roman"/>
                <w:sz w:val="21"/>
                <w:szCs w:val="20"/>
              </w:rPr>
              <w:t>8</w:t>
            </w:r>
            <w:r>
              <w:rPr>
                <w:rFonts w:hint="eastAsia" w:cs="Times New Roman"/>
                <w:sz w:val="21"/>
                <w:szCs w:val="20"/>
              </w:rPr>
              <w:t>00 (</w:t>
            </w:r>
            <w:r>
              <w:rPr>
                <w:rFonts w:cs="Times New Roman"/>
                <w:sz w:val="21"/>
                <w:szCs w:val="20"/>
              </w:rPr>
              <w:t>₤16</w:t>
            </w:r>
            <w:r>
              <w:rPr>
                <w:rFonts w:hint="eastAsia" w:cs="Times New Roman"/>
                <w:sz w:val="21"/>
                <w:szCs w:val="20"/>
              </w:rPr>
              <w:t>,</w:t>
            </w:r>
            <w:r>
              <w:rPr>
                <w:rFonts w:cs="Times New Roman"/>
                <w:sz w:val="21"/>
                <w:szCs w:val="20"/>
              </w:rPr>
              <w:t>3</w:t>
            </w:r>
            <w:r>
              <w:rPr>
                <w:rFonts w:hint="eastAsia" w:cs="Times New Roman"/>
                <w:sz w:val="21"/>
                <w:szCs w:val="20"/>
              </w:rPr>
              <w:t>00</w:t>
            </w:r>
            <w:r>
              <w:rPr>
                <w:rFonts w:cs="Times New Roman"/>
                <w:sz w:val="21"/>
                <w:szCs w:val="20"/>
              </w:rPr>
              <w:t xml:space="preserve"> to ₤31</w:t>
            </w:r>
            <w:r>
              <w:rPr>
                <w:rFonts w:hint="eastAsia" w:cs="Times New Roman"/>
                <w:sz w:val="21"/>
                <w:szCs w:val="20"/>
              </w:rPr>
              <w:t>,</w:t>
            </w:r>
            <w:r>
              <w:rPr>
                <w:rFonts w:cs="Times New Roman"/>
                <w:sz w:val="21"/>
                <w:szCs w:val="20"/>
              </w:rPr>
              <w:t>5</w:t>
            </w:r>
            <w:r>
              <w:rPr>
                <w:rFonts w:hint="eastAsia" w:cs="Times New Roman"/>
                <w:sz w:val="21"/>
                <w:szCs w:val="20"/>
              </w:rPr>
              <w:t>00)</w:t>
            </w:r>
          </w:p>
        </w:tc>
        <w:tc>
          <w:tcPr>
            <w:tcW w:w="2841" w:type="dxa"/>
          </w:tcPr>
          <w:p w14:paraId="39F0CB37">
            <w:pPr>
              <w:rPr>
                <w:rFonts w:cs="Times New Roman"/>
              </w:rPr>
            </w:pPr>
            <w:r>
              <w:rPr>
                <w:rFonts w:ascii="Calibri" w:hAnsi="Calibri" w:cs="Calibri"/>
              </w:rPr>
              <w:t>¥</w:t>
            </w:r>
            <w:r>
              <w:rPr>
                <w:rFonts w:cs="Times New Roman"/>
              </w:rPr>
              <w:t>169</w:t>
            </w:r>
            <w:r>
              <w:rPr>
                <w:rFonts w:hint="eastAsia" w:cs="Times New Roman"/>
              </w:rPr>
              <w:t>,</w:t>
            </w:r>
            <w:r>
              <w:rPr>
                <w:rFonts w:cs="Times New Roman"/>
              </w:rPr>
              <w:t>8</w:t>
            </w:r>
            <w:r>
              <w:rPr>
                <w:rFonts w:hint="eastAsia" w:cs="Times New Roman"/>
              </w:rPr>
              <w:t>00</w:t>
            </w:r>
            <w:r>
              <w:rPr>
                <w:rFonts w:cs="Times New Roman"/>
              </w:rPr>
              <w:t xml:space="preserve"> to </w:t>
            </w:r>
            <w:r>
              <w:rPr>
                <w:rFonts w:ascii="Calibri" w:hAnsi="Calibri" w:cs="Calibri"/>
              </w:rPr>
              <w:t>¥</w:t>
            </w:r>
            <w:r>
              <w:rPr>
                <w:rFonts w:cs="Times New Roman"/>
              </w:rPr>
              <w:t>221</w:t>
            </w:r>
            <w:r>
              <w:rPr>
                <w:rFonts w:hint="eastAsia" w:cs="Times New Roman"/>
              </w:rPr>
              <w:t>,</w:t>
            </w:r>
            <w:r>
              <w:rPr>
                <w:rFonts w:cs="Times New Roman"/>
              </w:rPr>
              <w:t>8</w:t>
            </w:r>
            <w:r>
              <w:rPr>
                <w:rFonts w:hint="eastAsia" w:cs="Times New Roman"/>
              </w:rPr>
              <w:t>00</w:t>
            </w:r>
          </w:p>
          <w:p w14:paraId="65B0C7D5">
            <w:pPr>
              <w:rPr>
                <w:rFonts w:cs="Times New Roman"/>
              </w:rPr>
            </w:pPr>
            <w:r>
              <w:rPr>
                <w:rFonts w:hint="eastAsia" w:cs="Times New Roman"/>
              </w:rPr>
              <w:t>(</w:t>
            </w:r>
            <w:r>
              <w:rPr>
                <w:rFonts w:cs="Times New Roman"/>
              </w:rPr>
              <w:t xml:space="preserve"> ₤18</w:t>
            </w:r>
            <w:r>
              <w:rPr>
                <w:rFonts w:hint="eastAsia" w:cs="Times New Roman"/>
              </w:rPr>
              <w:t>,</w:t>
            </w:r>
            <w:r>
              <w:rPr>
                <w:rFonts w:cs="Times New Roman"/>
              </w:rPr>
              <w:t>5</w:t>
            </w:r>
            <w:r>
              <w:rPr>
                <w:rFonts w:hint="eastAsia" w:cs="Times New Roman"/>
              </w:rPr>
              <w:t>00</w:t>
            </w:r>
            <w:r>
              <w:rPr>
                <w:rFonts w:cs="Times New Roman"/>
              </w:rPr>
              <w:t xml:space="preserve"> to ₤24</w:t>
            </w:r>
            <w:r>
              <w:rPr>
                <w:rFonts w:hint="eastAsia" w:cs="Times New Roman"/>
              </w:rPr>
              <w:t>,</w:t>
            </w:r>
            <w:r>
              <w:rPr>
                <w:rFonts w:cs="Times New Roman"/>
              </w:rPr>
              <w:t>1</w:t>
            </w:r>
            <w:r>
              <w:rPr>
                <w:rFonts w:hint="eastAsia" w:cs="Times New Roman"/>
              </w:rPr>
              <w:t>00)</w:t>
            </w:r>
          </w:p>
        </w:tc>
      </w:tr>
      <w:tr w14:paraId="24ACC8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75F1879F">
            <w:pPr>
              <w:rPr>
                <w:rFonts w:cs="Times New Roman"/>
              </w:rPr>
            </w:pPr>
            <w:r>
              <w:rPr>
                <w:rFonts w:hint="eastAsia" w:cs="Times New Roman"/>
              </w:rPr>
              <w:t>Price in UK</w:t>
            </w:r>
          </w:p>
        </w:tc>
        <w:tc>
          <w:tcPr>
            <w:tcW w:w="2841" w:type="dxa"/>
          </w:tcPr>
          <w:p w14:paraId="4DECD526">
            <w:pPr>
              <w:rPr>
                <w:rFonts w:cs="Times New Roman"/>
              </w:rPr>
            </w:pPr>
            <w:r>
              <w:rPr>
                <w:rFonts w:cs="Times New Roman"/>
              </w:rPr>
              <w:t>₤30</w:t>
            </w:r>
            <w:r>
              <w:rPr>
                <w:rFonts w:hint="eastAsia" w:cs="Times New Roman"/>
              </w:rPr>
              <w:t>,</w:t>
            </w:r>
            <w:r>
              <w:rPr>
                <w:rFonts w:cs="Times New Roman"/>
              </w:rPr>
              <w:t>2</w:t>
            </w:r>
            <w:r>
              <w:rPr>
                <w:rFonts w:hint="eastAsia" w:cs="Times New Roman"/>
              </w:rPr>
              <w:t>00</w:t>
            </w:r>
            <w:r>
              <w:rPr>
                <w:rFonts w:cs="Times New Roman"/>
              </w:rPr>
              <w:t xml:space="preserve"> to ₤31</w:t>
            </w:r>
            <w:r>
              <w:rPr>
                <w:rFonts w:hint="eastAsia" w:cs="Times New Roman"/>
              </w:rPr>
              <w:t>,</w:t>
            </w:r>
            <w:r>
              <w:rPr>
                <w:rFonts w:cs="Times New Roman"/>
              </w:rPr>
              <w:t>2</w:t>
            </w:r>
            <w:r>
              <w:rPr>
                <w:rFonts w:hint="eastAsia" w:cs="Times New Roman"/>
              </w:rPr>
              <w:t>00</w:t>
            </w:r>
          </w:p>
        </w:tc>
        <w:tc>
          <w:tcPr>
            <w:tcW w:w="2841" w:type="dxa"/>
          </w:tcPr>
          <w:p w14:paraId="11B9EC59">
            <w:pPr>
              <w:rPr>
                <w:rFonts w:cs="Times New Roman"/>
              </w:rPr>
            </w:pPr>
            <w:r>
              <w:rPr>
                <w:rFonts w:cs="Times New Roman"/>
              </w:rPr>
              <w:t xml:space="preserve"> ₤28</w:t>
            </w:r>
            <w:r>
              <w:rPr>
                <w:rFonts w:hint="eastAsia" w:cs="Times New Roman"/>
              </w:rPr>
              <w:t>,</w:t>
            </w:r>
            <w:r>
              <w:rPr>
                <w:rFonts w:cs="Times New Roman"/>
              </w:rPr>
              <w:t>0</w:t>
            </w:r>
            <w:r>
              <w:rPr>
                <w:rFonts w:hint="eastAsia" w:cs="Times New Roman"/>
              </w:rPr>
              <w:t>00</w:t>
            </w:r>
            <w:r>
              <w:rPr>
                <w:rFonts w:cs="Times New Roman"/>
              </w:rPr>
              <w:t xml:space="preserve"> to ₤38</w:t>
            </w:r>
            <w:r>
              <w:rPr>
                <w:rFonts w:hint="eastAsia" w:cs="Times New Roman"/>
              </w:rPr>
              <w:t>,</w:t>
            </w:r>
            <w:r>
              <w:rPr>
                <w:rFonts w:cs="Times New Roman"/>
              </w:rPr>
              <w:t>4</w:t>
            </w:r>
            <w:r>
              <w:rPr>
                <w:rFonts w:hint="eastAsia" w:cs="Times New Roman"/>
              </w:rPr>
              <w:t>00</w:t>
            </w:r>
          </w:p>
        </w:tc>
      </w:tr>
    </w:tbl>
    <w:p w14:paraId="138683DD">
      <w:pPr>
        <w:rPr>
          <w:rFonts w:cs="Times New Roman"/>
        </w:rPr>
      </w:pPr>
      <w:r>
        <w:rPr>
          <w:rFonts w:cs="Times New Roman"/>
        </w:rPr>
        <w:t xml:space="preserve"> (Youjia, 2024)</w:t>
      </w:r>
      <w:r>
        <w:rPr>
          <w:rFonts w:hint="eastAsia" w:cs="Times New Roman"/>
        </w:rPr>
        <w:t xml:space="preserve"> </w:t>
      </w:r>
      <w:r>
        <w:rPr>
          <w:rFonts w:cs="Times New Roman"/>
        </w:rPr>
        <w:t>(BYD Dolphin Review 2024 | Performance &amp; Pricing, n.d.-b)</w:t>
      </w:r>
      <w:r>
        <w:rPr>
          <w:rFonts w:hint="eastAsia" w:cs="Times New Roman"/>
        </w:rPr>
        <w:t xml:space="preserve"> </w:t>
      </w:r>
      <w:r>
        <w:rPr>
          <w:rFonts w:cs="Times New Roman"/>
        </w:rPr>
        <w:t>(</w:t>
      </w:r>
      <w:r>
        <w:rPr>
          <w:rFonts w:hint="eastAsia" w:cs="Times New Roman"/>
        </w:rPr>
        <w:t>Ford Escape</w:t>
      </w:r>
      <w:r>
        <w:rPr>
          <w:rFonts w:cs="Times New Roman"/>
        </w:rPr>
        <w:t xml:space="preserve"> 2024 | Performance &amp; Pricing, n.d.-b)</w:t>
      </w:r>
    </w:p>
    <w:p w14:paraId="2A7D8203">
      <w:pPr>
        <w:rPr>
          <w:rFonts w:cs="Times New Roman"/>
        </w:rPr>
      </w:pPr>
    </w:p>
    <w:p w14:paraId="2BF186EE">
      <w:pPr>
        <w:rPr>
          <w:rFonts w:cs="Times New Roman"/>
        </w:rPr>
      </w:pPr>
      <w:r>
        <w:rPr>
          <w:rFonts w:cs="Times New Roman"/>
        </w:rPr>
        <w:t xml:space="preserve">For users, daily </w:t>
      </w:r>
      <w:r>
        <w:rPr>
          <w:rFonts w:hint="eastAsia" w:cs="Times New Roman"/>
        </w:rPr>
        <w:t>running</w:t>
      </w:r>
      <w:r>
        <w:rPr>
          <w:rFonts w:cs="Times New Roman"/>
        </w:rPr>
        <w:t xml:space="preserve"> costs are an important factor affecting their car purchase decisions</w:t>
      </w:r>
      <w:r>
        <w:rPr>
          <w:rFonts w:hint="eastAsia" w:cs="Times New Roman"/>
        </w:rPr>
        <w:t>(Wykoff, 1973)</w:t>
      </w:r>
      <w:r>
        <w:rPr>
          <w:rFonts w:cs="Times New Roman"/>
        </w:rPr>
        <w:t xml:space="preserve">. Since cars are durable consumer goods that may be used for more than ten years, the accumulation of </w:t>
      </w:r>
      <w:r>
        <w:rPr>
          <w:rFonts w:hint="eastAsia" w:cs="Times New Roman"/>
        </w:rPr>
        <w:t>running</w:t>
      </w:r>
      <w:r>
        <w:rPr>
          <w:rFonts w:cs="Times New Roman"/>
        </w:rPr>
        <w:t xml:space="preserve"> costs will account for a large part of the total life cycle cost. According to the figure provide by the </w:t>
      </w:r>
      <w:r>
        <w:rPr>
          <w:rFonts w:hint="eastAsia" w:cs="Times New Roman"/>
        </w:rPr>
        <w:t>BYD(2024)</w:t>
      </w:r>
      <w:r>
        <w:rPr>
          <w:rFonts w:cs="Times New Roman"/>
        </w:rPr>
        <w:t xml:space="preserve"> for a </w:t>
      </w:r>
      <w:r>
        <w:rPr>
          <w:rFonts w:hint="eastAsia" w:cs="Times New Roman"/>
        </w:rPr>
        <w:t>BYD seal</w:t>
      </w:r>
      <w:r>
        <w:rPr>
          <w:rFonts w:cs="Times New Roman"/>
        </w:rPr>
        <w:t xml:space="preserve"> it takes 1</w:t>
      </w:r>
      <w:r>
        <w:rPr>
          <w:rFonts w:hint="eastAsia" w:cs="Times New Roman"/>
        </w:rPr>
        <w:t>6.6</w:t>
      </w:r>
      <w:r>
        <w:rPr>
          <w:rFonts w:cs="Times New Roman"/>
        </w:rPr>
        <w:t>-1</w:t>
      </w:r>
      <w:r>
        <w:rPr>
          <w:rFonts w:hint="eastAsia" w:cs="Times New Roman"/>
        </w:rPr>
        <w:t>8.2</w:t>
      </w:r>
      <w:r>
        <w:rPr>
          <w:rFonts w:cs="Times New Roman"/>
        </w:rPr>
        <w:t xml:space="preserve"> kWh to run 100 km. On the other hand Ford</w:t>
      </w:r>
      <w:r>
        <w:rPr>
          <w:rFonts w:hint="eastAsia" w:cs="Times New Roman"/>
        </w:rPr>
        <w:t xml:space="preserve">(2023) </w:t>
      </w:r>
      <w:r>
        <w:rPr>
          <w:rFonts w:cs="Times New Roman"/>
        </w:rPr>
        <w:t>suggest that WLTP’s fuel consumption per 100 kilometers vary from 5.3 to 9.1 liter of gasoline. If a scenario</w:t>
      </w:r>
      <w:r>
        <w:rPr>
          <w:rFonts w:hint="eastAsia" w:cs="Times New Roman"/>
        </w:rPr>
        <w:t xml:space="preserve"> is</w:t>
      </w:r>
      <w:r>
        <w:rPr>
          <w:rFonts w:cs="Times New Roman"/>
        </w:rPr>
        <w:t xml:space="preserve"> assume</w:t>
      </w:r>
      <w:r>
        <w:rPr>
          <w:rFonts w:hint="eastAsia" w:cs="Times New Roman"/>
        </w:rPr>
        <w:t>d</w:t>
      </w:r>
      <w:r>
        <w:rPr>
          <w:rFonts w:cs="Times New Roman"/>
        </w:rPr>
        <w:t xml:space="preserve"> that the charging efficiency of </w:t>
      </w:r>
      <w:r>
        <w:rPr>
          <w:rFonts w:hint="eastAsia" w:cs="Times New Roman"/>
        </w:rPr>
        <w:t>BYD</w:t>
      </w:r>
      <w:r>
        <w:rPr>
          <w:rFonts w:cs="Times New Roman"/>
        </w:rPr>
        <w:t xml:space="preserve"> is 50% which is much lower than the 9</w:t>
      </w:r>
      <w:r>
        <w:rPr>
          <w:rFonts w:hint="eastAsia" w:cs="Times New Roman"/>
        </w:rPr>
        <w:t>1</w:t>
      </w:r>
      <w:r>
        <w:rPr>
          <w:rFonts w:cs="Times New Roman"/>
        </w:rPr>
        <w:t xml:space="preserve">% charging efficiency suggest by </w:t>
      </w:r>
      <w:r>
        <w:rPr>
          <w:rFonts w:hint="eastAsia" w:cs="Times New Roman"/>
        </w:rPr>
        <w:t>BYD</w:t>
      </w:r>
      <w:r>
        <w:rPr>
          <w:rFonts w:cs="Times New Roman"/>
        </w:rPr>
        <w:t>(BYD Company, n.d.). Then 100 km voyage will cost 35kWh electricity power for most which cost 9.45 pounds at December 5, 2023 suggest by Sust-it website.(Sust-it, 2024) At same time Rac Drive suggest</w:t>
      </w:r>
      <w:r>
        <w:rPr>
          <w:rFonts w:hint="eastAsia" w:cs="Times New Roman"/>
        </w:rPr>
        <w:t xml:space="preserve"> in 2024</w:t>
      </w:r>
      <w:r>
        <w:rPr>
          <w:rFonts w:cs="Times New Roman"/>
        </w:rPr>
        <w:t xml:space="preserve"> that a </w:t>
      </w:r>
      <w:r>
        <w:rPr>
          <w:rFonts w:hint="eastAsia" w:cs="Times New Roman"/>
        </w:rPr>
        <w:t>BYD sela</w:t>
      </w:r>
      <w:r>
        <w:rPr>
          <w:rFonts w:cs="Times New Roman"/>
        </w:rPr>
        <w:t xml:space="preserve"> cost from 7</w:t>
      </w:r>
      <w:r>
        <w:rPr>
          <w:rFonts w:hint="eastAsia" w:cs="Times New Roman"/>
        </w:rPr>
        <w:t>9.17</w:t>
      </w:r>
      <w:r>
        <w:rPr>
          <w:rFonts w:cs="Times New Roman"/>
        </w:rPr>
        <w:t xml:space="preserve"> to 1</w:t>
      </w:r>
      <w:r>
        <w:rPr>
          <w:rFonts w:hint="eastAsia" w:cs="Times New Roman"/>
        </w:rPr>
        <w:t>4.9</w:t>
      </w:r>
      <w:r>
        <w:rPr>
          <w:rFonts w:cs="Times New Roman"/>
        </w:rPr>
        <w:t xml:space="preserve"> pounds to travel the same distance( RAC Drive, 2024). The electricity price in the UK is way too high than it should. </w:t>
      </w:r>
    </w:p>
    <w:p w14:paraId="6BD22A21">
      <w:pPr>
        <w:rPr>
          <w:rFonts w:cs="Times New Roman"/>
        </w:rPr>
      </w:pPr>
    </w:p>
    <w:p w14:paraId="78A733BD">
      <w:pPr>
        <w:pStyle w:val="3"/>
        <w:numPr>
          <w:ilvl w:val="1"/>
          <w:numId w:val="0"/>
        </w:numPr>
        <w:ind w:left="567" w:hanging="567"/>
        <w:rPr>
          <w:rFonts w:cs="Times New Roman"/>
          <w:bCs/>
          <w:szCs w:val="32"/>
        </w:rPr>
      </w:pPr>
      <w:bookmarkStart w:id="36" w:name="_Toc9310"/>
      <w:bookmarkStart w:id="37" w:name="_Toc10457"/>
      <w:bookmarkStart w:id="38" w:name="_Toc7878"/>
      <w:r>
        <w:rPr>
          <w:rFonts w:hint="eastAsia" w:cs="Times New Roman"/>
          <w:bCs/>
          <w:szCs w:val="32"/>
        </w:rPr>
        <w:t>2</w:t>
      </w:r>
      <w:r>
        <w:rPr>
          <w:rFonts w:cs="Times New Roman"/>
          <w:bCs/>
          <w:szCs w:val="32"/>
        </w:rPr>
        <w:t>.3</w:t>
      </w:r>
      <w:r>
        <w:rPr>
          <w:rFonts w:hint="eastAsia" w:cs="Times New Roman"/>
          <w:bCs/>
          <w:szCs w:val="32"/>
        </w:rPr>
        <w:t xml:space="preserve"> Manufacturing</w:t>
      </w:r>
      <w:r>
        <w:rPr>
          <w:rFonts w:cs="Times New Roman"/>
          <w:bCs/>
          <w:szCs w:val="32"/>
        </w:rPr>
        <w:t xml:space="preserve"> </w:t>
      </w:r>
      <w:bookmarkEnd w:id="36"/>
      <w:bookmarkEnd w:id="37"/>
      <w:r>
        <w:rPr>
          <w:rFonts w:hint="eastAsia" w:cs="Times New Roman"/>
          <w:bCs/>
          <w:szCs w:val="32"/>
        </w:rPr>
        <w:t>Costs</w:t>
      </w:r>
      <w:bookmarkEnd w:id="38"/>
    </w:p>
    <w:p w14:paraId="4178CE53">
      <w:pPr>
        <w:rPr>
          <w:rFonts w:cs="Times New Roman"/>
        </w:rPr>
      </w:pPr>
      <w:r>
        <w:rPr>
          <w:rFonts w:cs="Times New Roman"/>
        </w:rPr>
        <w:t xml:space="preserve">The </w:t>
      </w:r>
      <w:r>
        <w:rPr>
          <w:rFonts w:hint="eastAsia" w:cs="Times New Roman"/>
        </w:rPr>
        <w:t>manufacturing</w:t>
      </w:r>
      <w:r>
        <w:rPr>
          <w:rFonts w:cs="Times New Roman"/>
        </w:rPr>
        <w:t xml:space="preserve"> costs of EVs and conventional fueled cars differ markedly</w:t>
      </w:r>
      <w:r>
        <w:rPr>
          <w:rFonts w:hint="eastAsia" w:cs="Times New Roman"/>
        </w:rPr>
        <w:t>(Ayodele, 2020)</w:t>
      </w:r>
      <w:r>
        <w:rPr>
          <w:rFonts w:cs="Times New Roman"/>
        </w:rPr>
        <w:t xml:space="preserve">. EVs, including those from BYD, often have higher initial production costs due to expensive battery components and advanced technology integration. However, advancements in battery technology and economies of scale are gradually reducing these costs. In terms of production scale, Ford is undoubtedly </w:t>
      </w:r>
      <w:r>
        <w:rPr>
          <w:rFonts w:hint="eastAsia" w:cs="Times New Roman"/>
        </w:rPr>
        <w:t>on front</w:t>
      </w:r>
      <w:r>
        <w:rPr>
          <w:rFonts w:cs="Times New Roman"/>
        </w:rPr>
        <w:t xml:space="preserve"> According to </w:t>
      </w:r>
      <w:r>
        <w:rPr>
          <w:rFonts w:hint="eastAsia" w:cs="Times New Roman"/>
        </w:rPr>
        <w:t>Ford</w:t>
      </w:r>
      <w:r>
        <w:rPr>
          <w:rFonts w:cs="Times New Roman"/>
        </w:rPr>
        <w:t>’</w:t>
      </w:r>
      <w:r>
        <w:rPr>
          <w:rFonts w:hint="eastAsia" w:cs="Times New Roman"/>
        </w:rPr>
        <w:t>s (2024) data</w:t>
      </w:r>
      <w:r>
        <w:rPr>
          <w:rFonts w:cs="Times New Roman"/>
        </w:rPr>
        <w:t xml:space="preserve">, its total global deliveries in 2023 </w:t>
      </w:r>
      <w:r>
        <w:rPr>
          <w:rFonts w:hint="eastAsia" w:cs="Times New Roman"/>
        </w:rPr>
        <w:t>reached</w:t>
      </w:r>
      <w:r>
        <w:rPr>
          <w:rFonts w:cs="Times New Roman"/>
        </w:rPr>
        <w:t xml:space="preserve"> 4.4 million vehicles. In contrast, BYD’</w:t>
      </w:r>
      <w:r>
        <w:rPr>
          <w:rFonts w:hint="eastAsia" w:cs="Times New Roman"/>
        </w:rPr>
        <w:t>s (2024) data</w:t>
      </w:r>
      <w:r>
        <w:rPr>
          <w:rFonts w:cs="Times New Roman"/>
        </w:rPr>
        <w:t xml:space="preserve"> claims that its global deliveries in 2023 </w:t>
      </w:r>
      <w:r>
        <w:rPr>
          <w:rFonts w:hint="eastAsia" w:cs="Times New Roman"/>
        </w:rPr>
        <w:t>were</w:t>
      </w:r>
      <w:r>
        <w:rPr>
          <w:rFonts w:cs="Times New Roman"/>
        </w:rPr>
        <w:t xml:space="preserve"> 3.02 million vehicles, which is 70% of the </w:t>
      </w:r>
      <w:r>
        <w:rPr>
          <w:rFonts w:hint="eastAsia" w:cs="Times New Roman"/>
        </w:rPr>
        <w:t>Ford</w:t>
      </w:r>
      <w:r>
        <w:rPr>
          <w:rFonts w:cs="Times New Roman"/>
        </w:rPr>
        <w:t>’</w:t>
      </w:r>
      <w:r>
        <w:rPr>
          <w:rFonts w:hint="eastAsia" w:cs="Times New Roman"/>
        </w:rPr>
        <w:t>s sales for the same period(BYD Concludes 2023 With Record 3 Million Annual Sales, Leading Global NEV Market, n.d.)(Cckean &amp; Cckean, 2024)</w:t>
      </w:r>
      <w:r>
        <w:rPr>
          <w:rFonts w:cs="Times New Roman"/>
        </w:rPr>
        <w:t xml:space="preserve">. </w:t>
      </w:r>
      <w:r>
        <w:rPr>
          <w:rFonts w:hint="eastAsia" w:cs="Times New Roman"/>
        </w:rPr>
        <w:t xml:space="preserve">Which, it could be argued </w:t>
      </w:r>
      <w:r>
        <w:rPr>
          <w:rFonts w:cs="Times New Roman"/>
        </w:rPr>
        <w:t xml:space="preserve">that Ford is more able to benefit from economies of scale than BYD. From the salary information provided by the Indeed and Zippia </w:t>
      </w:r>
      <w:r>
        <w:rPr>
          <w:rFonts w:hint="eastAsia" w:cs="Times New Roman"/>
        </w:rPr>
        <w:t>at 2023</w:t>
      </w:r>
      <w:r>
        <w:rPr>
          <w:rFonts w:cs="Times New Roman"/>
        </w:rPr>
        <w:t xml:space="preserve">. As a Chinese company, BYD benefits from China's </w:t>
      </w:r>
      <w:r>
        <w:rPr>
          <w:rFonts w:hint="eastAsia" w:cs="Times New Roman"/>
        </w:rPr>
        <w:t>high</w:t>
      </w:r>
      <w:r>
        <w:rPr>
          <w:rFonts w:cs="Times New Roman"/>
        </w:rPr>
        <w:t xml:space="preserve"> labor quality and basic education</w:t>
      </w:r>
      <w:r>
        <w:rPr>
          <w:rFonts w:hint="eastAsia" w:cs="Times New Roman"/>
        </w:rPr>
        <w:t xml:space="preserve"> quality</w:t>
      </w:r>
      <w:r>
        <w:rPr>
          <w:rFonts w:cs="Times New Roman"/>
        </w:rPr>
        <w:t>, and can obtain better quality labor resources at a lower price</w:t>
      </w:r>
      <w:r>
        <w:rPr>
          <w:rFonts w:hint="eastAsia" w:cs="Times New Roman"/>
        </w:rPr>
        <w:t>(Zippa, 2023)</w:t>
      </w:r>
      <w:r>
        <w:rPr>
          <w:rFonts w:cs="Times New Roman"/>
        </w:rPr>
        <w:t xml:space="preserve">. On the other hand, due to the simpler structure of electric vehicles, the </w:t>
      </w:r>
      <w:r>
        <w:rPr>
          <w:rFonts w:hint="eastAsia" w:cs="Times New Roman"/>
        </w:rPr>
        <w:t>skills</w:t>
      </w:r>
      <w:r>
        <w:rPr>
          <w:rFonts w:cs="Times New Roman"/>
        </w:rPr>
        <w:t xml:space="preserve"> of the workers they need is often lower.</w:t>
      </w:r>
      <w:r>
        <w:rPr>
          <w:rFonts w:hint="eastAsia" w:cs="Times New Roman"/>
        </w:rPr>
        <w:t xml:space="preserve"> After all, electric cars use wires instead of complex gears and bearings to transmit power. On the other hand, compared with the complex internal combustion engine, electric cars only need to fill the chassis with batteries.</w:t>
      </w:r>
      <w:r>
        <w:rPr>
          <w:rFonts w:cs="Times New Roman"/>
        </w:rPr>
        <w:t xml:space="preserve"> All these combined factors make BYD's labor costs much lower than Ford(Indeed, 2024</w:t>
      </w:r>
      <w:r>
        <w:rPr>
          <w:rFonts w:hint="eastAsia" w:cs="Times New Roman"/>
        </w:rPr>
        <w:t xml:space="preserve">; </w:t>
      </w:r>
      <w:r>
        <w:rPr>
          <w:rFonts w:cs="Times New Roman"/>
        </w:rPr>
        <w:t>Ford, 2024). Of course, even if advantages brought by China's low labor costs</w:t>
      </w:r>
      <w:r>
        <w:rPr>
          <w:rFonts w:hint="eastAsia" w:cs="Times New Roman"/>
        </w:rPr>
        <w:t xml:space="preserve"> is considered</w:t>
      </w:r>
      <w:r>
        <w:rPr>
          <w:rFonts w:cs="Times New Roman"/>
        </w:rPr>
        <w:t xml:space="preserve">, the simpler structure of EVs alone allows EV companies such as BYD and Tesla to gain advantages in human resources by hiring cheaper workers. </w:t>
      </w:r>
      <w:r>
        <w:rPr>
          <w:rFonts w:hint="eastAsia" w:cs="Times New Roman"/>
        </w:rPr>
        <w:t>I</w:t>
      </w:r>
      <w:r>
        <w:rPr>
          <w:rFonts w:cs="Times New Roman"/>
        </w:rPr>
        <w:t>ndeed’</w:t>
      </w:r>
      <w:r>
        <w:rPr>
          <w:rFonts w:hint="eastAsia" w:cs="Times New Roman"/>
        </w:rPr>
        <w:t>s 2024 data</w:t>
      </w:r>
      <w:r>
        <w:rPr>
          <w:rFonts w:cs="Times New Roman"/>
        </w:rPr>
        <w:t xml:space="preserve"> showed that an assembler work for TESLA in the USA will earn about </w:t>
      </w:r>
      <w:r>
        <w:rPr>
          <w:rFonts w:hint="eastAsia" w:cs="Times New Roman"/>
        </w:rPr>
        <w:t>$</w:t>
      </w:r>
      <w:r>
        <w:rPr>
          <w:rFonts w:cs="Times New Roman"/>
        </w:rPr>
        <w:t xml:space="preserve">22.63 per hour while according to </w:t>
      </w:r>
      <w:r>
        <w:rPr>
          <w:rFonts w:hint="eastAsia" w:cs="Times New Roman"/>
        </w:rPr>
        <w:t>Bhattarai</w:t>
      </w:r>
      <w:r>
        <w:rPr>
          <w:rFonts w:cs="Times New Roman"/>
        </w:rPr>
        <w:t>’</w:t>
      </w:r>
      <w:r>
        <w:rPr>
          <w:rFonts w:hint="eastAsia" w:cs="Times New Roman"/>
        </w:rPr>
        <w:t>s report at 2023</w:t>
      </w:r>
      <w:r>
        <w:rPr>
          <w:rFonts w:cs="Times New Roman"/>
        </w:rPr>
        <w:t xml:space="preserve"> the permanent worker work for Ford earn</w:t>
      </w:r>
      <w:r>
        <w:rPr>
          <w:rFonts w:hint="eastAsia" w:cs="Times New Roman"/>
        </w:rPr>
        <w:t>s</w:t>
      </w:r>
      <w:r>
        <w:rPr>
          <w:rFonts w:cs="Times New Roman"/>
        </w:rPr>
        <w:t xml:space="preserve"> </w:t>
      </w:r>
      <w:r>
        <w:rPr>
          <w:rFonts w:hint="eastAsia" w:cs="Times New Roman"/>
        </w:rPr>
        <w:t>$</w:t>
      </w:r>
      <w:r>
        <w:rPr>
          <w:rFonts w:cs="Times New Roman"/>
        </w:rPr>
        <w:t xml:space="preserve">24.91 per hour and it will rise up to </w:t>
      </w:r>
      <w:r>
        <w:rPr>
          <w:rFonts w:hint="eastAsia" w:cs="Times New Roman"/>
        </w:rPr>
        <w:t>$</w:t>
      </w:r>
      <w:r>
        <w:rPr>
          <w:rFonts w:cs="Times New Roman"/>
        </w:rPr>
        <w:t xml:space="preserve">40.82 in next few years as a result of UAW strike. </w:t>
      </w:r>
      <w:r>
        <w:rPr>
          <w:rFonts w:hint="eastAsia" w:cs="Times New Roman"/>
        </w:rPr>
        <w:t>(</w:t>
      </w:r>
      <w:r>
        <w:rPr>
          <w:rStyle w:val="19"/>
          <w:b w:val="0"/>
          <w:bCs w:val="0"/>
        </w:rPr>
        <w:t>Bhattarai</w:t>
      </w:r>
      <w:r>
        <w:rPr>
          <w:rStyle w:val="19"/>
          <w:rFonts w:hint="eastAsia"/>
          <w:b w:val="0"/>
          <w:bCs w:val="0"/>
        </w:rPr>
        <w:t xml:space="preserve">, </w:t>
      </w:r>
      <w:r>
        <w:rPr>
          <w:rFonts w:hint="eastAsia" w:cs="Times New Roman"/>
        </w:rPr>
        <w:t>2023)</w:t>
      </w:r>
    </w:p>
    <w:p w14:paraId="529018F3">
      <w:pPr>
        <w:rPr>
          <w:rFonts w:cs="Times New Roman"/>
        </w:rPr>
      </w:pPr>
    </w:p>
    <w:p w14:paraId="7D19F119">
      <w:pPr>
        <w:rPr>
          <w:rFonts w:cs="Times New Roman"/>
        </w:rPr>
      </w:pPr>
      <w:r>
        <w:rPr>
          <w:rFonts w:cs="Times New Roman"/>
        </w:rPr>
        <w:t>The gross profit margin of electric car manufacturers such as BYD has been higher than that of traditional car manufacturers such as Ford in the past decade.(See Appendix 1) The reason for that is the labor cost and the simple structure of electric cars. On the other hand, due to environmental protection needs, governments of various countries often provide production subsidies and tax breaks to EV companies. Take China as an example. According to Xueqiu’</w:t>
      </w:r>
      <w:r>
        <w:rPr>
          <w:rFonts w:hint="eastAsia" w:cs="Times New Roman"/>
        </w:rPr>
        <w:t>s 2024 report</w:t>
      </w:r>
      <w:r>
        <w:rPr>
          <w:rFonts w:cs="Times New Roman"/>
        </w:rPr>
        <w:t xml:space="preserve"> Chinese government stop</w:t>
      </w:r>
      <w:r>
        <w:rPr>
          <w:rFonts w:hint="eastAsia" w:cs="Times New Roman"/>
        </w:rPr>
        <w:t>ped</w:t>
      </w:r>
      <w:r>
        <w:rPr>
          <w:rFonts w:cs="Times New Roman"/>
        </w:rPr>
        <w:t xml:space="preserve"> subsidizing EV production in 2023,government finances ha</w:t>
      </w:r>
      <w:r>
        <w:rPr>
          <w:rFonts w:hint="eastAsia" w:cs="Times New Roman"/>
        </w:rPr>
        <w:t>d</w:t>
      </w:r>
      <w:r>
        <w:rPr>
          <w:rFonts w:cs="Times New Roman"/>
        </w:rPr>
        <w:t xml:space="preserve"> provided a total of </w:t>
      </w:r>
      <w:r>
        <w:rPr>
          <w:rFonts w:hint="eastAsia" w:cs="Times New Roman"/>
        </w:rPr>
        <w:t>around</w:t>
      </w:r>
      <w:r>
        <w:rPr>
          <w:rFonts w:cs="Times New Roman"/>
        </w:rPr>
        <w:t xml:space="preserve"> $20 billion in subsidies to the EV industry, of which BYD received about 21% of the total, or about $4 billion.</w:t>
      </w:r>
      <w:r>
        <w:rPr>
          <w:rFonts w:hint="eastAsia" w:cs="Times New Roman"/>
        </w:rPr>
        <w:t>(Financial report)</w:t>
      </w:r>
      <w:r>
        <w:rPr>
          <w:rFonts w:cs="Times New Roman"/>
        </w:rPr>
        <w:t xml:space="preserve"> In contrast, according to the Good job first website, Ford received a total of $7.44 billion in subsidies from the U.S. federal government before receiving $9.2 billion in subsidies from 2000 to June 22, 2023 reported by CNN. (Good Job First, 2023</w:t>
      </w:r>
      <w:r>
        <w:rPr>
          <w:rFonts w:hint="eastAsia" w:cs="Times New Roman"/>
        </w:rPr>
        <w:t>;</w:t>
      </w:r>
      <w:r>
        <w:rPr>
          <w:rFonts w:hint="eastAsia" w:cs="Times New Roman"/>
          <w:color w:val="0000FF"/>
        </w:rPr>
        <w:t xml:space="preserve"> </w:t>
      </w:r>
      <w:r>
        <w:rPr>
          <w:rFonts w:cs="Times New Roman"/>
        </w:rPr>
        <w:t xml:space="preserve">Dapena, 2023) </w:t>
      </w:r>
    </w:p>
    <w:p w14:paraId="67434F94">
      <w:pPr>
        <w:rPr>
          <w:rFonts w:cs="Times New Roman"/>
        </w:rPr>
      </w:pPr>
    </w:p>
    <w:p w14:paraId="1C50D894">
      <w:pPr>
        <w:rPr>
          <w:rFonts w:cs="Times New Roman"/>
        </w:rPr>
      </w:pPr>
      <w:r>
        <w:rPr>
          <w:rFonts w:cs="Times New Roman"/>
        </w:rPr>
        <w:t xml:space="preserve">On the other hand, BYD has also paid a much higher proportion of taxes to its revenue than Ford in the past </w:t>
      </w:r>
      <w:r>
        <w:rPr>
          <w:rFonts w:hint="eastAsia" w:cs="Times New Roman"/>
        </w:rPr>
        <w:t>ten</w:t>
      </w:r>
      <w:r>
        <w:rPr>
          <w:rFonts w:cs="Times New Roman"/>
        </w:rPr>
        <w:t xml:space="preserve"> years. (See Appendix 2) Considering that Ford has an advantage in two of the three projects, the price of Ford cars should be lower than that of BYD cars. However, the actual price of BYD Qin suggest by CarnewsChian website in the United States is $16,600, while the corresponding Ford Puma is almost priced at more than $30,000 if the number provided by the Carguide website is correct. (Bobylev, 2024) ( CarsGuide, 2023) Considering that BYD can also expand its production scale to further reduce costs by seizing more markets at low prices, while Ford finds it difficult to cut costs by reducing employee salaries. </w:t>
      </w:r>
      <w:r>
        <w:rPr>
          <w:rFonts w:hint="eastAsia" w:cs="Times New Roman"/>
        </w:rPr>
        <w:t>It</w:t>
      </w:r>
      <w:r>
        <w:rPr>
          <w:rFonts w:cs="Times New Roman"/>
        </w:rPr>
        <w:t xml:space="preserve"> can</w:t>
      </w:r>
      <w:r>
        <w:rPr>
          <w:rFonts w:hint="eastAsia" w:cs="Times New Roman"/>
        </w:rPr>
        <w:t xml:space="preserve"> be</w:t>
      </w:r>
      <w:r>
        <w:rPr>
          <w:rFonts w:cs="Times New Roman"/>
        </w:rPr>
        <w:t xml:space="preserve"> expect</w:t>
      </w:r>
      <w:r>
        <w:rPr>
          <w:rFonts w:hint="eastAsia" w:cs="Times New Roman"/>
        </w:rPr>
        <w:t>ed</w:t>
      </w:r>
      <w:r>
        <w:rPr>
          <w:rFonts w:cs="Times New Roman"/>
        </w:rPr>
        <w:t xml:space="preserve"> that unless Ford receives more subsidies, its price disadvantage will further expand.</w:t>
      </w:r>
    </w:p>
    <w:p w14:paraId="64916A40">
      <w:pPr>
        <w:rPr>
          <w:rFonts w:cs="Times New Roman"/>
        </w:rPr>
      </w:pPr>
    </w:p>
    <w:p w14:paraId="39A5F3D7">
      <w:pPr>
        <w:rPr>
          <w:rFonts w:cs="Times New Roman"/>
        </w:rPr>
      </w:pPr>
    </w:p>
    <w:p w14:paraId="2E8849BC">
      <w:pPr>
        <w:rPr>
          <w:rFonts w:cs="Times New Roman"/>
        </w:rPr>
      </w:pPr>
    </w:p>
    <w:p w14:paraId="3D8187D7">
      <w:pPr>
        <w:pStyle w:val="3"/>
        <w:numPr>
          <w:ilvl w:val="1"/>
          <w:numId w:val="0"/>
        </w:numPr>
        <w:ind w:left="567" w:hanging="567"/>
        <w:rPr>
          <w:rFonts w:cs="Times New Roman"/>
          <w:bCs/>
          <w:szCs w:val="32"/>
        </w:rPr>
      </w:pPr>
      <w:bookmarkStart w:id="39" w:name="_Toc11287"/>
      <w:bookmarkStart w:id="40" w:name="_Toc13446"/>
      <w:bookmarkStart w:id="41" w:name="_Toc4041"/>
      <w:r>
        <w:rPr>
          <w:rFonts w:hint="eastAsia" w:cs="Times New Roman"/>
          <w:bCs/>
          <w:szCs w:val="32"/>
        </w:rPr>
        <w:t>2</w:t>
      </w:r>
      <w:r>
        <w:rPr>
          <w:rFonts w:cs="Times New Roman"/>
          <w:bCs/>
          <w:szCs w:val="32"/>
        </w:rPr>
        <w:t>.4</w:t>
      </w:r>
      <w:r>
        <w:rPr>
          <w:rFonts w:hint="eastAsia" w:cs="Times New Roman"/>
          <w:bCs/>
          <w:szCs w:val="32"/>
        </w:rPr>
        <w:t xml:space="preserve"> Charging </w:t>
      </w:r>
      <w:r>
        <w:rPr>
          <w:rFonts w:cs="Times New Roman"/>
          <w:bCs/>
          <w:szCs w:val="32"/>
        </w:rPr>
        <w:t>Infrastructure Limitations</w:t>
      </w:r>
      <w:bookmarkEnd w:id="39"/>
      <w:bookmarkEnd w:id="40"/>
      <w:bookmarkEnd w:id="41"/>
    </w:p>
    <w:p w14:paraId="2D451514">
      <w:pPr>
        <w:rPr>
          <w:rFonts w:cs="Times New Roman"/>
        </w:rPr>
      </w:pPr>
      <w:r>
        <w:rPr>
          <w:rFonts w:cs="Times New Roman"/>
        </w:rPr>
        <w:t xml:space="preserve">Unlike military vehicles or engineering vehicles, civilian vehicles rely heavily on infrastructure such as </w:t>
      </w:r>
      <w:r>
        <w:rPr>
          <w:rFonts w:hint="eastAsia" w:cs="Times New Roman"/>
        </w:rPr>
        <w:t>petrol</w:t>
      </w:r>
      <w:r>
        <w:rPr>
          <w:rFonts w:cs="Times New Roman"/>
        </w:rPr>
        <w:t xml:space="preserve"> stations and maintenance stations to ensure normal use. In the United States, which is famous for its car culture, the number of </w:t>
      </w:r>
      <w:r>
        <w:rPr>
          <w:rFonts w:hint="eastAsia" w:cs="Times New Roman"/>
        </w:rPr>
        <w:t>petrol</w:t>
      </w:r>
      <w:r>
        <w:rPr>
          <w:rFonts w:cs="Times New Roman"/>
        </w:rPr>
        <w:t xml:space="preserve"> stations even exceeds the number of McDonald's(Gas Stations in United States of America - Everything You Need to Know, n.d.)(LocationsCloud, 2024).</w:t>
      </w:r>
      <w:r>
        <w:rPr>
          <w:rFonts w:hint="eastAsia" w:cs="Times New Roman"/>
        </w:rPr>
        <w:t xml:space="preserve"> So it can be concluded that after years of development, the infrastructure supporting traditional energy vehicles is able to support the use of traditional vehicles.</w:t>
      </w:r>
      <w:r>
        <w:rPr>
          <w:rFonts w:cs="Times New Roman"/>
        </w:rPr>
        <w:t xml:space="preserve"> However, as a completely different type of vehicle, electric vehicles require charging and maintenance facilities that are completely different from traditional</w:t>
      </w:r>
      <w:r>
        <w:rPr>
          <w:rFonts w:hint="eastAsia" w:cs="Times New Roman"/>
        </w:rPr>
        <w:t xml:space="preserve"> powered</w:t>
      </w:r>
      <w:r>
        <w:rPr>
          <w:rFonts w:cs="Times New Roman"/>
        </w:rPr>
        <w:t xml:space="preserve"> vehicles(Alternative Fuels Data Center: Electric Vehicle Benefits and Considerations, n.d.). Whether the construction of infrastructure supporting electric vehicles can keep up with the increase in the number of electric vehicles determines whether electric vehicles can successfully replace traditional fuel vehicles.</w:t>
      </w:r>
    </w:p>
    <w:p w14:paraId="4E466F2A">
      <w:pPr>
        <w:rPr>
          <w:rFonts w:cs="Times New Roman"/>
        </w:rPr>
      </w:pPr>
    </w:p>
    <w:p w14:paraId="7F23825C">
      <w:pPr>
        <w:rPr>
          <w:rFonts w:cs="Times New Roman"/>
        </w:rPr>
      </w:pPr>
      <w:r>
        <w:rPr>
          <w:rFonts w:cs="Times New Roman"/>
        </w:rPr>
        <w:t>The development of charging infrastructure is a critical barrier to the widespread adoption of EVs</w:t>
      </w:r>
      <w:r>
        <w:rPr>
          <w:rFonts w:hint="eastAsia" w:cs="Times New Roman"/>
        </w:rPr>
        <w:t xml:space="preserve"> in many regions like UK（Chen, 2020）</w:t>
      </w:r>
      <w:r>
        <w:rPr>
          <w:rFonts w:cs="Times New Roman"/>
        </w:rPr>
        <w:t xml:space="preserve">. Of course, this is not difficult to understand. After all, by 2023, the number of electric vehicles in the UK has reached 1 million (Zapmap, 2023.). According to the British government's plan, by 2030, the UK may have 10 million electric vehicles (SP Energy Networks, 2016). This number was only about 120,000 in 2017 (Plarge, 2019). Correspondingly, </w:t>
      </w:r>
      <w:r>
        <w:rPr>
          <w:rFonts w:hint="eastAsia" w:cs="Times New Roman"/>
        </w:rPr>
        <w:t>it is</w:t>
      </w:r>
      <w:r>
        <w:rPr>
          <w:rFonts w:cs="Times New Roman"/>
        </w:rPr>
        <w:t xml:space="preserve"> believe</w:t>
      </w:r>
      <w:r>
        <w:rPr>
          <w:rFonts w:hint="eastAsia" w:cs="Times New Roman"/>
        </w:rPr>
        <w:t>d</w:t>
      </w:r>
      <w:r>
        <w:rPr>
          <w:rFonts w:cs="Times New Roman"/>
        </w:rPr>
        <w:t xml:space="preserve"> that the number of charging piles should increase by 10 times every 3 to 5 years from 2017 to 2030 in order to meet the charging needs of electric vehicle users. However, in 2017, the total number of EV charging points in the UK was about 15,000, and by 2024, this number was still below 65,000 (Zapmap, 2024). It can be seen that the construction of charging facilities has not kept up with the growth rate of electric vehicles. In fact, this problem is not unique to the UK. The following </w:t>
      </w:r>
      <w:r>
        <w:rPr>
          <w:rFonts w:hint="eastAsia" w:cs="Times New Roman"/>
          <w:lang w:eastAsia="zh-CN"/>
        </w:rPr>
        <w:t>dissertation</w:t>
      </w:r>
      <w:r>
        <w:rPr>
          <w:rFonts w:cs="Times New Roman"/>
        </w:rPr>
        <w:t xml:space="preserve"> will introduce this in detail.</w:t>
      </w:r>
    </w:p>
    <w:p w14:paraId="104CF70A">
      <w:pPr>
        <w:rPr>
          <w:rFonts w:cs="Times New Roman"/>
        </w:rPr>
      </w:pPr>
    </w:p>
    <w:p w14:paraId="73ADF898">
      <w:pPr>
        <w:rPr>
          <w:rFonts w:cs="Times New Roman"/>
        </w:rPr>
      </w:pPr>
      <w:r>
        <w:rPr>
          <w:rFonts w:cs="Times New Roman"/>
        </w:rPr>
        <w:t xml:space="preserve">BYD and other EV manufacturers are heavily dependent on the availability of reliable and widespread charging networks. In many regions, insufficient charging stations and slow charging speeds remain significant hurdles. In 2022, the </w:t>
      </w:r>
      <w:r>
        <w:rPr>
          <w:rFonts w:cs="Times New Roman"/>
          <w:szCs w:val="24"/>
        </w:rPr>
        <w:t>Chen Shiwen</w:t>
      </w:r>
      <w:r>
        <w:rPr>
          <w:rFonts w:cs="Times New Roman"/>
        </w:rPr>
        <w:t xml:space="preserve"> suggest that the total number of charging piles in China will be about 1.8 million (Statista, 2024). By 2024, according to data provided by CCTV, </w:t>
      </w:r>
      <w:r>
        <w:rPr>
          <w:rFonts w:hint="eastAsia" w:cs="Times New Roman"/>
        </w:rPr>
        <w:t>the total</w:t>
      </w:r>
      <w:r>
        <w:rPr>
          <w:rFonts w:cs="Times New Roman"/>
        </w:rPr>
        <w:t xml:space="preserve"> number</w:t>
      </w:r>
      <w:r>
        <w:rPr>
          <w:rFonts w:hint="eastAsia" w:cs="Times New Roman"/>
        </w:rPr>
        <w:t xml:space="preserve"> of charging infrastructure</w:t>
      </w:r>
      <w:r>
        <w:rPr>
          <w:rFonts w:cs="Times New Roman"/>
        </w:rPr>
        <w:t xml:space="preserve"> has swelled to a terrifying 9.023 million, including approximately 2.83 million public charging stations. (Chen Shiwen, 2024) </w:t>
      </w:r>
    </w:p>
    <w:p w14:paraId="7426E7BC">
      <w:pPr>
        <w:rPr>
          <w:rFonts w:cs="Times New Roman"/>
        </w:rPr>
      </w:pPr>
    </w:p>
    <w:p w14:paraId="139515B4">
      <w:pPr>
        <w:rPr>
          <w:rFonts w:cs="Times New Roman"/>
        </w:rPr>
      </w:pPr>
      <w:r>
        <w:rPr>
          <w:rFonts w:cs="Times New Roman"/>
        </w:rPr>
        <w:t>This means</w:t>
      </w:r>
      <w:r>
        <w:rPr>
          <w:rFonts w:hint="eastAsia" w:cs="Times New Roman"/>
        </w:rPr>
        <w:t xml:space="preserve"> in China</w:t>
      </w:r>
      <w:r>
        <w:rPr>
          <w:rFonts w:cs="Times New Roman"/>
        </w:rPr>
        <w:t xml:space="preserve"> that there is an average of one charging pile for every two electric vehicles registered, which is more than 20 million(People’s Paper, 2024). At least at the macro level, China's electric vehicle industry has sufficient supporting infrastructure. Such a speed of infrastructure construction has ensured that the development of China's electric vehicle industry has never been affected by the construction of supporting infrastructure. However, in the EU and the United States, the situation is completely different. By 2024,according to IEA the number of pure electric and hybrid vehicles in the 27 EU countries will have reached about 8.54 million. (IEA, 2024) But in contrast, according to the figure provided by the European Alternative Fuels Observatory there are only a pitiful 708,000 charging piles. (European Commission, 2024) That is to say, there is only one charging pile for every dozen electric vehicles in Europe. The situation in the United States is even more serious. The Statista</w:t>
      </w:r>
      <w:r>
        <w:rPr>
          <w:rFonts w:hint="eastAsia" w:cs="Times New Roman"/>
        </w:rPr>
        <w:t>(2024)</w:t>
      </w:r>
      <w:r>
        <w:rPr>
          <w:rFonts w:cs="Times New Roman"/>
        </w:rPr>
        <w:t xml:space="preserve"> suggest that 244,2270 electric vehicles in the country can only share 168,300 charging piles if the Exploding topic website’s report about the charging pile is correct. (Howarth, 2023) This means that each charging station needs to charge an average of 14.5 electric vehicles. This means that unless the </w:t>
      </w:r>
      <w:r>
        <w:rPr>
          <w:rFonts w:hint="eastAsia" w:cs="Times New Roman"/>
        </w:rPr>
        <w:t>manufacturing</w:t>
      </w:r>
      <w:r>
        <w:rPr>
          <w:rFonts w:cs="Times New Roman"/>
        </w:rPr>
        <w:t xml:space="preserve"> speed of electric vehicle supporting infrastructure in Europe and the United States is greatly improved, the sales of electric vehicles in these two regions will be limited by the expansion speed of charging facilities for a long time to come.</w:t>
      </w:r>
    </w:p>
    <w:p w14:paraId="596E5E59">
      <w:pPr>
        <w:rPr>
          <w:rFonts w:cs="Times New Roman"/>
        </w:rPr>
      </w:pPr>
    </w:p>
    <w:p w14:paraId="7A2672DE"/>
    <w:p w14:paraId="30119620"/>
    <w:p w14:paraId="2DB91D9F">
      <w:pPr>
        <w:pStyle w:val="3"/>
        <w:numPr>
          <w:ilvl w:val="1"/>
          <w:numId w:val="0"/>
        </w:numPr>
        <w:ind w:left="567" w:hanging="567"/>
        <w:rPr>
          <w:rFonts w:cs="Times New Roman"/>
          <w:bCs/>
          <w:szCs w:val="32"/>
        </w:rPr>
      </w:pPr>
      <w:bookmarkStart w:id="42" w:name="_Toc30873"/>
      <w:bookmarkStart w:id="43" w:name="_Toc10777"/>
      <w:bookmarkStart w:id="44" w:name="_Toc26955"/>
      <w:r>
        <w:rPr>
          <w:rFonts w:hint="eastAsia" w:cs="Times New Roman"/>
          <w:bCs/>
          <w:szCs w:val="32"/>
        </w:rPr>
        <w:t>2</w:t>
      </w:r>
      <w:r>
        <w:rPr>
          <w:rFonts w:cs="Times New Roman"/>
          <w:bCs/>
          <w:szCs w:val="32"/>
        </w:rPr>
        <w:t>.5</w:t>
      </w:r>
      <w:r>
        <w:rPr>
          <w:rFonts w:hint="eastAsia" w:cs="Times New Roman"/>
          <w:bCs/>
          <w:szCs w:val="32"/>
        </w:rPr>
        <w:t xml:space="preserve"> </w:t>
      </w:r>
      <w:r>
        <w:rPr>
          <w:rFonts w:cs="Times New Roman"/>
          <w:bCs/>
          <w:szCs w:val="32"/>
        </w:rPr>
        <w:t>Resources Supply and Demand</w:t>
      </w:r>
      <w:bookmarkEnd w:id="42"/>
      <w:bookmarkEnd w:id="43"/>
      <w:bookmarkEnd w:id="44"/>
    </w:p>
    <w:p w14:paraId="31B227FE">
      <w:pPr>
        <w:rPr>
          <w:rFonts w:cs="Times New Roman"/>
        </w:rPr>
      </w:pPr>
      <w:r>
        <w:rPr>
          <w:rFonts w:cs="Times New Roman"/>
        </w:rPr>
        <w:t>The concept of new energy vehicles was originally proposed as a solution to resource dilemmas such as carbon emissions and oil depletion that affect the sustainable development of human society. Clearly, if electric vehicles themselves are not more resource-sustainable than traditional internal combustion engine vehicles, they will lose one of their main competitive advantages. Currently, EVs rely mainly on ternary lithium batteries</w:t>
      </w:r>
      <w:r>
        <w:rPr>
          <w:rFonts w:hint="eastAsia" w:cs="Times New Roman"/>
        </w:rPr>
        <w:t xml:space="preserve"> or lithium iron phosphate battery</w:t>
      </w:r>
      <w:r>
        <w:rPr>
          <w:rFonts w:cs="Times New Roman"/>
        </w:rPr>
        <w:t xml:space="preserve"> as a power source(Administrator &amp; Administrator, 2024). The main raw materials of ternary battery are lithium, cobalt, manganese and nickel.</w:t>
      </w:r>
      <w:r>
        <w:rPr>
          <w:rFonts w:hint="eastAsia" w:cs="Times New Roman"/>
        </w:rPr>
        <w:t xml:space="preserve"> Those metals are relatively rare when compare to the raw materials of lithium iron phosphate battery. For that reason,</w:t>
      </w:r>
      <w:r>
        <w:rPr>
          <w:rFonts w:cs="Times New Roman"/>
        </w:rPr>
        <w:t xml:space="preserve"> </w:t>
      </w:r>
      <w:r>
        <w:rPr>
          <w:rFonts w:hint="eastAsia" w:cs="Times New Roman"/>
        </w:rPr>
        <w:t>t</w:t>
      </w:r>
      <w:r>
        <w:rPr>
          <w:rFonts w:cs="Times New Roman"/>
        </w:rPr>
        <w:t>he storage and consumption rate of these elements will determine whether electric vehicles can become a more sustainable means of transportation than conventional fuel vehicles.</w:t>
      </w:r>
    </w:p>
    <w:p w14:paraId="1AB4FCD7">
      <w:pPr>
        <w:rPr>
          <w:rFonts w:cs="Times New Roman"/>
        </w:rPr>
      </w:pPr>
    </w:p>
    <w:p w14:paraId="2C54751C">
      <w:pPr>
        <w:rPr>
          <w:rFonts w:cs="Times New Roman"/>
        </w:rPr>
      </w:pPr>
      <w:r>
        <w:rPr>
          <w:rFonts w:cs="Times New Roman"/>
        </w:rPr>
        <w:t>The sustainability of the EV industry is heavily reliant on lithium, a critical component in battery production. The rapid growth in EV production has led to concerns about the sufficiency of lithium reserves. As of 2019, according to ESCN the total global lithium reserves were 17 million tons (Sujiang, 2023), and by 2023, according to Statista</w:t>
      </w:r>
      <w:r>
        <w:rPr>
          <w:rFonts w:hint="eastAsia" w:cs="Times New Roman"/>
        </w:rPr>
        <w:t xml:space="preserve"> (2024)</w:t>
      </w:r>
      <w:r>
        <w:rPr>
          <w:rFonts w:cs="Times New Roman"/>
        </w:rPr>
        <w:t xml:space="preserve"> the proven reserves had increased to 28 million tons. In contrast, according to Nasdaq lithium consumption in 2022 is 142,000 tons, and in 2023 it is 180,000 tons(Kelly, 2023). In 2019, according to US government’s report lithium consumption was 58,000 tons(Jaskula, 2020).  According to figure</w:t>
      </w:r>
      <w:r>
        <w:rPr>
          <w:rFonts w:hint="eastAsia" w:cs="Times New Roman"/>
        </w:rPr>
        <w:t>s</w:t>
      </w:r>
      <w:r>
        <w:rPr>
          <w:rFonts w:cs="Times New Roman"/>
        </w:rPr>
        <w:t xml:space="preserve"> provided by IEA</w:t>
      </w:r>
      <w:r>
        <w:rPr>
          <w:rFonts w:hint="eastAsia" w:cs="Times New Roman"/>
        </w:rPr>
        <w:t>(2020)</w:t>
      </w:r>
      <w:r>
        <w:rPr>
          <w:rFonts w:cs="Times New Roman"/>
        </w:rPr>
        <w:t xml:space="preserve"> it can be seen that lithium consumption has increased rapidly as the sales of electric vehicles have increased from 2.1 million in 2019 to 14 million in 2023 (IEA, 2024). It even exceeds the rate of increase in lithium reserves. However, according to Statista</w:t>
      </w:r>
      <w:r>
        <w:rPr>
          <w:rFonts w:hint="eastAsia" w:cs="Times New Roman"/>
        </w:rPr>
        <w:t>(2024)</w:t>
      </w:r>
      <w:r>
        <w:rPr>
          <w:rFonts w:cs="Times New Roman"/>
        </w:rPr>
        <w:t xml:space="preserve"> that global vehicle sales in 2019 were 74.9 million, and in 2023 they were 75.3 million. It can be seen that the proportion of electric vehicles has increased from less than 3% to about 20%. In other words, even at the most exaggerated angle, the sales of electric vehicles can only increase by </w:t>
      </w:r>
      <w:r>
        <w:rPr>
          <w:rFonts w:hint="eastAsia" w:cs="Times New Roman"/>
        </w:rPr>
        <w:t>five</w:t>
      </w:r>
      <w:r>
        <w:rPr>
          <w:rFonts w:cs="Times New Roman"/>
        </w:rPr>
        <w:t xml:space="preserve"> times the current level. Of course, considering that it is difficult for developing countries to provide sufficient infrastructure for electric vehicles, </w:t>
      </w:r>
      <w:r>
        <w:rPr>
          <w:rFonts w:hint="eastAsia" w:cs="Times New Roman"/>
        </w:rPr>
        <w:t>it</w:t>
      </w:r>
      <w:r>
        <w:rPr>
          <w:rFonts w:cs="Times New Roman"/>
        </w:rPr>
        <w:t xml:space="preserve"> can</w:t>
      </w:r>
      <w:r>
        <w:rPr>
          <w:rFonts w:hint="eastAsia" w:cs="Times New Roman"/>
        </w:rPr>
        <w:t xml:space="preserve"> be</w:t>
      </w:r>
      <w:r>
        <w:rPr>
          <w:rFonts w:cs="Times New Roman"/>
        </w:rPr>
        <w:t xml:space="preserve"> expect</w:t>
      </w:r>
      <w:r>
        <w:rPr>
          <w:rFonts w:hint="eastAsia" w:cs="Times New Roman"/>
        </w:rPr>
        <w:t>ed</w:t>
      </w:r>
      <w:r>
        <w:rPr>
          <w:rFonts w:cs="Times New Roman"/>
        </w:rPr>
        <w:t xml:space="preserve"> that electric vehicles will only become popular in industrialized countries such as China,</w:t>
      </w:r>
      <w:r>
        <w:rPr>
          <w:rFonts w:hint="eastAsia" w:cs="Times New Roman"/>
        </w:rPr>
        <w:t xml:space="preserve"> Japan, Brazil, India,</w:t>
      </w:r>
      <w:r>
        <w:rPr>
          <w:rFonts w:cs="Times New Roman"/>
        </w:rPr>
        <w:t xml:space="preserve"> United States, and Europe for a considerable period of time in the future (perhaps up to a generation). So </w:t>
      </w:r>
      <w:r>
        <w:rPr>
          <w:rFonts w:hint="eastAsia" w:cs="Times New Roman"/>
        </w:rPr>
        <w:t>it</w:t>
      </w:r>
      <w:r>
        <w:rPr>
          <w:rFonts w:cs="Times New Roman"/>
        </w:rPr>
        <w:t xml:space="preserve"> can</w:t>
      </w:r>
      <w:r>
        <w:rPr>
          <w:rFonts w:hint="eastAsia" w:cs="Times New Roman"/>
        </w:rPr>
        <w:t xml:space="preserve"> be</w:t>
      </w:r>
      <w:r>
        <w:rPr>
          <w:rFonts w:cs="Times New Roman"/>
        </w:rPr>
        <w:t xml:space="preserve"> roughly assume</w:t>
      </w:r>
      <w:r>
        <w:rPr>
          <w:rFonts w:hint="eastAsia" w:cs="Times New Roman"/>
        </w:rPr>
        <w:t>d</w:t>
      </w:r>
      <w:r>
        <w:rPr>
          <w:rFonts w:cs="Times New Roman"/>
        </w:rPr>
        <w:t xml:space="preserve"> that the</w:t>
      </w:r>
      <w:r>
        <w:rPr>
          <w:rFonts w:hint="eastAsia" w:cs="Times New Roman"/>
        </w:rPr>
        <w:t xml:space="preserve"> chance</w:t>
      </w:r>
      <w:r>
        <w:rPr>
          <w:rFonts w:cs="Times New Roman"/>
        </w:rPr>
        <w:t xml:space="preserve"> sales share of electric vehicles exceed 50% of total car sales in the foreseeable future</w:t>
      </w:r>
      <w:r>
        <w:rPr>
          <w:rFonts w:hint="eastAsia" w:cs="Times New Roman"/>
        </w:rPr>
        <w:t xml:space="preserve"> is not very high</w:t>
      </w:r>
      <w:r>
        <w:rPr>
          <w:rFonts w:cs="Times New Roman"/>
        </w:rPr>
        <w:t>. This will mean that the consumption of lithium ore will hardly exceed 400,000 tons</w:t>
      </w:r>
      <w:r>
        <w:rPr>
          <w:rFonts w:hint="eastAsia" w:cs="Times New Roman"/>
        </w:rPr>
        <w:t xml:space="preserve"> level</w:t>
      </w:r>
      <w:r>
        <w:rPr>
          <w:rFonts w:cs="Times New Roman"/>
        </w:rPr>
        <w:t xml:space="preserve"> per year. And this means that even if the reserves of lithium ore do not increase (of course this is unlikely to happened, because lithium is one of the metals with the largest reserves on the earth, theoretically with reserves of billions of tons), then the current reserves of lithium ore will be enough to consume until the next century. Unlike gasoline, lithium is a metal that can be recycled. Now SCI suggest that China alone can recycle 200,000 tons of lithium batteries a year, of which at least half of the weight is lithium. (Anthony King, 2024) This means that from any perspective, the exhaustion of lithium ore by electric vehicles is not be something that will happen in this century.</w:t>
      </w:r>
    </w:p>
    <w:p w14:paraId="3F1D8512">
      <w:pPr>
        <w:rPr>
          <w:rFonts w:cs="Times New Roman"/>
        </w:rPr>
      </w:pPr>
    </w:p>
    <w:p w14:paraId="6A86CB78">
      <w:pPr>
        <w:rPr>
          <w:rFonts w:cs="Times New Roman"/>
        </w:rPr>
      </w:pPr>
      <w:r>
        <w:rPr>
          <w:rFonts w:cs="Times New Roman"/>
        </w:rPr>
        <w:t>As a relatively rare metal, cobalt has been mainly used in the past as a raw material for manufacturing positive electrodes of lithium batteries or as an additive for high-performance metal parts.</w:t>
      </w:r>
      <w:r>
        <w:rPr>
          <w:rFonts w:hint="eastAsia" w:cs="Times New Roman"/>
        </w:rPr>
        <w:t xml:space="preserve"> </w:t>
      </w:r>
      <w:r>
        <w:rPr>
          <w:rFonts w:cs="Times New Roman"/>
        </w:rPr>
        <w:t>Unlike lithium, cobalt reserves have been on a continuous downward trend for most of the past decade. According to data from the United States Geological Survey in 2021, the world's proven cobalt reserves fell by 200,000 tons in the decade from 2011 to 2020, about 5% of the total reserves(</w:t>
      </w:r>
      <w:r>
        <w:rPr>
          <w:rFonts w:hint="eastAsia" w:cs="Times New Roman"/>
        </w:rPr>
        <w:t>Han, 2023</w:t>
      </w:r>
      <w:r>
        <w:rPr>
          <w:rFonts w:cs="Times New Roman"/>
        </w:rPr>
        <w:t>). However, by 2023, according to data provided by the Statista website(Global Cobalt Reserves 2023</w:t>
      </w:r>
      <w:r>
        <w:rPr>
          <w:rFonts w:hint="eastAsia" w:cs="Times New Roman"/>
        </w:rPr>
        <w:t xml:space="preserve">, </w:t>
      </w:r>
      <w:r>
        <w:rPr>
          <w:rFonts w:cs="Times New Roman"/>
        </w:rPr>
        <w:t>Statista, 2024), global cobalt reserves have increased to 11 million tons.</w:t>
      </w:r>
      <w:r>
        <w:rPr>
          <w:rFonts w:hint="eastAsia" w:cs="Times New Roman"/>
        </w:rPr>
        <w:t xml:space="preserve"> </w:t>
      </w:r>
      <w:r>
        <w:rPr>
          <w:rFonts w:cs="Times New Roman"/>
        </w:rPr>
        <w:t>The reason behind this huge change is the global supply shortage caused by the surge in cobalt demand in 2021. According to data from a report provided by Cobalt Institute in May 2024, the global cobalt supply shortage reached 15,000 tons in 2021. This is also the peak shortage since 2015</w:t>
      </w:r>
      <w:r>
        <w:rPr>
          <w:rFonts w:hint="eastAsia" w:cs="Times New Roman"/>
        </w:rPr>
        <w:t xml:space="preserve"> </w:t>
      </w:r>
      <w:r>
        <w:rPr>
          <w:rFonts w:cs="Times New Roman"/>
        </w:rPr>
        <w:t>(McLeod &amp; Cobalt Institute, 2024).The resulting surge in cobalt prices has led to a large amount of capital pouring into the industry. This has made the cobalt exploration business, which has long been short of investment in the past, the darling of the market. Therefore, if the supply of cobalt mines</w:t>
      </w:r>
      <w:r>
        <w:rPr>
          <w:rFonts w:hint="eastAsia" w:cs="Times New Roman"/>
        </w:rPr>
        <w:t xml:space="preserve"> is viewed in a</w:t>
      </w:r>
      <w:r>
        <w:rPr>
          <w:rFonts w:cs="Times New Roman"/>
        </w:rPr>
        <w:t xml:space="preserve"> rationally</w:t>
      </w:r>
      <w:r>
        <w:rPr>
          <w:rFonts w:hint="eastAsia" w:cs="Times New Roman"/>
        </w:rPr>
        <w:t xml:space="preserve"> way</w:t>
      </w:r>
      <w:r>
        <w:rPr>
          <w:rFonts w:cs="Times New Roman"/>
        </w:rPr>
        <w:t xml:space="preserve">, </w:t>
      </w:r>
      <w:r>
        <w:rPr>
          <w:rFonts w:hint="eastAsia" w:cs="Times New Roman"/>
        </w:rPr>
        <w:t>it</w:t>
      </w:r>
      <w:r>
        <w:rPr>
          <w:rFonts w:cs="Times New Roman"/>
        </w:rPr>
        <w:t xml:space="preserve"> will find that there is still a lot of room for growth in cobalt reserves in the future. It would be short-sighted to evaluate the sustainability of cobalt mines based solely on current reserves and consumption.</w:t>
      </w:r>
      <w:r>
        <w:rPr>
          <w:rFonts w:hint="eastAsia" w:cs="Times New Roman"/>
        </w:rPr>
        <w:t xml:space="preserve"> </w:t>
      </w:r>
      <w:r>
        <w:rPr>
          <w:rFonts w:cs="Times New Roman"/>
        </w:rPr>
        <w:t>However, according to the data mentioned in the report also provided by the Cobalt Industry Research Institute, the global demand for cobalt mines in 2023 is 200,000 tons</w:t>
      </w:r>
      <w:r>
        <w:rPr>
          <w:rFonts w:hint="eastAsia" w:cs="Times New Roman"/>
        </w:rPr>
        <w:t xml:space="preserve"> (Cobalt Institute, 2021)</w:t>
      </w:r>
      <w:r>
        <w:rPr>
          <w:rFonts w:cs="Times New Roman"/>
        </w:rPr>
        <w:t xml:space="preserve">. </w:t>
      </w:r>
      <w:r>
        <w:rPr>
          <w:rFonts w:hint="eastAsia" w:cs="Times New Roman"/>
        </w:rPr>
        <w:t>It indicates</w:t>
      </w:r>
      <w:r>
        <w:rPr>
          <w:rFonts w:cs="Times New Roman"/>
        </w:rPr>
        <w:t xml:space="preserve"> that the current global cobalt reserves can support consumption for more than half a century. If the annual consumption of cobalt increases to twice the current level in the future, </w:t>
      </w:r>
      <w:r>
        <w:rPr>
          <w:rFonts w:hint="eastAsia" w:cs="Times New Roman"/>
        </w:rPr>
        <w:t>it</w:t>
      </w:r>
      <w:r>
        <w:rPr>
          <w:rFonts w:cs="Times New Roman"/>
        </w:rPr>
        <w:t xml:space="preserve"> may consume existing cobalt stocks within a generation. Therefore, cobalt is actually the chock point for the sustainability of electric vehicles. </w:t>
      </w:r>
      <w:r>
        <w:rPr>
          <w:rFonts w:hint="eastAsia" w:cs="Times New Roman"/>
        </w:rPr>
        <w:t>D</w:t>
      </w:r>
      <w:r>
        <w:rPr>
          <w:rFonts w:cs="Times New Roman"/>
        </w:rPr>
        <w:t xml:space="preserve">ue to the lack of sufficient demand, the exploration of cobalt resources has been underinvested for a long time. So </w:t>
      </w:r>
      <w:r>
        <w:rPr>
          <w:rFonts w:hint="eastAsia" w:cs="Times New Roman"/>
        </w:rPr>
        <w:t>if</w:t>
      </w:r>
      <w:r>
        <w:rPr>
          <w:rFonts w:cs="Times New Roman"/>
        </w:rPr>
        <w:t xml:space="preserve"> this issue</w:t>
      </w:r>
      <w:r>
        <w:rPr>
          <w:rFonts w:hint="eastAsia" w:cs="Times New Roman"/>
        </w:rPr>
        <w:t xml:space="preserve"> is</w:t>
      </w:r>
      <w:r>
        <w:rPr>
          <w:rFonts w:cs="Times New Roman"/>
        </w:rPr>
        <w:t xml:space="preserve"> </w:t>
      </w:r>
      <w:r>
        <w:rPr>
          <w:rFonts w:hint="eastAsia" w:cs="Times New Roman"/>
        </w:rPr>
        <w:t>viewed</w:t>
      </w:r>
      <w:r>
        <w:rPr>
          <w:rFonts w:cs="Times New Roman"/>
        </w:rPr>
        <w:t xml:space="preserve"> at again </w:t>
      </w:r>
      <w:r>
        <w:rPr>
          <w:rFonts w:hint="eastAsia" w:cs="Times New Roman"/>
        </w:rPr>
        <w:t>after</w:t>
      </w:r>
      <w:r>
        <w:rPr>
          <w:rFonts w:cs="Times New Roman"/>
        </w:rPr>
        <w:t xml:space="preserve"> few years, </w:t>
      </w:r>
      <w:r>
        <w:rPr>
          <w:rFonts w:hint="eastAsia" w:cs="Times New Roman"/>
        </w:rPr>
        <w:t>then</w:t>
      </w:r>
      <w:r>
        <w:rPr>
          <w:rFonts w:cs="Times New Roman"/>
        </w:rPr>
        <w:t xml:space="preserve"> a very different conclusion</w:t>
      </w:r>
      <w:r>
        <w:rPr>
          <w:rFonts w:hint="eastAsia" w:cs="Times New Roman"/>
        </w:rPr>
        <w:t xml:space="preserve"> may be drawn</w:t>
      </w:r>
      <w:r>
        <w:rPr>
          <w:rFonts w:cs="Times New Roman"/>
        </w:rPr>
        <w:t>.</w:t>
      </w:r>
    </w:p>
    <w:p w14:paraId="5038A2D1">
      <w:pPr>
        <w:rPr>
          <w:rFonts w:cs="Times New Roman"/>
        </w:rPr>
      </w:pPr>
    </w:p>
    <w:p w14:paraId="27CB1F2B">
      <w:pPr>
        <w:rPr>
          <w:rFonts w:cs="Times New Roman"/>
        </w:rPr>
      </w:pPr>
      <w:r>
        <w:rPr>
          <w:rFonts w:cs="Times New Roman"/>
        </w:rPr>
        <w:t>Nickel can increase the volume energy density of materials in lithium batteries; manganese can reduce material costs, improve material safety and structural stability</w:t>
      </w:r>
      <w:r>
        <w:rPr>
          <w:rFonts w:hint="eastAsia" w:cs="Times New Roman"/>
        </w:rPr>
        <w:t xml:space="preserve">. </w:t>
      </w:r>
      <w:r>
        <w:rPr>
          <w:rFonts w:cs="Times New Roman"/>
        </w:rPr>
        <w:t xml:space="preserve">Unlike cobalt, manganese and nickel, the two main raw materials for power batteries, will not face shortages. According to data provided by the Statistia </w:t>
      </w:r>
      <w:r>
        <w:rPr>
          <w:rFonts w:hint="eastAsia" w:cs="Times New Roman"/>
        </w:rPr>
        <w:t>(2024)</w:t>
      </w:r>
      <w:r>
        <w:rPr>
          <w:rFonts w:cs="Times New Roman"/>
        </w:rPr>
        <w:t>, the global reserves of manganese in 2023 will be 1.9 billion tons, while the global reserves of nickel will be 130 million tons(Global Nickel Reserves by Country 2023 | Statista, 2024). At the same time, data from the Statistia</w:t>
      </w:r>
      <w:r>
        <w:rPr>
          <w:rFonts w:hint="eastAsia" w:cs="Times New Roman"/>
        </w:rPr>
        <w:t>(2024)</w:t>
      </w:r>
      <w:r>
        <w:rPr>
          <w:rFonts w:cs="Times New Roman"/>
        </w:rPr>
        <w:t xml:space="preserve"> show that the global demand for nickel in 2023 will be 2.86 million tons. According to the market analysis report provided by the Mordor Intelligence , the demand for manganese in 2024 is expected to be 23.24 million tons(Manganese Market Insights, n.d.-b). At the same time, the main demand for these two metals is generated by the steel industry. The impact of the electric vehicle industry on the demand for these two metals is very limited. Therefore, </w:t>
      </w:r>
      <w:r>
        <w:rPr>
          <w:rFonts w:hint="eastAsia" w:cs="Times New Roman"/>
        </w:rPr>
        <w:t>it</w:t>
      </w:r>
      <w:r>
        <w:rPr>
          <w:rFonts w:cs="Times New Roman"/>
        </w:rPr>
        <w:t xml:space="preserve"> can</w:t>
      </w:r>
      <w:r>
        <w:rPr>
          <w:rFonts w:hint="eastAsia" w:cs="Times New Roman"/>
        </w:rPr>
        <w:t xml:space="preserve"> be</w:t>
      </w:r>
      <w:r>
        <w:rPr>
          <w:rFonts w:cs="Times New Roman"/>
        </w:rPr>
        <w:t xml:space="preserve"> assume</w:t>
      </w:r>
      <w:r>
        <w:rPr>
          <w:rFonts w:hint="eastAsia" w:cs="Times New Roman"/>
        </w:rPr>
        <w:t>d</w:t>
      </w:r>
      <w:r>
        <w:rPr>
          <w:rFonts w:cs="Times New Roman"/>
        </w:rPr>
        <w:t xml:space="preserve"> that the supply of these two metals will not restrict the development of electric vehicles.</w:t>
      </w:r>
    </w:p>
    <w:p w14:paraId="36777609">
      <w:pPr>
        <w:rPr>
          <w:rFonts w:cs="Times New Roman"/>
        </w:rPr>
      </w:pPr>
    </w:p>
    <w:p w14:paraId="1FF800B4">
      <w:pPr>
        <w:rPr>
          <w:rFonts w:cs="Times New Roman"/>
        </w:rPr>
      </w:pPr>
      <w:r>
        <w:rPr>
          <w:rFonts w:cs="Times New Roman"/>
        </w:rPr>
        <w:t>Unlike ternary lithium batteries, which are restricted by several precious metals in the raw materials, the raw materials of lithium iron phosphate</w:t>
      </w:r>
      <w:r>
        <w:rPr>
          <w:rFonts w:hint="eastAsia" w:cs="Times New Roman"/>
        </w:rPr>
        <w:t>(LIP)</w:t>
      </w:r>
      <w:r>
        <w:rPr>
          <w:rFonts w:cs="Times New Roman"/>
        </w:rPr>
        <w:t xml:space="preserve"> batteries are all very common elements in the earth's crust. It is no exaggeration to say that the only raw material in lithium iron phosphate batteries that will face the problem of resource depletion is lithium. </w:t>
      </w:r>
      <w:r>
        <w:rPr>
          <w:rFonts w:hint="eastAsia" w:cs="Times New Roman"/>
        </w:rPr>
        <w:t>T</w:t>
      </w:r>
      <w:r>
        <w:rPr>
          <w:rFonts w:cs="Times New Roman"/>
        </w:rPr>
        <w:t>he reserves and recycling of lithium ore resources make the risk of lithium resource depletion small.</w:t>
      </w:r>
      <w:r>
        <w:rPr>
          <w:rFonts w:hint="eastAsia" w:cs="Times New Roman"/>
        </w:rPr>
        <w:t xml:space="preserve"> A recent journal report that the recycle efficiency of the iron and lithium in LIP can be higher than 90%(Kumar et al., 2022).</w:t>
      </w:r>
      <w:r>
        <w:rPr>
          <w:rFonts w:cs="Times New Roman"/>
        </w:rPr>
        <w:t xml:space="preserve"> But this does not mean that lithium iron phosphate batteries can solve all problems. Because although lithium iron phosphate batteries are cheaper, safer and not restricted by natural resource issues(Chen et al., 2021). But their energy density is lower, and energy failure in low temperature environments is far more serious than that of ternary lithium batteries(Su, 2022). Therefore, for consumers in northern China and the United States, lithium iron phosphate batteries are not a good source of automotive power.</w:t>
      </w:r>
      <w:r>
        <w:rPr>
          <w:rFonts w:hint="eastAsia" w:cs="Times New Roman"/>
        </w:rPr>
        <w:t xml:space="preserve"> Moreover, considering that the European Union, China and the United States, where the penetration rate of trams is relatively high, are not low-latitude regions, the energy characteristics of trams at low temperatures become even more important.</w:t>
      </w:r>
      <w:r>
        <w:rPr>
          <w:rFonts w:cs="Times New Roman"/>
        </w:rPr>
        <w:t xml:space="preserve"> But at least lithium iron phosphate batteries ensure the bottom line safety of electric vehicles in terms of resource sustainability.</w:t>
      </w:r>
    </w:p>
    <w:p w14:paraId="083FAD2B">
      <w:pPr>
        <w:rPr>
          <w:rFonts w:cs="Times New Roman"/>
        </w:rPr>
      </w:pPr>
    </w:p>
    <w:p w14:paraId="0DE311CE">
      <w:pPr>
        <w:rPr>
          <w:rFonts w:cs="Times New Roman"/>
        </w:rPr>
      </w:pPr>
    </w:p>
    <w:p w14:paraId="5B2ED4BD">
      <w:pPr>
        <w:rPr>
          <w:rFonts w:cs="Times New Roman"/>
        </w:rPr>
      </w:pPr>
    </w:p>
    <w:p w14:paraId="2EA44CC0">
      <w:pPr>
        <w:rPr>
          <w:rFonts w:cs="Times New Roman"/>
        </w:rPr>
      </w:pPr>
    </w:p>
    <w:p w14:paraId="70211F6A">
      <w:pPr>
        <w:rPr>
          <w:rFonts w:cs="Times New Roman"/>
        </w:rPr>
      </w:pPr>
    </w:p>
    <w:p w14:paraId="41BF1227">
      <w:pPr>
        <w:rPr>
          <w:rFonts w:cs="Times New Roman"/>
        </w:rPr>
      </w:pPr>
    </w:p>
    <w:p w14:paraId="5A284AB1">
      <w:pPr>
        <w:rPr>
          <w:rFonts w:cs="Times New Roman"/>
        </w:rPr>
      </w:pPr>
    </w:p>
    <w:p w14:paraId="56C6510D">
      <w:pPr>
        <w:rPr>
          <w:rFonts w:cs="Times New Roman"/>
        </w:rPr>
      </w:pPr>
    </w:p>
    <w:p w14:paraId="11203704">
      <w:pPr>
        <w:rPr>
          <w:rFonts w:cs="Times New Roman"/>
        </w:rPr>
      </w:pPr>
    </w:p>
    <w:p w14:paraId="1BEB5F62">
      <w:pPr>
        <w:rPr>
          <w:rFonts w:cs="Times New Roman"/>
        </w:rPr>
      </w:pPr>
    </w:p>
    <w:p w14:paraId="2FB6FEA8">
      <w:pPr>
        <w:rPr>
          <w:rFonts w:cs="Times New Roman"/>
        </w:rPr>
      </w:pPr>
    </w:p>
    <w:p w14:paraId="1A543485">
      <w:pPr>
        <w:rPr>
          <w:rFonts w:cs="Times New Roman"/>
        </w:rPr>
      </w:pPr>
    </w:p>
    <w:p w14:paraId="2B6FA2B7">
      <w:pPr>
        <w:rPr>
          <w:rFonts w:cs="Times New Roman"/>
        </w:rPr>
      </w:pPr>
    </w:p>
    <w:p w14:paraId="74C21C7F">
      <w:pPr>
        <w:rPr>
          <w:rFonts w:cs="Times New Roman"/>
        </w:rPr>
      </w:pPr>
    </w:p>
    <w:p w14:paraId="55CC220E">
      <w:pPr>
        <w:rPr>
          <w:rFonts w:cs="Times New Roman"/>
        </w:rPr>
      </w:pPr>
    </w:p>
    <w:p w14:paraId="13435EE9">
      <w:pPr>
        <w:rPr>
          <w:rFonts w:cs="Times New Roman"/>
        </w:rPr>
      </w:pPr>
    </w:p>
    <w:p w14:paraId="1A9CD2BC">
      <w:pPr>
        <w:rPr>
          <w:rFonts w:cs="Times New Roman"/>
        </w:rPr>
      </w:pPr>
    </w:p>
    <w:p w14:paraId="3E894892">
      <w:pPr>
        <w:rPr>
          <w:rFonts w:cs="Times New Roman"/>
        </w:rPr>
      </w:pPr>
    </w:p>
    <w:p w14:paraId="5C2EA601">
      <w:pPr>
        <w:rPr>
          <w:rFonts w:cs="Times New Roman"/>
        </w:rPr>
      </w:pPr>
    </w:p>
    <w:p w14:paraId="6D26FEAA">
      <w:pPr>
        <w:rPr>
          <w:rFonts w:cs="Times New Roman"/>
        </w:rPr>
      </w:pPr>
    </w:p>
    <w:p w14:paraId="751CF1F5">
      <w:pPr>
        <w:pStyle w:val="2"/>
      </w:pPr>
      <w:bookmarkStart w:id="45" w:name="_Toc44686312"/>
      <w:bookmarkStart w:id="46" w:name="_Toc49783897"/>
      <w:bookmarkStart w:id="47" w:name="_Toc2454"/>
      <w:r>
        <w:rPr>
          <w:rFonts w:hint="eastAsia"/>
        </w:rPr>
        <w:t>Chapter 3</w:t>
      </w:r>
      <w:r>
        <w:t xml:space="preserve">. </w:t>
      </w:r>
      <w:r>
        <w:rPr>
          <w:rFonts w:hint="eastAsia"/>
        </w:rPr>
        <w:t>Methodology</w:t>
      </w:r>
      <w:bookmarkEnd w:id="45"/>
      <w:bookmarkEnd w:id="46"/>
      <w:bookmarkEnd w:id="47"/>
    </w:p>
    <w:p w14:paraId="727B409B">
      <w:pPr>
        <w:pStyle w:val="3"/>
      </w:pPr>
      <w:bookmarkStart w:id="48" w:name="_Toc49783898"/>
      <w:bookmarkStart w:id="49" w:name="_Toc19181"/>
      <w:bookmarkStart w:id="50" w:name="_Toc44686313"/>
      <w:bookmarkStart w:id="51" w:name="_Toc13915441"/>
      <w:r>
        <w:rPr>
          <w:rFonts w:hint="eastAsia"/>
        </w:rPr>
        <w:t>3</w:t>
      </w:r>
      <w:r>
        <w:t>.1 Aims and Objectives</w:t>
      </w:r>
      <w:bookmarkEnd w:id="48"/>
      <w:bookmarkEnd w:id="49"/>
    </w:p>
    <w:p w14:paraId="7D6A7D34">
      <w:pPr>
        <w:rPr>
          <w:rFonts w:eastAsia="SimSun"/>
        </w:rPr>
      </w:pPr>
      <w:bookmarkStart w:id="52" w:name="_Toc49783899"/>
      <w:r>
        <w:rPr>
          <w:rFonts w:hint="eastAsia" w:eastAsia="SimSun"/>
        </w:rPr>
        <w:t xml:space="preserve">The aims and objective of this research are to: </w:t>
      </w:r>
    </w:p>
    <w:p w14:paraId="795240AD">
      <w:pPr>
        <w:rPr>
          <w:rFonts w:eastAsia="SimSun"/>
        </w:rPr>
      </w:pPr>
    </w:p>
    <w:p w14:paraId="638838BD">
      <w:pPr>
        <w:pStyle w:val="31"/>
        <w:numPr>
          <w:ilvl w:val="0"/>
          <w:numId w:val="2"/>
        </w:numPr>
        <w:rPr>
          <w:rFonts w:eastAsia="Times New Roman" w:cs="Times New Roman"/>
          <w:color w:val="000000" w:themeColor="text1"/>
          <w:kern w:val="0"/>
          <w:szCs w:val="24"/>
          <w:lang w:val="en-GB" w:eastAsia="en-GB"/>
          <w14:textFill>
            <w14:solidFill>
              <w14:schemeClr w14:val="tx1"/>
            </w14:solidFill>
          </w14:textFill>
        </w:rPr>
      </w:pPr>
      <w:r>
        <w:rPr>
          <w:rFonts w:eastAsia="Times New Roman" w:cs="Times New Roman"/>
          <w:color w:val="000000" w:themeColor="text1"/>
          <w:kern w:val="0"/>
          <w:szCs w:val="24"/>
          <w:lang w:val="en-GB" w:eastAsia="en-GB"/>
          <w14:textFill>
            <w14:solidFill>
              <w14:schemeClr w14:val="tx1"/>
            </w14:solidFill>
          </w14:textFill>
        </w:rPr>
        <w:t xml:space="preserve">Evaluate the reliability and economics of electric vehicles and </w:t>
      </w:r>
      <w:r>
        <w:rPr>
          <w:rFonts w:hint="eastAsia" w:eastAsia="Times New Roman" w:cs="Times New Roman"/>
          <w:color w:val="000000" w:themeColor="text1"/>
          <w:kern w:val="0"/>
          <w:szCs w:val="24"/>
          <w:lang w:val="en-GB"/>
          <w14:textFill>
            <w14:solidFill>
              <w14:schemeClr w14:val="tx1"/>
            </w14:solidFill>
          </w14:textFill>
        </w:rPr>
        <w:t xml:space="preserve">conventional </w:t>
      </w:r>
      <w:r>
        <w:rPr>
          <w:rFonts w:eastAsia="Times New Roman" w:cs="Times New Roman"/>
          <w:color w:val="000000" w:themeColor="text1"/>
          <w:kern w:val="0"/>
          <w:szCs w:val="24"/>
          <w:lang w:val="en-GB"/>
          <w14:textFill>
            <w14:solidFill>
              <w14:schemeClr w14:val="tx1"/>
            </w14:solidFill>
          </w14:textFill>
        </w:rPr>
        <w:t>fuelled</w:t>
      </w:r>
      <w:r>
        <w:rPr>
          <w:rFonts w:hint="eastAsia" w:eastAsia="Times New Roman" w:cs="Times New Roman"/>
          <w:color w:val="000000" w:themeColor="text1"/>
          <w:kern w:val="0"/>
          <w:szCs w:val="24"/>
          <w:lang w:val="en-GB"/>
          <w14:textFill>
            <w14:solidFill>
              <w14:schemeClr w14:val="tx1"/>
            </w14:solidFill>
          </w14:textFill>
        </w:rPr>
        <w:t xml:space="preserve"> </w:t>
      </w:r>
      <w:r>
        <w:rPr>
          <w:rFonts w:eastAsia="Times New Roman" w:cs="Times New Roman"/>
          <w:color w:val="000000" w:themeColor="text1"/>
          <w:kern w:val="0"/>
          <w:szCs w:val="24"/>
          <w:lang w:val="en-GB" w:eastAsia="en-GB"/>
          <w14:textFill>
            <w14:solidFill>
              <w14:schemeClr w14:val="tx1"/>
            </w14:solidFill>
          </w14:textFill>
        </w:rPr>
        <w:t xml:space="preserve"> cars</w:t>
      </w:r>
    </w:p>
    <w:p w14:paraId="7BF5894B">
      <w:pPr>
        <w:rPr>
          <w:rFonts w:eastAsia="Times New Roman" w:cs="Times New Roman"/>
          <w:kern w:val="0"/>
          <w:szCs w:val="24"/>
          <w:lang w:val="en-GB" w:eastAsia="en-GB"/>
        </w:rPr>
      </w:pPr>
    </w:p>
    <w:p w14:paraId="15A0EBE6">
      <w:pPr>
        <w:pStyle w:val="31"/>
        <w:numPr>
          <w:ilvl w:val="0"/>
          <w:numId w:val="2"/>
        </w:numPr>
        <w:rPr>
          <w:rFonts w:eastAsia="Times New Roman" w:cs="Times New Roman"/>
          <w:color w:val="000000" w:themeColor="text1"/>
          <w:kern w:val="0"/>
          <w:szCs w:val="24"/>
          <w:lang w:val="en-GB" w:eastAsia="en-GB"/>
          <w14:textFill>
            <w14:solidFill>
              <w14:schemeClr w14:val="tx1"/>
            </w14:solidFill>
          </w14:textFill>
        </w:rPr>
      </w:pPr>
      <w:r>
        <w:rPr>
          <w:rFonts w:eastAsia="Times New Roman" w:cs="Times New Roman"/>
          <w:color w:val="000000" w:themeColor="text1"/>
          <w:kern w:val="0"/>
          <w:szCs w:val="24"/>
          <w:lang w:val="en-GB" w:eastAsia="en-GB"/>
          <w14:textFill>
            <w14:solidFill>
              <w14:schemeClr w14:val="tx1"/>
            </w14:solidFill>
          </w14:textFill>
        </w:rPr>
        <w:t xml:space="preserve">Assess the impact of infrastructure development on </w:t>
      </w:r>
      <w:r>
        <w:rPr>
          <w:color w:val="000000" w:themeColor="text1"/>
          <w14:textFill>
            <w14:solidFill>
              <w14:schemeClr w14:val="tx1"/>
            </w14:solidFill>
          </w14:textFill>
        </w:rPr>
        <w:t>electric vehicles</w:t>
      </w:r>
      <w:r>
        <w:rPr>
          <w:rFonts w:eastAsia="Times New Roman" w:cs="Times New Roman"/>
          <w:color w:val="000000" w:themeColor="text1"/>
          <w:kern w:val="0"/>
          <w:szCs w:val="24"/>
          <w:lang w:val="en-GB" w:eastAsia="en-GB"/>
          <w14:textFill>
            <w14:solidFill>
              <w14:schemeClr w14:val="tx1"/>
            </w14:solidFill>
          </w14:textFill>
        </w:rPr>
        <w:t xml:space="preserve"> and </w:t>
      </w:r>
      <w:r>
        <w:rPr>
          <w:rFonts w:hint="eastAsia" w:eastAsia="Times New Roman" w:cs="Times New Roman"/>
          <w:color w:val="000000" w:themeColor="text1"/>
          <w:kern w:val="0"/>
          <w:szCs w:val="24"/>
          <w:lang w:val="en-GB"/>
          <w14:textFill>
            <w14:solidFill>
              <w14:schemeClr w14:val="tx1"/>
            </w14:solidFill>
          </w14:textFill>
        </w:rPr>
        <w:t xml:space="preserve">conventional </w:t>
      </w:r>
      <w:r>
        <w:rPr>
          <w:rFonts w:eastAsia="Times New Roman" w:cs="Times New Roman"/>
          <w:color w:val="000000" w:themeColor="text1"/>
          <w:kern w:val="0"/>
          <w:szCs w:val="24"/>
          <w:lang w:val="en-GB"/>
          <w14:textFill>
            <w14:solidFill>
              <w14:schemeClr w14:val="tx1"/>
            </w14:solidFill>
          </w14:textFill>
        </w:rPr>
        <w:t>fuelled</w:t>
      </w:r>
      <w:r>
        <w:rPr>
          <w:rFonts w:eastAsia="Times New Roman" w:cs="Times New Roman"/>
          <w:color w:val="000000" w:themeColor="text1"/>
          <w:kern w:val="0"/>
          <w:szCs w:val="24"/>
          <w:lang w:val="en-GB" w:eastAsia="en-GB"/>
          <w14:textFill>
            <w14:solidFill>
              <w14:schemeClr w14:val="tx1"/>
            </w14:solidFill>
          </w14:textFill>
        </w:rPr>
        <w:t xml:space="preserve"> car users: A sample of the China.</w:t>
      </w:r>
    </w:p>
    <w:p w14:paraId="59868E86">
      <w:pPr>
        <w:rPr>
          <w:rFonts w:eastAsia="Times New Roman" w:cs="Times New Roman"/>
          <w:kern w:val="0"/>
          <w:szCs w:val="24"/>
          <w:lang w:val="en-GB" w:eastAsia="en-GB"/>
        </w:rPr>
      </w:pPr>
    </w:p>
    <w:p w14:paraId="1A169ED2">
      <w:pPr>
        <w:pStyle w:val="31"/>
        <w:numPr>
          <w:ilvl w:val="0"/>
          <w:numId w:val="2"/>
        </w:numPr>
        <w:rPr>
          <w:rFonts w:eastAsia="Times New Roman" w:cs="Times New Roman"/>
          <w:color w:val="000000" w:themeColor="text1"/>
          <w:kern w:val="0"/>
          <w:szCs w:val="24"/>
          <w:lang w:val="en-GB" w:eastAsia="en-GB"/>
          <w14:textFill>
            <w14:solidFill>
              <w14:schemeClr w14:val="tx1"/>
            </w14:solidFill>
          </w14:textFill>
        </w:rPr>
      </w:pPr>
      <w:r>
        <w:rPr>
          <w:rFonts w:eastAsia="Times New Roman" w:cs="Times New Roman"/>
          <w:color w:val="000000" w:themeColor="text1"/>
          <w:kern w:val="0"/>
          <w:szCs w:val="24"/>
          <w:lang w:val="en-GB" w:eastAsia="en-GB"/>
          <w14:textFill>
            <w14:solidFill>
              <w14:schemeClr w14:val="tx1"/>
            </w14:solidFill>
          </w14:textFill>
        </w:rPr>
        <w:t xml:space="preserve">Evaluate the difference between </w:t>
      </w:r>
      <w:r>
        <w:rPr>
          <w:rFonts w:hint="eastAsia" w:eastAsia="Times New Roman" w:cs="Times New Roman"/>
          <w:color w:val="000000" w:themeColor="text1"/>
          <w:kern w:val="0"/>
          <w:szCs w:val="24"/>
          <w14:textFill>
            <w14:solidFill>
              <w14:schemeClr w14:val="tx1"/>
            </w14:solidFill>
          </w14:textFill>
        </w:rPr>
        <w:t>BYD</w:t>
      </w:r>
      <w:r>
        <w:rPr>
          <w:rFonts w:eastAsia="Times New Roman" w:cs="Times New Roman"/>
          <w:color w:val="000000" w:themeColor="text1"/>
          <w:kern w:val="0"/>
          <w:szCs w:val="24"/>
          <w:lang w:val="en-GB" w:eastAsia="en-GB"/>
          <w14:textFill>
            <w14:solidFill>
              <w14:schemeClr w14:val="tx1"/>
            </w14:solidFill>
          </w14:textFill>
        </w:rPr>
        <w:t xml:space="preserve"> and </w:t>
      </w:r>
      <w:r>
        <w:rPr>
          <w:rFonts w:hint="eastAsia" w:eastAsia="Times New Roman" w:cs="Times New Roman"/>
          <w:color w:val="000000" w:themeColor="text1"/>
          <w:kern w:val="0"/>
          <w:szCs w:val="24"/>
          <w14:textFill>
            <w14:solidFill>
              <w14:schemeClr w14:val="tx1"/>
            </w14:solidFill>
          </w14:textFill>
        </w:rPr>
        <w:t>Ford</w:t>
      </w:r>
      <w:r>
        <w:rPr>
          <w:rFonts w:eastAsia="Times New Roman" w:cs="Times New Roman"/>
          <w:color w:val="000000" w:themeColor="text1"/>
          <w:kern w:val="0"/>
          <w:szCs w:val="24"/>
          <w:lang w:val="en-GB" w:eastAsia="en-GB"/>
          <w14:textFill>
            <w14:solidFill>
              <w14:schemeClr w14:val="tx1"/>
            </w14:solidFill>
          </w14:textFill>
        </w:rPr>
        <w:t xml:space="preserve"> in their ability to generate profits by analysing production costs and supply chains</w:t>
      </w:r>
    </w:p>
    <w:p w14:paraId="70D7A698">
      <w:pPr>
        <w:rPr>
          <w:rFonts w:eastAsia="Times New Roman" w:cs="Times New Roman"/>
          <w:kern w:val="0"/>
          <w:szCs w:val="24"/>
          <w:lang w:val="en-GB" w:eastAsia="en-GB"/>
        </w:rPr>
      </w:pPr>
    </w:p>
    <w:p w14:paraId="1C1EF9ED">
      <w:pPr>
        <w:pStyle w:val="31"/>
        <w:numPr>
          <w:ilvl w:val="0"/>
          <w:numId w:val="2"/>
        </w:numPr>
        <w:rPr>
          <w:color w:val="000000" w:themeColor="text1"/>
          <w:lang w:val="en-GB" w:eastAsia="en-GB"/>
          <w14:textFill>
            <w14:solidFill>
              <w14:schemeClr w14:val="tx1"/>
            </w14:solidFill>
          </w14:textFill>
        </w:rPr>
      </w:pPr>
      <w:r>
        <w:rPr>
          <w:color w:val="000000" w:themeColor="text1"/>
          <w:lang w:val="en-GB" w:eastAsia="en-GB"/>
          <w14:textFill>
            <w14:solidFill>
              <w14:schemeClr w14:val="tx1"/>
            </w14:solidFill>
          </w14:textFill>
        </w:rPr>
        <w:t>Assess the current market acceptance and usage of electric vehicles.</w:t>
      </w:r>
    </w:p>
    <w:p w14:paraId="6B66B15E">
      <w:pPr>
        <w:rPr>
          <w:rFonts w:eastAsia="Times New Roman" w:cs="Times New Roman"/>
          <w:kern w:val="0"/>
          <w:szCs w:val="24"/>
          <w:lang w:val="en-GB" w:eastAsia="en-GB"/>
        </w:rPr>
      </w:pPr>
    </w:p>
    <w:p w14:paraId="5DAF4CCC">
      <w:pPr>
        <w:rPr>
          <w:rFonts w:eastAsia="Times New Roman" w:cs="Times New Roman"/>
          <w:kern w:val="0"/>
          <w:szCs w:val="24"/>
          <w:lang w:val="en-GB" w:eastAsia="en-GB"/>
        </w:rPr>
      </w:pPr>
    </w:p>
    <w:p w14:paraId="29220C72">
      <w:pPr>
        <w:pStyle w:val="3"/>
      </w:pPr>
      <w:bookmarkStart w:id="53" w:name="_Toc26159"/>
      <w:r>
        <w:rPr>
          <w:rFonts w:hint="eastAsia"/>
        </w:rPr>
        <w:t>3</w:t>
      </w:r>
      <w:r>
        <w:t>.2 Research Rationale</w:t>
      </w:r>
      <w:bookmarkEnd w:id="50"/>
      <w:bookmarkEnd w:id="51"/>
      <w:bookmarkEnd w:id="52"/>
      <w:bookmarkEnd w:id="53"/>
    </w:p>
    <w:p w14:paraId="1A443F31">
      <w:pPr>
        <w:tabs>
          <w:tab w:val="left" w:pos="-720"/>
        </w:tabs>
        <w:suppressAutoHyphens/>
        <w:rPr>
          <w:rStyle w:val="35"/>
          <w:color w:val="auto"/>
          <w:spacing w:val="-2"/>
        </w:rPr>
      </w:pPr>
      <w:bookmarkStart w:id="54" w:name="_Toc44686314"/>
      <w:bookmarkStart w:id="55" w:name="_Toc13915442"/>
      <w:r>
        <w:rPr>
          <w:rStyle w:val="35"/>
          <w:color w:val="auto"/>
          <w:spacing w:val="-2"/>
        </w:rPr>
        <w:t xml:space="preserve">The </w:t>
      </w:r>
      <w:r>
        <w:rPr>
          <w:rStyle w:val="35"/>
          <w:rFonts w:hint="eastAsia" w:eastAsia="SimSun"/>
          <w:color w:val="auto"/>
          <w:spacing w:val="-2"/>
        </w:rPr>
        <w:t>rationale</w:t>
      </w:r>
      <w:r>
        <w:rPr>
          <w:rStyle w:val="35"/>
          <w:color w:val="auto"/>
          <w:spacing w:val="-2"/>
        </w:rPr>
        <w:t xml:space="preserve"> of this </w:t>
      </w:r>
      <w:r>
        <w:rPr>
          <w:rStyle w:val="35"/>
          <w:rFonts w:hint="eastAsia" w:eastAsia="SimSun"/>
          <w:color w:val="auto"/>
          <w:spacing w:val="-2"/>
        </w:rPr>
        <w:t>research</w:t>
      </w:r>
      <w:r>
        <w:rPr>
          <w:rStyle w:val="35"/>
          <w:color w:val="auto"/>
          <w:spacing w:val="-2"/>
        </w:rPr>
        <w:t xml:space="preserve"> is to explore the commercial feasibility of electric vehicles replacing traditional fuel vehicles based on product life cycle theory (Levitt, 2024). Therefore, this study will mainly analyze the commercial feasibility of electric vehicles replacing fuel vehicles in the future from three perspectives: the resource sustainability of electric vehicles, the ability to bring profitability to companies that produce and sell them, and the construction of electric vehicle-related infrastructure.</w:t>
      </w:r>
    </w:p>
    <w:p w14:paraId="4739031B">
      <w:pPr>
        <w:tabs>
          <w:tab w:val="left" w:pos="-720"/>
        </w:tabs>
        <w:suppressAutoHyphens/>
        <w:rPr>
          <w:rStyle w:val="35"/>
          <w:color w:val="auto"/>
          <w:spacing w:val="-2"/>
        </w:rPr>
      </w:pPr>
    </w:p>
    <w:p w14:paraId="71390782">
      <w:pPr>
        <w:tabs>
          <w:tab w:val="left" w:pos="-720"/>
        </w:tabs>
        <w:suppressAutoHyphens/>
        <w:rPr>
          <w:rStyle w:val="35"/>
          <w:color w:val="auto"/>
          <w:spacing w:val="-2"/>
        </w:rPr>
      </w:pPr>
      <w:r>
        <w:rPr>
          <w:rStyle w:val="35"/>
          <w:color w:val="auto"/>
          <w:spacing w:val="-2"/>
        </w:rPr>
        <w:t xml:space="preserve">This </w:t>
      </w:r>
      <w:r>
        <w:rPr>
          <w:rStyle w:val="35"/>
          <w:rFonts w:hint="eastAsia" w:eastAsia="SimSun"/>
          <w:color w:val="auto"/>
          <w:spacing w:val="-2"/>
        </w:rPr>
        <w:t>research aims to</w:t>
      </w:r>
      <w:r>
        <w:rPr>
          <w:rStyle w:val="35"/>
          <w:color w:val="auto"/>
          <w:spacing w:val="-2"/>
        </w:rPr>
        <w:t xml:space="preserve"> evaluate </w:t>
      </w:r>
      <w:r>
        <w:rPr>
          <w:rStyle w:val="35"/>
          <w:rFonts w:hint="eastAsia" w:eastAsia="SimSun"/>
          <w:color w:val="auto"/>
          <w:spacing w:val="-2"/>
        </w:rPr>
        <w:t>both electric</w:t>
      </w:r>
      <w:r>
        <w:rPr>
          <w:rStyle w:val="35"/>
          <w:color w:val="auto"/>
          <w:spacing w:val="-2"/>
        </w:rPr>
        <w:t xml:space="preserve"> vehicles</w:t>
      </w:r>
      <w:r>
        <w:rPr>
          <w:rStyle w:val="35"/>
          <w:rFonts w:hint="eastAsia" w:eastAsia="SimSun"/>
          <w:color w:val="auto"/>
          <w:spacing w:val="-2"/>
        </w:rPr>
        <w:t xml:space="preserve"> and traditional power vehicles</w:t>
      </w:r>
      <w:r>
        <w:rPr>
          <w:rStyle w:val="35"/>
          <w:color w:val="auto"/>
          <w:spacing w:val="-2"/>
        </w:rPr>
        <w:t xml:space="preserve"> from the perspective of car users, including the evaluation of vehicle use costs and user experience. In addition to collecting user feedback reports from public information sources, user feedback obtained from public information sources will also be verified through questionnaires.</w:t>
      </w:r>
    </w:p>
    <w:p w14:paraId="33E20B3A">
      <w:pPr>
        <w:pStyle w:val="3"/>
      </w:pPr>
      <w:bookmarkStart w:id="56" w:name="_Toc49783900"/>
      <w:bookmarkStart w:id="57" w:name="_Toc25800"/>
      <w:r>
        <w:rPr>
          <w:rFonts w:hint="eastAsia"/>
        </w:rPr>
        <w:t>3</w:t>
      </w:r>
      <w:r>
        <w:t>.3 Research Design</w:t>
      </w:r>
      <w:bookmarkEnd w:id="54"/>
      <w:bookmarkEnd w:id="55"/>
      <w:bookmarkEnd w:id="56"/>
      <w:bookmarkEnd w:id="57"/>
    </w:p>
    <w:p w14:paraId="01D5736F"/>
    <w:p w14:paraId="74BA281C">
      <w:pPr>
        <w:rPr>
          <w:rFonts w:eastAsia="SimSun"/>
        </w:rPr>
      </w:pPr>
      <w:r>
        <w:rPr>
          <w:rFonts w:eastAsia="SimSun"/>
        </w:rPr>
        <w:t>The purpose of research design is to frame the investigation and research, plan the path, and indicate the need and direction for data collection</w:t>
      </w:r>
      <w:r>
        <w:rPr>
          <w:rFonts w:hint="eastAsia" w:eastAsia="SimSun"/>
        </w:rPr>
        <w:t>(Bayazit, 2004;McCombes, 2023)</w:t>
      </w:r>
      <w:r>
        <w:rPr>
          <w:rFonts w:eastAsia="SimSun"/>
        </w:rPr>
        <w:t>.</w:t>
      </w:r>
      <w:r>
        <w:rPr>
          <w:rFonts w:hint="eastAsia" w:eastAsia="SimSun"/>
        </w:rPr>
        <w:t xml:space="preserve"> </w:t>
      </w:r>
      <w:r>
        <w:rPr>
          <w:rFonts w:eastAsia="SimSun"/>
        </w:rPr>
        <w:t>For this kind of question about whether a specific enterprise can make a profit, there are many variables that may affect the result, and the relationship between the variables is complex. If various variables are discussed, the research will become complicated and irrelevant. At this time, the case analysis method that can cover the research activities “like an umbrella” is very applicable</w:t>
      </w:r>
      <w:r>
        <w:rPr>
          <w:rFonts w:hint="eastAsia" w:eastAsia="SimSun"/>
        </w:rPr>
        <w:t>（Thomas, 2023）</w:t>
      </w:r>
      <w:r>
        <w:rPr>
          <w:rFonts w:eastAsia="SimSun"/>
        </w:rPr>
        <w:t>. Therefore, researchers can better reveal the nature, causes and future trends of the problem under this framework.</w:t>
      </w:r>
      <w:r>
        <w:rPr>
          <w:rFonts w:hint="eastAsia" w:eastAsia="SimSun"/>
        </w:rPr>
        <w:t xml:space="preserve"> The relation between two kinds of cars is a question about the relationships between variables. For that reason, a survey design that provides a quantitative description of trends(Creswell, 2009; Barroga &amp; Matanguihan, 2022).</w:t>
      </w:r>
    </w:p>
    <w:p w14:paraId="24A1C29F">
      <w:pPr>
        <w:rPr>
          <w:rFonts w:eastAsia="SimSun"/>
        </w:rPr>
      </w:pPr>
    </w:p>
    <w:p w14:paraId="6CB40F52">
      <w:pPr>
        <w:rPr>
          <w:rFonts w:eastAsia="SimSun"/>
        </w:rPr>
      </w:pPr>
      <w:r>
        <w:rPr>
          <w:rFonts w:eastAsia="SimSun"/>
        </w:rPr>
        <w:t>In view of this, the case analysis method is a research method that is both convenient and in line with the needs</w:t>
      </w:r>
      <w:r>
        <w:rPr>
          <w:rFonts w:hint="eastAsia" w:eastAsia="SimSun"/>
        </w:rPr>
        <w:t>(Lavarda, 2022)</w:t>
      </w:r>
      <w:r>
        <w:rPr>
          <w:rFonts w:eastAsia="SimSun"/>
        </w:rPr>
        <w:t>. Ford and BYD are typical representatives of traditional fuel vehicle and electric vehicle production and sales companies, respectively. Taking these two companies as typical examples, the development trends of these two industries over the past period of time will be studied.</w:t>
      </w:r>
      <w:r>
        <w:rPr>
          <w:rFonts w:hint="eastAsia" w:eastAsia="SimSun"/>
        </w:rPr>
        <w:t xml:space="preserve">  C</w:t>
      </w:r>
      <w:r>
        <w:rPr>
          <w:rFonts w:eastAsia="SimSun"/>
        </w:rPr>
        <w:t>ase analysis</w:t>
      </w:r>
      <w:r>
        <w:rPr>
          <w:rFonts w:hint="eastAsia" w:eastAsia="SimSun"/>
        </w:rPr>
        <w:t xml:space="preserve"> is a kind of method</w:t>
      </w:r>
      <w:r>
        <w:rPr>
          <w:rFonts w:eastAsia="SimSun"/>
        </w:rPr>
        <w:t xml:space="preserve"> that strikes a good balance between research difficulty and research reliability (Flyvbjerg, 2006). Since the two selected companies have been wholeheartedly focused on the production of electric vehicles and traditional fuel vehicles for more than ten years, their operating performance, especially financial report data and sales, can naturally exclude the influence of other business operations on data analysis, which also means that enough data</w:t>
      </w:r>
      <w:r>
        <w:rPr>
          <w:rFonts w:hint="eastAsia" w:eastAsia="SimSun"/>
        </w:rPr>
        <w:t xml:space="preserve"> needed to be obtained</w:t>
      </w:r>
      <w:r>
        <w:rPr>
          <w:rFonts w:eastAsia="SimSun"/>
        </w:rPr>
        <w:t xml:space="preserve"> to avoid reducing the credibility of the conclusion due to false or abnormal data (Derron, 1966</w:t>
      </w:r>
      <w:r>
        <w:rPr>
          <w:rFonts w:hint="eastAsia" w:eastAsia="SimSun"/>
        </w:rPr>
        <w:t>; Kang, 2013</w:t>
      </w:r>
      <w:r>
        <w:rPr>
          <w:rFonts w:eastAsia="SimSun"/>
        </w:rPr>
        <w:t>).</w:t>
      </w:r>
      <w:bookmarkStart w:id="58" w:name="_Toc44686315"/>
      <w:bookmarkStart w:id="59" w:name="_Toc13915443"/>
      <w:bookmarkStart w:id="60" w:name="_Toc49783901"/>
      <w:r>
        <w:rPr>
          <w:rFonts w:hint="eastAsia" w:eastAsia="SimSun"/>
        </w:rPr>
        <w:t xml:space="preserve"> </w:t>
      </w:r>
    </w:p>
    <w:p w14:paraId="52BCBA85">
      <w:pPr>
        <w:rPr>
          <w:rFonts w:eastAsia="SimSun"/>
        </w:rPr>
      </w:pPr>
    </w:p>
    <w:p w14:paraId="2D4C525D">
      <w:pPr>
        <w:rPr>
          <w:rFonts w:eastAsia="SimSun"/>
        </w:rPr>
      </w:pPr>
    </w:p>
    <w:p w14:paraId="66133E9D">
      <w:pPr>
        <w:rPr>
          <w:rFonts w:eastAsia="SimSun"/>
        </w:rPr>
      </w:pPr>
    </w:p>
    <w:p w14:paraId="64008FA7">
      <w:pPr>
        <w:pStyle w:val="3"/>
      </w:pPr>
      <w:bookmarkStart w:id="61" w:name="_Toc27986"/>
      <w:r>
        <w:rPr>
          <w:rFonts w:hint="eastAsia"/>
        </w:rPr>
        <w:t>3</w:t>
      </w:r>
      <w:r>
        <w:t>.4 Research Paradigm</w:t>
      </w:r>
      <w:bookmarkEnd w:id="58"/>
      <w:bookmarkEnd w:id="59"/>
      <w:bookmarkEnd w:id="60"/>
      <w:bookmarkEnd w:id="61"/>
      <w:bookmarkStart w:id="62" w:name="_Toc13915444"/>
      <w:bookmarkStart w:id="63" w:name="_Toc49783902"/>
      <w:bookmarkStart w:id="64" w:name="_Toc44686316"/>
    </w:p>
    <w:p w14:paraId="0493D9A8">
      <w:pPr>
        <w:rPr>
          <w:iCs/>
          <w:szCs w:val="24"/>
        </w:rPr>
      </w:pPr>
    </w:p>
    <w:p w14:paraId="3711A94B">
      <w:pPr>
        <w:rPr>
          <w:szCs w:val="24"/>
        </w:rPr>
      </w:pPr>
      <w:r>
        <w:rPr>
          <w:szCs w:val="24"/>
        </w:rPr>
        <w:t>In business research, there are three commonly used research paradigms: positivism, interpretivism, and pragmatism(Thomas, 2022). Positivism is more inclined to draw a definite conclusion through quantitative analysis</w:t>
      </w:r>
      <w:r>
        <w:rPr>
          <w:rFonts w:hint="eastAsia"/>
          <w:szCs w:val="24"/>
        </w:rPr>
        <w:t>(Park, 2019)</w:t>
      </w:r>
      <w:r>
        <w:rPr>
          <w:szCs w:val="24"/>
        </w:rPr>
        <w:t>.</w:t>
      </w:r>
      <w:r>
        <w:rPr>
          <w:rFonts w:hint="eastAsia" w:eastAsia="SimSun"/>
          <w:szCs w:val="24"/>
        </w:rPr>
        <w:t xml:space="preserve"> As a philosophical position, it emphasizes the acquisition of knowledge through the scientific method. It advocates that only observable and measurable phenomena are the basis of knowledge, rejecting metaphysical inferences and subjective interpretations. The fundamental assumption of positivism is that social phenomena can be studied through observation and experimentation, just like natural phenomena(Jevons, 1875;Collins, 1994). Whereas i</w:t>
      </w:r>
      <w:r>
        <w:rPr>
          <w:szCs w:val="24"/>
        </w:rPr>
        <w:t xml:space="preserve">nterpretivist research pays </w:t>
      </w:r>
      <w:r>
        <w:rPr>
          <w:rFonts w:hint="eastAsia" w:eastAsia="SimSun"/>
          <w:szCs w:val="24"/>
        </w:rPr>
        <w:t>more</w:t>
      </w:r>
      <w:r>
        <w:rPr>
          <w:szCs w:val="24"/>
        </w:rPr>
        <w:t xml:space="preserve"> attention to the feedback of subjective feelings, and therefore cannot meet the needs of this kind of discussion, which mainly discusses an objective reality</w:t>
      </w:r>
      <w:r>
        <w:rPr>
          <w:rFonts w:hint="eastAsia"/>
          <w:szCs w:val="24"/>
        </w:rPr>
        <w:t>(Pulla, 2018)</w:t>
      </w:r>
      <w:r>
        <w:rPr>
          <w:szCs w:val="24"/>
        </w:rPr>
        <w:t xml:space="preserve">. From this, </w:t>
      </w:r>
      <w:r>
        <w:rPr>
          <w:rFonts w:hint="eastAsia"/>
          <w:szCs w:val="24"/>
        </w:rPr>
        <w:t>it</w:t>
      </w:r>
      <w:r>
        <w:rPr>
          <w:szCs w:val="24"/>
        </w:rPr>
        <w:t xml:space="preserve"> can</w:t>
      </w:r>
      <w:r>
        <w:rPr>
          <w:rFonts w:hint="eastAsia"/>
          <w:szCs w:val="24"/>
        </w:rPr>
        <w:t xml:space="preserve"> be</w:t>
      </w:r>
      <w:r>
        <w:rPr>
          <w:szCs w:val="24"/>
        </w:rPr>
        <w:t xml:space="preserve"> see</w:t>
      </w:r>
      <w:r>
        <w:rPr>
          <w:rFonts w:hint="eastAsia"/>
          <w:szCs w:val="24"/>
        </w:rPr>
        <w:t>n</w:t>
      </w:r>
      <w:r>
        <w:rPr>
          <w:szCs w:val="24"/>
        </w:rPr>
        <w:t xml:space="preserve"> that interpretivism is a research method that is opposite to positivism and emphasizes understanding the complexity and diversity of social phenomena. It believes that the social world is composed of human beliefs, intentions and culture, and researchers should pay attention to people's subjective experience and social background</w:t>
      </w:r>
      <w:r>
        <w:rPr>
          <w:rFonts w:hint="eastAsia" w:eastAsia="SimSun"/>
          <w:szCs w:val="24"/>
        </w:rPr>
        <w:t>(Pulla, 2018)</w:t>
      </w:r>
      <w:r>
        <w:rPr>
          <w:szCs w:val="24"/>
        </w:rPr>
        <w:t>.Therefore, pragmatism, a research method that combines objective analysis and subjective analysis, is more in line with the needs of this study.</w:t>
      </w:r>
      <w:r>
        <w:rPr>
          <w:rFonts w:hint="eastAsia"/>
          <w:szCs w:val="24"/>
        </w:rPr>
        <w:t xml:space="preserve"> Pragmatism emphasizes that "practical experience is the most important, principles and reasoning are secondary" (Bacon, 1620;Peña, 2018 ) and "knowledge is a tool to control reality, and reality can be changed" (Peter &amp; Thomas, 1967; Spear, 2020). From this, it can be seen that pragmatism, as a philosophical thought, advocates that knowledge and truth should be evaluated through their actual effects and applications(</w:t>
      </w:r>
      <w:r>
        <w:rPr>
          <w:rFonts w:eastAsia="SimSun"/>
        </w:rPr>
        <w:t>Richard</w:t>
      </w:r>
      <w:r>
        <w:rPr>
          <w:rFonts w:hint="eastAsia"/>
          <w:szCs w:val="24"/>
        </w:rPr>
        <w:t>, 2011). It emphasizes the importance of practice and believes that the value of theory lies in whether it can effectively solve problems and achieve goals. In the analytical framework of pragmatism, truth is not absolute, but related to specific situations and consequences. Whether a view is true depends on its effectiveness in practice. From the perspective of research, this gives pragmatism the basic characteristics of emphasizing the importance of experience and experimentation, and believing that knowledge comes from practice rather than pure logical reasoning or abstract thinking(Simpson, 2021). From the perspective of application, pragmatism is given the characteristics of focusing on the solution of practical problems and advocating the use of flexible methods to deal with the complex real world. As a result, pragmatism can, to some extent, transcend the binary oppositions in traditional philosophy, such as subjective and objective, theory and practice, and emphasize the interactive relationship between the two.This makes pragmatism a very good option for business feasibility(Dolan, 2022).</w:t>
      </w:r>
    </w:p>
    <w:p w14:paraId="3B9882FB">
      <w:pPr>
        <w:rPr>
          <w:szCs w:val="24"/>
        </w:rPr>
      </w:pPr>
    </w:p>
    <w:p w14:paraId="64E59DC4">
      <w:pPr>
        <w:pStyle w:val="3"/>
        <w:rPr>
          <w:rFonts w:eastAsia="Times New Roman"/>
          <w:b w:val="0"/>
          <w:color w:val="FF0000"/>
          <w:sz w:val="24"/>
          <w:szCs w:val="24"/>
        </w:rPr>
      </w:pPr>
      <w:bookmarkStart w:id="65" w:name="_Toc9832"/>
      <w:r>
        <w:rPr>
          <w:rFonts w:hint="eastAsia"/>
        </w:rPr>
        <w:t>3</w:t>
      </w:r>
      <w:r>
        <w:t>.5 Data Collection</w:t>
      </w:r>
      <w:bookmarkEnd w:id="62"/>
      <w:bookmarkEnd w:id="63"/>
      <w:bookmarkEnd w:id="64"/>
      <w:bookmarkEnd w:id="65"/>
      <w:r>
        <w:rPr>
          <w:rFonts w:eastAsia="Times New Roman"/>
          <w:b w:val="0"/>
          <w:color w:val="FF0000"/>
          <w:sz w:val="24"/>
          <w:szCs w:val="24"/>
        </w:rPr>
        <w:tab/>
      </w:r>
      <w:bookmarkStart w:id="66" w:name="_Toc44686317"/>
      <w:bookmarkStart w:id="67" w:name="_Toc49783903"/>
      <w:bookmarkStart w:id="68" w:name="_Toc13915445"/>
    </w:p>
    <w:p w14:paraId="57E24616">
      <w:pPr>
        <w:rPr>
          <w:color w:val="auto"/>
          <w:szCs w:val="24"/>
        </w:rPr>
      </w:pPr>
    </w:p>
    <w:p w14:paraId="1EA7AAB0">
      <w:pPr>
        <w:rPr>
          <w:color w:val="auto"/>
          <w:szCs w:val="24"/>
        </w:rPr>
      </w:pPr>
      <w:r>
        <w:rPr>
          <w:color w:val="auto"/>
          <w:szCs w:val="24"/>
        </w:rPr>
        <w:t xml:space="preserve">Questionnaires, as a widely used and time-tested data collection model, have many advantages and disadvantages. </w:t>
      </w:r>
      <w:r>
        <w:rPr>
          <w:rFonts w:hint="eastAsia" w:eastAsia="SimSun"/>
          <w:color w:val="auto"/>
          <w:szCs w:val="24"/>
        </w:rPr>
        <w:t>Questionnaires are</w:t>
      </w:r>
      <w:r>
        <w:rPr>
          <w:color w:val="auto"/>
          <w:szCs w:val="24"/>
        </w:rPr>
        <w:t xml:space="preserve"> low cost and</w:t>
      </w:r>
      <w:r>
        <w:rPr>
          <w:rFonts w:hint="eastAsia" w:eastAsia="SimSun"/>
          <w:color w:val="auto"/>
          <w:szCs w:val="24"/>
        </w:rPr>
        <w:t xml:space="preserve"> proved</w:t>
      </w:r>
      <w:r>
        <w:rPr>
          <w:color w:val="auto"/>
          <w:szCs w:val="24"/>
        </w:rPr>
        <w:t xml:space="preserve"> wide applicability make </w:t>
      </w:r>
      <w:r>
        <w:rPr>
          <w:rFonts w:hint="eastAsia" w:eastAsia="SimSun"/>
          <w:color w:val="auto"/>
          <w:szCs w:val="24"/>
        </w:rPr>
        <w:t>them</w:t>
      </w:r>
      <w:r>
        <w:rPr>
          <w:color w:val="auto"/>
          <w:szCs w:val="24"/>
        </w:rPr>
        <w:t xml:space="preserve"> a common data collection method</w:t>
      </w:r>
      <w:r>
        <w:rPr>
          <w:rFonts w:hint="eastAsia" w:eastAsia="SimSun"/>
          <w:color w:val="auto"/>
          <w:szCs w:val="24"/>
        </w:rPr>
        <w:t>(Jones, 2013)</w:t>
      </w:r>
      <w:r>
        <w:rPr>
          <w:color w:val="auto"/>
          <w:szCs w:val="24"/>
        </w:rPr>
        <w:t>. The incognito of anonymous questionnaires can protect the privacy of respondents as much as possible</w:t>
      </w:r>
      <w:r>
        <w:rPr>
          <w:rFonts w:hint="eastAsia" w:eastAsia="SimSun"/>
          <w:color w:val="auto"/>
          <w:szCs w:val="24"/>
        </w:rPr>
        <w:t>(Kumar, 2010)</w:t>
      </w:r>
      <w:r>
        <w:rPr>
          <w:color w:val="auto"/>
          <w:szCs w:val="24"/>
        </w:rPr>
        <w:t>. A</w:t>
      </w:r>
      <w:r>
        <w:rPr>
          <w:rFonts w:hint="eastAsia" w:eastAsia="SimSun"/>
          <w:color w:val="auto"/>
          <w:szCs w:val="24"/>
        </w:rPr>
        <w:t>lso,</w:t>
      </w:r>
      <w:r>
        <w:rPr>
          <w:color w:val="auto"/>
          <w:szCs w:val="24"/>
        </w:rPr>
        <w:t xml:space="preserve"> because questionnaires can obtain sufficient structured information, it is very convenient for users</w:t>
      </w:r>
      <w:r>
        <w:rPr>
          <w:rFonts w:hint="eastAsia" w:eastAsia="SimSun"/>
          <w:color w:val="auto"/>
          <w:szCs w:val="24"/>
        </w:rPr>
        <w:t xml:space="preserve"> of different types of cars</w:t>
      </w:r>
      <w:r>
        <w:rPr>
          <w:color w:val="auto"/>
          <w:szCs w:val="24"/>
        </w:rPr>
        <w:t xml:space="preserve"> to analyze and organize</w:t>
      </w:r>
      <w:r>
        <w:rPr>
          <w:rFonts w:hint="eastAsia" w:eastAsia="SimSun"/>
          <w:color w:val="auto"/>
          <w:szCs w:val="24"/>
        </w:rPr>
        <w:t>(Denscombe, 2021)</w:t>
      </w:r>
      <w:r>
        <w:rPr>
          <w:color w:val="auto"/>
          <w:szCs w:val="24"/>
        </w:rPr>
        <w:t>. Certainly, it should be noted that questionnaires, while a commonly used method for data collection, are not without their limitations and challenges</w:t>
      </w:r>
      <w:r>
        <w:rPr>
          <w:rFonts w:hint="eastAsia" w:eastAsia="SimSun"/>
          <w:color w:val="auto"/>
          <w:szCs w:val="24"/>
        </w:rPr>
        <w:t>(Babbie, 2020)</w:t>
      </w:r>
      <w:r>
        <w:rPr>
          <w:color w:val="auto"/>
          <w:szCs w:val="24"/>
        </w:rPr>
        <w:t xml:space="preserve">. </w:t>
      </w:r>
      <w:r>
        <w:rPr>
          <w:rFonts w:hint="eastAsia" w:eastAsia="SimSun"/>
          <w:color w:val="auto"/>
          <w:szCs w:val="24"/>
        </w:rPr>
        <w:t xml:space="preserve">There are a number of limitations that </w:t>
      </w:r>
      <w:r>
        <w:rPr>
          <w:color w:val="auto"/>
          <w:szCs w:val="24"/>
        </w:rPr>
        <w:t>questionnaires</w:t>
      </w:r>
      <w:r>
        <w:rPr>
          <w:rFonts w:hint="eastAsia" w:eastAsia="SimSun"/>
          <w:color w:val="auto"/>
          <w:szCs w:val="24"/>
        </w:rPr>
        <w:t xml:space="preserve"> have</w:t>
      </w:r>
      <w:r>
        <w:rPr>
          <w:color w:val="auto"/>
          <w:szCs w:val="24"/>
        </w:rPr>
        <w:t xml:space="preserve"> in collecting data. People who receive the questionnaires may not repl</w:t>
      </w:r>
      <w:r>
        <w:rPr>
          <w:rFonts w:hint="eastAsia" w:eastAsia="SimSun"/>
          <w:color w:val="auto"/>
          <w:szCs w:val="24"/>
        </w:rPr>
        <w:t>y</w:t>
      </w:r>
      <w:r>
        <w:rPr>
          <w:color w:val="auto"/>
          <w:szCs w:val="24"/>
        </w:rPr>
        <w:t xml:space="preserve"> because they think the questions inv</w:t>
      </w:r>
      <w:r>
        <w:rPr>
          <w:rFonts w:hint="eastAsia" w:eastAsia="SimSun"/>
          <w:color w:val="auto"/>
          <w:szCs w:val="24"/>
        </w:rPr>
        <w:t>ad</w:t>
      </w:r>
      <w:r>
        <w:rPr>
          <w:color w:val="auto"/>
          <w:szCs w:val="24"/>
        </w:rPr>
        <w:t>e</w:t>
      </w:r>
      <w:r>
        <w:rPr>
          <w:rFonts w:hint="eastAsia" w:eastAsia="SimSun"/>
          <w:color w:val="auto"/>
          <w:szCs w:val="24"/>
        </w:rPr>
        <w:t xml:space="preserve"> their</w:t>
      </w:r>
      <w:r>
        <w:rPr>
          <w:color w:val="auto"/>
          <w:szCs w:val="24"/>
        </w:rPr>
        <w:t xml:space="preserve"> privacy,</w:t>
      </w:r>
      <w:r>
        <w:rPr>
          <w:rFonts w:hint="eastAsia" w:eastAsia="SimSun"/>
          <w:color w:val="auto"/>
          <w:szCs w:val="24"/>
        </w:rPr>
        <w:t xml:space="preserve"> that</w:t>
      </w:r>
      <w:r>
        <w:rPr>
          <w:color w:val="auto"/>
          <w:szCs w:val="24"/>
        </w:rPr>
        <w:t xml:space="preserve"> there is a risk of leaking personal information(Neuman, 2014). On the other hand, since this questionnaire is voluntary and not a mandatory government questionnaire, it is foreseeable that a large number of respondents who receive the questionnaire will simply ignore it, resulting in a serious unresponse bias. To solve this problem, </w:t>
      </w:r>
      <w:r>
        <w:rPr>
          <w:rFonts w:hint="eastAsia"/>
          <w:color w:val="auto"/>
          <w:szCs w:val="24"/>
        </w:rPr>
        <w:t>a method of increasing</w:t>
      </w:r>
      <w:r>
        <w:rPr>
          <w:color w:val="auto"/>
          <w:szCs w:val="24"/>
        </w:rPr>
        <w:t xml:space="preserve"> the number of survey respondents</w:t>
      </w:r>
      <w:r>
        <w:rPr>
          <w:rFonts w:hint="eastAsia"/>
          <w:color w:val="auto"/>
          <w:szCs w:val="24"/>
        </w:rPr>
        <w:t xml:space="preserve"> can be used</w:t>
      </w:r>
      <w:r>
        <w:rPr>
          <w:color w:val="auto"/>
          <w:szCs w:val="24"/>
        </w:rPr>
        <w:t>. In order to obtain a sufficient sample, instead of distributing 100 questionnaires, 100 questionnaires</w:t>
      </w:r>
      <w:r>
        <w:rPr>
          <w:rFonts w:hint="eastAsia"/>
          <w:color w:val="auto"/>
          <w:szCs w:val="24"/>
        </w:rPr>
        <w:t xml:space="preserve"> will be distributed</w:t>
      </w:r>
      <w:r>
        <w:rPr>
          <w:color w:val="auto"/>
          <w:szCs w:val="24"/>
        </w:rPr>
        <w:t xml:space="preserve"> to each of the two car club communication groups. In fact, the result is that even if two hundred questionnaires were distributed, only 86 valid responses were obtained.</w:t>
      </w:r>
      <w:r>
        <w:rPr>
          <w:rFonts w:hint="eastAsia" w:eastAsia="SimSun"/>
          <w:color w:val="auto"/>
          <w:szCs w:val="24"/>
        </w:rPr>
        <w:t xml:space="preserve"> </w:t>
      </w:r>
      <w:r>
        <w:rPr>
          <w:color w:val="auto"/>
          <w:szCs w:val="24"/>
        </w:rPr>
        <w:t xml:space="preserve">In addition, compared with </w:t>
      </w:r>
      <w:r>
        <w:rPr>
          <w:rFonts w:hint="eastAsia" w:eastAsia="SimSun"/>
          <w:color w:val="auto"/>
          <w:szCs w:val="24"/>
        </w:rPr>
        <w:t xml:space="preserve">data collection </w:t>
      </w:r>
      <w:r>
        <w:rPr>
          <w:color w:val="auto"/>
          <w:szCs w:val="24"/>
        </w:rPr>
        <w:t xml:space="preserve">methods such as interviews, the information collected by questionnaires is still limited, </w:t>
      </w:r>
      <w:r>
        <w:rPr>
          <w:rFonts w:hint="eastAsia" w:eastAsia="SimSun"/>
          <w:color w:val="auto"/>
          <w:szCs w:val="24"/>
        </w:rPr>
        <w:t>as</w:t>
      </w:r>
      <w:r>
        <w:rPr>
          <w:color w:val="auto"/>
          <w:szCs w:val="24"/>
        </w:rPr>
        <w:t xml:space="preserve"> it is not possible to understand the user's subjective feelings very well</w:t>
      </w:r>
      <w:r>
        <w:rPr>
          <w:rFonts w:hint="eastAsia" w:eastAsia="SimSun"/>
          <w:color w:val="auto"/>
          <w:szCs w:val="24"/>
        </w:rPr>
        <w:t>(Drennan, 2003)</w:t>
      </w:r>
      <w:r>
        <w:rPr>
          <w:color w:val="auto"/>
          <w:szCs w:val="24"/>
        </w:rPr>
        <w:t>. Therefore, for many subjective issues such as user experience or preferences, questionnaires may lack the necessary depth or sufficient details.</w:t>
      </w:r>
      <w:r>
        <w:rPr>
          <w:rFonts w:hint="eastAsia" w:eastAsia="SimSun"/>
          <w:color w:val="auto"/>
          <w:szCs w:val="24"/>
        </w:rPr>
        <w:t xml:space="preserve"> To address this issue, simple questions were asked after the quantitative questions and open-ended questions were added at the end of the survey, encouraging participants to describe their feelings in detail. </w:t>
      </w:r>
      <w:r>
        <w:rPr>
          <w:color w:val="auto"/>
          <w:szCs w:val="24"/>
        </w:rPr>
        <w:t>Since the two sample groups will need to conduct multiple group discussions, in the first part, open-ended questions will be used to collect information about the attributes of car users. This will serve as the basis for classification comparison. The subsequent part about usage fees will use a multiple-choice question to determine the cost range and several multiple-choice or short-answer questions to ask about external factors that may affect the cost. Finally, the part about user experience. Since user experience is a subjective factor, multiple-choice questions are used to collect quantitative information, and a short-answer question section is prepared to allow the interviewee to provide more details</w:t>
      </w:r>
      <w:r>
        <w:rPr>
          <w:rFonts w:hint="eastAsia" w:eastAsia="SimSun"/>
          <w:color w:val="auto"/>
          <w:szCs w:val="24"/>
        </w:rPr>
        <w:t>(Kaplan, 1988; Montgomery, 2012)</w:t>
      </w:r>
      <w:r>
        <w:rPr>
          <w:color w:val="auto"/>
          <w:szCs w:val="24"/>
        </w:rPr>
        <w:t>.</w:t>
      </w:r>
    </w:p>
    <w:p w14:paraId="214BDC9C"/>
    <w:p w14:paraId="765B08C3">
      <w:pPr>
        <w:pStyle w:val="3"/>
      </w:pPr>
      <w:bookmarkStart w:id="69" w:name="_Toc9211"/>
      <w:r>
        <w:rPr>
          <w:rFonts w:hint="eastAsia"/>
        </w:rPr>
        <w:t>3</w:t>
      </w:r>
      <w:r>
        <w:t>.6 Population and Sample</w:t>
      </w:r>
      <w:bookmarkEnd w:id="66"/>
      <w:bookmarkEnd w:id="67"/>
      <w:bookmarkEnd w:id="68"/>
      <w:bookmarkEnd w:id="69"/>
    </w:p>
    <w:p w14:paraId="1D6C149B"/>
    <w:p w14:paraId="565F4A36">
      <w:r>
        <w:t>The selection of samples and sample size is crucial to the quality of research and the reliability of results</w:t>
      </w:r>
      <w:r>
        <w:rPr>
          <w:rFonts w:hint="eastAsia" w:eastAsia="SimSun"/>
        </w:rPr>
        <w:t>(Shorten, 2014)</w:t>
      </w:r>
      <w:r>
        <w:t xml:space="preserve">. Using the right sample can ensure the representativeness and generalizability of the research, making the research conclusions more convincing(Qualitative Inquiry and Research Design, 2024). In addition, the appropriate sample size is also crucial, because a small sample size may lead to bias in the research results, making the conclusions insignificant. </w:t>
      </w:r>
      <w:r>
        <w:rPr>
          <w:rFonts w:hint="eastAsia" w:eastAsia="SimSun"/>
        </w:rPr>
        <w:t>A</w:t>
      </w:r>
      <w:r>
        <w:t xml:space="preserve"> sufficient sample size is one of the important guarantees to ensure the reliability of research results (Higgins &amp; Green, 2011).</w:t>
      </w:r>
    </w:p>
    <w:p w14:paraId="20AED389"/>
    <w:p w14:paraId="6DF5E10B">
      <w:r>
        <w:t>In the research design stage, researchers need to determine the appropriate sample size based on the research purpose and hypothesis to ensure that the research results can reflect the overall situation</w:t>
      </w:r>
      <w:r>
        <w:rPr>
          <w:rFonts w:hint="eastAsia" w:eastAsia="SimSun"/>
        </w:rPr>
        <w:t>(Lakens, 2021)</w:t>
      </w:r>
      <w:r>
        <w:t>. At the same time, researchers also need to consider the representativeness and diversity of the sample to avoid selection bias and sample imbalance. The samples involved in this study can be roughly divided into three categories: users of traditional fuel-powered vehicles, users of hybrid vehicles, and users of pure electric vehicles. The feedback from these three groups of respondents needs to be analyzed using a stratified sample approach to meet the needs</w:t>
      </w:r>
      <w:r>
        <w:rPr>
          <w:rFonts w:hint="eastAsia" w:eastAsia="SimSun"/>
        </w:rPr>
        <w:t>(Thomas, 2022)</w:t>
      </w:r>
    </w:p>
    <w:p w14:paraId="0CC75EA2"/>
    <w:p w14:paraId="5786153D"/>
    <w:p w14:paraId="4DE99B54">
      <w:pPr>
        <w:rPr>
          <w:rFonts w:eastAsia="SimSun"/>
        </w:rPr>
      </w:pPr>
      <w:r>
        <w:t xml:space="preserve">The survey subjects of this questionnaire are 100 randomly selected members from the Ford and BYD car clubs in Nanjing. Ideally, </w:t>
      </w:r>
      <w:r>
        <w:rPr>
          <w:rFonts w:hint="eastAsia" w:eastAsia="SimSun"/>
        </w:rPr>
        <w:t>fifty</w:t>
      </w:r>
      <w:r>
        <w:t xml:space="preserve"> members should be selected from </w:t>
      </w:r>
      <w:r>
        <w:rPr>
          <w:rFonts w:hint="eastAsia" w:eastAsia="SimSun"/>
        </w:rPr>
        <w:t>each electric power car and traditional power car to get a 90% accurate result(Karr, 2024).</w:t>
      </w:r>
      <w:r>
        <w:t xml:space="preserve"> The reason for selecting car club members for the survey is that these people are the actual users of the target company's vehicles. This fundamentally eliminates the possibility that the feedback from people who do not actually own the vehicle will interfere with the survey conclusion</w:t>
      </w:r>
      <w:r>
        <w:rPr>
          <w:rFonts w:hint="eastAsia" w:eastAsia="SimSun"/>
        </w:rPr>
        <w:t>(Sampling Bias, 2008)</w:t>
      </w:r>
      <w:r>
        <w:t>.</w:t>
      </w:r>
      <w:r>
        <w:rPr>
          <w:rFonts w:hint="eastAsia" w:eastAsia="SimSun"/>
        </w:rPr>
        <w:t xml:space="preserve"> This makes the data they feedback more statistically smooth or more intuitively more representative(Cornesse, 2020). On the other hand, since these people are members of a relatively efficient information exchange channels such as car clubs, they can effectively obtain information about where the cheapest, most cost-effective and most reliable insurance, maintenance and repair resources can be found. In this way, the feedback on the use experience and daily cost can be considered more representative, and it is less likely to have outliers that deviate far from the normal situation(Grafström, 2014). Finally, since the members of the car club are private car owners, this ensures that company cars, taxis, or other special consumer groups are not included in the survey. Such survey data is more representative of private car owners, a group that purchases vehicles almost entirely for business reasons rather than other reasons.This will increase the validity of other data when using statistical tools such as standard deviation and normal distribution, confidence interval, etc., making the results more reliable.</w:t>
      </w:r>
    </w:p>
    <w:p w14:paraId="15F8BB03">
      <w:pPr>
        <w:rPr>
          <w:rFonts w:eastAsia="SimSun"/>
        </w:rPr>
      </w:pPr>
    </w:p>
    <w:p w14:paraId="022B1F3C">
      <w:pPr>
        <w:pStyle w:val="3"/>
      </w:pPr>
      <w:bookmarkStart w:id="70" w:name="_Toc49783904"/>
      <w:bookmarkStart w:id="71" w:name="_Toc13915446"/>
      <w:bookmarkStart w:id="72" w:name="_Toc44686318"/>
      <w:bookmarkStart w:id="73" w:name="_Toc3570"/>
      <w:r>
        <w:rPr>
          <w:rFonts w:hint="eastAsia"/>
        </w:rPr>
        <w:t>3</w:t>
      </w:r>
      <w:r>
        <w:t xml:space="preserve">.7 Data and </w:t>
      </w:r>
      <w:bookmarkEnd w:id="70"/>
      <w:bookmarkEnd w:id="71"/>
      <w:bookmarkEnd w:id="72"/>
      <w:r>
        <w:rPr>
          <w:rFonts w:hint="eastAsia"/>
        </w:rPr>
        <w:t>analysis</w:t>
      </w:r>
      <w:bookmarkEnd w:id="73"/>
    </w:p>
    <w:p w14:paraId="4B59FCAA"/>
    <w:p w14:paraId="563EE49E">
      <w:r>
        <w:t>The sustainability analysis mainly obtains various reserve and consumption data from reports of different mining associations and international organizations such as the IEA, and analyzes the sustainability of different types of resources involved through changes in the two. Since these analysis reports will be used by investors to guide investment behavior, the industry associations that provide these reports have both legal and commercial responsibilities for these reports(Staff of the Investment Adviser Regulation Office, U.S. Securities and Exchange Commission and Plaze, 2013). Therefore, they will try their best to ensure the reliability of the data mentioned in these reports. The analysis of the product life cycle will focus on the financial reports of Ford and BYD in the past ten years. The companies studied are also legally responsible for the reliability of these data. Data on related infrastructure will be obtained through reports on local government websites and business media. The government's credibility will guarantee these data. Customer experience information will be collected through various channels</w:t>
      </w:r>
      <w:r>
        <w:rPr>
          <w:rFonts w:hint="eastAsia" w:eastAsia="SimSun"/>
        </w:rPr>
        <w:t>(Doe, 2022)</w:t>
      </w:r>
      <w:r>
        <w:t>. The price and use cost will be obtained from sales websites, insurance websites, and repair shop websites respectively, and these data will be cross-validated through questionnaire feedback data. All the data mentioned above will be solved by Excel and Microsoft Math Solver.</w:t>
      </w:r>
    </w:p>
    <w:p w14:paraId="45D57098"/>
    <w:p w14:paraId="284D3FFA">
      <w:r>
        <w:t xml:space="preserve">The profit margin, tax ratio and other required data in the financial data are not directly provided in the financial report, so they need to be calculated through auxiliary tools such as Excel. In the discussion of resource sustainability, the comparison between the speed of resource development and the speed of resource consumption will be carried out through linear data calculation and nonlinear data calculation. The results of the two calculations will provide the expected upper and lower limits respectively.(Perman et al., 2003) In the discussion of cost of use, the data obtained from the survey will be compared with the data feedback from the questionnaire. The data obtained from the questionnaire will be analyzed by median, normal distribution and standard deviation through tools such as Excel. These </w:t>
      </w:r>
      <w:r>
        <w:rPr>
          <w:rFonts w:hint="eastAsia" w:eastAsia="SimSun"/>
        </w:rPr>
        <w:t>study</w:t>
      </w:r>
      <w:r>
        <w:t xml:space="preserve"> data will be compared with the data conclusions obtained through information collection to determine the accuracy of the collected data(</w:t>
      </w:r>
      <w:r>
        <w:rPr>
          <w:rFonts w:hint="eastAsia" w:eastAsia="SimSun"/>
        </w:rPr>
        <w:t>Robert</w:t>
      </w:r>
      <w:r>
        <w:t xml:space="preserve">, </w:t>
      </w:r>
      <w:r>
        <w:rPr>
          <w:rFonts w:hint="eastAsia" w:eastAsia="SimSun"/>
        </w:rPr>
        <w:t>2009</w:t>
      </w:r>
      <w:r>
        <w:t>). The data on the construction of supporting infrastructure for trams will be analyzed linearly and nonlinearly with the assistance of tools such as Excel. This is used to determine the upper and lower limits of the speed of future supporting infrastructure construction.</w:t>
      </w:r>
    </w:p>
    <w:p w14:paraId="369C1B9C"/>
    <w:p w14:paraId="1DDBF595">
      <w:pPr>
        <w:pStyle w:val="3"/>
      </w:pPr>
      <w:bookmarkStart w:id="74" w:name="_Toc49783905"/>
      <w:bookmarkStart w:id="75" w:name="_Toc44686319"/>
      <w:bookmarkStart w:id="76" w:name="_Toc13915447"/>
      <w:bookmarkStart w:id="77" w:name="_Toc20591"/>
      <w:r>
        <w:rPr>
          <w:rFonts w:hint="eastAsia"/>
        </w:rPr>
        <w:t>3</w:t>
      </w:r>
      <w:r>
        <w:t>.8 Reliability and Viability</w:t>
      </w:r>
      <w:bookmarkEnd w:id="74"/>
      <w:bookmarkEnd w:id="75"/>
      <w:bookmarkEnd w:id="76"/>
      <w:bookmarkEnd w:id="77"/>
    </w:p>
    <w:p w14:paraId="1A691AAA"/>
    <w:p w14:paraId="4D30B4D0">
      <w:r>
        <w:t>Before conducting a study, it is crucial to evaluate the feasibility and reliability of the study. The feasibility of the study involves considerations such as resources, time, and technology, while the reliability of the study is related to the accuracy and stability of the research results. A study with high feasibility and reliability helps to ensure the achievement of research goals and provide a strong basis for academia and decision makers</w:t>
      </w:r>
      <w:r>
        <w:rPr>
          <w:rFonts w:hint="eastAsia" w:eastAsia="SimSun"/>
        </w:rPr>
        <w:t>(Creswell, 2023)</w:t>
      </w:r>
      <w:r>
        <w:t>.</w:t>
      </w:r>
    </w:p>
    <w:p w14:paraId="60956D39"/>
    <w:p w14:paraId="5F8BFF7E">
      <w:r>
        <w:t>The feasibility of the study involves considerations such as research design, data collection, and data analysis. Researchers need to evaluate their own research capabilities and resource conditions to ensure that they can complete the research tasks and obtain reliable results. At the same time, the reliability of the study needs to be guaranteed from the scientific nature of the research methods, the accuracy of the data, and the credibility of the results</w:t>
      </w:r>
      <w:r>
        <w:rPr>
          <w:rFonts w:hint="eastAsia" w:eastAsia="SimSun"/>
        </w:rPr>
        <w:t>(Trochim, 2018)</w:t>
      </w:r>
      <w:r>
        <w:t>. Only by ensuring the feasibility and reliability of the study can researchers obtain effective research results and provide useful information and insights for academia and society.</w:t>
      </w:r>
    </w:p>
    <w:p w14:paraId="18D5722C"/>
    <w:p w14:paraId="4F89BCF4">
      <w:r>
        <w:t>According to</w:t>
      </w:r>
      <w:r>
        <w:rPr>
          <w:rFonts w:hint="eastAsia" w:eastAsia="SimSun"/>
        </w:rPr>
        <w:t xml:space="preserve"> </w:t>
      </w:r>
      <w:r>
        <w:t>Flick (2015), researchers should conduct a comprehensive assessment of the feasibility and reliability of the study before conducting the study, and formulate reasonable research plans and methods to ensure the smooth progress of the study and the reliability of the results.</w:t>
      </w:r>
      <w:r>
        <w:rPr>
          <w:rFonts w:hint="eastAsia" w:eastAsia="SimSun"/>
        </w:rPr>
        <w:t xml:space="preserve"> </w:t>
      </w:r>
      <w:r>
        <w:t>Therefore, the feasibility and reliability of the research are important and indispensable links in the research process. Researchers should fully consider and ensure these two aspects during the research design stage to ensure the scientificity and effectiveness of the research</w:t>
      </w:r>
      <w:r>
        <w:rPr>
          <w:rFonts w:hint="eastAsia" w:eastAsia="SimSun"/>
        </w:rPr>
        <w:t>(Matheson, 2019)</w:t>
      </w:r>
      <w:r>
        <w:t>.</w:t>
      </w:r>
    </w:p>
    <w:p w14:paraId="7222B49B"/>
    <w:p w14:paraId="38778197">
      <w:pPr>
        <w:pStyle w:val="4"/>
        <w:numPr>
          <w:ilvl w:val="1"/>
          <w:numId w:val="0"/>
        </w:numPr>
        <w:ind w:left="880" w:hanging="592"/>
        <w:rPr>
          <w:rFonts w:cs="Times New Roman"/>
        </w:rPr>
      </w:pPr>
      <w:bookmarkStart w:id="78" w:name="_Toc49783906"/>
      <w:bookmarkStart w:id="79" w:name="_Toc20098"/>
      <w:r>
        <w:rPr>
          <w:rFonts w:hint="eastAsia" w:cs="Times New Roman"/>
        </w:rPr>
        <w:t>3</w:t>
      </w:r>
      <w:r>
        <w:rPr>
          <w:rFonts w:cs="Times New Roman"/>
        </w:rPr>
        <w:t>.8.1 Limitations of the Research</w:t>
      </w:r>
      <w:bookmarkEnd w:id="78"/>
      <w:bookmarkEnd w:id="79"/>
    </w:p>
    <w:p w14:paraId="238827C9">
      <w:pPr>
        <w:rPr>
          <w:rFonts w:eastAsia="SimSun"/>
        </w:rPr>
      </w:pPr>
      <w:r>
        <w:t xml:space="preserve">The survey subjects were limited to members of the user club. Although this largely eliminated the possibility of non-users providing false information(Encyclopedia of Survey Research Methods, 2024), it also </w:t>
      </w:r>
      <w:r>
        <w:rPr>
          <w:rFonts w:hint="eastAsia" w:eastAsia="SimSun"/>
        </w:rPr>
        <w:t>ran the risk of the</w:t>
      </w:r>
      <w:r>
        <w:t xml:space="preserve"> survey itself hav</w:t>
      </w:r>
      <w:r>
        <w:rPr>
          <w:rFonts w:hint="eastAsia" w:eastAsia="SimSun"/>
        </w:rPr>
        <w:t>ing</w:t>
      </w:r>
      <w:r>
        <w:t xml:space="preserve"> response bias(APA PsycNet, </w:t>
      </w:r>
      <w:r>
        <w:rPr>
          <w:rFonts w:hint="eastAsia" w:eastAsia="SimSun"/>
        </w:rPr>
        <w:t>2014</w:t>
      </w:r>
      <w:r>
        <w:t>). Non-individual users who purchased these vehicles, such as taxi drivers, government departments and corporate users, were also excluded. This would make the use</w:t>
      </w:r>
      <w:r>
        <w:rPr>
          <w:rFonts w:hint="eastAsia" w:eastAsia="SimSun"/>
        </w:rPr>
        <w:t>r</w:t>
      </w:r>
      <w:r>
        <w:rPr>
          <w:rFonts w:eastAsia="SimSun"/>
        </w:rPr>
        <w:t>’</w:t>
      </w:r>
      <w:r>
        <w:rPr>
          <w:rFonts w:hint="eastAsia" w:eastAsia="SimSun"/>
        </w:rPr>
        <w:t>s</w:t>
      </w:r>
      <w:r>
        <w:t xml:space="preserve"> cost in the survey data lower, because the users excluded above are precisely the users with the highest mileage. In addition, since only the direct government subsidies to enterprises shown in the financial reports and announced by the government were discussed. More subsidies, such as the government's direct procurement contracts for Ford and BYD, price subsidies and tax reductions, and tax refund subsidies were not included. These will affect the rigor of the comparison of financial data</w:t>
      </w:r>
      <w:r>
        <w:rPr>
          <w:rFonts w:hint="eastAsia" w:eastAsia="SimSun"/>
        </w:rPr>
        <w:t>(Ghosh, 2006)</w:t>
      </w:r>
      <w:r>
        <w:t xml:space="preserve">. On the other hand, the </w:t>
      </w:r>
      <w:r>
        <w:rPr>
          <w:rFonts w:hint="eastAsia" w:eastAsia="SimSun"/>
        </w:rPr>
        <w:t>study</w:t>
      </w:r>
      <w:r>
        <w:t xml:space="preserve"> of resource sustainability also did not include the impact of resource transaction prices on supply and demand. This will also affect the integrity of the discussion of resource sustainability.</w:t>
      </w:r>
      <w:r>
        <w:rPr>
          <w:rFonts w:hint="eastAsia" w:eastAsia="SimSun"/>
        </w:rPr>
        <w:t>(Tilton, 2003)</w:t>
      </w:r>
    </w:p>
    <w:p w14:paraId="396B006B">
      <w:pPr>
        <w:rPr>
          <w:rFonts w:hint="default" w:eastAsia="SimSun"/>
          <w:lang w:val="en-US" w:eastAsia="zh-CN"/>
        </w:rPr>
      </w:pPr>
    </w:p>
    <w:p w14:paraId="5818957A">
      <w:pPr>
        <w:rPr>
          <w:rFonts w:hint="default" w:eastAsia="SimSun"/>
          <w:lang w:val="en-US" w:eastAsia="zh-CN"/>
        </w:rPr>
      </w:pPr>
    </w:p>
    <w:p w14:paraId="71E83FB1">
      <w:pPr>
        <w:rPr>
          <w:rFonts w:hint="default" w:eastAsia="SimSun"/>
          <w:lang w:val="en-US" w:eastAsia="zh-CN"/>
        </w:rPr>
      </w:pPr>
    </w:p>
    <w:p w14:paraId="58FBDDC3">
      <w:pPr>
        <w:pStyle w:val="3"/>
      </w:pPr>
      <w:bookmarkStart w:id="80" w:name="_Toc13915448"/>
      <w:bookmarkStart w:id="81" w:name="_Toc49783907"/>
      <w:bookmarkStart w:id="82" w:name="_Toc44686320"/>
      <w:bookmarkStart w:id="83" w:name="_Toc28570"/>
      <w:r>
        <w:rPr>
          <w:rFonts w:hint="eastAsia"/>
        </w:rPr>
        <w:t>3</w:t>
      </w:r>
      <w:r>
        <w:t>.9 Research Ethics</w:t>
      </w:r>
      <w:bookmarkEnd w:id="80"/>
      <w:bookmarkEnd w:id="81"/>
      <w:bookmarkEnd w:id="82"/>
      <w:bookmarkEnd w:id="83"/>
    </w:p>
    <w:p w14:paraId="51777A53"/>
    <w:p w14:paraId="6F9C9EFC">
      <w:r>
        <w:t>Research ethics refers to the moral principles and guidelines that govern the conduct of research, ensuring integrity, accountability, and respect for participants. It encompasses issues such as informed consent, confidentiality, and the responsible use of data. Ethical research practices aim to protect the rights and welfare of participants while promoting the credibility of the research itself.</w:t>
      </w:r>
    </w:p>
    <w:p w14:paraId="668C2BC5"/>
    <w:p w14:paraId="2A781915">
      <w:r>
        <w:t>The importance of applying an ethical approach in research cannot be overstated. First and foremost, ethical research fosters trust between researchers and participants, which is essential for obtaining accurate and reliable data (Beauchamp &amp; Childress, 2001). Additionally, adherence to ethical standards helps prevent harm to participants, which is a fundamental principle of research ethics. According to the American Psychological Association (2017), researchers must ensure that their work does not cause physical or psychological distress.</w:t>
      </w:r>
    </w:p>
    <w:p w14:paraId="5C66FF69"/>
    <w:p w14:paraId="7661559A">
      <w:r>
        <w:t xml:space="preserve">Furthermore, ethical research contributes to the advancement of knowledge in a responsible manner. By promoting integrity and transparency, ethical practices help maintain the public's trust in scientific findings, which is crucial for the application of research outcomes in policy-making and practice (Resnik, 2015). </w:t>
      </w:r>
    </w:p>
    <w:p w14:paraId="0F1DFBD2"/>
    <w:p w14:paraId="0C5258F8">
      <w:r>
        <w:t>From the perspective of research necessity, the issue discussed in this study is whether promoting the replacement of traditional fuel vehicles with electric vehicles is commercially and resource-sustainable</w:t>
      </w:r>
      <w:r>
        <w:rPr>
          <w:rFonts w:hint="eastAsia" w:eastAsia="SimSun"/>
        </w:rPr>
        <w:t>(Wang, 2017)</w:t>
      </w:r>
      <w:r>
        <w:t>. This discussion is very necessary because it is directly related to whether environmental protection efforts will conflict with efforts to improve people's happiness. Considering that such industry changes will have a major impact on many jobs and industrial systems, researchers must remain neutral as much as possible when conducting research</w:t>
      </w:r>
      <w:r>
        <w:rPr>
          <w:rFonts w:hint="eastAsia" w:eastAsia="SimSun"/>
        </w:rPr>
        <w:t>(Greenbank, 2003)</w:t>
      </w:r>
      <w:r>
        <w:t xml:space="preserve">. Data cannot be collected or research and </w:t>
      </w:r>
      <w:r>
        <w:rPr>
          <w:rFonts w:hint="eastAsia" w:eastAsia="SimSun"/>
        </w:rPr>
        <w:t>study</w:t>
      </w:r>
      <w:r>
        <w:t xml:space="preserve"> cannot be conducted in an attitude of research to prove a preset position. Only in this way can objective and neutral research conclusions be drawn.</w:t>
      </w:r>
    </w:p>
    <w:p w14:paraId="4E2BE5FA"/>
    <w:p w14:paraId="05229764">
      <w:r>
        <w:t xml:space="preserve">Regarding the questionnaire, the information provided in the questionnaire will strictly comply with the research ethics guidelines of the University of Wales Trinity Saint David(University of Wales Trinity Saint David, </w:t>
      </w:r>
      <w:r>
        <w:rPr>
          <w:rFonts w:hint="eastAsia"/>
        </w:rPr>
        <w:t>2024</w:t>
      </w:r>
      <w:r>
        <w:t xml:space="preserve">.). All surveys will be conducted anonymously. All copies of survey data will be destroyed after the survey to prevent personal information leakage(General Data Protection Regulation (GDPR) – Legal Text, 2024). All respondents will be clearly informed of the purpose of the questionnaire(Ethical Principles of Psychologists and Code of Conduct, </w:t>
      </w:r>
      <w:r>
        <w:rPr>
          <w:rFonts w:hint="eastAsia"/>
        </w:rPr>
        <w:t>2017</w:t>
      </w:r>
      <w:r>
        <w:t>.). The researcher guarantees that all data sources are authentic and have not been tampered with.</w:t>
      </w:r>
    </w:p>
    <w:p w14:paraId="66785367">
      <w:pPr>
        <w:rPr>
          <w:rFonts w:cs="Times New Roman"/>
        </w:rPr>
      </w:pPr>
    </w:p>
    <w:p w14:paraId="38EF81E9">
      <w:pPr>
        <w:rPr>
          <w:rFonts w:cs="Times New Roman"/>
        </w:rPr>
      </w:pPr>
    </w:p>
    <w:p w14:paraId="7C16C1AC">
      <w:pPr>
        <w:rPr>
          <w:rFonts w:cs="Times New Roman"/>
        </w:rPr>
      </w:pPr>
    </w:p>
    <w:p w14:paraId="3A10C69C">
      <w:pPr>
        <w:rPr>
          <w:rFonts w:cs="Times New Roman"/>
        </w:rPr>
      </w:pPr>
    </w:p>
    <w:p w14:paraId="762D9EBB">
      <w:pPr>
        <w:rPr>
          <w:rFonts w:cs="Times New Roman"/>
        </w:rPr>
      </w:pPr>
    </w:p>
    <w:p w14:paraId="12307516">
      <w:pPr>
        <w:rPr>
          <w:rFonts w:cs="Times New Roman"/>
        </w:rPr>
      </w:pPr>
    </w:p>
    <w:p w14:paraId="35ACE1B7">
      <w:pPr>
        <w:rPr>
          <w:rFonts w:cs="Times New Roman"/>
        </w:rPr>
      </w:pPr>
    </w:p>
    <w:p w14:paraId="1BE0FE7B">
      <w:pPr>
        <w:rPr>
          <w:rFonts w:cs="Times New Roman"/>
        </w:rPr>
      </w:pPr>
    </w:p>
    <w:p w14:paraId="0D5A0515">
      <w:pPr>
        <w:rPr>
          <w:rFonts w:cs="Times New Roman"/>
        </w:rPr>
      </w:pPr>
    </w:p>
    <w:p w14:paraId="70DF440B">
      <w:pPr>
        <w:rPr>
          <w:rFonts w:cs="Times New Roman"/>
        </w:rPr>
      </w:pPr>
    </w:p>
    <w:p w14:paraId="147EE3E7">
      <w:pPr>
        <w:rPr>
          <w:rFonts w:cs="Times New Roman"/>
        </w:rPr>
      </w:pPr>
    </w:p>
    <w:p w14:paraId="55378E8A">
      <w:pPr>
        <w:rPr>
          <w:rFonts w:cs="Times New Roman"/>
        </w:rPr>
      </w:pPr>
    </w:p>
    <w:p w14:paraId="306FF7A1">
      <w:pPr>
        <w:rPr>
          <w:rFonts w:cs="Times New Roman"/>
        </w:rPr>
      </w:pPr>
    </w:p>
    <w:p w14:paraId="224DBC1A">
      <w:pPr>
        <w:rPr>
          <w:rFonts w:cs="Times New Roman"/>
        </w:rPr>
      </w:pPr>
    </w:p>
    <w:p w14:paraId="0A798A93">
      <w:pPr>
        <w:pStyle w:val="2"/>
        <w:rPr>
          <w:rStyle w:val="23"/>
          <w:b w:val="0"/>
          <w:bCs w:val="0"/>
          <w:kern w:val="2"/>
        </w:rPr>
      </w:pPr>
      <w:bookmarkStart w:id="84" w:name="_Toc13966"/>
      <w:r>
        <w:rPr>
          <w:rFonts w:hint="eastAsia" w:cs="Times New Roman"/>
        </w:rPr>
        <w:t>Chapter 4</w:t>
      </w:r>
      <w:r>
        <w:rPr>
          <w:rFonts w:cs="Times New Roman"/>
        </w:rPr>
        <w:t>.</w:t>
      </w:r>
      <w:r>
        <w:rPr>
          <w:rFonts w:hint="eastAsia" w:cs="Times New Roman"/>
        </w:rPr>
        <w:t xml:space="preserve"> Findings</w:t>
      </w:r>
      <w:bookmarkEnd w:id="84"/>
    </w:p>
    <w:p w14:paraId="30F22268">
      <w:pPr>
        <w:pStyle w:val="6"/>
        <w:jc w:val="left"/>
        <w:rPr>
          <w:rStyle w:val="27"/>
        </w:rPr>
      </w:pPr>
      <w:bookmarkStart w:id="85" w:name="_Toc11884"/>
      <w:r>
        <w:rPr>
          <w:rStyle w:val="27"/>
        </w:rPr>
        <w:t>4.1 Presentation and Interpretation of the Data</w:t>
      </w:r>
    </w:p>
    <w:bookmarkEnd w:id="85"/>
    <w:p w14:paraId="6DFB4568">
      <w:pPr>
        <w:pStyle w:val="6"/>
        <w:jc w:val="left"/>
        <w:rPr>
          <w:rFonts w:cs="Times New Roman"/>
        </w:rPr>
      </w:pPr>
    </w:p>
    <w:p w14:paraId="60EA4381">
      <w:pPr>
        <w:pStyle w:val="4"/>
        <w:numPr>
          <w:ilvl w:val="1"/>
          <w:numId w:val="0"/>
        </w:numPr>
      </w:pPr>
      <w:bookmarkStart w:id="86" w:name="_Toc15953"/>
      <w:r>
        <w:rPr>
          <w:rFonts w:hint="eastAsia"/>
        </w:rPr>
        <w:t>4</w:t>
      </w:r>
      <w:r>
        <w:t>.1</w:t>
      </w:r>
      <w:r>
        <w:rPr>
          <w:rFonts w:hint="eastAsia"/>
          <w:lang w:val="en-US" w:eastAsia="zh-CN"/>
        </w:rPr>
        <w:t>.1</w:t>
      </w:r>
      <w:r>
        <w:rPr>
          <w:rFonts w:hint="eastAsia"/>
        </w:rPr>
        <w:t xml:space="preserve"> </w:t>
      </w:r>
      <w:r>
        <w:t>Introduction</w:t>
      </w:r>
      <w:bookmarkEnd w:id="86"/>
    </w:p>
    <w:p w14:paraId="162C9DD5">
      <w:pPr>
        <w:jc w:val="left"/>
        <w:rPr>
          <w:rFonts w:cs="Times New Roman"/>
        </w:rPr>
      </w:pPr>
    </w:p>
    <w:p w14:paraId="112BF2D6">
      <w:pPr>
        <w:jc w:val="left"/>
        <w:rPr>
          <w:rFonts w:hint="default" w:cs="Times New Roman"/>
        </w:rPr>
      </w:pPr>
      <w:r>
        <w:rPr>
          <w:rFonts w:hint="default" w:cs="Times New Roman"/>
        </w:rPr>
        <w:t>This chapter will explore whether it is commercially viable for electric vehicles to replace fuel vehicles from the perspectives of sellers (producers of electric vehicles and traditional fuel vehicles) and buyers (car users) through data analysis and survey results. For sellers, commercial viability means higher profits, which can be verified through financial report analysis. Therefore, various data including profitability, return on assets, debt ratio and inventory turnover cycle of Ford and BYD in the past decade will be analyzed. In order to conduct a relatively comprehensive analysis of the operating conditions of the two. At the same time, this will also verify the content of the product life cycle theory mentioned in the literature review. One of the ways to analyze which stage an industrial product is in its life cycle is to analyze the profitability of the companies that produce and sell them.</w:t>
      </w:r>
    </w:p>
    <w:p w14:paraId="58E51AF2">
      <w:pPr>
        <w:jc w:val="left"/>
        <w:rPr>
          <w:rFonts w:hint="default" w:cs="Times New Roman"/>
        </w:rPr>
      </w:pPr>
    </w:p>
    <w:p w14:paraId="48AFB26B">
      <w:pPr>
        <w:jc w:val="left"/>
        <w:rPr>
          <w:rFonts w:cs="Times New Roman"/>
        </w:rPr>
      </w:pPr>
      <w:r>
        <w:rPr>
          <w:rFonts w:hint="default" w:cs="Times New Roman"/>
        </w:rPr>
        <w:t>For buyers, commercial viability means lower overall use costs due to lower sales prices and lower use costs. The answer to this question requires extensive surveys and analyses of consumers to draw conclusions. The questionnaire will collect relevant information from multiple aspects such as use costs, use experience, and purchase prices. After this, a comprehensive discussion of this information will be conducted to determine whether electric vehicles have more advantages in use costs than fuel vehicles at this point in time in 2024.</w:t>
      </w:r>
    </w:p>
    <w:p w14:paraId="58FE6EA3">
      <w:pPr>
        <w:jc w:val="left"/>
        <w:rPr>
          <w:rFonts w:cs="Times New Roman"/>
        </w:rPr>
      </w:pPr>
    </w:p>
    <w:p w14:paraId="3824BADF">
      <w:pPr>
        <w:pStyle w:val="4"/>
        <w:numPr>
          <w:ilvl w:val="1"/>
          <w:numId w:val="0"/>
        </w:numPr>
      </w:pPr>
      <w:bookmarkStart w:id="87" w:name="_Toc20251"/>
      <w:r>
        <w:rPr>
          <w:rFonts w:hint="eastAsia"/>
        </w:rPr>
        <w:t>4</w:t>
      </w:r>
      <w:r>
        <w:t>.</w:t>
      </w:r>
      <w:r>
        <w:rPr>
          <w:rFonts w:hint="eastAsia"/>
          <w:lang w:val="en-US" w:eastAsia="zh-CN"/>
        </w:rPr>
        <w:t>1.</w:t>
      </w:r>
      <w:r>
        <w:rPr>
          <w:rFonts w:hint="eastAsia"/>
        </w:rPr>
        <w:t xml:space="preserve">2 </w:t>
      </w:r>
      <w:r>
        <w:rPr>
          <w:rFonts w:cs="Times New Roman"/>
        </w:rPr>
        <w:t>Questionnaires</w:t>
      </w:r>
      <w:bookmarkEnd w:id="87"/>
    </w:p>
    <w:p w14:paraId="175C9C00">
      <w:pPr>
        <w:jc w:val="left"/>
        <w:rPr>
          <w:rFonts w:cs="Times New Roman"/>
        </w:rPr>
      </w:pPr>
    </w:p>
    <w:p w14:paraId="56D95968">
      <w:pPr>
        <w:jc w:val="left"/>
        <w:rPr>
          <w:rFonts w:cs="Times New Roman"/>
        </w:rPr>
      </w:pPr>
      <w:r>
        <w:rPr>
          <w:rFonts w:hint="default"/>
          <w:color w:val="000000"/>
        </w:rPr>
        <w:t>The purpose of the questionnaire is to infer the macro-situation of the research group through a representative sample</w:t>
      </w:r>
      <w:r>
        <w:rPr>
          <w:rFonts w:cs="Times New Roman"/>
        </w:rPr>
        <w:t>.</w:t>
      </w:r>
      <w:r>
        <w:rPr>
          <w:rFonts w:hint="eastAsia" w:cs="Times New Roman"/>
          <w:lang w:val="en-US" w:eastAsia="zh-CN"/>
        </w:rPr>
        <w:t xml:space="preserve"> To fulfill that goal</w:t>
      </w:r>
      <w:r>
        <w:rPr>
          <w:rFonts w:cs="Times New Roman"/>
        </w:rPr>
        <w:t xml:space="preserve"> </w:t>
      </w:r>
      <w:r>
        <w:rPr>
          <w:rFonts w:hint="eastAsia" w:cs="Times New Roman"/>
          <w:lang w:val="en-US" w:eastAsia="zh-CN"/>
        </w:rPr>
        <w:t>q</w:t>
      </w:r>
      <w:r>
        <w:rPr>
          <w:rFonts w:cs="Times New Roman"/>
        </w:rPr>
        <w:t xml:space="preserve">uestionnaires were sent to </w:t>
      </w:r>
      <w:r>
        <w:rPr>
          <w:rFonts w:hint="eastAsia" w:cs="Times New Roman"/>
        </w:rPr>
        <w:t>100</w:t>
      </w:r>
      <w:r>
        <w:rPr>
          <w:rFonts w:cs="Times New Roman"/>
        </w:rPr>
        <w:t xml:space="preserve"> members of the Ford Automobile User Club in Nanjing and </w:t>
      </w:r>
      <w:r>
        <w:rPr>
          <w:rFonts w:hint="eastAsia" w:cs="Times New Roman"/>
        </w:rPr>
        <w:t>100</w:t>
      </w:r>
      <w:r>
        <w:rPr>
          <w:rFonts w:cs="Times New Roman"/>
        </w:rPr>
        <w:t xml:space="preserve"> members of the BYD Automobile User Club in Nanjing.</w:t>
      </w:r>
      <w:r>
        <w:rPr>
          <w:rFonts w:hint="eastAsia" w:cs="Times New Roman"/>
          <w:lang w:val="en-US" w:eastAsia="zh-CN"/>
        </w:rPr>
        <w:t xml:space="preserve"> This ensure that a</w:t>
      </w:r>
      <w:r>
        <w:rPr>
          <w:rFonts w:cs="Times New Roman"/>
        </w:rPr>
        <w:t xml:space="preserve">ll respondents really owned at least one vehicle of the selected brand, thus ensuring that all the answers obtained had the necessary authenticity. </w:t>
      </w:r>
      <w:r>
        <w:rPr>
          <w:rFonts w:cs="Times New Roman"/>
        </w:rPr>
        <w:t>The questionnaires collected a variety of information including fuel costs, insurance costs, maintenance costs, maintenance cycles, purchase prices and satisfaction. This information and data will be used to analyze whether electric vehicles are competitive enough compared to traditional fuel vehicles for car users. The analysis of electric vehicle and traditional power vehicle manufacturers will be based on financial report data from 2014 to 2023.</w:t>
      </w:r>
    </w:p>
    <w:p w14:paraId="6B47C777">
      <w:pPr>
        <w:jc w:val="left"/>
        <w:rPr>
          <w:rFonts w:cs="Times New Roman"/>
        </w:rPr>
      </w:pPr>
    </w:p>
    <w:p w14:paraId="3BBC1485">
      <w:pPr>
        <w:jc w:val="left"/>
        <w:rPr>
          <w:rFonts w:cs="Times New Roman"/>
        </w:rPr>
      </w:pPr>
      <w:r>
        <w:rPr>
          <w:rFonts w:cs="Times New Roman"/>
        </w:rPr>
        <w:t>Since these respondents are all members of the car club, it can be assumed that they are all people who are familiar with various information about vehicles. This can be seen from the fact that there were no responses to never maintaining the vehicle or causing major repairs due to improper use in all the 86 returned questionnaires. On the other hand, since they have channels to obtain vehicle-related information, it can be assumed that their vehicle usage fees are relatively slightly lower than the overall user situation. After all, not all car users can find reasonably priced maintenance services and insurance.</w:t>
      </w:r>
    </w:p>
    <w:p w14:paraId="40500E89">
      <w:pPr>
        <w:jc w:val="left"/>
        <w:rPr>
          <w:rFonts w:cs="Times New Roman"/>
        </w:rPr>
      </w:pPr>
    </w:p>
    <w:p w14:paraId="74D0195E">
      <w:pPr>
        <w:pStyle w:val="4"/>
        <w:numPr>
          <w:ilvl w:val="1"/>
          <w:numId w:val="0"/>
        </w:numPr>
        <w:rPr>
          <w:rFonts w:cs="Times New Roman"/>
        </w:rPr>
      </w:pPr>
      <w:bookmarkStart w:id="88" w:name="_Toc9856"/>
      <w:r>
        <w:rPr>
          <w:rFonts w:hint="eastAsia" w:cs="Times New Roman"/>
        </w:rPr>
        <w:t>4</w:t>
      </w:r>
      <w:r>
        <w:rPr>
          <w:rFonts w:cs="Times New Roman"/>
        </w:rPr>
        <w:t>.</w:t>
      </w:r>
      <w:r>
        <w:rPr>
          <w:rFonts w:hint="eastAsia" w:cs="Times New Roman"/>
          <w:lang w:val="en-US" w:eastAsia="zh-CN"/>
        </w:rPr>
        <w:t>1</w:t>
      </w:r>
      <w:r>
        <w:rPr>
          <w:rFonts w:cs="Times New Roman"/>
        </w:rPr>
        <w:t>.</w:t>
      </w:r>
      <w:r>
        <w:rPr>
          <w:rFonts w:hint="eastAsia" w:cs="Times New Roman"/>
          <w:lang w:val="en-US" w:eastAsia="zh-CN"/>
        </w:rPr>
        <w:t>3</w:t>
      </w:r>
      <w:r>
        <w:rPr>
          <w:rFonts w:cs="Times New Roman"/>
        </w:rPr>
        <w:t xml:space="preserve"> Consumer questionnaire feedback</w:t>
      </w:r>
      <w:bookmarkEnd w:id="88"/>
    </w:p>
    <w:p w14:paraId="6C979FCE">
      <w:pPr>
        <w:jc w:val="left"/>
        <w:rPr>
          <w:rFonts w:hint="eastAsia" w:cs="Times New Roman"/>
          <w:lang w:val="en-US" w:eastAsia="zh-CN"/>
        </w:rPr>
      </w:pPr>
      <w:r>
        <w:rPr>
          <w:rFonts w:hint="eastAsia" w:cs="Times New Roman"/>
        </w:rPr>
        <w:t>This survey aims to analyze the cost and experience of using electric cars and traditional fuel vehicles. We will analyze the car price (figure2), monthly energy costs (figure3), maintenance costs (figure4), maintenance frequency (figure5), insurance prices (figure6) and user experience (figure7) of all 87 valid responses. The results of the analysis will reflect the differences in user experience between electric cars and fuel vehicles.</w:t>
      </w:r>
      <w:r>
        <w:rPr>
          <w:rFonts w:hint="eastAsia" w:cs="Times New Roman"/>
          <w:lang w:val="en-US" w:eastAsia="zh-CN"/>
        </w:rPr>
        <w:t xml:space="preserve"> </w:t>
      </w:r>
    </w:p>
    <w:p w14:paraId="7FFE7511">
      <w:pPr>
        <w:jc w:val="left"/>
        <w:rPr>
          <w:rFonts w:hint="eastAsia" w:cs="Times New Roman"/>
          <w:lang w:val="en-US" w:eastAsia="zh-CN"/>
        </w:rPr>
      </w:pPr>
    </w:p>
    <w:p w14:paraId="6E6A2A86">
      <w:pPr>
        <w:jc w:val="left"/>
        <w:rPr>
          <w:rFonts w:cs="Times New Roman"/>
        </w:rPr>
      </w:pPr>
      <w:r>
        <w:rPr>
          <w:rFonts w:hint="eastAsia" w:cs="Times New Roman"/>
        </w:rPr>
        <w:t>Figure 2: S</w:t>
      </w:r>
      <w:r>
        <w:rPr>
          <w:rFonts w:cs="Times New Roman"/>
        </w:rPr>
        <w:t>elling price</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14:paraId="2A12F1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79EE4EC9">
            <w:pPr>
              <w:jc w:val="left"/>
              <w:rPr>
                <w:rFonts w:cs="Times New Roman"/>
              </w:rPr>
            </w:pPr>
          </w:p>
        </w:tc>
        <w:tc>
          <w:tcPr>
            <w:tcW w:w="2841" w:type="dxa"/>
            <w:shd w:val="clear" w:color="auto" w:fill="auto"/>
          </w:tcPr>
          <w:p w14:paraId="46517BD1">
            <w:pPr>
              <w:jc w:val="left"/>
              <w:rPr>
                <w:rFonts w:cs="Times New Roman"/>
                <w:sz w:val="21"/>
                <w:szCs w:val="24"/>
              </w:rPr>
            </w:pPr>
            <w:r>
              <w:rPr>
                <w:rFonts w:hint="eastAsia" w:cs="Times New Roman"/>
              </w:rPr>
              <w:t>Electric cars</w:t>
            </w:r>
          </w:p>
        </w:tc>
        <w:tc>
          <w:tcPr>
            <w:tcW w:w="2841" w:type="dxa"/>
            <w:shd w:val="clear" w:color="auto" w:fill="auto"/>
          </w:tcPr>
          <w:p w14:paraId="3F07D213">
            <w:pPr>
              <w:jc w:val="left"/>
              <w:rPr>
                <w:rFonts w:cs="Times New Roman"/>
                <w:sz w:val="21"/>
                <w:szCs w:val="24"/>
              </w:rPr>
            </w:pPr>
            <w:r>
              <w:rPr>
                <w:rFonts w:hint="eastAsia" w:cs="Times New Roman"/>
              </w:rPr>
              <w:t>Traditional powered cars</w:t>
            </w:r>
          </w:p>
        </w:tc>
      </w:tr>
      <w:tr w14:paraId="232B1B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33D60973">
            <w:pPr>
              <w:jc w:val="left"/>
              <w:rPr>
                <w:rFonts w:cs="Times New Roman"/>
              </w:rPr>
            </w:pPr>
            <w:r>
              <w:rPr>
                <w:rFonts w:hint="eastAsia" w:cs="Times New Roman"/>
              </w:rPr>
              <w:t>Average price</w:t>
            </w:r>
          </w:p>
        </w:tc>
        <w:tc>
          <w:tcPr>
            <w:tcW w:w="2841" w:type="dxa"/>
          </w:tcPr>
          <w:p w14:paraId="353549E9">
            <w:pPr>
              <w:jc w:val="left"/>
              <w:rPr>
                <w:rFonts w:cs="Times New Roman"/>
              </w:rPr>
            </w:pPr>
            <w:r>
              <w:rPr>
                <w:rFonts w:hint="eastAsia" w:cs="Times New Roman"/>
              </w:rPr>
              <w:t>193140RMB</w:t>
            </w:r>
          </w:p>
        </w:tc>
        <w:tc>
          <w:tcPr>
            <w:tcW w:w="2841" w:type="dxa"/>
          </w:tcPr>
          <w:p w14:paraId="58612DE9">
            <w:pPr>
              <w:jc w:val="left"/>
              <w:rPr>
                <w:rFonts w:cs="Times New Roman"/>
              </w:rPr>
            </w:pPr>
            <w:r>
              <w:rPr>
                <w:rFonts w:hint="eastAsia" w:cs="Times New Roman"/>
              </w:rPr>
              <w:t>213502RMB</w:t>
            </w:r>
          </w:p>
        </w:tc>
      </w:tr>
      <w:tr w14:paraId="7CABDF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47C39378">
            <w:pPr>
              <w:jc w:val="left"/>
              <w:rPr>
                <w:rFonts w:cs="Times New Roman"/>
              </w:rPr>
            </w:pPr>
            <w:r>
              <w:rPr>
                <w:rFonts w:hint="eastAsia" w:cs="Times New Roman"/>
              </w:rPr>
              <w:t>Minimum</w:t>
            </w:r>
          </w:p>
        </w:tc>
        <w:tc>
          <w:tcPr>
            <w:tcW w:w="2841" w:type="dxa"/>
          </w:tcPr>
          <w:p w14:paraId="34FD4068">
            <w:pPr>
              <w:jc w:val="left"/>
              <w:rPr>
                <w:rFonts w:cs="Times New Roman"/>
              </w:rPr>
            </w:pPr>
            <w:r>
              <w:rPr>
                <w:rFonts w:hint="eastAsia" w:cs="Times New Roman"/>
              </w:rPr>
              <w:t>65000RMB</w:t>
            </w:r>
          </w:p>
        </w:tc>
        <w:tc>
          <w:tcPr>
            <w:tcW w:w="2841" w:type="dxa"/>
          </w:tcPr>
          <w:p w14:paraId="729C9924">
            <w:pPr>
              <w:jc w:val="left"/>
              <w:rPr>
                <w:rFonts w:cs="Times New Roman"/>
              </w:rPr>
            </w:pPr>
            <w:r>
              <w:rPr>
                <w:rFonts w:hint="eastAsia" w:cs="Times New Roman"/>
              </w:rPr>
              <w:t>75000RMB</w:t>
            </w:r>
          </w:p>
        </w:tc>
      </w:tr>
      <w:tr w14:paraId="637DF1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689FBCAA">
            <w:pPr>
              <w:jc w:val="left"/>
              <w:rPr>
                <w:rFonts w:cs="Times New Roman"/>
              </w:rPr>
            </w:pPr>
            <w:r>
              <w:rPr>
                <w:rFonts w:hint="eastAsia" w:cs="Times New Roman"/>
              </w:rPr>
              <w:t>Q</w:t>
            </w:r>
            <w:r>
              <w:rPr>
                <w:rFonts w:hint="eastAsia" w:cs="Times New Roman"/>
                <w:sz w:val="21"/>
                <w:vertAlign w:val="subscript"/>
              </w:rPr>
              <w:t>1</w:t>
            </w:r>
            <w:r>
              <w:rPr>
                <w:rFonts w:hint="eastAsia" w:cs="Times New Roman"/>
              </w:rPr>
              <w:t xml:space="preserve"> (25%)</w:t>
            </w:r>
          </w:p>
        </w:tc>
        <w:tc>
          <w:tcPr>
            <w:tcW w:w="2841" w:type="dxa"/>
          </w:tcPr>
          <w:p w14:paraId="5315A4B1">
            <w:pPr>
              <w:jc w:val="left"/>
              <w:rPr>
                <w:rFonts w:cs="Times New Roman"/>
              </w:rPr>
            </w:pPr>
            <w:r>
              <w:rPr>
                <w:rFonts w:hint="eastAsia" w:cs="Times New Roman"/>
              </w:rPr>
              <w:t>130000RMB</w:t>
            </w:r>
          </w:p>
        </w:tc>
        <w:tc>
          <w:tcPr>
            <w:tcW w:w="2841" w:type="dxa"/>
          </w:tcPr>
          <w:p w14:paraId="005BF977">
            <w:pPr>
              <w:jc w:val="left"/>
              <w:rPr>
                <w:rFonts w:cs="Times New Roman"/>
              </w:rPr>
            </w:pPr>
            <w:r>
              <w:rPr>
                <w:rFonts w:hint="eastAsia" w:cs="Times New Roman"/>
              </w:rPr>
              <w:t>130000RMB</w:t>
            </w:r>
          </w:p>
        </w:tc>
      </w:tr>
      <w:tr w14:paraId="176E43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71A92F60">
            <w:pPr>
              <w:jc w:val="left"/>
              <w:rPr>
                <w:rFonts w:cs="Times New Roman"/>
              </w:rPr>
            </w:pPr>
            <w:r>
              <w:rPr>
                <w:rFonts w:hint="eastAsia" w:cs="Times New Roman"/>
              </w:rPr>
              <w:t>Median</w:t>
            </w:r>
          </w:p>
        </w:tc>
        <w:tc>
          <w:tcPr>
            <w:tcW w:w="2841" w:type="dxa"/>
          </w:tcPr>
          <w:p w14:paraId="028B6D17">
            <w:pPr>
              <w:jc w:val="left"/>
              <w:rPr>
                <w:rFonts w:cs="Times New Roman"/>
              </w:rPr>
            </w:pPr>
            <w:r>
              <w:rPr>
                <w:rFonts w:hint="eastAsia" w:cs="Times New Roman"/>
              </w:rPr>
              <w:t>200000RMB</w:t>
            </w:r>
          </w:p>
        </w:tc>
        <w:tc>
          <w:tcPr>
            <w:tcW w:w="2841" w:type="dxa"/>
          </w:tcPr>
          <w:p w14:paraId="39E4BE88">
            <w:pPr>
              <w:jc w:val="left"/>
              <w:rPr>
                <w:rFonts w:cs="Times New Roman"/>
              </w:rPr>
            </w:pPr>
            <w:r>
              <w:rPr>
                <w:rFonts w:hint="eastAsia" w:cs="Times New Roman"/>
              </w:rPr>
              <w:t>179000RMB</w:t>
            </w:r>
          </w:p>
        </w:tc>
      </w:tr>
      <w:tr w14:paraId="0EF90E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7C23128D">
            <w:pPr>
              <w:jc w:val="left"/>
              <w:rPr>
                <w:rFonts w:cs="Times New Roman"/>
              </w:rPr>
            </w:pPr>
            <w:r>
              <w:rPr>
                <w:rFonts w:hint="eastAsia" w:cs="Times New Roman"/>
              </w:rPr>
              <w:t>Q</w:t>
            </w:r>
            <w:r>
              <w:rPr>
                <w:rFonts w:hint="eastAsia" w:cs="Times New Roman"/>
                <w:sz w:val="21"/>
                <w:vertAlign w:val="subscript"/>
              </w:rPr>
              <w:t>3</w:t>
            </w:r>
            <w:r>
              <w:rPr>
                <w:rFonts w:hint="eastAsia" w:cs="Times New Roman"/>
              </w:rPr>
              <w:t>(75%)</w:t>
            </w:r>
          </w:p>
        </w:tc>
        <w:tc>
          <w:tcPr>
            <w:tcW w:w="2841" w:type="dxa"/>
          </w:tcPr>
          <w:p w14:paraId="688B953E">
            <w:pPr>
              <w:jc w:val="left"/>
              <w:rPr>
                <w:rFonts w:cs="Times New Roman"/>
              </w:rPr>
            </w:pPr>
            <w:r>
              <w:rPr>
                <w:rFonts w:hint="eastAsia" w:cs="Times New Roman"/>
              </w:rPr>
              <w:t>235000RMB</w:t>
            </w:r>
          </w:p>
        </w:tc>
        <w:tc>
          <w:tcPr>
            <w:tcW w:w="2841" w:type="dxa"/>
          </w:tcPr>
          <w:p w14:paraId="4DE96CA0">
            <w:pPr>
              <w:jc w:val="left"/>
              <w:rPr>
                <w:rFonts w:cs="Times New Roman"/>
              </w:rPr>
            </w:pPr>
            <w:r>
              <w:rPr>
                <w:rFonts w:hint="eastAsia" w:cs="Times New Roman"/>
              </w:rPr>
              <w:t>270000RMB</w:t>
            </w:r>
          </w:p>
        </w:tc>
      </w:tr>
      <w:tr w14:paraId="40C86B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03B56A9B">
            <w:pPr>
              <w:jc w:val="left"/>
              <w:rPr>
                <w:rFonts w:cs="Times New Roman"/>
              </w:rPr>
            </w:pPr>
            <w:r>
              <w:rPr>
                <w:rFonts w:hint="eastAsia" w:cs="Times New Roman"/>
              </w:rPr>
              <w:t>Maximum</w:t>
            </w:r>
          </w:p>
        </w:tc>
        <w:tc>
          <w:tcPr>
            <w:tcW w:w="2841" w:type="dxa"/>
          </w:tcPr>
          <w:p w14:paraId="61C768AA">
            <w:pPr>
              <w:jc w:val="left"/>
              <w:rPr>
                <w:rFonts w:cs="Times New Roman"/>
              </w:rPr>
            </w:pPr>
            <w:r>
              <w:rPr>
                <w:rFonts w:hint="eastAsia" w:cs="Times New Roman"/>
              </w:rPr>
              <w:t>400000RMB</w:t>
            </w:r>
          </w:p>
        </w:tc>
        <w:tc>
          <w:tcPr>
            <w:tcW w:w="2841" w:type="dxa"/>
          </w:tcPr>
          <w:p w14:paraId="3A072FFA">
            <w:pPr>
              <w:jc w:val="left"/>
              <w:rPr>
                <w:rFonts w:cs="Times New Roman"/>
              </w:rPr>
            </w:pPr>
            <w:r>
              <w:rPr>
                <w:rFonts w:hint="eastAsia" w:cs="Times New Roman"/>
              </w:rPr>
              <w:t>670000RMB</w:t>
            </w:r>
          </w:p>
        </w:tc>
      </w:tr>
    </w:tbl>
    <w:p w14:paraId="63C0AF43">
      <w:pPr>
        <w:jc w:val="left"/>
        <w:rPr>
          <w:rFonts w:cs="Times New Roman"/>
        </w:rPr>
      </w:pPr>
    </w:p>
    <w:p w14:paraId="721084BD">
      <w:pPr>
        <w:jc w:val="left"/>
        <w:rPr>
          <w:rFonts w:cs="Times New Roman"/>
        </w:rPr>
      </w:pPr>
      <w:r>
        <w:rPr>
          <w:rFonts w:hint="eastAsia" w:cs="Times New Roman"/>
        </w:rPr>
        <w:t>It can be seen that the Q</w:t>
      </w:r>
      <w:r>
        <w:rPr>
          <w:rFonts w:hint="eastAsia" w:cs="Times New Roman"/>
          <w:sz w:val="21"/>
          <w:vertAlign w:val="subscript"/>
        </w:rPr>
        <w:t>1</w:t>
      </w:r>
      <w:r>
        <w:rPr>
          <w:rFonts w:hint="eastAsia" w:cs="Times New Roman"/>
        </w:rPr>
        <w:t xml:space="preserve"> value of electric vehicles is the same as that of traditional fuel vehicles, the median and Q</w:t>
      </w:r>
      <w:r>
        <w:rPr>
          <w:rFonts w:hint="eastAsia" w:cs="Times New Roman"/>
          <w:sz w:val="21"/>
          <w:vertAlign w:val="subscript"/>
        </w:rPr>
        <w:t>3</w:t>
      </w:r>
      <w:r>
        <w:rPr>
          <w:rFonts w:hint="eastAsia" w:cs="Times New Roman"/>
        </w:rPr>
        <w:t xml:space="preserve"> values are lower than those of traditional fuel vehicles. Therefore, it can be concluded that the price of electric vehicles is not significantly lower than that of traditional power vehicles on average, and the price fluctuation range is smaller than that of traditional power vehicles. However, the price of electric vehicles is more concentrated in the middle value of 200,000 RMB. This means that although electric vehicles are cheaper than traditional power vehicles from a macro perspective, traditional fuel vehicles can provide consumers with more choices in the price range of 100,000 to 200,000 RMB. </w:t>
      </w:r>
      <w:r>
        <w:rPr>
          <w:rFonts w:hint="eastAsia" w:cs="Times New Roman"/>
          <w:lang w:val="en-US" w:eastAsia="zh-CN"/>
        </w:rPr>
        <w:t>In fact</w:t>
      </w:r>
      <w:r>
        <w:rPr>
          <w:rFonts w:hint="eastAsia" w:cs="Times New Roman"/>
        </w:rPr>
        <w:t xml:space="preserve"> this price range is also the most common price range for commuting vehicles. But does this mean that fuel vehicles are more suitable than electric vehicles for users who only need to use vehicles for daily commuting? Unfortunately, such a conclusion cannot be drawn directly. Because electric vehicles have a statistically significant advantage over traditional power vehicles in terms of usage costs. </w:t>
      </w:r>
    </w:p>
    <w:p w14:paraId="1D8F59D2">
      <w:pPr>
        <w:jc w:val="left"/>
        <w:rPr>
          <w:rFonts w:cs="Times New Roman"/>
        </w:rPr>
      </w:pPr>
    </w:p>
    <w:p w14:paraId="7EC139F9">
      <w:pPr>
        <w:jc w:val="left"/>
        <w:rPr>
          <w:rFonts w:cs="Times New Roman"/>
        </w:rPr>
      </w:pPr>
      <w:r>
        <w:rPr>
          <w:rFonts w:hint="eastAsia" w:cs="Times New Roman"/>
        </w:rPr>
        <w:t xml:space="preserve">Figure 3: Monthly </w:t>
      </w:r>
      <w:r>
        <w:rPr>
          <w:rFonts w:cs="Times New Roman"/>
        </w:rPr>
        <w:t>Fuel/Energy Costs</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14:paraId="5F441A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55D9F446">
            <w:pPr>
              <w:jc w:val="left"/>
              <w:rPr>
                <w:rFonts w:cs="Times New Roman"/>
              </w:rPr>
            </w:pPr>
          </w:p>
        </w:tc>
        <w:tc>
          <w:tcPr>
            <w:tcW w:w="2841" w:type="dxa"/>
            <w:shd w:val="clear" w:color="auto" w:fill="auto"/>
          </w:tcPr>
          <w:p w14:paraId="257D1426">
            <w:pPr>
              <w:jc w:val="left"/>
              <w:rPr>
                <w:rFonts w:cs="Times New Roman"/>
                <w:sz w:val="21"/>
                <w:szCs w:val="24"/>
              </w:rPr>
            </w:pPr>
            <w:r>
              <w:rPr>
                <w:rFonts w:hint="eastAsia" w:cs="Times New Roman"/>
              </w:rPr>
              <w:t>Electric cars</w:t>
            </w:r>
          </w:p>
        </w:tc>
        <w:tc>
          <w:tcPr>
            <w:tcW w:w="2841" w:type="dxa"/>
            <w:shd w:val="clear" w:color="auto" w:fill="auto"/>
          </w:tcPr>
          <w:p w14:paraId="4A7AACCD">
            <w:pPr>
              <w:jc w:val="left"/>
              <w:rPr>
                <w:rFonts w:cs="Times New Roman"/>
                <w:sz w:val="21"/>
                <w:szCs w:val="24"/>
              </w:rPr>
            </w:pPr>
            <w:r>
              <w:rPr>
                <w:rFonts w:hint="eastAsia" w:cs="Times New Roman"/>
              </w:rPr>
              <w:t>Traditional powered cars</w:t>
            </w:r>
          </w:p>
        </w:tc>
      </w:tr>
      <w:tr w14:paraId="06F1D5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52C30F44">
            <w:pPr>
              <w:jc w:val="left"/>
              <w:rPr>
                <w:rFonts w:cs="Times New Roman"/>
              </w:rPr>
            </w:pPr>
            <w:r>
              <w:rPr>
                <w:rFonts w:hint="eastAsia" w:cs="Times New Roman"/>
              </w:rPr>
              <w:t>&lt;500RMB</w:t>
            </w:r>
          </w:p>
        </w:tc>
        <w:tc>
          <w:tcPr>
            <w:tcW w:w="2841" w:type="dxa"/>
          </w:tcPr>
          <w:p w14:paraId="202D838A">
            <w:pPr>
              <w:jc w:val="left"/>
              <w:rPr>
                <w:rFonts w:cs="Times New Roman"/>
              </w:rPr>
            </w:pPr>
            <w:r>
              <w:rPr>
                <w:rFonts w:hint="eastAsia" w:cs="Times New Roman"/>
              </w:rPr>
              <w:t>9</w:t>
            </w:r>
          </w:p>
        </w:tc>
        <w:tc>
          <w:tcPr>
            <w:tcW w:w="2841" w:type="dxa"/>
          </w:tcPr>
          <w:p w14:paraId="0D1C04D3">
            <w:pPr>
              <w:jc w:val="left"/>
              <w:rPr>
                <w:rFonts w:cs="Times New Roman"/>
              </w:rPr>
            </w:pPr>
            <w:r>
              <w:rPr>
                <w:rFonts w:hint="eastAsia" w:cs="Times New Roman"/>
              </w:rPr>
              <w:t>0</w:t>
            </w:r>
          </w:p>
        </w:tc>
      </w:tr>
      <w:tr w14:paraId="39F847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068F578A">
            <w:pPr>
              <w:jc w:val="left"/>
              <w:rPr>
                <w:rFonts w:cs="Times New Roman"/>
              </w:rPr>
            </w:pPr>
            <w:r>
              <w:rPr>
                <w:rFonts w:hint="eastAsia" w:cs="Times New Roman"/>
              </w:rPr>
              <w:t>501-1000RMB</w:t>
            </w:r>
          </w:p>
        </w:tc>
        <w:tc>
          <w:tcPr>
            <w:tcW w:w="2841" w:type="dxa"/>
          </w:tcPr>
          <w:p w14:paraId="441E07B3">
            <w:pPr>
              <w:jc w:val="left"/>
              <w:rPr>
                <w:rFonts w:cs="Times New Roman"/>
              </w:rPr>
            </w:pPr>
            <w:r>
              <w:rPr>
                <w:rFonts w:hint="eastAsia" w:cs="Times New Roman"/>
              </w:rPr>
              <w:t>30</w:t>
            </w:r>
          </w:p>
        </w:tc>
        <w:tc>
          <w:tcPr>
            <w:tcW w:w="2841" w:type="dxa"/>
          </w:tcPr>
          <w:p w14:paraId="4F1A2B34">
            <w:pPr>
              <w:jc w:val="left"/>
              <w:rPr>
                <w:rFonts w:cs="Times New Roman"/>
              </w:rPr>
            </w:pPr>
            <w:r>
              <w:rPr>
                <w:rFonts w:hint="eastAsia" w:cs="Times New Roman"/>
              </w:rPr>
              <w:t>20</w:t>
            </w:r>
          </w:p>
        </w:tc>
      </w:tr>
      <w:tr w14:paraId="650A8A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04CF68A9">
            <w:pPr>
              <w:jc w:val="left"/>
              <w:rPr>
                <w:rFonts w:cs="Times New Roman"/>
              </w:rPr>
            </w:pPr>
            <w:r>
              <w:rPr>
                <w:rFonts w:hint="eastAsia" w:cs="Times New Roman"/>
              </w:rPr>
              <w:t>1001-2000RMB</w:t>
            </w:r>
          </w:p>
        </w:tc>
        <w:tc>
          <w:tcPr>
            <w:tcW w:w="2841" w:type="dxa"/>
          </w:tcPr>
          <w:p w14:paraId="23EED0AC">
            <w:pPr>
              <w:jc w:val="left"/>
              <w:rPr>
                <w:rFonts w:cs="Times New Roman"/>
              </w:rPr>
            </w:pPr>
            <w:r>
              <w:rPr>
                <w:rFonts w:hint="eastAsia" w:cs="Times New Roman"/>
              </w:rPr>
              <w:t>3</w:t>
            </w:r>
          </w:p>
        </w:tc>
        <w:tc>
          <w:tcPr>
            <w:tcW w:w="2841" w:type="dxa"/>
          </w:tcPr>
          <w:p w14:paraId="1BC80F95">
            <w:pPr>
              <w:jc w:val="left"/>
              <w:rPr>
                <w:rFonts w:cs="Times New Roman"/>
              </w:rPr>
            </w:pPr>
            <w:r>
              <w:rPr>
                <w:rFonts w:hint="eastAsia" w:cs="Times New Roman"/>
              </w:rPr>
              <w:t>19</w:t>
            </w:r>
          </w:p>
        </w:tc>
      </w:tr>
      <w:tr w14:paraId="6E076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606A02D2">
            <w:pPr>
              <w:jc w:val="left"/>
              <w:rPr>
                <w:rFonts w:cs="Times New Roman"/>
              </w:rPr>
            </w:pPr>
            <w:r>
              <w:rPr>
                <w:rFonts w:hint="eastAsia" w:cs="Times New Roman"/>
              </w:rPr>
              <w:t>2001-3000RMB</w:t>
            </w:r>
          </w:p>
        </w:tc>
        <w:tc>
          <w:tcPr>
            <w:tcW w:w="2841" w:type="dxa"/>
          </w:tcPr>
          <w:p w14:paraId="5DFB1C9C">
            <w:pPr>
              <w:jc w:val="left"/>
              <w:rPr>
                <w:rFonts w:cs="Times New Roman"/>
              </w:rPr>
            </w:pPr>
            <w:r>
              <w:rPr>
                <w:rFonts w:hint="eastAsia" w:cs="Times New Roman"/>
              </w:rPr>
              <w:t>0</w:t>
            </w:r>
          </w:p>
        </w:tc>
        <w:tc>
          <w:tcPr>
            <w:tcW w:w="2841" w:type="dxa"/>
          </w:tcPr>
          <w:p w14:paraId="05858336">
            <w:pPr>
              <w:jc w:val="left"/>
              <w:rPr>
                <w:rFonts w:cs="Times New Roman"/>
              </w:rPr>
            </w:pPr>
            <w:r>
              <w:rPr>
                <w:rFonts w:hint="eastAsia" w:cs="Times New Roman"/>
              </w:rPr>
              <w:t>3</w:t>
            </w:r>
          </w:p>
        </w:tc>
      </w:tr>
      <w:tr w14:paraId="322C29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2E562CDB">
            <w:pPr>
              <w:jc w:val="left"/>
              <w:rPr>
                <w:rFonts w:cs="Times New Roman"/>
              </w:rPr>
            </w:pPr>
            <w:r>
              <w:rPr>
                <w:rFonts w:hint="eastAsia" w:cs="Times New Roman"/>
              </w:rPr>
              <w:t>&gt;3000RMB</w:t>
            </w:r>
          </w:p>
        </w:tc>
        <w:tc>
          <w:tcPr>
            <w:tcW w:w="2841" w:type="dxa"/>
          </w:tcPr>
          <w:p w14:paraId="3B0391D2">
            <w:pPr>
              <w:jc w:val="left"/>
              <w:rPr>
                <w:rFonts w:cs="Times New Roman"/>
              </w:rPr>
            </w:pPr>
            <w:r>
              <w:rPr>
                <w:rFonts w:hint="eastAsia" w:cs="Times New Roman"/>
              </w:rPr>
              <w:t>0</w:t>
            </w:r>
          </w:p>
        </w:tc>
        <w:tc>
          <w:tcPr>
            <w:tcW w:w="2841" w:type="dxa"/>
          </w:tcPr>
          <w:p w14:paraId="12FDEAFA">
            <w:pPr>
              <w:jc w:val="left"/>
              <w:rPr>
                <w:rFonts w:cs="Times New Roman"/>
              </w:rPr>
            </w:pPr>
            <w:r>
              <w:rPr>
                <w:rFonts w:hint="eastAsia" w:cs="Times New Roman"/>
              </w:rPr>
              <w:t>1</w:t>
            </w:r>
          </w:p>
        </w:tc>
      </w:tr>
    </w:tbl>
    <w:p w14:paraId="7A80695F">
      <w:pPr>
        <w:jc w:val="left"/>
        <w:rPr>
          <w:rFonts w:cs="Times New Roman"/>
        </w:rPr>
      </w:pPr>
    </w:p>
    <w:p w14:paraId="633EF632">
      <w:pPr>
        <w:jc w:val="left"/>
        <w:rPr>
          <w:rFonts w:cs="Times New Roman"/>
        </w:rPr>
      </w:pPr>
      <w:r>
        <w:rPr>
          <w:rFonts w:cs="Times New Roman"/>
        </w:rPr>
        <w:t xml:space="preserve">From this part, </w:t>
      </w:r>
      <w:r>
        <w:rPr>
          <w:rFonts w:hint="eastAsia" w:cs="Times New Roman"/>
        </w:rPr>
        <w:t>it</w:t>
      </w:r>
      <w:r>
        <w:rPr>
          <w:rFonts w:cs="Times New Roman"/>
        </w:rPr>
        <w:t xml:space="preserve"> can</w:t>
      </w:r>
      <w:r>
        <w:rPr>
          <w:rFonts w:hint="eastAsia" w:cs="Times New Roman"/>
        </w:rPr>
        <w:t xml:space="preserve"> be</w:t>
      </w:r>
      <w:r>
        <w:rPr>
          <w:rFonts w:cs="Times New Roman"/>
        </w:rPr>
        <w:t xml:space="preserve"> see</w:t>
      </w:r>
      <w:r>
        <w:rPr>
          <w:rFonts w:hint="eastAsia" w:cs="Times New Roman"/>
        </w:rPr>
        <w:t>n</w:t>
      </w:r>
      <w:r>
        <w:rPr>
          <w:rFonts w:cs="Times New Roman"/>
        </w:rPr>
        <w:t xml:space="preserve"> that electric vehicles have a clear advantage over fuel vehicles in terms of monthly energy costs. Compared with fuel vehicles with a median energy cost of 1001 to 2000 RMB per month, electric vehicles with a median energy cost of 501 to 1000 RMB per month have significantly lower fuel costs. Although from the data distribution, it can be seen that although the mode of the energy costs of the two different vehicles are in the range of 501 to 1000 RMB per month. However, the energy cost of electric vehicles is normally distributed with the range of 501 to 1000 RMB per month as the center, while the energy cost of fuel vehicles is distributed with a long tail from the range of 501 to 1000 RMB per month as the peak to the higher cost range. This data distribution pattern means that although the mode of the average monthly energy cost of both vehicles is in the range of 501 to 1000 RMB per month, the average fuel cost of electric vehicles is more likely to fall in the range of 501 to 1000 RMB per month than traditional fuel vehicles, and it is also very likely to be lower than the average fuel cost of traditional fuel vehicles. Considering that hybrid vehicles are also included in the category of electric vehicles, this price is actually quite high. Since the 9 respondents whose monthly fuel costs are less than 500 yuan all use pure electric vehicles, this number accounts for half of all pure electric respondents. It seems that the cost advantage of electric vehicles over traditional fuel vehicles in terms of average monthly fuel costs is very obvious.</w:t>
      </w:r>
    </w:p>
    <w:p w14:paraId="288D2DE9">
      <w:pPr>
        <w:jc w:val="left"/>
        <w:rPr>
          <w:rFonts w:cs="Times New Roman"/>
        </w:rPr>
      </w:pPr>
    </w:p>
    <w:p w14:paraId="0177B8B4">
      <w:pPr>
        <w:jc w:val="left"/>
        <w:rPr>
          <w:rFonts w:cs="Times New Roman"/>
        </w:rPr>
      </w:pPr>
      <w:r>
        <w:rPr>
          <w:rFonts w:hint="eastAsia" w:cs="Times New Roman"/>
        </w:rPr>
        <w:t xml:space="preserve">Figure 4: </w:t>
      </w:r>
      <w:r>
        <w:rPr>
          <w:rFonts w:cs="Times New Roman"/>
        </w:rPr>
        <w:t>Maintenance cost</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14:paraId="464062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68F59161">
            <w:pPr>
              <w:jc w:val="left"/>
              <w:rPr>
                <w:rFonts w:cs="Times New Roman"/>
              </w:rPr>
            </w:pPr>
          </w:p>
        </w:tc>
        <w:tc>
          <w:tcPr>
            <w:tcW w:w="2841" w:type="dxa"/>
            <w:shd w:val="clear" w:color="auto" w:fill="auto"/>
          </w:tcPr>
          <w:p w14:paraId="2FD714BA">
            <w:pPr>
              <w:jc w:val="left"/>
              <w:rPr>
                <w:rFonts w:cs="Times New Roman"/>
                <w:sz w:val="21"/>
                <w:szCs w:val="24"/>
              </w:rPr>
            </w:pPr>
            <w:r>
              <w:rPr>
                <w:rFonts w:hint="eastAsia" w:cs="Times New Roman"/>
              </w:rPr>
              <w:t>Electric cars</w:t>
            </w:r>
          </w:p>
        </w:tc>
        <w:tc>
          <w:tcPr>
            <w:tcW w:w="2841" w:type="dxa"/>
            <w:shd w:val="clear" w:color="auto" w:fill="auto"/>
          </w:tcPr>
          <w:p w14:paraId="6942E462">
            <w:pPr>
              <w:jc w:val="left"/>
              <w:rPr>
                <w:rFonts w:cs="Times New Roman"/>
                <w:sz w:val="21"/>
                <w:szCs w:val="24"/>
              </w:rPr>
            </w:pPr>
            <w:r>
              <w:rPr>
                <w:rFonts w:hint="eastAsia" w:cs="Times New Roman"/>
              </w:rPr>
              <w:t>Traditional powered cars</w:t>
            </w:r>
          </w:p>
        </w:tc>
      </w:tr>
      <w:tr w14:paraId="736C60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2EFCE1D6">
            <w:pPr>
              <w:jc w:val="left"/>
              <w:rPr>
                <w:rFonts w:cs="Times New Roman"/>
              </w:rPr>
            </w:pPr>
            <w:r>
              <w:rPr>
                <w:rFonts w:hint="eastAsia" w:cs="Times New Roman"/>
              </w:rPr>
              <w:t>&lt;2000RMB</w:t>
            </w:r>
          </w:p>
        </w:tc>
        <w:tc>
          <w:tcPr>
            <w:tcW w:w="2841" w:type="dxa"/>
          </w:tcPr>
          <w:p w14:paraId="367092EE">
            <w:pPr>
              <w:jc w:val="left"/>
              <w:rPr>
                <w:rFonts w:cs="Times New Roman"/>
              </w:rPr>
            </w:pPr>
            <w:r>
              <w:rPr>
                <w:rFonts w:hint="eastAsia" w:cs="Times New Roman"/>
              </w:rPr>
              <w:t>13</w:t>
            </w:r>
          </w:p>
        </w:tc>
        <w:tc>
          <w:tcPr>
            <w:tcW w:w="2841" w:type="dxa"/>
          </w:tcPr>
          <w:p w14:paraId="17C1732E">
            <w:pPr>
              <w:jc w:val="left"/>
              <w:rPr>
                <w:rFonts w:cs="Times New Roman"/>
              </w:rPr>
            </w:pPr>
            <w:r>
              <w:rPr>
                <w:rFonts w:hint="eastAsia" w:cs="Times New Roman"/>
              </w:rPr>
              <w:t>3</w:t>
            </w:r>
          </w:p>
        </w:tc>
      </w:tr>
      <w:tr w14:paraId="530F0C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1FBD63EA">
            <w:pPr>
              <w:jc w:val="left"/>
              <w:rPr>
                <w:rFonts w:cs="Times New Roman"/>
              </w:rPr>
            </w:pPr>
            <w:r>
              <w:rPr>
                <w:rFonts w:hint="eastAsia" w:cs="Times New Roman"/>
              </w:rPr>
              <w:t>2001-5000RMB</w:t>
            </w:r>
          </w:p>
        </w:tc>
        <w:tc>
          <w:tcPr>
            <w:tcW w:w="2841" w:type="dxa"/>
          </w:tcPr>
          <w:p w14:paraId="3FAEC1C7">
            <w:pPr>
              <w:jc w:val="left"/>
              <w:rPr>
                <w:rFonts w:cs="Times New Roman"/>
              </w:rPr>
            </w:pPr>
            <w:r>
              <w:rPr>
                <w:rFonts w:hint="eastAsia" w:cs="Times New Roman"/>
              </w:rPr>
              <w:t>11</w:t>
            </w:r>
          </w:p>
        </w:tc>
        <w:tc>
          <w:tcPr>
            <w:tcW w:w="2841" w:type="dxa"/>
          </w:tcPr>
          <w:p w14:paraId="2E4CCADB">
            <w:pPr>
              <w:jc w:val="left"/>
              <w:rPr>
                <w:rFonts w:cs="Times New Roman"/>
              </w:rPr>
            </w:pPr>
            <w:r>
              <w:rPr>
                <w:rFonts w:hint="eastAsia" w:cs="Times New Roman"/>
              </w:rPr>
              <w:t>8</w:t>
            </w:r>
          </w:p>
        </w:tc>
      </w:tr>
      <w:tr w14:paraId="76733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034E160F">
            <w:pPr>
              <w:jc w:val="left"/>
              <w:rPr>
                <w:rFonts w:cs="Times New Roman"/>
              </w:rPr>
            </w:pPr>
            <w:r>
              <w:rPr>
                <w:rFonts w:hint="eastAsia" w:cs="Times New Roman"/>
              </w:rPr>
              <w:t>5001-10000RMB</w:t>
            </w:r>
          </w:p>
        </w:tc>
        <w:tc>
          <w:tcPr>
            <w:tcW w:w="2841" w:type="dxa"/>
          </w:tcPr>
          <w:p w14:paraId="65B0EDED">
            <w:pPr>
              <w:jc w:val="left"/>
              <w:rPr>
                <w:rFonts w:cs="Times New Roman"/>
              </w:rPr>
            </w:pPr>
            <w:r>
              <w:rPr>
                <w:rFonts w:hint="eastAsia" w:cs="Times New Roman"/>
              </w:rPr>
              <w:t>19</w:t>
            </w:r>
          </w:p>
        </w:tc>
        <w:tc>
          <w:tcPr>
            <w:tcW w:w="2841" w:type="dxa"/>
          </w:tcPr>
          <w:p w14:paraId="4FA48AF2">
            <w:pPr>
              <w:jc w:val="left"/>
              <w:rPr>
                <w:rFonts w:cs="Times New Roman"/>
              </w:rPr>
            </w:pPr>
            <w:r>
              <w:rPr>
                <w:rFonts w:hint="eastAsia" w:cs="Times New Roman"/>
              </w:rPr>
              <w:t>31</w:t>
            </w:r>
          </w:p>
        </w:tc>
      </w:tr>
      <w:tr w14:paraId="0AE6C9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3DB8086A">
            <w:pPr>
              <w:jc w:val="left"/>
              <w:rPr>
                <w:rFonts w:cs="Times New Roman"/>
              </w:rPr>
            </w:pPr>
            <w:r>
              <w:rPr>
                <w:rFonts w:hint="eastAsia" w:cs="Times New Roman"/>
              </w:rPr>
              <w:t>10001-15000RMB</w:t>
            </w:r>
          </w:p>
        </w:tc>
        <w:tc>
          <w:tcPr>
            <w:tcW w:w="2841" w:type="dxa"/>
          </w:tcPr>
          <w:p w14:paraId="5827B0EF">
            <w:pPr>
              <w:jc w:val="left"/>
              <w:rPr>
                <w:rFonts w:cs="Times New Roman"/>
              </w:rPr>
            </w:pPr>
            <w:r>
              <w:rPr>
                <w:rFonts w:hint="eastAsia" w:cs="Times New Roman"/>
              </w:rPr>
              <w:t>0</w:t>
            </w:r>
          </w:p>
        </w:tc>
        <w:tc>
          <w:tcPr>
            <w:tcW w:w="2841" w:type="dxa"/>
          </w:tcPr>
          <w:p w14:paraId="05BBA648">
            <w:pPr>
              <w:jc w:val="left"/>
              <w:rPr>
                <w:rFonts w:cs="Times New Roman"/>
              </w:rPr>
            </w:pPr>
            <w:r>
              <w:rPr>
                <w:rFonts w:hint="eastAsia" w:cs="Times New Roman"/>
              </w:rPr>
              <w:t>0</w:t>
            </w:r>
          </w:p>
        </w:tc>
      </w:tr>
      <w:tr w14:paraId="11157F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52C89B67">
            <w:pPr>
              <w:jc w:val="left"/>
              <w:rPr>
                <w:rFonts w:cs="Times New Roman"/>
              </w:rPr>
            </w:pPr>
            <w:r>
              <w:rPr>
                <w:rFonts w:hint="eastAsia" w:cs="Times New Roman"/>
              </w:rPr>
              <w:t>&gt;15000RMB</w:t>
            </w:r>
          </w:p>
        </w:tc>
        <w:tc>
          <w:tcPr>
            <w:tcW w:w="2841" w:type="dxa"/>
          </w:tcPr>
          <w:p w14:paraId="74FEA059">
            <w:pPr>
              <w:jc w:val="left"/>
              <w:rPr>
                <w:rFonts w:cs="Times New Roman"/>
              </w:rPr>
            </w:pPr>
            <w:r>
              <w:rPr>
                <w:rFonts w:hint="eastAsia" w:cs="Times New Roman"/>
              </w:rPr>
              <w:t>0</w:t>
            </w:r>
          </w:p>
        </w:tc>
        <w:tc>
          <w:tcPr>
            <w:tcW w:w="2841" w:type="dxa"/>
          </w:tcPr>
          <w:p w14:paraId="675A5FAE">
            <w:pPr>
              <w:jc w:val="left"/>
              <w:rPr>
                <w:rFonts w:cs="Times New Roman"/>
              </w:rPr>
            </w:pPr>
            <w:r>
              <w:rPr>
                <w:rFonts w:hint="eastAsia" w:cs="Times New Roman"/>
              </w:rPr>
              <w:t>0</w:t>
            </w:r>
          </w:p>
        </w:tc>
      </w:tr>
    </w:tbl>
    <w:p w14:paraId="50E80B43">
      <w:pPr>
        <w:jc w:val="left"/>
        <w:rPr>
          <w:rFonts w:cs="Times New Roman"/>
        </w:rPr>
      </w:pPr>
    </w:p>
    <w:p w14:paraId="3627DA56">
      <w:pPr>
        <w:jc w:val="left"/>
        <w:rPr>
          <w:rFonts w:cs="Times New Roman"/>
        </w:rPr>
      </w:pPr>
      <w:r>
        <w:rPr>
          <w:rFonts w:hint="eastAsia" w:cs="Times New Roman"/>
        </w:rPr>
        <w:t>Unlike the comparison of fuel costs, the difference between electric vehicles and traditional fuel vehicles in terms of maintenance costs is not so intuitive. First of all, the mode of both is in the range of 5001-10000 RMB per year, and the data distribution of both is a long-tail distribution with 5001-10000 RMB per year as the peak and extending to a lower range. In this case, the analysis of the median will be more important. Obviously, the median of electric vehicle users, that is, the 22nd ranked user, is in the range of 2001-5000 RMB per year. The median of traditional fuel vehicle users, that is, the 21st ranked user, is divided by the range of 5001-10000 RMB per year. This shows that in terms of the monetary cost of maintenance, electric vehicles are more advantageous than traditional fuel vehicles.</w:t>
      </w:r>
    </w:p>
    <w:p w14:paraId="034A8EB6">
      <w:pPr>
        <w:jc w:val="left"/>
        <w:rPr>
          <w:rFonts w:cs="Times New Roman"/>
        </w:rPr>
      </w:pPr>
    </w:p>
    <w:p w14:paraId="00B75A89">
      <w:pPr>
        <w:jc w:val="left"/>
        <w:rPr>
          <w:rFonts w:cs="Times New Roman"/>
        </w:rPr>
      </w:pPr>
      <w:r>
        <w:rPr>
          <w:rFonts w:hint="eastAsia" w:cs="Times New Roman"/>
        </w:rPr>
        <w:t xml:space="preserve">Figure 5: </w:t>
      </w:r>
      <w:r>
        <w:rPr>
          <w:rFonts w:cs="Times New Roman"/>
        </w:rPr>
        <w:t>Maintenance cycle</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14:paraId="73F1BE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1518DA37">
            <w:pPr>
              <w:jc w:val="left"/>
              <w:rPr>
                <w:rFonts w:cs="Times New Roman"/>
              </w:rPr>
            </w:pPr>
          </w:p>
        </w:tc>
        <w:tc>
          <w:tcPr>
            <w:tcW w:w="2841" w:type="dxa"/>
          </w:tcPr>
          <w:p w14:paraId="75783C68">
            <w:pPr>
              <w:jc w:val="left"/>
              <w:rPr>
                <w:rFonts w:cs="Times New Roman"/>
              </w:rPr>
            </w:pPr>
            <w:r>
              <w:rPr>
                <w:rFonts w:hint="eastAsia" w:cs="Times New Roman"/>
              </w:rPr>
              <w:t>Electric cars</w:t>
            </w:r>
          </w:p>
        </w:tc>
        <w:tc>
          <w:tcPr>
            <w:tcW w:w="2841" w:type="dxa"/>
          </w:tcPr>
          <w:p w14:paraId="20B2519D">
            <w:pPr>
              <w:jc w:val="left"/>
              <w:rPr>
                <w:rFonts w:cs="Times New Roman"/>
              </w:rPr>
            </w:pPr>
            <w:r>
              <w:rPr>
                <w:rFonts w:hint="eastAsia" w:cs="Times New Roman"/>
              </w:rPr>
              <w:t>Traditional powered cars</w:t>
            </w:r>
          </w:p>
        </w:tc>
      </w:tr>
      <w:tr w14:paraId="52F3B7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1C29766F">
            <w:pPr>
              <w:jc w:val="left"/>
              <w:rPr>
                <w:rFonts w:cs="Times New Roman"/>
              </w:rPr>
            </w:pPr>
            <w:r>
              <w:rPr>
                <w:rFonts w:cs="Times New Roman"/>
              </w:rPr>
              <w:t>Never</w:t>
            </w:r>
          </w:p>
        </w:tc>
        <w:tc>
          <w:tcPr>
            <w:tcW w:w="2841" w:type="dxa"/>
          </w:tcPr>
          <w:p w14:paraId="7DB13033">
            <w:pPr>
              <w:jc w:val="left"/>
              <w:rPr>
                <w:rFonts w:cs="Times New Roman"/>
              </w:rPr>
            </w:pPr>
            <w:r>
              <w:rPr>
                <w:rFonts w:hint="eastAsia" w:cs="Times New Roman"/>
              </w:rPr>
              <w:t>0</w:t>
            </w:r>
          </w:p>
        </w:tc>
        <w:tc>
          <w:tcPr>
            <w:tcW w:w="2841" w:type="dxa"/>
          </w:tcPr>
          <w:p w14:paraId="1193175B">
            <w:pPr>
              <w:jc w:val="left"/>
              <w:rPr>
                <w:rFonts w:cs="Times New Roman"/>
              </w:rPr>
            </w:pPr>
            <w:r>
              <w:rPr>
                <w:rFonts w:hint="eastAsia" w:cs="Times New Roman"/>
              </w:rPr>
              <w:t>0</w:t>
            </w:r>
          </w:p>
        </w:tc>
      </w:tr>
      <w:tr w14:paraId="2B192E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6AC91C9C">
            <w:pPr>
              <w:jc w:val="left"/>
              <w:rPr>
                <w:rFonts w:cs="Times New Roman"/>
              </w:rPr>
            </w:pPr>
            <w:r>
              <w:rPr>
                <w:rFonts w:cs="Times New Roman"/>
              </w:rPr>
              <w:t>Monthly</w:t>
            </w:r>
          </w:p>
        </w:tc>
        <w:tc>
          <w:tcPr>
            <w:tcW w:w="2841" w:type="dxa"/>
          </w:tcPr>
          <w:p w14:paraId="405B8622">
            <w:pPr>
              <w:jc w:val="left"/>
              <w:rPr>
                <w:rFonts w:cs="Times New Roman"/>
              </w:rPr>
            </w:pPr>
            <w:r>
              <w:rPr>
                <w:rFonts w:hint="eastAsia" w:cs="Times New Roman"/>
              </w:rPr>
              <w:t>1</w:t>
            </w:r>
          </w:p>
        </w:tc>
        <w:tc>
          <w:tcPr>
            <w:tcW w:w="2841" w:type="dxa"/>
          </w:tcPr>
          <w:p w14:paraId="12358AC4">
            <w:pPr>
              <w:jc w:val="left"/>
              <w:rPr>
                <w:rFonts w:cs="Times New Roman"/>
              </w:rPr>
            </w:pPr>
            <w:r>
              <w:rPr>
                <w:rFonts w:hint="eastAsia" w:cs="Times New Roman"/>
              </w:rPr>
              <w:t>0</w:t>
            </w:r>
          </w:p>
        </w:tc>
      </w:tr>
      <w:tr w14:paraId="0AB48C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0018339F">
            <w:pPr>
              <w:jc w:val="left"/>
              <w:rPr>
                <w:rFonts w:cs="Times New Roman"/>
              </w:rPr>
            </w:pPr>
            <w:r>
              <w:rPr>
                <w:rFonts w:cs="Times New Roman"/>
              </w:rPr>
              <w:t>Quarterly</w:t>
            </w:r>
          </w:p>
        </w:tc>
        <w:tc>
          <w:tcPr>
            <w:tcW w:w="2841" w:type="dxa"/>
          </w:tcPr>
          <w:p w14:paraId="3B810A91">
            <w:pPr>
              <w:jc w:val="left"/>
              <w:rPr>
                <w:rFonts w:cs="Times New Roman"/>
              </w:rPr>
            </w:pPr>
            <w:r>
              <w:rPr>
                <w:rFonts w:hint="eastAsia" w:cs="Times New Roman"/>
              </w:rPr>
              <w:t>1</w:t>
            </w:r>
          </w:p>
        </w:tc>
        <w:tc>
          <w:tcPr>
            <w:tcW w:w="2841" w:type="dxa"/>
          </w:tcPr>
          <w:p w14:paraId="607F322B">
            <w:pPr>
              <w:jc w:val="left"/>
              <w:rPr>
                <w:rFonts w:cs="Times New Roman"/>
              </w:rPr>
            </w:pPr>
            <w:r>
              <w:rPr>
                <w:rFonts w:hint="eastAsia" w:cs="Times New Roman"/>
              </w:rPr>
              <w:t>0</w:t>
            </w:r>
          </w:p>
        </w:tc>
      </w:tr>
      <w:tr w14:paraId="001051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4B88F951">
            <w:pPr>
              <w:rPr>
                <w:rFonts w:cs="Times New Roman"/>
              </w:rPr>
            </w:pPr>
            <w:r>
              <w:rPr>
                <w:rFonts w:cs="Times New Roman"/>
              </w:rPr>
              <w:t>Biannually</w:t>
            </w:r>
          </w:p>
        </w:tc>
        <w:tc>
          <w:tcPr>
            <w:tcW w:w="2841" w:type="dxa"/>
          </w:tcPr>
          <w:p w14:paraId="60D18884">
            <w:pPr>
              <w:jc w:val="left"/>
              <w:rPr>
                <w:rFonts w:cs="Times New Roman"/>
              </w:rPr>
            </w:pPr>
            <w:r>
              <w:rPr>
                <w:rFonts w:hint="eastAsia" w:cs="Times New Roman"/>
              </w:rPr>
              <w:t>17</w:t>
            </w:r>
          </w:p>
        </w:tc>
        <w:tc>
          <w:tcPr>
            <w:tcW w:w="2841" w:type="dxa"/>
          </w:tcPr>
          <w:p w14:paraId="616F25F7">
            <w:pPr>
              <w:jc w:val="left"/>
              <w:rPr>
                <w:rFonts w:cs="Times New Roman"/>
              </w:rPr>
            </w:pPr>
            <w:r>
              <w:rPr>
                <w:rFonts w:hint="eastAsia" w:cs="Times New Roman"/>
              </w:rPr>
              <w:t>10</w:t>
            </w:r>
          </w:p>
        </w:tc>
      </w:tr>
      <w:tr w14:paraId="27913F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0D1EA327">
            <w:pPr>
              <w:rPr>
                <w:rFonts w:cs="Times New Roman"/>
              </w:rPr>
            </w:pPr>
            <w:r>
              <w:rPr>
                <w:rFonts w:cs="Times New Roman"/>
              </w:rPr>
              <w:t>Annually</w:t>
            </w:r>
          </w:p>
        </w:tc>
        <w:tc>
          <w:tcPr>
            <w:tcW w:w="2841" w:type="dxa"/>
          </w:tcPr>
          <w:p w14:paraId="6B65D0CE">
            <w:pPr>
              <w:jc w:val="left"/>
              <w:rPr>
                <w:rFonts w:cs="Times New Roman"/>
              </w:rPr>
            </w:pPr>
            <w:r>
              <w:rPr>
                <w:rFonts w:hint="eastAsia" w:cs="Times New Roman"/>
              </w:rPr>
              <w:t>19</w:t>
            </w:r>
          </w:p>
        </w:tc>
        <w:tc>
          <w:tcPr>
            <w:tcW w:w="2841" w:type="dxa"/>
          </w:tcPr>
          <w:p w14:paraId="3C085AD4">
            <w:pPr>
              <w:jc w:val="left"/>
              <w:rPr>
                <w:rFonts w:cs="Times New Roman"/>
              </w:rPr>
            </w:pPr>
            <w:r>
              <w:rPr>
                <w:rFonts w:hint="eastAsia" w:cs="Times New Roman"/>
              </w:rPr>
              <w:t>30</w:t>
            </w:r>
          </w:p>
        </w:tc>
      </w:tr>
      <w:tr w14:paraId="675A9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0A37117F">
            <w:pPr>
              <w:rPr>
                <w:rFonts w:cs="Times New Roman"/>
              </w:rPr>
            </w:pPr>
            <w:r>
              <w:rPr>
                <w:rFonts w:cs="Times New Roman"/>
              </w:rPr>
              <w:t>As needed</w:t>
            </w:r>
          </w:p>
        </w:tc>
        <w:tc>
          <w:tcPr>
            <w:tcW w:w="2841" w:type="dxa"/>
          </w:tcPr>
          <w:p w14:paraId="7DA6ED68">
            <w:pPr>
              <w:jc w:val="left"/>
              <w:rPr>
                <w:rFonts w:cs="Times New Roman"/>
              </w:rPr>
            </w:pPr>
            <w:r>
              <w:rPr>
                <w:rFonts w:hint="eastAsia" w:cs="Times New Roman"/>
              </w:rPr>
              <w:t>5</w:t>
            </w:r>
          </w:p>
        </w:tc>
        <w:tc>
          <w:tcPr>
            <w:tcW w:w="2841" w:type="dxa"/>
          </w:tcPr>
          <w:p w14:paraId="07EE986F">
            <w:pPr>
              <w:jc w:val="left"/>
              <w:rPr>
                <w:rFonts w:cs="Times New Roman"/>
              </w:rPr>
            </w:pPr>
            <w:r>
              <w:rPr>
                <w:rFonts w:hint="eastAsia" w:cs="Times New Roman"/>
              </w:rPr>
              <w:t>3</w:t>
            </w:r>
          </w:p>
        </w:tc>
      </w:tr>
    </w:tbl>
    <w:p w14:paraId="665DACEC">
      <w:pPr>
        <w:jc w:val="left"/>
        <w:rPr>
          <w:rFonts w:cs="Times New Roman"/>
        </w:rPr>
      </w:pPr>
    </w:p>
    <w:p w14:paraId="18AB3B63">
      <w:pPr>
        <w:jc w:val="left"/>
        <w:rPr>
          <w:rFonts w:cs="Times New Roman"/>
        </w:rPr>
      </w:pPr>
      <w:r>
        <w:rPr>
          <w:rFonts w:cs="Times New Roman"/>
        </w:rPr>
        <w:t xml:space="preserve">Unlike the </w:t>
      </w:r>
      <w:r>
        <w:rPr>
          <w:rFonts w:hint="eastAsia" w:cs="Times New Roman"/>
          <w:lang w:val="en-US" w:eastAsia="zh-CN"/>
        </w:rPr>
        <w:t>maintenance cost and energy cost</w:t>
      </w:r>
      <w:r>
        <w:rPr>
          <w:rFonts w:cs="Times New Roman"/>
        </w:rPr>
        <w:t>, traditional fuel vehicles have an advantage in terms of maintenance frequency. It can be seen that none of the interviewed fuel vehicle owners need to perform maintenance more than twice a year. Moreover, more than 70% of fuel vehicle owners only perform maintenance on their vehicles once a year. On the other hand, electric vehicle owners are not so lucky. Electric vehicle owners who can maintain their vehicles only once a year account for only about 40% of the total survey sample. About the same proportion of owners need to maintain their vehicles once every six months. Such sample comparison shows that within the scope of the survey, electric vehicles do require more frequent maintenance than traditional fuel vehicles to ensure their use. This increases the time cost of electric vehicle owners.</w:t>
      </w:r>
    </w:p>
    <w:p w14:paraId="612B9B24">
      <w:pPr>
        <w:jc w:val="left"/>
        <w:rPr>
          <w:rFonts w:cs="Times New Roman"/>
        </w:rPr>
      </w:pPr>
    </w:p>
    <w:p w14:paraId="76B31B9D">
      <w:pPr>
        <w:jc w:val="left"/>
        <w:rPr>
          <w:rFonts w:cs="Times New Roman"/>
        </w:rPr>
      </w:pPr>
      <w:r>
        <w:rPr>
          <w:rFonts w:cs="Times New Roman"/>
        </w:rPr>
        <w:t>From the comparison of the above three data, it can be seen that the use cost of electric vehicles does not have an absolute overwhelming advantage over traditional fuel vehicles. Although it is cheaper to use electric vehicles, electric vehicles also require more frequent maintenance, which increases the time cost of using electric vehicles. From this perspective, electric vehicles are more economical to use for urban office workers with a more regular and stable life. However, for groups with more diversified travel needs, such as freelancers and sales staff, the advantages of electric vehicles are not so obvious. However, the unreliability of electric vehicles may also be due to the lack of maturity of the industrial chain compared to traditional fuel vehicles that have a history of hundreds of years. Therefore, if this higher maintenance demand does not come from the design characteristics of electric vehicles themselves, electric vehicles may catch up with traditional fuel vehicles in this field in the future. In that case, the advantage of electric vehicles in terms of use cost over traditional fuel vehicles will be more obvious. On the other hand, it is difficult for traditional fuel vehicles to make great progress in fuel costs and other aspects. After all, the development history of traditional vehicles for hundreds of years has improved the efficiency of on-board internal combustion engines to a very high level.</w:t>
      </w:r>
    </w:p>
    <w:p w14:paraId="661E2F37">
      <w:pPr>
        <w:jc w:val="left"/>
        <w:rPr>
          <w:rFonts w:cs="Times New Roman"/>
        </w:rPr>
      </w:pPr>
    </w:p>
    <w:p w14:paraId="5B93F4C5">
      <w:pPr>
        <w:jc w:val="left"/>
        <w:outlineLvl w:val="3"/>
        <w:rPr>
          <w:rFonts w:cs="Times New Roman"/>
        </w:rPr>
      </w:pPr>
      <w:r>
        <w:rPr>
          <w:rFonts w:hint="eastAsia" w:cs="Times New Roman"/>
        </w:rPr>
        <w:t xml:space="preserve">Figure 6: Insurance Cost </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14:paraId="194C99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56220833">
            <w:pPr>
              <w:jc w:val="left"/>
              <w:rPr>
                <w:rFonts w:cs="Times New Roman"/>
              </w:rPr>
            </w:pPr>
          </w:p>
        </w:tc>
        <w:tc>
          <w:tcPr>
            <w:tcW w:w="2841" w:type="dxa"/>
          </w:tcPr>
          <w:p w14:paraId="72A1762C">
            <w:pPr>
              <w:jc w:val="left"/>
              <w:rPr>
                <w:rFonts w:cs="Times New Roman"/>
              </w:rPr>
            </w:pPr>
            <w:r>
              <w:rPr>
                <w:rFonts w:hint="eastAsia" w:cs="Times New Roman"/>
              </w:rPr>
              <w:t>Electric cars</w:t>
            </w:r>
          </w:p>
        </w:tc>
        <w:tc>
          <w:tcPr>
            <w:tcW w:w="2841" w:type="dxa"/>
          </w:tcPr>
          <w:p w14:paraId="373F7A89">
            <w:pPr>
              <w:jc w:val="left"/>
              <w:rPr>
                <w:rFonts w:cs="Times New Roman"/>
              </w:rPr>
            </w:pPr>
            <w:r>
              <w:rPr>
                <w:rFonts w:hint="eastAsia" w:cs="Times New Roman"/>
              </w:rPr>
              <w:t>Traditional powered cars</w:t>
            </w:r>
          </w:p>
        </w:tc>
      </w:tr>
      <w:tr w14:paraId="10539F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2AB0A618">
            <w:pPr>
              <w:jc w:val="left"/>
              <w:rPr>
                <w:rFonts w:cs="Times New Roman"/>
              </w:rPr>
            </w:pPr>
            <w:r>
              <w:rPr>
                <w:rFonts w:hint="eastAsia" w:cs="Times New Roman"/>
              </w:rPr>
              <w:t>&lt;2000RMB</w:t>
            </w:r>
          </w:p>
        </w:tc>
        <w:tc>
          <w:tcPr>
            <w:tcW w:w="2841" w:type="dxa"/>
          </w:tcPr>
          <w:p w14:paraId="55E0A030">
            <w:pPr>
              <w:jc w:val="left"/>
              <w:rPr>
                <w:rFonts w:cs="Times New Roman"/>
              </w:rPr>
            </w:pPr>
            <w:r>
              <w:rPr>
                <w:rFonts w:hint="eastAsia" w:cs="Times New Roman"/>
              </w:rPr>
              <w:t>4</w:t>
            </w:r>
          </w:p>
        </w:tc>
        <w:tc>
          <w:tcPr>
            <w:tcW w:w="2841" w:type="dxa"/>
          </w:tcPr>
          <w:p w14:paraId="256E377E">
            <w:pPr>
              <w:jc w:val="left"/>
              <w:rPr>
                <w:rFonts w:cs="Times New Roman"/>
              </w:rPr>
            </w:pPr>
            <w:r>
              <w:rPr>
                <w:rFonts w:hint="eastAsia" w:cs="Times New Roman"/>
              </w:rPr>
              <w:t>2</w:t>
            </w:r>
          </w:p>
        </w:tc>
      </w:tr>
      <w:tr w14:paraId="7683A3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73165ECC">
            <w:pPr>
              <w:jc w:val="left"/>
              <w:rPr>
                <w:rFonts w:cs="Times New Roman"/>
              </w:rPr>
            </w:pPr>
            <w:r>
              <w:rPr>
                <w:rFonts w:hint="eastAsia" w:cs="Times New Roman"/>
              </w:rPr>
              <w:t>2001-4000RMB</w:t>
            </w:r>
          </w:p>
        </w:tc>
        <w:tc>
          <w:tcPr>
            <w:tcW w:w="2841" w:type="dxa"/>
          </w:tcPr>
          <w:p w14:paraId="3C3F9D0A">
            <w:pPr>
              <w:jc w:val="left"/>
              <w:rPr>
                <w:rFonts w:cs="Times New Roman"/>
              </w:rPr>
            </w:pPr>
            <w:r>
              <w:rPr>
                <w:rFonts w:hint="eastAsia" w:cs="Times New Roman"/>
              </w:rPr>
              <w:t>10</w:t>
            </w:r>
          </w:p>
        </w:tc>
        <w:tc>
          <w:tcPr>
            <w:tcW w:w="2841" w:type="dxa"/>
          </w:tcPr>
          <w:p w14:paraId="6F7855E2">
            <w:pPr>
              <w:jc w:val="left"/>
              <w:rPr>
                <w:rFonts w:cs="Times New Roman"/>
              </w:rPr>
            </w:pPr>
            <w:r>
              <w:rPr>
                <w:rFonts w:hint="eastAsia" w:cs="Times New Roman"/>
              </w:rPr>
              <w:t>6</w:t>
            </w:r>
          </w:p>
        </w:tc>
      </w:tr>
      <w:tr w14:paraId="11211D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331EB566">
            <w:pPr>
              <w:jc w:val="left"/>
              <w:rPr>
                <w:rFonts w:cs="Times New Roman"/>
              </w:rPr>
            </w:pPr>
            <w:r>
              <w:rPr>
                <w:rFonts w:hint="eastAsia" w:cs="Times New Roman"/>
              </w:rPr>
              <w:t>4001-8000RMB</w:t>
            </w:r>
          </w:p>
        </w:tc>
        <w:tc>
          <w:tcPr>
            <w:tcW w:w="2841" w:type="dxa"/>
          </w:tcPr>
          <w:p w14:paraId="3C21CDB7">
            <w:pPr>
              <w:jc w:val="left"/>
              <w:rPr>
                <w:rFonts w:cs="Times New Roman"/>
              </w:rPr>
            </w:pPr>
            <w:r>
              <w:rPr>
                <w:rFonts w:hint="eastAsia" w:cs="Times New Roman"/>
              </w:rPr>
              <w:t>24</w:t>
            </w:r>
          </w:p>
        </w:tc>
        <w:tc>
          <w:tcPr>
            <w:tcW w:w="2841" w:type="dxa"/>
          </w:tcPr>
          <w:p w14:paraId="77DDC024">
            <w:pPr>
              <w:jc w:val="left"/>
              <w:rPr>
                <w:rFonts w:cs="Times New Roman"/>
              </w:rPr>
            </w:pPr>
            <w:r>
              <w:rPr>
                <w:rFonts w:hint="eastAsia" w:cs="Times New Roman"/>
              </w:rPr>
              <w:t>28</w:t>
            </w:r>
          </w:p>
        </w:tc>
      </w:tr>
      <w:tr w14:paraId="29937C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3E63DB21">
            <w:pPr>
              <w:jc w:val="left"/>
              <w:rPr>
                <w:rFonts w:cs="Times New Roman"/>
              </w:rPr>
            </w:pPr>
            <w:r>
              <w:rPr>
                <w:rFonts w:hint="eastAsia" w:cs="Times New Roman"/>
              </w:rPr>
              <w:t>8001-15000RMB</w:t>
            </w:r>
          </w:p>
        </w:tc>
        <w:tc>
          <w:tcPr>
            <w:tcW w:w="2841" w:type="dxa"/>
          </w:tcPr>
          <w:p w14:paraId="17DA5A4E">
            <w:pPr>
              <w:jc w:val="left"/>
              <w:rPr>
                <w:rFonts w:cs="Times New Roman"/>
              </w:rPr>
            </w:pPr>
            <w:r>
              <w:rPr>
                <w:rFonts w:hint="eastAsia" w:cs="Times New Roman"/>
              </w:rPr>
              <w:t>5</w:t>
            </w:r>
          </w:p>
        </w:tc>
        <w:tc>
          <w:tcPr>
            <w:tcW w:w="2841" w:type="dxa"/>
          </w:tcPr>
          <w:p w14:paraId="2EC72998">
            <w:pPr>
              <w:jc w:val="left"/>
              <w:rPr>
                <w:rFonts w:cs="Times New Roman"/>
              </w:rPr>
            </w:pPr>
            <w:r>
              <w:rPr>
                <w:rFonts w:hint="eastAsia" w:cs="Times New Roman"/>
              </w:rPr>
              <w:t>7</w:t>
            </w:r>
          </w:p>
        </w:tc>
      </w:tr>
      <w:tr w14:paraId="2C84E5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1A0C7053">
            <w:pPr>
              <w:jc w:val="left"/>
              <w:rPr>
                <w:rFonts w:cs="Times New Roman"/>
              </w:rPr>
            </w:pPr>
            <w:r>
              <w:rPr>
                <w:rFonts w:hint="eastAsia" w:cs="Times New Roman"/>
              </w:rPr>
              <w:t>&gt;15000RMB</w:t>
            </w:r>
          </w:p>
        </w:tc>
        <w:tc>
          <w:tcPr>
            <w:tcW w:w="2841" w:type="dxa"/>
          </w:tcPr>
          <w:p w14:paraId="6A3DDE31">
            <w:pPr>
              <w:jc w:val="left"/>
              <w:rPr>
                <w:rFonts w:cs="Times New Roman"/>
              </w:rPr>
            </w:pPr>
            <w:r>
              <w:rPr>
                <w:rFonts w:hint="eastAsia" w:cs="Times New Roman"/>
              </w:rPr>
              <w:t>0</w:t>
            </w:r>
          </w:p>
        </w:tc>
        <w:tc>
          <w:tcPr>
            <w:tcW w:w="2841" w:type="dxa"/>
          </w:tcPr>
          <w:p w14:paraId="6281E6EC">
            <w:pPr>
              <w:jc w:val="left"/>
              <w:rPr>
                <w:rFonts w:cs="Times New Roman"/>
              </w:rPr>
            </w:pPr>
            <w:r>
              <w:rPr>
                <w:rFonts w:hint="eastAsia" w:cs="Times New Roman"/>
              </w:rPr>
              <w:t>1</w:t>
            </w:r>
          </w:p>
        </w:tc>
      </w:tr>
    </w:tbl>
    <w:p w14:paraId="01735257">
      <w:pPr>
        <w:jc w:val="left"/>
        <w:rPr>
          <w:rFonts w:cs="Times New Roman"/>
        </w:rPr>
      </w:pPr>
    </w:p>
    <w:p w14:paraId="402A7B2B">
      <w:pPr>
        <w:jc w:val="left"/>
        <w:rPr>
          <w:rFonts w:cs="Times New Roman"/>
        </w:rPr>
      </w:pPr>
      <w:r>
        <w:rPr>
          <w:rFonts w:hint="eastAsia" w:cs="Times New Roman"/>
        </w:rPr>
        <w:t>On the one hand, China's auto insurance is divided into two parts: compulsory traffic insurance and commercial auto insurance. Compulsory traffic insurance is a type of insurance that the state levies to compensate victims of traffic accidents. It is more like a tax in nature. Therefore, its amount is not determined by the type and price of the vehicle. It is only related to the number of seats in the vehicle and the number of accidents the vehicle has. Commercial insurance is more complicated and has a strong relationship with the insurance coverage chosen by the owner, but not so much with the type and price of the vehicle. This also makes the insurance amount of electric vehicles and traditional power vehicles mostly concentrated in the range of RMB 4,000 to 8,000. Although it seems that the insurance price of electric vehicles is lower, this advantage is not obvious. So it can be seen that although for users who only have daily commuting needs, there are more choices for gasoline vehicles in the same price range, but electric vehicles have obvious cost advantages. It is no wonder that most gasoline vehicle users only give a neutral evaluation of their vehicles, and no one is sure to recommend the vehicle they are currently using to people around them.</w:t>
      </w:r>
    </w:p>
    <w:p w14:paraId="2FC1738E">
      <w:pPr>
        <w:jc w:val="left"/>
        <w:rPr>
          <w:rFonts w:cs="Times New Roman"/>
        </w:rPr>
      </w:pPr>
    </w:p>
    <w:p w14:paraId="38C3F6DE">
      <w:pPr>
        <w:jc w:val="left"/>
        <w:rPr>
          <w:rFonts w:cs="Times New Roman"/>
        </w:rPr>
      </w:pPr>
      <w:r>
        <w:rPr>
          <w:rFonts w:hint="eastAsia" w:cs="Times New Roman"/>
        </w:rPr>
        <w:t xml:space="preserve">Figure 7: </w:t>
      </w:r>
      <w:r>
        <w:rPr>
          <w:rFonts w:cs="Times New Roman"/>
        </w:rPr>
        <w:t>Overall Satisfaction</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14:paraId="264CD0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50E26436">
            <w:pPr>
              <w:jc w:val="left"/>
              <w:rPr>
                <w:rFonts w:cs="Times New Roman"/>
              </w:rPr>
            </w:pPr>
          </w:p>
        </w:tc>
        <w:tc>
          <w:tcPr>
            <w:tcW w:w="2841" w:type="dxa"/>
          </w:tcPr>
          <w:p w14:paraId="182B42FD">
            <w:pPr>
              <w:jc w:val="left"/>
              <w:rPr>
                <w:rFonts w:cs="Times New Roman"/>
              </w:rPr>
            </w:pPr>
            <w:r>
              <w:rPr>
                <w:rFonts w:hint="eastAsia" w:cs="Times New Roman"/>
              </w:rPr>
              <w:t>Electric cars</w:t>
            </w:r>
          </w:p>
        </w:tc>
        <w:tc>
          <w:tcPr>
            <w:tcW w:w="2841" w:type="dxa"/>
          </w:tcPr>
          <w:p w14:paraId="4EB58F71">
            <w:pPr>
              <w:jc w:val="left"/>
              <w:rPr>
                <w:rFonts w:cs="Times New Roman"/>
              </w:rPr>
            </w:pPr>
            <w:r>
              <w:rPr>
                <w:rFonts w:hint="eastAsia" w:cs="Times New Roman"/>
              </w:rPr>
              <w:t>Traditional powered cars</w:t>
            </w:r>
          </w:p>
        </w:tc>
      </w:tr>
      <w:tr w14:paraId="249DDB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6BE1A831">
            <w:pPr>
              <w:rPr>
                <w:rFonts w:cs="Times New Roman"/>
              </w:rPr>
            </w:pPr>
            <w:r>
              <w:rPr>
                <w:rFonts w:cs="Times New Roman"/>
              </w:rPr>
              <w:t>Very satisfied</w:t>
            </w:r>
          </w:p>
        </w:tc>
        <w:tc>
          <w:tcPr>
            <w:tcW w:w="2841" w:type="dxa"/>
          </w:tcPr>
          <w:p w14:paraId="4AFE530A">
            <w:pPr>
              <w:jc w:val="left"/>
              <w:rPr>
                <w:rFonts w:cs="Times New Roman"/>
              </w:rPr>
            </w:pPr>
            <w:r>
              <w:rPr>
                <w:rFonts w:hint="eastAsia" w:cs="Times New Roman"/>
              </w:rPr>
              <w:t>13</w:t>
            </w:r>
          </w:p>
        </w:tc>
        <w:tc>
          <w:tcPr>
            <w:tcW w:w="2841" w:type="dxa"/>
          </w:tcPr>
          <w:p w14:paraId="19C48E90">
            <w:pPr>
              <w:jc w:val="left"/>
              <w:rPr>
                <w:rFonts w:cs="Times New Roman"/>
              </w:rPr>
            </w:pPr>
            <w:r>
              <w:rPr>
                <w:rFonts w:hint="eastAsia" w:cs="Times New Roman"/>
              </w:rPr>
              <w:t>3</w:t>
            </w:r>
          </w:p>
        </w:tc>
      </w:tr>
      <w:tr w14:paraId="3CF6E3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56F38452">
            <w:pPr>
              <w:rPr>
                <w:rFonts w:cs="Times New Roman"/>
              </w:rPr>
            </w:pPr>
            <w:r>
              <w:rPr>
                <w:rFonts w:cs="Times New Roman"/>
              </w:rPr>
              <w:t>Satisfied</w:t>
            </w:r>
          </w:p>
        </w:tc>
        <w:tc>
          <w:tcPr>
            <w:tcW w:w="2841" w:type="dxa"/>
          </w:tcPr>
          <w:p w14:paraId="57282C15">
            <w:pPr>
              <w:jc w:val="left"/>
              <w:rPr>
                <w:rFonts w:cs="Times New Roman"/>
              </w:rPr>
            </w:pPr>
            <w:r>
              <w:rPr>
                <w:rFonts w:hint="eastAsia" w:cs="Times New Roman"/>
              </w:rPr>
              <w:t>11</w:t>
            </w:r>
          </w:p>
        </w:tc>
        <w:tc>
          <w:tcPr>
            <w:tcW w:w="2841" w:type="dxa"/>
          </w:tcPr>
          <w:p w14:paraId="3B3009DB">
            <w:pPr>
              <w:jc w:val="left"/>
              <w:rPr>
                <w:rFonts w:cs="Times New Roman"/>
              </w:rPr>
            </w:pPr>
            <w:r>
              <w:rPr>
                <w:rFonts w:hint="eastAsia" w:cs="Times New Roman"/>
              </w:rPr>
              <w:t>8</w:t>
            </w:r>
          </w:p>
        </w:tc>
      </w:tr>
      <w:tr w14:paraId="15B611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66800119">
            <w:pPr>
              <w:rPr>
                <w:rFonts w:cs="Times New Roman"/>
              </w:rPr>
            </w:pPr>
            <w:r>
              <w:rPr>
                <w:rFonts w:cs="Times New Roman"/>
              </w:rPr>
              <w:t>Neutral</w:t>
            </w:r>
          </w:p>
        </w:tc>
        <w:tc>
          <w:tcPr>
            <w:tcW w:w="2841" w:type="dxa"/>
          </w:tcPr>
          <w:p w14:paraId="57B70BE0">
            <w:pPr>
              <w:jc w:val="left"/>
              <w:rPr>
                <w:rFonts w:cs="Times New Roman"/>
              </w:rPr>
            </w:pPr>
            <w:r>
              <w:rPr>
                <w:rFonts w:hint="eastAsia" w:cs="Times New Roman"/>
              </w:rPr>
              <w:t>19</w:t>
            </w:r>
          </w:p>
        </w:tc>
        <w:tc>
          <w:tcPr>
            <w:tcW w:w="2841" w:type="dxa"/>
          </w:tcPr>
          <w:p w14:paraId="244F6A84">
            <w:pPr>
              <w:jc w:val="left"/>
              <w:rPr>
                <w:rFonts w:cs="Times New Roman"/>
              </w:rPr>
            </w:pPr>
            <w:r>
              <w:rPr>
                <w:rFonts w:hint="eastAsia" w:cs="Times New Roman"/>
              </w:rPr>
              <w:t>31</w:t>
            </w:r>
          </w:p>
        </w:tc>
      </w:tr>
      <w:tr w14:paraId="16DCB9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04BC34A0">
            <w:pPr>
              <w:rPr>
                <w:rFonts w:cs="Times New Roman"/>
              </w:rPr>
            </w:pPr>
            <w:r>
              <w:rPr>
                <w:rFonts w:cs="Times New Roman"/>
              </w:rPr>
              <w:t>Dissatisfied</w:t>
            </w:r>
          </w:p>
        </w:tc>
        <w:tc>
          <w:tcPr>
            <w:tcW w:w="2841" w:type="dxa"/>
          </w:tcPr>
          <w:p w14:paraId="433B877C">
            <w:pPr>
              <w:jc w:val="left"/>
              <w:rPr>
                <w:rFonts w:cs="Times New Roman"/>
              </w:rPr>
            </w:pPr>
            <w:r>
              <w:rPr>
                <w:rFonts w:hint="eastAsia" w:cs="Times New Roman"/>
              </w:rPr>
              <w:t>0</w:t>
            </w:r>
          </w:p>
        </w:tc>
        <w:tc>
          <w:tcPr>
            <w:tcW w:w="2841" w:type="dxa"/>
          </w:tcPr>
          <w:p w14:paraId="5DC98413">
            <w:pPr>
              <w:jc w:val="left"/>
              <w:rPr>
                <w:rFonts w:cs="Times New Roman"/>
              </w:rPr>
            </w:pPr>
            <w:r>
              <w:rPr>
                <w:rFonts w:hint="eastAsia" w:cs="Times New Roman"/>
              </w:rPr>
              <w:t>0</w:t>
            </w:r>
          </w:p>
        </w:tc>
      </w:tr>
      <w:tr w14:paraId="18020B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2CC7183C">
            <w:pPr>
              <w:rPr>
                <w:rFonts w:cs="Times New Roman"/>
              </w:rPr>
            </w:pPr>
            <w:r>
              <w:rPr>
                <w:rFonts w:cs="Times New Roman"/>
              </w:rPr>
              <w:t>Very dissatisfied</w:t>
            </w:r>
          </w:p>
        </w:tc>
        <w:tc>
          <w:tcPr>
            <w:tcW w:w="2841" w:type="dxa"/>
          </w:tcPr>
          <w:p w14:paraId="6CF9909C">
            <w:pPr>
              <w:jc w:val="left"/>
              <w:rPr>
                <w:rFonts w:cs="Times New Roman"/>
              </w:rPr>
            </w:pPr>
            <w:r>
              <w:rPr>
                <w:rFonts w:hint="eastAsia" w:cs="Times New Roman"/>
              </w:rPr>
              <w:t>0</w:t>
            </w:r>
          </w:p>
        </w:tc>
        <w:tc>
          <w:tcPr>
            <w:tcW w:w="2841" w:type="dxa"/>
          </w:tcPr>
          <w:p w14:paraId="3D2D9035">
            <w:pPr>
              <w:jc w:val="left"/>
              <w:rPr>
                <w:rFonts w:cs="Times New Roman"/>
              </w:rPr>
            </w:pPr>
            <w:r>
              <w:rPr>
                <w:rFonts w:hint="eastAsia" w:cs="Times New Roman"/>
              </w:rPr>
              <w:t>0</w:t>
            </w:r>
          </w:p>
        </w:tc>
      </w:tr>
      <w:tr w14:paraId="7E189F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14:paraId="78F35B83">
            <w:pPr>
              <w:rPr>
                <w:rFonts w:cs="Times New Roman"/>
              </w:rPr>
            </w:pPr>
          </w:p>
        </w:tc>
        <w:tc>
          <w:tcPr>
            <w:tcW w:w="2841" w:type="dxa"/>
          </w:tcPr>
          <w:p w14:paraId="534A387A">
            <w:pPr>
              <w:jc w:val="left"/>
              <w:rPr>
                <w:rFonts w:hint="eastAsia" w:cs="Times New Roman"/>
              </w:rPr>
            </w:pPr>
          </w:p>
        </w:tc>
        <w:tc>
          <w:tcPr>
            <w:tcW w:w="2841" w:type="dxa"/>
          </w:tcPr>
          <w:p w14:paraId="2AF7930C">
            <w:pPr>
              <w:jc w:val="left"/>
              <w:rPr>
                <w:rFonts w:hint="eastAsia" w:cs="Times New Roman"/>
              </w:rPr>
            </w:pPr>
          </w:p>
        </w:tc>
      </w:tr>
    </w:tbl>
    <w:p w14:paraId="2180544B">
      <w:pPr>
        <w:jc w:val="left"/>
        <w:rPr>
          <w:rFonts w:hint="eastAsia" w:cs="Times New Roman" w:eastAsiaTheme="minorEastAsia"/>
          <w:lang w:eastAsia="zh-CN"/>
        </w:rPr>
      </w:pPr>
      <w:r>
        <w:rPr>
          <w:rFonts w:hint="eastAsia" w:cs="Times New Roman" w:eastAsiaTheme="minorEastAsia"/>
          <w:lang w:eastAsia="zh-CN"/>
        </w:rPr>
        <w:drawing>
          <wp:inline distT="0" distB="0" distL="114300" distR="114300">
            <wp:extent cx="5256530" cy="3178175"/>
            <wp:effectExtent l="4445" t="4445" r="12065" b="17780"/>
            <wp:docPr id="9" name="图表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7A64F2D">
      <w:pPr>
        <w:jc w:val="left"/>
        <w:rPr>
          <w:rFonts w:hint="eastAsia" w:cs="Times New Roman" w:eastAsiaTheme="minorEastAsia"/>
          <w:lang w:eastAsia="zh-CN"/>
        </w:rPr>
      </w:pPr>
      <w:r>
        <w:rPr>
          <w:sz w:val="24"/>
        </w:rPr>
        <mc:AlternateContent>
          <mc:Choice Requires="wps">
            <w:drawing>
              <wp:anchor distT="0" distB="0" distL="114300" distR="114300" simplePos="0" relativeHeight="251661312" behindDoc="0" locked="0" layoutInCell="1" allowOverlap="1">
                <wp:simplePos x="0" y="0"/>
                <wp:positionH relativeFrom="column">
                  <wp:posOffset>1847215</wp:posOffset>
                </wp:positionH>
                <wp:positionV relativeFrom="paragraph">
                  <wp:posOffset>111760</wp:posOffset>
                </wp:positionV>
                <wp:extent cx="167640" cy="152400"/>
                <wp:effectExtent l="6350" t="6350" r="8890" b="8890"/>
                <wp:wrapNone/>
                <wp:docPr id="15" name="矩形 15"/>
                <wp:cNvGraphicFramePr/>
                <a:graphic xmlns:a="http://schemas.openxmlformats.org/drawingml/2006/main">
                  <a:graphicData uri="http://schemas.microsoft.com/office/word/2010/wordprocessingShape">
                    <wps:wsp>
                      <wps:cNvSpPr/>
                      <wps:spPr>
                        <a:xfrm>
                          <a:off x="3858895" y="6502400"/>
                          <a:ext cx="167640" cy="152400"/>
                        </a:xfrm>
                        <a:prstGeom prst="rect">
                          <a:avLst/>
                        </a:prstGeom>
                        <a:solidFill>
                          <a:srgbClr val="ED7D31"/>
                        </a:solidFill>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45.45pt;margin-top:8.8pt;height:12pt;width:13.2pt;z-index:251661312;v-text-anchor:middle;mso-width-relative:page;mso-height-relative:page;" fillcolor="#ED7D31" filled="t" stroked="t" coordsize="21600,21600" o:gfxdata="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">
                <v:fill on="t" focussize="0,0"/>
                <v:stroke weight="1pt" color="#2F5597 [2404]" miterlimit="8" joinstyle="miter"/>
                <v:imagedata o:title=""/>
                <o:lock v:ext="edit" aspectratio="f"/>
              </v:rect>
            </w:pict>
          </mc:Fallback>
        </mc:AlternateContent>
      </w:r>
      <w:r>
        <w:rPr>
          <w:sz w:val="24"/>
        </w:rPr>
        <mc:AlternateContent>
          <mc:Choice Requires="wps">
            <w:drawing>
              <wp:anchor distT="0" distB="0" distL="114300" distR="114300" simplePos="0" relativeHeight="251660288" behindDoc="0" locked="0" layoutInCell="1" allowOverlap="1">
                <wp:simplePos x="0" y="0"/>
                <wp:positionH relativeFrom="column">
                  <wp:posOffset>1275715</wp:posOffset>
                </wp:positionH>
                <wp:positionV relativeFrom="paragraph">
                  <wp:posOffset>104140</wp:posOffset>
                </wp:positionV>
                <wp:extent cx="144780" cy="152400"/>
                <wp:effectExtent l="6350" t="6350" r="16510" b="8890"/>
                <wp:wrapNone/>
                <wp:docPr id="14" name="矩形 14"/>
                <wp:cNvGraphicFramePr/>
                <a:graphic xmlns:a="http://schemas.openxmlformats.org/drawingml/2006/main">
                  <a:graphicData uri="http://schemas.microsoft.com/office/word/2010/wordprocessingShape">
                    <wps:wsp>
                      <wps:cNvSpPr/>
                      <wps:spPr>
                        <a:xfrm>
                          <a:off x="3317875" y="6502400"/>
                          <a:ext cx="144780" cy="152400"/>
                        </a:xfrm>
                        <a:prstGeom prst="rect">
                          <a:avLst/>
                        </a:prstGeom>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00.45pt;margin-top:8.2pt;height:12pt;width:11.4pt;z-index:251660288;v-text-anchor:middle;mso-width-relative:page;mso-height-relative:page;" fillcolor="#4472C4 [3204]" filled="t" stroked="t" coordsize="21600,21600" o:gfxdata="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">
                <v:fill on="t" focussize="0,0"/>
                <v:stroke weight="1pt" color="#2F5597 [2404]" miterlimit="8" joinstyle="miter"/>
                <v:imagedata o:title=""/>
                <o:lock v:ext="edit" aspectratio="f"/>
              </v:rect>
            </w:pict>
          </mc:Fallback>
        </mc:AlternateContent>
      </w:r>
      <w:r>
        <w:rPr>
          <w:sz w:val="24"/>
        </w:rPr>
        <mc:AlternateContent>
          <mc:Choice Requires="wps">
            <w:drawing>
              <wp:anchor distT="0" distB="0" distL="114300" distR="114300" simplePos="0" relativeHeight="251659264" behindDoc="0" locked="0" layoutInCell="1" allowOverlap="1">
                <wp:simplePos x="0" y="0"/>
                <wp:positionH relativeFrom="column">
                  <wp:posOffset>1223010</wp:posOffset>
                </wp:positionH>
                <wp:positionV relativeFrom="paragraph">
                  <wp:posOffset>5080</wp:posOffset>
                </wp:positionV>
                <wp:extent cx="2445385" cy="380365"/>
                <wp:effectExtent l="4445" t="4445" r="19050" b="11430"/>
                <wp:wrapNone/>
                <wp:docPr id="12" name="文本框 12"/>
                <wp:cNvGraphicFramePr/>
                <a:graphic xmlns:a="http://schemas.openxmlformats.org/drawingml/2006/main">
                  <a:graphicData uri="http://schemas.microsoft.com/office/word/2010/wordprocessingShape">
                    <wps:wsp>
                      <wps:cNvSpPr txBox="1"/>
                      <wps:spPr>
                        <a:xfrm>
                          <a:off x="3348355" y="6395720"/>
                          <a:ext cx="2445385" cy="38036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14:paraId="1D2F6014">
                            <w:pPr>
                              <w:ind w:firstLine="240" w:firstLineChars="100"/>
                              <w:rPr>
                                <w:rFonts w:hint="default" w:eastAsiaTheme="minorEastAsia"/>
                                <w:lang w:val="en-US" w:eastAsia="zh-CN"/>
                              </w:rPr>
                            </w:pPr>
                            <w:r>
                              <w:rPr>
                                <w:rFonts w:hint="eastAsia"/>
                                <w:lang w:val="en-US" w:eastAsia="zh-CN"/>
                              </w:rPr>
                              <w:t>EV     Traditional powered cars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6.3pt;margin-top:0.4pt;height:29.95pt;width:192.55pt;z-index:251659264;mso-width-relative:page;mso-height-relative:page;" fillcolor="#FFFFFF [3201]" filled="t" stroked="t" coordsize="21600,21600" o:gfxdata="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">
                <v:fill on="t" focussize="0,0"/>
                <v:stroke weight="0.5pt" color="#000000 [3204]" joinstyle="round"/>
                <v:imagedata o:title=""/>
                <o:lock v:ext="edit" aspectratio="f"/>
                <v:textbox>
                  <w:txbxContent>
                    <w:p w14:paraId="1D2F6014">
                      <w:pPr>
                        <w:ind w:firstLine="240" w:firstLineChars="100"/>
                        <w:rPr>
                          <w:rFonts w:hint="default" w:eastAsiaTheme="minorEastAsia"/>
                          <w:lang w:val="en-US" w:eastAsia="zh-CN"/>
                        </w:rPr>
                      </w:pPr>
                      <w:r>
                        <w:rPr>
                          <w:rFonts w:hint="eastAsia"/>
                          <w:lang w:val="en-US" w:eastAsia="zh-CN"/>
                        </w:rPr>
                        <w:t>EV     Traditional powered cars</w:t>
                      </w:r>
                    </w:p>
                  </w:txbxContent>
                </v:textbox>
              </v:shape>
            </w:pict>
          </mc:Fallback>
        </mc:AlternateContent>
      </w:r>
    </w:p>
    <w:p w14:paraId="532E8175">
      <w:pPr>
        <w:pStyle w:val="3"/>
      </w:pPr>
      <w:bookmarkStart w:id="89" w:name="_Toc24946"/>
      <w:r>
        <w:rPr>
          <w:rFonts w:hint="eastAsia"/>
        </w:rPr>
        <w:t>4.</w:t>
      </w:r>
      <w:r>
        <w:rPr>
          <w:rFonts w:hint="eastAsia"/>
          <w:lang w:val="en-US" w:eastAsia="zh-CN"/>
        </w:rPr>
        <w:t xml:space="preserve">2 </w:t>
      </w:r>
      <w:r>
        <w:rPr>
          <w:rFonts w:hint="eastAsia"/>
        </w:rPr>
        <w:t>Financial report Analysis</w:t>
      </w:r>
      <w:bookmarkEnd w:id="89"/>
    </w:p>
    <w:p w14:paraId="47B11DC5">
      <w:pPr>
        <w:jc w:val="left"/>
        <w:rPr>
          <w:rFonts w:cs="Times New Roman"/>
        </w:rPr>
      </w:pPr>
    </w:p>
    <w:p w14:paraId="746301C2">
      <w:pPr>
        <w:jc w:val="left"/>
        <w:rPr>
          <w:rFonts w:cs="Times New Roman"/>
        </w:rPr>
      </w:pPr>
      <w:r>
        <w:rPr>
          <w:rFonts w:cs="Times New Roman"/>
        </w:rPr>
        <w:t xml:space="preserve">On the other hand, the study of Ford and BYD's financial reports requires a discussion data </w:t>
      </w:r>
      <w:r>
        <w:rPr>
          <w:rFonts w:hint="eastAsia" w:cs="Times New Roman"/>
        </w:rPr>
        <w:t>over a longer period of time</w:t>
      </w:r>
      <w:r>
        <w:rPr>
          <w:rFonts w:cs="Times New Roman"/>
        </w:rPr>
        <w:t>. If the analysis is limited to one or two years of financial report data, a few abnormal data will mislead the entire analysis. This is particularly important in the post-epidemic era, because after COVID-19, economic crises, large-scale fiscal stimulus, inflation and subsequent fiscal tightening in various countries followed in the years following the COVID-19. This has caused the financial reports of many companies to experience extremely rare and large fluctuations in the past few years. Automobile manufacturers are often companies that encounter such fluctuations. Therefore, they will choose to analyze and calculate the financial reports of a ten-year cycle to ensure that the conclusions drawn are sufficiently convincing.</w:t>
      </w:r>
    </w:p>
    <w:p w14:paraId="4057480F">
      <w:pPr>
        <w:jc w:val="left"/>
        <w:rPr>
          <w:rFonts w:cs="Times New Roman"/>
        </w:rPr>
      </w:pPr>
    </w:p>
    <w:p w14:paraId="3A2958E5">
      <w:pPr>
        <w:pStyle w:val="4"/>
        <w:numPr>
          <w:ilvl w:val="1"/>
          <w:numId w:val="0"/>
        </w:numPr>
        <w:rPr>
          <w:rFonts w:cs="Times New Roman"/>
        </w:rPr>
      </w:pPr>
      <w:bookmarkStart w:id="90" w:name="_Toc4584"/>
      <w:r>
        <w:rPr>
          <w:rFonts w:hint="eastAsia" w:cs="Times New Roman"/>
        </w:rPr>
        <w:t>4</w:t>
      </w:r>
      <w:r>
        <w:rPr>
          <w:rFonts w:cs="Times New Roman"/>
        </w:rPr>
        <w:t>.</w:t>
      </w:r>
      <w:r>
        <w:rPr>
          <w:rFonts w:hint="eastAsia" w:cs="Times New Roman"/>
          <w:lang w:val="en-US" w:eastAsia="zh-CN"/>
        </w:rPr>
        <w:t>2</w:t>
      </w:r>
      <w:r>
        <w:rPr>
          <w:rFonts w:cs="Times New Roman"/>
        </w:rPr>
        <w:t>.</w:t>
      </w:r>
      <w:r>
        <w:rPr>
          <w:rFonts w:hint="eastAsia" w:cs="Times New Roman"/>
        </w:rPr>
        <w:t>1</w:t>
      </w:r>
      <w:r>
        <w:rPr>
          <w:rFonts w:cs="Times New Roman"/>
        </w:rPr>
        <w:t xml:space="preserve"> Comparative Analysis of BYD and Ford's Financial Reports</w:t>
      </w:r>
      <w:bookmarkEnd w:id="90"/>
    </w:p>
    <w:p w14:paraId="5F44188A">
      <w:pPr>
        <w:rPr>
          <w:rFonts w:hint="default" w:cs="Times New Roman" w:eastAsiaTheme="minorEastAsia"/>
          <w:b/>
          <w:bCs/>
          <w:lang w:val="en-US" w:eastAsia="zh-CN"/>
        </w:rPr>
      </w:pPr>
      <w:r>
        <w:rPr>
          <w:rFonts w:hint="eastAsia" w:cs="Times New Roman"/>
          <w:b/>
          <w:bCs/>
          <w:lang w:val="en-US" w:eastAsia="zh-CN"/>
        </w:rPr>
        <w:t>Profitability Ratio</w:t>
      </w:r>
    </w:p>
    <w:p w14:paraId="526E4DAF">
      <w:pPr>
        <w:rPr>
          <w:rFonts w:cs="Times New Roman"/>
        </w:rPr>
      </w:pPr>
      <w:r>
        <w:rPr>
          <w:rFonts w:hint="eastAsia" w:cs="Times New Roman"/>
        </w:rPr>
        <w:t xml:space="preserve">Figure </w:t>
      </w:r>
      <w:r>
        <w:rPr>
          <w:rFonts w:hint="eastAsia" w:cs="Times New Roman"/>
          <w:lang w:val="en-US" w:eastAsia="zh-CN"/>
        </w:rPr>
        <w:t>8</w:t>
      </w:r>
      <w:r>
        <w:rPr>
          <w:rFonts w:hint="eastAsia" w:cs="Times New Roman"/>
        </w:rPr>
        <w:t>: Gross profit rate</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56"/>
        <w:gridCol w:w="785"/>
        <w:gridCol w:w="747"/>
        <w:gridCol w:w="785"/>
        <w:gridCol w:w="777"/>
        <w:gridCol w:w="785"/>
        <w:gridCol w:w="747"/>
        <w:gridCol w:w="785"/>
        <w:gridCol w:w="785"/>
        <w:gridCol w:w="785"/>
        <w:gridCol w:w="785"/>
      </w:tblGrid>
      <w:tr w14:paraId="2137A6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6CA70D76">
            <w:pPr>
              <w:rPr>
                <w:rFonts w:cs="Times New Roman"/>
              </w:rPr>
            </w:pPr>
          </w:p>
        </w:tc>
        <w:tc>
          <w:tcPr>
            <w:tcW w:w="774" w:type="dxa"/>
          </w:tcPr>
          <w:p w14:paraId="5FBC4E5E">
            <w:pPr>
              <w:rPr>
                <w:rFonts w:cs="Times New Roman"/>
              </w:rPr>
            </w:pPr>
            <w:r>
              <w:rPr>
                <w:rFonts w:hint="eastAsia" w:cs="Times New Roman"/>
              </w:rPr>
              <w:t>2023</w:t>
            </w:r>
          </w:p>
        </w:tc>
        <w:tc>
          <w:tcPr>
            <w:tcW w:w="774" w:type="dxa"/>
          </w:tcPr>
          <w:p w14:paraId="56175892">
            <w:pPr>
              <w:rPr>
                <w:rFonts w:cs="Times New Roman"/>
              </w:rPr>
            </w:pPr>
            <w:r>
              <w:rPr>
                <w:rFonts w:hint="eastAsia" w:cs="Times New Roman"/>
              </w:rPr>
              <w:t>2022</w:t>
            </w:r>
          </w:p>
        </w:tc>
        <w:tc>
          <w:tcPr>
            <w:tcW w:w="775" w:type="dxa"/>
          </w:tcPr>
          <w:p w14:paraId="58ADAC82">
            <w:pPr>
              <w:rPr>
                <w:rFonts w:cs="Times New Roman"/>
              </w:rPr>
            </w:pPr>
            <w:r>
              <w:rPr>
                <w:rFonts w:hint="eastAsia" w:cs="Times New Roman"/>
              </w:rPr>
              <w:t>2021</w:t>
            </w:r>
          </w:p>
        </w:tc>
        <w:tc>
          <w:tcPr>
            <w:tcW w:w="775" w:type="dxa"/>
          </w:tcPr>
          <w:p w14:paraId="19BFDE68">
            <w:pPr>
              <w:rPr>
                <w:rFonts w:cs="Times New Roman"/>
              </w:rPr>
            </w:pPr>
            <w:r>
              <w:rPr>
                <w:rFonts w:hint="eastAsia" w:cs="Times New Roman"/>
              </w:rPr>
              <w:t>2020</w:t>
            </w:r>
          </w:p>
        </w:tc>
        <w:tc>
          <w:tcPr>
            <w:tcW w:w="775" w:type="dxa"/>
          </w:tcPr>
          <w:p w14:paraId="70C3F3D3">
            <w:pPr>
              <w:rPr>
                <w:rFonts w:cs="Times New Roman"/>
              </w:rPr>
            </w:pPr>
            <w:r>
              <w:rPr>
                <w:rFonts w:hint="eastAsia" w:cs="Times New Roman"/>
              </w:rPr>
              <w:t>2019</w:t>
            </w:r>
          </w:p>
        </w:tc>
        <w:tc>
          <w:tcPr>
            <w:tcW w:w="775" w:type="dxa"/>
          </w:tcPr>
          <w:p w14:paraId="286DE0C3">
            <w:pPr>
              <w:rPr>
                <w:rFonts w:cs="Times New Roman"/>
              </w:rPr>
            </w:pPr>
            <w:r>
              <w:rPr>
                <w:rFonts w:hint="eastAsia" w:cs="Times New Roman"/>
              </w:rPr>
              <w:t>2018</w:t>
            </w:r>
          </w:p>
        </w:tc>
        <w:tc>
          <w:tcPr>
            <w:tcW w:w="775" w:type="dxa"/>
          </w:tcPr>
          <w:p w14:paraId="1A545D1A">
            <w:pPr>
              <w:rPr>
                <w:rFonts w:cs="Times New Roman"/>
              </w:rPr>
            </w:pPr>
            <w:r>
              <w:rPr>
                <w:rFonts w:hint="eastAsia" w:cs="Times New Roman"/>
              </w:rPr>
              <w:t>2017</w:t>
            </w:r>
          </w:p>
        </w:tc>
        <w:tc>
          <w:tcPr>
            <w:tcW w:w="775" w:type="dxa"/>
          </w:tcPr>
          <w:p w14:paraId="31847421">
            <w:pPr>
              <w:rPr>
                <w:rFonts w:cs="Times New Roman"/>
              </w:rPr>
            </w:pPr>
            <w:r>
              <w:rPr>
                <w:rFonts w:hint="eastAsia" w:cs="Times New Roman"/>
              </w:rPr>
              <w:t>2016</w:t>
            </w:r>
          </w:p>
        </w:tc>
        <w:tc>
          <w:tcPr>
            <w:tcW w:w="775" w:type="dxa"/>
          </w:tcPr>
          <w:p w14:paraId="4167ECFB">
            <w:pPr>
              <w:rPr>
                <w:rFonts w:cs="Times New Roman"/>
              </w:rPr>
            </w:pPr>
            <w:r>
              <w:rPr>
                <w:rFonts w:hint="eastAsia" w:cs="Times New Roman"/>
              </w:rPr>
              <w:t>2015</w:t>
            </w:r>
          </w:p>
        </w:tc>
        <w:tc>
          <w:tcPr>
            <w:tcW w:w="775" w:type="dxa"/>
          </w:tcPr>
          <w:p w14:paraId="4AFB2E9A">
            <w:pPr>
              <w:rPr>
                <w:rFonts w:cs="Times New Roman"/>
              </w:rPr>
            </w:pPr>
            <w:r>
              <w:rPr>
                <w:rFonts w:hint="eastAsia" w:cs="Times New Roman"/>
              </w:rPr>
              <w:t>2014</w:t>
            </w:r>
          </w:p>
        </w:tc>
      </w:tr>
      <w:tr w14:paraId="4FD444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6EFAA308">
            <w:pPr>
              <w:rPr>
                <w:rFonts w:cs="Times New Roman"/>
              </w:rPr>
            </w:pPr>
            <w:r>
              <w:rPr>
                <w:rFonts w:hint="eastAsia" w:cs="Times New Roman"/>
              </w:rPr>
              <w:t>BYD</w:t>
            </w:r>
          </w:p>
        </w:tc>
        <w:tc>
          <w:tcPr>
            <w:tcW w:w="774" w:type="dxa"/>
          </w:tcPr>
          <w:p w14:paraId="204D6EC2">
            <w:pPr>
              <w:rPr>
                <w:rFonts w:cs="Times New Roman"/>
                <w:sz w:val="22"/>
                <w:szCs w:val="21"/>
              </w:rPr>
            </w:pPr>
            <w:r>
              <w:rPr>
                <w:rFonts w:hint="eastAsia" w:cs="Times New Roman"/>
                <w:sz w:val="22"/>
                <w:szCs w:val="21"/>
              </w:rPr>
              <w:t>20</w:t>
            </w:r>
            <w:r>
              <w:rPr>
                <w:rFonts w:cs="Times New Roman"/>
                <w:sz w:val="22"/>
                <w:szCs w:val="21"/>
              </w:rPr>
              <w:t>%</w:t>
            </w:r>
          </w:p>
        </w:tc>
        <w:tc>
          <w:tcPr>
            <w:tcW w:w="774" w:type="dxa"/>
          </w:tcPr>
          <w:p w14:paraId="559EBDE6">
            <w:pPr>
              <w:rPr>
                <w:rFonts w:cs="Times New Roman"/>
                <w:sz w:val="22"/>
                <w:szCs w:val="21"/>
              </w:rPr>
            </w:pPr>
            <w:r>
              <w:rPr>
                <w:rFonts w:hint="eastAsia" w:cs="Times New Roman"/>
                <w:sz w:val="22"/>
                <w:szCs w:val="21"/>
              </w:rPr>
              <w:t>17</w:t>
            </w:r>
            <w:r>
              <w:rPr>
                <w:rFonts w:cs="Times New Roman"/>
                <w:sz w:val="22"/>
                <w:szCs w:val="21"/>
              </w:rPr>
              <w:t>%</w:t>
            </w:r>
          </w:p>
        </w:tc>
        <w:tc>
          <w:tcPr>
            <w:tcW w:w="775" w:type="dxa"/>
          </w:tcPr>
          <w:p w14:paraId="45E80DF3">
            <w:pPr>
              <w:rPr>
                <w:rFonts w:cs="Times New Roman"/>
                <w:sz w:val="22"/>
                <w:szCs w:val="21"/>
              </w:rPr>
            </w:pPr>
            <w:r>
              <w:rPr>
                <w:rFonts w:hint="eastAsia" w:cs="Times New Roman"/>
                <w:sz w:val="22"/>
                <w:szCs w:val="21"/>
              </w:rPr>
              <w:t>13</w:t>
            </w:r>
            <w:r>
              <w:rPr>
                <w:rFonts w:cs="Times New Roman"/>
                <w:sz w:val="22"/>
                <w:szCs w:val="21"/>
              </w:rPr>
              <w:t>%</w:t>
            </w:r>
          </w:p>
        </w:tc>
        <w:tc>
          <w:tcPr>
            <w:tcW w:w="775" w:type="dxa"/>
          </w:tcPr>
          <w:p w14:paraId="726C049B">
            <w:pPr>
              <w:rPr>
                <w:rFonts w:cs="Times New Roman"/>
                <w:sz w:val="22"/>
                <w:szCs w:val="21"/>
              </w:rPr>
            </w:pPr>
            <w:r>
              <w:rPr>
                <w:rFonts w:hint="eastAsia" w:cs="Times New Roman"/>
                <w:sz w:val="22"/>
                <w:szCs w:val="21"/>
              </w:rPr>
              <w:t>19</w:t>
            </w:r>
            <w:r>
              <w:rPr>
                <w:rFonts w:cs="Times New Roman"/>
                <w:sz w:val="22"/>
                <w:szCs w:val="21"/>
              </w:rPr>
              <w:t>%</w:t>
            </w:r>
          </w:p>
        </w:tc>
        <w:tc>
          <w:tcPr>
            <w:tcW w:w="775" w:type="dxa"/>
          </w:tcPr>
          <w:p w14:paraId="34F9ACA4">
            <w:pPr>
              <w:rPr>
                <w:rFonts w:cs="Times New Roman"/>
                <w:sz w:val="22"/>
                <w:szCs w:val="21"/>
              </w:rPr>
            </w:pPr>
            <w:r>
              <w:rPr>
                <w:rFonts w:hint="eastAsia" w:cs="Times New Roman"/>
                <w:sz w:val="22"/>
                <w:szCs w:val="21"/>
              </w:rPr>
              <w:t>16</w:t>
            </w:r>
            <w:r>
              <w:rPr>
                <w:rFonts w:cs="Times New Roman"/>
                <w:sz w:val="22"/>
                <w:szCs w:val="21"/>
              </w:rPr>
              <w:t>%</w:t>
            </w:r>
          </w:p>
        </w:tc>
        <w:tc>
          <w:tcPr>
            <w:tcW w:w="775" w:type="dxa"/>
          </w:tcPr>
          <w:p w14:paraId="6960CCA4">
            <w:pPr>
              <w:rPr>
                <w:rFonts w:cs="Times New Roman"/>
                <w:sz w:val="22"/>
                <w:szCs w:val="21"/>
              </w:rPr>
            </w:pPr>
            <w:r>
              <w:rPr>
                <w:rFonts w:hint="eastAsia" w:cs="Times New Roman"/>
                <w:sz w:val="22"/>
                <w:szCs w:val="21"/>
              </w:rPr>
              <w:t>16</w:t>
            </w:r>
            <w:r>
              <w:rPr>
                <w:rFonts w:cs="Times New Roman"/>
                <w:sz w:val="22"/>
                <w:szCs w:val="21"/>
              </w:rPr>
              <w:t>%</w:t>
            </w:r>
          </w:p>
        </w:tc>
        <w:tc>
          <w:tcPr>
            <w:tcW w:w="775" w:type="dxa"/>
          </w:tcPr>
          <w:p w14:paraId="4197B134">
            <w:pPr>
              <w:rPr>
                <w:rFonts w:cs="Times New Roman"/>
                <w:sz w:val="22"/>
                <w:szCs w:val="21"/>
              </w:rPr>
            </w:pPr>
            <w:r>
              <w:rPr>
                <w:rFonts w:hint="eastAsia" w:cs="Times New Roman"/>
                <w:sz w:val="22"/>
                <w:szCs w:val="21"/>
              </w:rPr>
              <w:t>17</w:t>
            </w:r>
            <w:r>
              <w:rPr>
                <w:rFonts w:cs="Times New Roman"/>
                <w:sz w:val="22"/>
                <w:szCs w:val="21"/>
              </w:rPr>
              <w:t>%</w:t>
            </w:r>
          </w:p>
        </w:tc>
        <w:tc>
          <w:tcPr>
            <w:tcW w:w="775" w:type="dxa"/>
          </w:tcPr>
          <w:p w14:paraId="7375FADE">
            <w:pPr>
              <w:rPr>
                <w:rFonts w:cs="Times New Roman"/>
                <w:sz w:val="22"/>
                <w:szCs w:val="21"/>
              </w:rPr>
            </w:pPr>
            <w:r>
              <w:rPr>
                <w:rFonts w:hint="eastAsia" w:cs="Times New Roman"/>
                <w:sz w:val="22"/>
                <w:szCs w:val="21"/>
              </w:rPr>
              <w:t>19</w:t>
            </w:r>
            <w:r>
              <w:rPr>
                <w:rFonts w:cs="Times New Roman"/>
                <w:sz w:val="22"/>
                <w:szCs w:val="21"/>
              </w:rPr>
              <w:t>%</w:t>
            </w:r>
          </w:p>
        </w:tc>
        <w:tc>
          <w:tcPr>
            <w:tcW w:w="775" w:type="dxa"/>
          </w:tcPr>
          <w:p w14:paraId="102614D5">
            <w:pPr>
              <w:rPr>
                <w:rFonts w:cs="Times New Roman"/>
                <w:sz w:val="22"/>
                <w:szCs w:val="21"/>
              </w:rPr>
            </w:pPr>
            <w:r>
              <w:rPr>
                <w:rFonts w:hint="eastAsia" w:cs="Times New Roman"/>
                <w:sz w:val="22"/>
                <w:szCs w:val="21"/>
              </w:rPr>
              <w:t>15</w:t>
            </w:r>
            <w:r>
              <w:rPr>
                <w:rFonts w:cs="Times New Roman"/>
                <w:sz w:val="22"/>
                <w:szCs w:val="21"/>
              </w:rPr>
              <w:t>%</w:t>
            </w:r>
          </w:p>
        </w:tc>
        <w:tc>
          <w:tcPr>
            <w:tcW w:w="775" w:type="dxa"/>
          </w:tcPr>
          <w:p w14:paraId="1FF9DE5C">
            <w:pPr>
              <w:rPr>
                <w:rFonts w:cs="Times New Roman"/>
                <w:sz w:val="22"/>
                <w:szCs w:val="21"/>
              </w:rPr>
            </w:pPr>
            <w:r>
              <w:rPr>
                <w:rFonts w:hint="eastAsia" w:cs="Times New Roman"/>
                <w:sz w:val="22"/>
                <w:szCs w:val="21"/>
              </w:rPr>
              <w:t>14</w:t>
            </w:r>
            <w:r>
              <w:rPr>
                <w:rFonts w:cs="Times New Roman"/>
                <w:sz w:val="22"/>
                <w:szCs w:val="21"/>
              </w:rPr>
              <w:t>%</w:t>
            </w:r>
          </w:p>
        </w:tc>
      </w:tr>
      <w:tr w14:paraId="481B3D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1D678863">
            <w:pPr>
              <w:rPr>
                <w:rFonts w:cs="Times New Roman"/>
              </w:rPr>
            </w:pPr>
            <w:r>
              <w:rPr>
                <w:rFonts w:hint="eastAsia" w:cs="Times New Roman"/>
              </w:rPr>
              <w:t>Ford</w:t>
            </w:r>
          </w:p>
        </w:tc>
        <w:tc>
          <w:tcPr>
            <w:tcW w:w="774" w:type="dxa"/>
          </w:tcPr>
          <w:p w14:paraId="27E7F5B7">
            <w:pPr>
              <w:rPr>
                <w:rFonts w:cs="Times New Roman"/>
                <w:sz w:val="22"/>
                <w:szCs w:val="21"/>
              </w:rPr>
            </w:pPr>
            <w:r>
              <w:rPr>
                <w:rFonts w:hint="eastAsia" w:cs="Times New Roman"/>
                <w:sz w:val="22"/>
                <w:szCs w:val="21"/>
              </w:rPr>
              <w:t>14.6</w:t>
            </w:r>
            <w:r>
              <w:rPr>
                <w:rFonts w:cs="Times New Roman"/>
                <w:sz w:val="22"/>
                <w:szCs w:val="21"/>
              </w:rPr>
              <w:t>%</w:t>
            </w:r>
          </w:p>
        </w:tc>
        <w:tc>
          <w:tcPr>
            <w:tcW w:w="774" w:type="dxa"/>
          </w:tcPr>
          <w:p w14:paraId="08CA265B">
            <w:pPr>
              <w:rPr>
                <w:rFonts w:cs="Times New Roman"/>
                <w:sz w:val="22"/>
                <w:szCs w:val="21"/>
              </w:rPr>
            </w:pPr>
            <w:r>
              <w:rPr>
                <w:rFonts w:hint="eastAsia" w:cs="Times New Roman"/>
                <w:sz w:val="22"/>
                <w:szCs w:val="21"/>
              </w:rPr>
              <w:t>15</w:t>
            </w:r>
            <w:r>
              <w:rPr>
                <w:rFonts w:cs="Times New Roman"/>
                <w:sz w:val="22"/>
                <w:szCs w:val="21"/>
              </w:rPr>
              <w:t>%</w:t>
            </w:r>
          </w:p>
        </w:tc>
        <w:tc>
          <w:tcPr>
            <w:tcW w:w="775" w:type="dxa"/>
          </w:tcPr>
          <w:p w14:paraId="4E2E1F5D">
            <w:pPr>
              <w:rPr>
                <w:rFonts w:cs="Times New Roman"/>
                <w:sz w:val="22"/>
                <w:szCs w:val="21"/>
              </w:rPr>
            </w:pPr>
            <w:r>
              <w:rPr>
                <w:rFonts w:hint="eastAsia" w:cs="Times New Roman"/>
                <w:sz w:val="22"/>
                <w:szCs w:val="21"/>
              </w:rPr>
              <w:t>15.9</w:t>
            </w:r>
            <w:r>
              <w:rPr>
                <w:rFonts w:cs="Times New Roman"/>
                <w:sz w:val="22"/>
                <w:szCs w:val="21"/>
              </w:rPr>
              <w:t>%</w:t>
            </w:r>
          </w:p>
        </w:tc>
        <w:tc>
          <w:tcPr>
            <w:tcW w:w="775" w:type="dxa"/>
          </w:tcPr>
          <w:p w14:paraId="5A76165D">
            <w:pPr>
              <w:rPr>
                <w:rFonts w:cs="Times New Roman"/>
                <w:sz w:val="22"/>
                <w:szCs w:val="21"/>
              </w:rPr>
            </w:pPr>
            <w:r>
              <w:rPr>
                <w:rFonts w:hint="eastAsia" w:cs="Times New Roman"/>
                <w:sz w:val="22"/>
                <w:szCs w:val="21"/>
              </w:rPr>
              <w:t>11.3</w:t>
            </w:r>
            <w:r>
              <w:rPr>
                <w:rFonts w:cs="Times New Roman"/>
                <w:sz w:val="22"/>
                <w:szCs w:val="21"/>
              </w:rPr>
              <w:t>%</w:t>
            </w:r>
          </w:p>
        </w:tc>
        <w:tc>
          <w:tcPr>
            <w:tcW w:w="775" w:type="dxa"/>
          </w:tcPr>
          <w:p w14:paraId="7F44D6FB">
            <w:pPr>
              <w:rPr>
                <w:rFonts w:cs="Times New Roman"/>
                <w:sz w:val="22"/>
                <w:szCs w:val="21"/>
              </w:rPr>
            </w:pPr>
            <w:r>
              <w:rPr>
                <w:rFonts w:hint="eastAsia" w:cs="Times New Roman"/>
                <w:sz w:val="22"/>
                <w:szCs w:val="21"/>
              </w:rPr>
              <w:t>13.6</w:t>
            </w:r>
            <w:r>
              <w:rPr>
                <w:rFonts w:cs="Times New Roman"/>
                <w:sz w:val="22"/>
                <w:szCs w:val="21"/>
              </w:rPr>
              <w:t>%</w:t>
            </w:r>
          </w:p>
        </w:tc>
        <w:tc>
          <w:tcPr>
            <w:tcW w:w="775" w:type="dxa"/>
          </w:tcPr>
          <w:p w14:paraId="0EF85C4A">
            <w:pPr>
              <w:rPr>
                <w:rFonts w:cs="Times New Roman"/>
                <w:sz w:val="22"/>
                <w:szCs w:val="21"/>
              </w:rPr>
            </w:pPr>
            <w:r>
              <w:rPr>
                <w:rFonts w:hint="eastAsia" w:cs="Times New Roman"/>
                <w:sz w:val="22"/>
                <w:szCs w:val="21"/>
              </w:rPr>
              <w:t>15</w:t>
            </w:r>
            <w:r>
              <w:rPr>
                <w:rFonts w:cs="Times New Roman"/>
                <w:sz w:val="22"/>
                <w:szCs w:val="21"/>
              </w:rPr>
              <w:t>%</w:t>
            </w:r>
          </w:p>
        </w:tc>
        <w:tc>
          <w:tcPr>
            <w:tcW w:w="775" w:type="dxa"/>
          </w:tcPr>
          <w:p w14:paraId="68F93528">
            <w:pPr>
              <w:rPr>
                <w:rFonts w:cs="Times New Roman"/>
                <w:sz w:val="22"/>
                <w:szCs w:val="21"/>
              </w:rPr>
            </w:pPr>
            <w:r>
              <w:rPr>
                <w:rFonts w:hint="eastAsia" w:cs="Times New Roman"/>
                <w:sz w:val="22"/>
                <w:szCs w:val="21"/>
              </w:rPr>
              <w:t>16.2</w:t>
            </w:r>
            <w:r>
              <w:rPr>
                <w:rFonts w:cs="Times New Roman"/>
                <w:sz w:val="22"/>
                <w:szCs w:val="21"/>
              </w:rPr>
              <w:t>%</w:t>
            </w:r>
          </w:p>
        </w:tc>
        <w:tc>
          <w:tcPr>
            <w:tcW w:w="775" w:type="dxa"/>
          </w:tcPr>
          <w:p w14:paraId="3B793B2A">
            <w:pPr>
              <w:rPr>
                <w:rFonts w:cs="Times New Roman"/>
                <w:sz w:val="22"/>
                <w:szCs w:val="21"/>
              </w:rPr>
            </w:pPr>
            <w:r>
              <w:rPr>
                <w:rFonts w:hint="eastAsia" w:cs="Times New Roman"/>
                <w:sz w:val="22"/>
                <w:szCs w:val="21"/>
              </w:rPr>
              <w:t>16.9</w:t>
            </w:r>
            <w:r>
              <w:rPr>
                <w:rFonts w:cs="Times New Roman"/>
                <w:sz w:val="22"/>
                <w:szCs w:val="21"/>
              </w:rPr>
              <w:t>%</w:t>
            </w:r>
          </w:p>
        </w:tc>
        <w:tc>
          <w:tcPr>
            <w:tcW w:w="775" w:type="dxa"/>
          </w:tcPr>
          <w:p w14:paraId="34DF88DC">
            <w:pPr>
              <w:rPr>
                <w:rFonts w:cs="Times New Roman"/>
                <w:sz w:val="22"/>
                <w:szCs w:val="21"/>
              </w:rPr>
            </w:pPr>
            <w:r>
              <w:rPr>
                <w:rFonts w:hint="eastAsia" w:cs="Times New Roman"/>
                <w:sz w:val="22"/>
                <w:szCs w:val="21"/>
              </w:rPr>
              <w:t>16.8</w:t>
            </w:r>
            <w:r>
              <w:rPr>
                <w:rFonts w:cs="Times New Roman"/>
                <w:sz w:val="22"/>
                <w:szCs w:val="21"/>
              </w:rPr>
              <w:t>%</w:t>
            </w:r>
          </w:p>
        </w:tc>
        <w:tc>
          <w:tcPr>
            <w:tcW w:w="775" w:type="dxa"/>
          </w:tcPr>
          <w:p w14:paraId="7E922826">
            <w:pPr>
              <w:rPr>
                <w:rFonts w:cs="Times New Roman"/>
                <w:sz w:val="22"/>
                <w:szCs w:val="21"/>
              </w:rPr>
            </w:pPr>
            <w:r>
              <w:rPr>
                <w:rFonts w:hint="eastAsia" w:cs="Times New Roman"/>
                <w:sz w:val="22"/>
                <w:szCs w:val="21"/>
              </w:rPr>
              <w:t>13.2</w:t>
            </w:r>
            <w:r>
              <w:rPr>
                <w:rFonts w:cs="Times New Roman"/>
                <w:sz w:val="22"/>
                <w:szCs w:val="21"/>
              </w:rPr>
              <w:t>%</w:t>
            </w:r>
          </w:p>
        </w:tc>
      </w:tr>
    </w:tbl>
    <w:p w14:paraId="5822A9BF">
      <w:pPr>
        <w:rPr>
          <w:rFonts w:cs="Times New Roman"/>
        </w:rPr>
      </w:pPr>
      <w:r>
        <w:rPr>
          <w:rFonts w:hint="eastAsia" w:cs="Times New Roman"/>
        </w:rPr>
        <w:t>BYD</w:t>
      </w:r>
      <w:r>
        <w:rPr>
          <w:rFonts w:cs="Times New Roman"/>
        </w:rPr>
        <w:t>’</w:t>
      </w:r>
      <w:r>
        <w:rPr>
          <w:rFonts w:hint="eastAsia" w:cs="Times New Roman"/>
        </w:rPr>
        <w:t>s Average: 16.6%  ;  Ford</w:t>
      </w:r>
      <w:r>
        <w:rPr>
          <w:rFonts w:cs="Times New Roman"/>
        </w:rPr>
        <w:t>’</w:t>
      </w:r>
      <w:r>
        <w:rPr>
          <w:rFonts w:hint="eastAsia" w:cs="Times New Roman"/>
        </w:rPr>
        <w:t>s Average: 14.85% ; P-value: 0.071</w:t>
      </w:r>
    </w:p>
    <w:p w14:paraId="44D6F4A1">
      <w:pPr>
        <w:rPr>
          <w:rFonts w:cs="Times New Roman"/>
        </w:rPr>
      </w:pPr>
    </w:p>
    <w:p w14:paraId="0573A214">
      <w:pPr>
        <w:rPr>
          <w:rFonts w:cs="Times New Roman"/>
        </w:rPr>
      </w:pPr>
      <w:r>
        <w:rPr>
          <w:rFonts w:hint="eastAsia" w:cs="Times New Roman"/>
        </w:rPr>
        <w:t xml:space="preserve">Figure </w:t>
      </w:r>
      <w:r>
        <w:rPr>
          <w:rFonts w:hint="eastAsia" w:cs="Times New Roman"/>
          <w:lang w:val="en-US" w:eastAsia="zh-CN"/>
        </w:rPr>
        <w:t>9</w:t>
      </w:r>
      <w:r>
        <w:rPr>
          <w:rFonts w:hint="eastAsia" w:cs="Times New Roman"/>
        </w:rPr>
        <w:t>: Operating profit</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57"/>
        <w:gridCol w:w="756"/>
        <w:gridCol w:w="796"/>
        <w:gridCol w:w="836"/>
        <w:gridCol w:w="796"/>
        <w:gridCol w:w="796"/>
        <w:gridCol w:w="757"/>
        <w:gridCol w:w="757"/>
        <w:gridCol w:w="757"/>
        <w:gridCol w:w="757"/>
        <w:gridCol w:w="757"/>
      </w:tblGrid>
      <w:tr w14:paraId="5E855C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401D87B9">
            <w:pPr>
              <w:rPr>
                <w:rFonts w:cs="Times New Roman"/>
              </w:rPr>
            </w:pPr>
          </w:p>
        </w:tc>
        <w:tc>
          <w:tcPr>
            <w:tcW w:w="774" w:type="dxa"/>
          </w:tcPr>
          <w:p w14:paraId="47EC8F5C">
            <w:pPr>
              <w:rPr>
                <w:rFonts w:cs="Times New Roman"/>
              </w:rPr>
            </w:pPr>
            <w:r>
              <w:rPr>
                <w:rFonts w:hint="eastAsia" w:cs="Times New Roman"/>
              </w:rPr>
              <w:t>2023</w:t>
            </w:r>
          </w:p>
        </w:tc>
        <w:tc>
          <w:tcPr>
            <w:tcW w:w="774" w:type="dxa"/>
          </w:tcPr>
          <w:p w14:paraId="59449D61">
            <w:pPr>
              <w:rPr>
                <w:rFonts w:cs="Times New Roman"/>
              </w:rPr>
            </w:pPr>
            <w:r>
              <w:rPr>
                <w:rFonts w:hint="eastAsia" w:cs="Times New Roman"/>
              </w:rPr>
              <w:t>2022</w:t>
            </w:r>
          </w:p>
        </w:tc>
        <w:tc>
          <w:tcPr>
            <w:tcW w:w="775" w:type="dxa"/>
          </w:tcPr>
          <w:p w14:paraId="38566DBA">
            <w:pPr>
              <w:rPr>
                <w:rFonts w:cs="Times New Roman"/>
              </w:rPr>
            </w:pPr>
            <w:r>
              <w:rPr>
                <w:rFonts w:hint="eastAsia" w:cs="Times New Roman"/>
              </w:rPr>
              <w:t>2021</w:t>
            </w:r>
          </w:p>
        </w:tc>
        <w:tc>
          <w:tcPr>
            <w:tcW w:w="775" w:type="dxa"/>
          </w:tcPr>
          <w:p w14:paraId="66BC4A17">
            <w:pPr>
              <w:rPr>
                <w:rFonts w:cs="Times New Roman"/>
              </w:rPr>
            </w:pPr>
            <w:r>
              <w:rPr>
                <w:rFonts w:hint="eastAsia" w:cs="Times New Roman"/>
              </w:rPr>
              <w:t>2020</w:t>
            </w:r>
          </w:p>
        </w:tc>
        <w:tc>
          <w:tcPr>
            <w:tcW w:w="775" w:type="dxa"/>
          </w:tcPr>
          <w:p w14:paraId="6073462B">
            <w:pPr>
              <w:rPr>
                <w:rFonts w:cs="Times New Roman"/>
              </w:rPr>
            </w:pPr>
            <w:r>
              <w:rPr>
                <w:rFonts w:hint="eastAsia" w:cs="Times New Roman"/>
              </w:rPr>
              <w:t>2019</w:t>
            </w:r>
          </w:p>
        </w:tc>
        <w:tc>
          <w:tcPr>
            <w:tcW w:w="775" w:type="dxa"/>
          </w:tcPr>
          <w:p w14:paraId="4157DC74">
            <w:pPr>
              <w:rPr>
                <w:rFonts w:cs="Times New Roman"/>
              </w:rPr>
            </w:pPr>
            <w:r>
              <w:rPr>
                <w:rFonts w:hint="eastAsia" w:cs="Times New Roman"/>
              </w:rPr>
              <w:t>2018</w:t>
            </w:r>
          </w:p>
        </w:tc>
        <w:tc>
          <w:tcPr>
            <w:tcW w:w="775" w:type="dxa"/>
          </w:tcPr>
          <w:p w14:paraId="62B11924">
            <w:pPr>
              <w:rPr>
                <w:rFonts w:cs="Times New Roman"/>
              </w:rPr>
            </w:pPr>
            <w:r>
              <w:rPr>
                <w:rFonts w:hint="eastAsia" w:cs="Times New Roman"/>
              </w:rPr>
              <w:t>2017</w:t>
            </w:r>
          </w:p>
        </w:tc>
        <w:tc>
          <w:tcPr>
            <w:tcW w:w="775" w:type="dxa"/>
          </w:tcPr>
          <w:p w14:paraId="3F1E7376">
            <w:pPr>
              <w:rPr>
                <w:rFonts w:cs="Times New Roman"/>
              </w:rPr>
            </w:pPr>
            <w:r>
              <w:rPr>
                <w:rFonts w:hint="eastAsia" w:cs="Times New Roman"/>
              </w:rPr>
              <w:t>2016</w:t>
            </w:r>
          </w:p>
        </w:tc>
        <w:tc>
          <w:tcPr>
            <w:tcW w:w="775" w:type="dxa"/>
          </w:tcPr>
          <w:p w14:paraId="0E40599A">
            <w:pPr>
              <w:rPr>
                <w:rFonts w:cs="Times New Roman"/>
              </w:rPr>
            </w:pPr>
            <w:r>
              <w:rPr>
                <w:rFonts w:hint="eastAsia" w:cs="Times New Roman"/>
              </w:rPr>
              <w:t>2015</w:t>
            </w:r>
          </w:p>
        </w:tc>
        <w:tc>
          <w:tcPr>
            <w:tcW w:w="775" w:type="dxa"/>
          </w:tcPr>
          <w:p w14:paraId="55BA135B">
            <w:pPr>
              <w:rPr>
                <w:rFonts w:cs="Times New Roman"/>
              </w:rPr>
            </w:pPr>
            <w:r>
              <w:rPr>
                <w:rFonts w:hint="eastAsia" w:cs="Times New Roman"/>
              </w:rPr>
              <w:t>2014</w:t>
            </w:r>
          </w:p>
        </w:tc>
      </w:tr>
      <w:tr w14:paraId="489E920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3D3C8CE7">
            <w:pPr>
              <w:rPr>
                <w:rFonts w:cs="Times New Roman"/>
              </w:rPr>
            </w:pPr>
            <w:r>
              <w:rPr>
                <w:rFonts w:hint="eastAsia" w:cs="Times New Roman"/>
              </w:rPr>
              <w:t>BYD</w:t>
            </w:r>
          </w:p>
        </w:tc>
        <w:tc>
          <w:tcPr>
            <w:tcW w:w="774" w:type="dxa"/>
          </w:tcPr>
          <w:p w14:paraId="56F6412C">
            <w:pPr>
              <w:rPr>
                <w:rFonts w:cs="Times New Roman"/>
              </w:rPr>
            </w:pPr>
            <w:r>
              <w:rPr>
                <w:rFonts w:hint="eastAsia" w:cs="Times New Roman"/>
              </w:rPr>
              <w:t>5.0</w:t>
            </w:r>
            <w:r>
              <w:rPr>
                <w:rFonts w:cs="Times New Roman"/>
              </w:rPr>
              <w:t>%</w:t>
            </w:r>
          </w:p>
        </w:tc>
        <w:tc>
          <w:tcPr>
            <w:tcW w:w="774" w:type="dxa"/>
          </w:tcPr>
          <w:p w14:paraId="402F2B39">
            <w:pPr>
              <w:rPr>
                <w:rFonts w:cs="Times New Roman"/>
              </w:rPr>
            </w:pPr>
            <w:r>
              <w:rPr>
                <w:rFonts w:hint="eastAsia" w:cs="Times New Roman"/>
              </w:rPr>
              <w:t>3.9</w:t>
            </w:r>
            <w:r>
              <w:rPr>
                <w:rFonts w:cs="Times New Roman"/>
              </w:rPr>
              <w:t>%</w:t>
            </w:r>
          </w:p>
        </w:tc>
        <w:tc>
          <w:tcPr>
            <w:tcW w:w="775" w:type="dxa"/>
          </w:tcPr>
          <w:p w14:paraId="6C99F54F">
            <w:pPr>
              <w:rPr>
                <w:rFonts w:cs="Times New Roman"/>
              </w:rPr>
            </w:pPr>
            <w:r>
              <w:rPr>
                <w:rFonts w:hint="eastAsia" w:cs="Times New Roman"/>
              </w:rPr>
              <w:t>1.4</w:t>
            </w:r>
            <w:r>
              <w:rPr>
                <w:rFonts w:cs="Times New Roman"/>
              </w:rPr>
              <w:t>%</w:t>
            </w:r>
          </w:p>
        </w:tc>
        <w:tc>
          <w:tcPr>
            <w:tcW w:w="775" w:type="dxa"/>
          </w:tcPr>
          <w:p w14:paraId="6964BC1A">
            <w:pPr>
              <w:rPr>
                <w:rFonts w:cs="Times New Roman"/>
              </w:rPr>
            </w:pPr>
            <w:r>
              <w:rPr>
                <w:rFonts w:hint="eastAsia" w:cs="Times New Roman"/>
              </w:rPr>
              <w:t>2.7</w:t>
            </w:r>
            <w:r>
              <w:rPr>
                <w:rFonts w:cs="Times New Roman"/>
              </w:rPr>
              <w:t>%</w:t>
            </w:r>
          </w:p>
        </w:tc>
        <w:tc>
          <w:tcPr>
            <w:tcW w:w="775" w:type="dxa"/>
          </w:tcPr>
          <w:p w14:paraId="58911A92">
            <w:pPr>
              <w:rPr>
                <w:rFonts w:cs="Times New Roman"/>
              </w:rPr>
            </w:pPr>
            <w:r>
              <w:rPr>
                <w:rFonts w:hint="eastAsia" w:cs="Times New Roman"/>
              </w:rPr>
              <w:t>1.3</w:t>
            </w:r>
            <w:r>
              <w:rPr>
                <w:rFonts w:cs="Times New Roman"/>
              </w:rPr>
              <w:t>%</w:t>
            </w:r>
          </w:p>
        </w:tc>
        <w:tc>
          <w:tcPr>
            <w:tcW w:w="775" w:type="dxa"/>
          </w:tcPr>
          <w:p w14:paraId="51B526CF">
            <w:pPr>
              <w:rPr>
                <w:rFonts w:cs="Times New Roman"/>
              </w:rPr>
            </w:pPr>
            <w:r>
              <w:rPr>
                <w:rFonts w:hint="eastAsia" w:cs="Times New Roman"/>
              </w:rPr>
              <w:t>2.1</w:t>
            </w:r>
            <w:r>
              <w:rPr>
                <w:rFonts w:cs="Times New Roman"/>
              </w:rPr>
              <w:t>%</w:t>
            </w:r>
          </w:p>
        </w:tc>
        <w:tc>
          <w:tcPr>
            <w:tcW w:w="775" w:type="dxa"/>
          </w:tcPr>
          <w:p w14:paraId="2D9EAFE3">
            <w:pPr>
              <w:rPr>
                <w:rFonts w:cs="Times New Roman"/>
              </w:rPr>
            </w:pPr>
            <w:r>
              <w:rPr>
                <w:rFonts w:hint="eastAsia" w:cs="Times New Roman"/>
              </w:rPr>
              <w:t>4.0</w:t>
            </w:r>
            <w:r>
              <w:rPr>
                <w:rFonts w:cs="Times New Roman"/>
              </w:rPr>
              <w:t>%</w:t>
            </w:r>
          </w:p>
        </w:tc>
        <w:tc>
          <w:tcPr>
            <w:tcW w:w="775" w:type="dxa"/>
          </w:tcPr>
          <w:p w14:paraId="3BCE6564">
            <w:pPr>
              <w:rPr>
                <w:rFonts w:cs="Times New Roman"/>
              </w:rPr>
            </w:pPr>
            <w:r>
              <w:rPr>
                <w:rFonts w:hint="eastAsia" w:cs="Times New Roman"/>
              </w:rPr>
              <w:t>5.0</w:t>
            </w:r>
            <w:r>
              <w:rPr>
                <w:rFonts w:cs="Times New Roman"/>
              </w:rPr>
              <w:t>%</w:t>
            </w:r>
          </w:p>
        </w:tc>
        <w:tc>
          <w:tcPr>
            <w:tcW w:w="775" w:type="dxa"/>
          </w:tcPr>
          <w:p w14:paraId="78148391">
            <w:pPr>
              <w:rPr>
                <w:rFonts w:cs="Times New Roman"/>
              </w:rPr>
            </w:pPr>
            <w:r>
              <w:rPr>
                <w:rFonts w:hint="eastAsia" w:cs="Times New Roman"/>
              </w:rPr>
              <w:t>3.6</w:t>
            </w:r>
            <w:r>
              <w:rPr>
                <w:rFonts w:cs="Times New Roman"/>
              </w:rPr>
              <w:t>%</w:t>
            </w:r>
          </w:p>
        </w:tc>
        <w:tc>
          <w:tcPr>
            <w:tcW w:w="775" w:type="dxa"/>
          </w:tcPr>
          <w:p w14:paraId="46085480">
            <w:pPr>
              <w:rPr>
                <w:rFonts w:cs="Times New Roman"/>
              </w:rPr>
            </w:pPr>
            <w:r>
              <w:rPr>
                <w:rFonts w:hint="eastAsia" w:cs="Times New Roman"/>
              </w:rPr>
              <w:t>0.8</w:t>
            </w:r>
            <w:r>
              <w:rPr>
                <w:rFonts w:cs="Times New Roman"/>
              </w:rPr>
              <w:t>%</w:t>
            </w:r>
          </w:p>
        </w:tc>
      </w:tr>
      <w:tr w14:paraId="74C51C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06552D74">
            <w:pPr>
              <w:rPr>
                <w:rFonts w:cs="Times New Roman"/>
              </w:rPr>
            </w:pPr>
            <w:r>
              <w:rPr>
                <w:rFonts w:hint="eastAsia" w:cs="Times New Roman"/>
              </w:rPr>
              <w:t>Ford</w:t>
            </w:r>
          </w:p>
        </w:tc>
        <w:tc>
          <w:tcPr>
            <w:tcW w:w="774" w:type="dxa"/>
          </w:tcPr>
          <w:p w14:paraId="0CBD67E0">
            <w:pPr>
              <w:rPr>
                <w:rFonts w:cs="Times New Roman"/>
              </w:rPr>
            </w:pPr>
            <w:r>
              <w:rPr>
                <w:rFonts w:hint="eastAsia" w:cs="Times New Roman"/>
              </w:rPr>
              <w:t>2.5</w:t>
            </w:r>
            <w:r>
              <w:rPr>
                <w:rFonts w:cs="Times New Roman"/>
              </w:rPr>
              <w:t>%</w:t>
            </w:r>
          </w:p>
        </w:tc>
        <w:tc>
          <w:tcPr>
            <w:tcW w:w="774" w:type="dxa"/>
          </w:tcPr>
          <w:p w14:paraId="5946C0B5">
            <w:pPr>
              <w:rPr>
                <w:rFonts w:cs="Times New Roman"/>
              </w:rPr>
            </w:pPr>
            <w:r>
              <w:rPr>
                <w:rFonts w:hint="eastAsia" w:cs="Times New Roman"/>
              </w:rPr>
              <w:t>-1.4</w:t>
            </w:r>
            <w:r>
              <w:rPr>
                <w:rFonts w:cs="Times New Roman"/>
              </w:rPr>
              <w:t>%</w:t>
            </w:r>
          </w:p>
        </w:tc>
        <w:tc>
          <w:tcPr>
            <w:tcW w:w="775" w:type="dxa"/>
          </w:tcPr>
          <w:p w14:paraId="0A5BD2C6">
            <w:pPr>
              <w:rPr>
                <w:rFonts w:cs="Times New Roman"/>
              </w:rPr>
            </w:pPr>
            <w:r>
              <w:rPr>
                <w:rFonts w:hint="eastAsia" w:cs="Times New Roman"/>
              </w:rPr>
              <w:t>13.1</w:t>
            </w:r>
            <w:r>
              <w:rPr>
                <w:rFonts w:cs="Times New Roman"/>
              </w:rPr>
              <w:t>%</w:t>
            </w:r>
          </w:p>
        </w:tc>
        <w:tc>
          <w:tcPr>
            <w:tcW w:w="775" w:type="dxa"/>
          </w:tcPr>
          <w:p w14:paraId="7FB1A26F">
            <w:pPr>
              <w:rPr>
                <w:rFonts w:cs="Times New Roman"/>
              </w:rPr>
            </w:pPr>
            <w:r>
              <w:rPr>
                <w:rFonts w:hint="eastAsia" w:cs="Times New Roman"/>
              </w:rPr>
              <w:t>-0.9</w:t>
            </w:r>
            <w:r>
              <w:rPr>
                <w:rFonts w:cs="Times New Roman"/>
              </w:rPr>
              <w:t>%</w:t>
            </w:r>
          </w:p>
        </w:tc>
        <w:tc>
          <w:tcPr>
            <w:tcW w:w="775" w:type="dxa"/>
          </w:tcPr>
          <w:p w14:paraId="5CB1787B">
            <w:pPr>
              <w:rPr>
                <w:rFonts w:cs="Times New Roman"/>
              </w:rPr>
            </w:pPr>
            <w:r>
              <w:rPr>
                <w:rFonts w:hint="eastAsia" w:cs="Times New Roman"/>
              </w:rPr>
              <w:t>-0.4</w:t>
            </w:r>
            <w:r>
              <w:rPr>
                <w:rFonts w:cs="Times New Roman"/>
              </w:rPr>
              <w:t>%</w:t>
            </w:r>
          </w:p>
        </w:tc>
        <w:tc>
          <w:tcPr>
            <w:tcW w:w="775" w:type="dxa"/>
          </w:tcPr>
          <w:p w14:paraId="1F67DFC7">
            <w:pPr>
              <w:rPr>
                <w:rFonts w:cs="Times New Roman"/>
              </w:rPr>
            </w:pPr>
            <w:r>
              <w:rPr>
                <w:rFonts w:hint="eastAsia" w:cs="Times New Roman"/>
              </w:rPr>
              <w:t>2.7</w:t>
            </w:r>
            <w:r>
              <w:rPr>
                <w:rFonts w:cs="Times New Roman"/>
              </w:rPr>
              <w:t>%</w:t>
            </w:r>
          </w:p>
        </w:tc>
        <w:tc>
          <w:tcPr>
            <w:tcW w:w="775" w:type="dxa"/>
          </w:tcPr>
          <w:p w14:paraId="6F0087A4">
            <w:pPr>
              <w:rPr>
                <w:rFonts w:cs="Times New Roman"/>
              </w:rPr>
            </w:pPr>
            <w:r>
              <w:rPr>
                <w:rFonts w:hint="eastAsia" w:cs="Times New Roman"/>
              </w:rPr>
              <w:t>5.2</w:t>
            </w:r>
            <w:r>
              <w:rPr>
                <w:rFonts w:cs="Times New Roman"/>
              </w:rPr>
              <w:t>%</w:t>
            </w:r>
          </w:p>
        </w:tc>
        <w:tc>
          <w:tcPr>
            <w:tcW w:w="775" w:type="dxa"/>
          </w:tcPr>
          <w:p w14:paraId="0260A12F">
            <w:pPr>
              <w:rPr>
                <w:rFonts w:cs="Times New Roman"/>
              </w:rPr>
            </w:pPr>
            <w:r>
              <w:rPr>
                <w:rFonts w:hint="eastAsia" w:cs="Times New Roman"/>
              </w:rPr>
              <w:t>4.8</w:t>
            </w:r>
            <w:r>
              <w:rPr>
                <w:rFonts w:cs="Times New Roman"/>
              </w:rPr>
              <w:t>%</w:t>
            </w:r>
          </w:p>
        </w:tc>
        <w:tc>
          <w:tcPr>
            <w:tcW w:w="775" w:type="dxa"/>
          </w:tcPr>
          <w:p w14:paraId="50142C44">
            <w:pPr>
              <w:rPr>
                <w:rFonts w:cs="Times New Roman"/>
              </w:rPr>
            </w:pPr>
            <w:r>
              <w:rPr>
                <w:rFonts w:hint="eastAsia" w:cs="Times New Roman"/>
              </w:rPr>
              <w:t>6.9</w:t>
            </w:r>
            <w:r>
              <w:rPr>
                <w:rFonts w:cs="Times New Roman"/>
              </w:rPr>
              <w:t>%</w:t>
            </w:r>
          </w:p>
        </w:tc>
        <w:tc>
          <w:tcPr>
            <w:tcW w:w="775" w:type="dxa"/>
          </w:tcPr>
          <w:p w14:paraId="30F2FC48">
            <w:pPr>
              <w:rPr>
                <w:rFonts w:cs="Times New Roman"/>
              </w:rPr>
            </w:pPr>
            <w:r>
              <w:rPr>
                <w:rFonts w:hint="eastAsia" w:cs="Times New Roman"/>
              </w:rPr>
              <w:t>0.8</w:t>
            </w:r>
            <w:r>
              <w:rPr>
                <w:rFonts w:cs="Times New Roman"/>
              </w:rPr>
              <w:t>%</w:t>
            </w:r>
          </w:p>
        </w:tc>
      </w:tr>
    </w:tbl>
    <w:p w14:paraId="48F21C49">
      <w:pPr>
        <w:rPr>
          <w:rFonts w:cs="Times New Roman"/>
        </w:rPr>
      </w:pPr>
      <w:r>
        <w:rPr>
          <w:rFonts w:hint="eastAsia" w:cs="Times New Roman"/>
        </w:rPr>
        <w:t>BYD</w:t>
      </w:r>
      <w:r>
        <w:rPr>
          <w:rFonts w:cs="Times New Roman"/>
        </w:rPr>
        <w:t>’</w:t>
      </w:r>
      <w:r>
        <w:rPr>
          <w:rFonts w:hint="eastAsia" w:cs="Times New Roman"/>
        </w:rPr>
        <w:t>s Average: 2.98%  ;  Ford</w:t>
      </w:r>
      <w:r>
        <w:rPr>
          <w:rFonts w:cs="Times New Roman"/>
        </w:rPr>
        <w:t>’</w:t>
      </w:r>
      <w:r>
        <w:rPr>
          <w:rFonts w:hint="eastAsia" w:cs="Times New Roman"/>
        </w:rPr>
        <w:t>s Average: 3.33% ; P-value: 0.817</w:t>
      </w:r>
    </w:p>
    <w:p w14:paraId="0B34050C">
      <w:pPr>
        <w:rPr>
          <w:rFonts w:cs="Times New Roman"/>
        </w:rPr>
      </w:pPr>
    </w:p>
    <w:p w14:paraId="65B25FBE">
      <w:pPr>
        <w:rPr>
          <w:rFonts w:cs="Times New Roman"/>
        </w:rPr>
      </w:pPr>
      <w:r>
        <w:rPr>
          <w:rFonts w:hint="eastAsia" w:cs="Times New Roman"/>
        </w:rPr>
        <w:t>Figure 1</w:t>
      </w:r>
      <w:r>
        <w:rPr>
          <w:rFonts w:hint="eastAsia" w:cs="Times New Roman"/>
          <w:lang w:val="en-US" w:eastAsia="zh-CN"/>
        </w:rPr>
        <w:t>0</w:t>
      </w:r>
      <w:r>
        <w:rPr>
          <w:rFonts w:hint="eastAsia" w:cs="Times New Roman"/>
        </w:rPr>
        <w:t>: ROA</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0"/>
        <w:gridCol w:w="769"/>
        <w:gridCol w:w="796"/>
        <w:gridCol w:w="770"/>
        <w:gridCol w:w="796"/>
        <w:gridCol w:w="770"/>
        <w:gridCol w:w="770"/>
        <w:gridCol w:w="770"/>
        <w:gridCol w:w="770"/>
        <w:gridCol w:w="770"/>
        <w:gridCol w:w="771"/>
      </w:tblGrid>
      <w:tr w14:paraId="5BA5A8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070FF9AF">
            <w:pPr>
              <w:rPr>
                <w:rFonts w:cs="Times New Roman"/>
              </w:rPr>
            </w:pPr>
          </w:p>
        </w:tc>
        <w:tc>
          <w:tcPr>
            <w:tcW w:w="774" w:type="dxa"/>
          </w:tcPr>
          <w:p w14:paraId="0AEA5325">
            <w:pPr>
              <w:rPr>
                <w:rFonts w:cs="Times New Roman"/>
              </w:rPr>
            </w:pPr>
            <w:r>
              <w:rPr>
                <w:rFonts w:hint="eastAsia" w:cs="Times New Roman"/>
              </w:rPr>
              <w:t>2023</w:t>
            </w:r>
          </w:p>
        </w:tc>
        <w:tc>
          <w:tcPr>
            <w:tcW w:w="774" w:type="dxa"/>
          </w:tcPr>
          <w:p w14:paraId="5A845821">
            <w:pPr>
              <w:rPr>
                <w:rFonts w:cs="Times New Roman"/>
              </w:rPr>
            </w:pPr>
            <w:r>
              <w:rPr>
                <w:rFonts w:hint="eastAsia" w:cs="Times New Roman"/>
              </w:rPr>
              <w:t>2022</w:t>
            </w:r>
          </w:p>
        </w:tc>
        <w:tc>
          <w:tcPr>
            <w:tcW w:w="775" w:type="dxa"/>
          </w:tcPr>
          <w:p w14:paraId="2235D1D7">
            <w:pPr>
              <w:rPr>
                <w:rFonts w:cs="Times New Roman"/>
              </w:rPr>
            </w:pPr>
            <w:r>
              <w:rPr>
                <w:rFonts w:hint="eastAsia" w:cs="Times New Roman"/>
              </w:rPr>
              <w:t>2021</w:t>
            </w:r>
          </w:p>
        </w:tc>
        <w:tc>
          <w:tcPr>
            <w:tcW w:w="775" w:type="dxa"/>
          </w:tcPr>
          <w:p w14:paraId="05BFF582">
            <w:pPr>
              <w:rPr>
                <w:rFonts w:cs="Times New Roman"/>
              </w:rPr>
            </w:pPr>
            <w:r>
              <w:rPr>
                <w:rFonts w:hint="eastAsia" w:cs="Times New Roman"/>
              </w:rPr>
              <w:t>2020</w:t>
            </w:r>
          </w:p>
        </w:tc>
        <w:tc>
          <w:tcPr>
            <w:tcW w:w="775" w:type="dxa"/>
          </w:tcPr>
          <w:p w14:paraId="303A2BE2">
            <w:pPr>
              <w:rPr>
                <w:rFonts w:cs="Times New Roman"/>
              </w:rPr>
            </w:pPr>
            <w:r>
              <w:rPr>
                <w:rFonts w:hint="eastAsia" w:cs="Times New Roman"/>
              </w:rPr>
              <w:t>2019</w:t>
            </w:r>
          </w:p>
        </w:tc>
        <w:tc>
          <w:tcPr>
            <w:tcW w:w="775" w:type="dxa"/>
          </w:tcPr>
          <w:p w14:paraId="42B244A9">
            <w:pPr>
              <w:rPr>
                <w:rFonts w:cs="Times New Roman"/>
              </w:rPr>
            </w:pPr>
            <w:r>
              <w:rPr>
                <w:rFonts w:hint="eastAsia" w:cs="Times New Roman"/>
              </w:rPr>
              <w:t>2018</w:t>
            </w:r>
          </w:p>
        </w:tc>
        <w:tc>
          <w:tcPr>
            <w:tcW w:w="775" w:type="dxa"/>
          </w:tcPr>
          <w:p w14:paraId="4C00CCC7">
            <w:pPr>
              <w:rPr>
                <w:rFonts w:cs="Times New Roman"/>
              </w:rPr>
            </w:pPr>
            <w:r>
              <w:rPr>
                <w:rFonts w:hint="eastAsia" w:cs="Times New Roman"/>
              </w:rPr>
              <w:t>2017</w:t>
            </w:r>
          </w:p>
        </w:tc>
        <w:tc>
          <w:tcPr>
            <w:tcW w:w="775" w:type="dxa"/>
          </w:tcPr>
          <w:p w14:paraId="55BCCFC6">
            <w:pPr>
              <w:rPr>
                <w:rFonts w:cs="Times New Roman"/>
              </w:rPr>
            </w:pPr>
            <w:r>
              <w:rPr>
                <w:rFonts w:hint="eastAsia" w:cs="Times New Roman"/>
              </w:rPr>
              <w:t>2016</w:t>
            </w:r>
          </w:p>
        </w:tc>
        <w:tc>
          <w:tcPr>
            <w:tcW w:w="775" w:type="dxa"/>
          </w:tcPr>
          <w:p w14:paraId="477BC4D5">
            <w:pPr>
              <w:rPr>
                <w:rFonts w:cs="Times New Roman"/>
              </w:rPr>
            </w:pPr>
            <w:r>
              <w:rPr>
                <w:rFonts w:hint="eastAsia" w:cs="Times New Roman"/>
              </w:rPr>
              <w:t>2015</w:t>
            </w:r>
          </w:p>
        </w:tc>
        <w:tc>
          <w:tcPr>
            <w:tcW w:w="775" w:type="dxa"/>
          </w:tcPr>
          <w:p w14:paraId="723AFA6A">
            <w:pPr>
              <w:rPr>
                <w:rFonts w:cs="Times New Roman"/>
              </w:rPr>
            </w:pPr>
            <w:r>
              <w:rPr>
                <w:rFonts w:hint="eastAsia" w:cs="Times New Roman"/>
              </w:rPr>
              <w:t>2014</w:t>
            </w:r>
          </w:p>
        </w:tc>
      </w:tr>
      <w:tr w14:paraId="3550A7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7D4F303D">
            <w:pPr>
              <w:rPr>
                <w:rFonts w:cs="Times New Roman"/>
              </w:rPr>
            </w:pPr>
            <w:r>
              <w:rPr>
                <w:rFonts w:hint="eastAsia" w:cs="Times New Roman"/>
              </w:rPr>
              <w:t>BYD</w:t>
            </w:r>
          </w:p>
        </w:tc>
        <w:tc>
          <w:tcPr>
            <w:tcW w:w="774" w:type="dxa"/>
          </w:tcPr>
          <w:p w14:paraId="61FA9CAE">
            <w:pPr>
              <w:rPr>
                <w:rFonts w:cs="Times New Roman"/>
              </w:rPr>
            </w:pPr>
            <w:r>
              <w:rPr>
                <w:rFonts w:hint="eastAsia" w:cs="Times New Roman"/>
              </w:rPr>
              <w:t>4.6</w:t>
            </w:r>
            <w:r>
              <w:rPr>
                <w:rFonts w:cs="Times New Roman"/>
              </w:rPr>
              <w:t>%</w:t>
            </w:r>
          </w:p>
        </w:tc>
        <w:tc>
          <w:tcPr>
            <w:tcW w:w="774" w:type="dxa"/>
          </w:tcPr>
          <w:p w14:paraId="66599740">
            <w:pPr>
              <w:rPr>
                <w:rFonts w:cs="Times New Roman"/>
              </w:rPr>
            </w:pPr>
            <w:r>
              <w:rPr>
                <w:rFonts w:hint="eastAsia" w:cs="Times New Roman"/>
              </w:rPr>
              <w:t>3.6</w:t>
            </w:r>
            <w:r>
              <w:rPr>
                <w:rFonts w:cs="Times New Roman"/>
              </w:rPr>
              <w:t>%</w:t>
            </w:r>
          </w:p>
        </w:tc>
        <w:tc>
          <w:tcPr>
            <w:tcW w:w="775" w:type="dxa"/>
          </w:tcPr>
          <w:p w14:paraId="160C5C80">
            <w:pPr>
              <w:rPr>
                <w:rFonts w:cs="Times New Roman"/>
              </w:rPr>
            </w:pPr>
            <w:r>
              <w:rPr>
                <w:rFonts w:hint="eastAsia" w:cs="Times New Roman"/>
              </w:rPr>
              <w:t>1.3</w:t>
            </w:r>
            <w:r>
              <w:rPr>
                <w:rFonts w:cs="Times New Roman"/>
              </w:rPr>
              <w:t>%</w:t>
            </w:r>
          </w:p>
        </w:tc>
        <w:tc>
          <w:tcPr>
            <w:tcW w:w="775" w:type="dxa"/>
          </w:tcPr>
          <w:p w14:paraId="734563B4">
            <w:pPr>
              <w:rPr>
                <w:rFonts w:cs="Times New Roman"/>
              </w:rPr>
            </w:pPr>
            <w:r>
              <w:rPr>
                <w:rFonts w:hint="eastAsia" w:cs="Times New Roman"/>
              </w:rPr>
              <w:t>3.0</w:t>
            </w:r>
            <w:r>
              <w:rPr>
                <w:rFonts w:cs="Times New Roman"/>
              </w:rPr>
              <w:t>%</w:t>
            </w:r>
          </w:p>
        </w:tc>
        <w:tc>
          <w:tcPr>
            <w:tcW w:w="775" w:type="dxa"/>
          </w:tcPr>
          <w:p w14:paraId="480EDBFD">
            <w:pPr>
              <w:rPr>
                <w:rFonts w:cs="Times New Roman"/>
              </w:rPr>
            </w:pPr>
            <w:r>
              <w:rPr>
                <w:rFonts w:hint="eastAsia" w:cs="Times New Roman"/>
              </w:rPr>
              <w:t>1.1</w:t>
            </w:r>
            <w:r>
              <w:rPr>
                <w:rFonts w:cs="Times New Roman"/>
              </w:rPr>
              <w:t>%</w:t>
            </w:r>
          </w:p>
        </w:tc>
        <w:tc>
          <w:tcPr>
            <w:tcW w:w="775" w:type="dxa"/>
          </w:tcPr>
          <w:p w14:paraId="7D1A4C74">
            <w:pPr>
              <w:rPr>
                <w:rFonts w:cs="Times New Roman"/>
              </w:rPr>
            </w:pPr>
            <w:r>
              <w:rPr>
                <w:rFonts w:hint="eastAsia" w:cs="Times New Roman"/>
              </w:rPr>
              <w:t>1.0</w:t>
            </w:r>
            <w:r>
              <w:rPr>
                <w:rFonts w:cs="Times New Roman"/>
              </w:rPr>
              <w:t>%</w:t>
            </w:r>
          </w:p>
        </w:tc>
        <w:tc>
          <w:tcPr>
            <w:tcW w:w="775" w:type="dxa"/>
          </w:tcPr>
          <w:p w14:paraId="74F3EC48">
            <w:pPr>
              <w:rPr>
                <w:rFonts w:cs="Times New Roman"/>
              </w:rPr>
            </w:pPr>
            <w:r>
              <w:rPr>
                <w:rFonts w:hint="eastAsia" w:cs="Times New Roman"/>
              </w:rPr>
              <w:t>2.9</w:t>
            </w:r>
            <w:r>
              <w:rPr>
                <w:rFonts w:cs="Times New Roman"/>
              </w:rPr>
              <w:t>%</w:t>
            </w:r>
          </w:p>
        </w:tc>
        <w:tc>
          <w:tcPr>
            <w:tcW w:w="775" w:type="dxa"/>
          </w:tcPr>
          <w:p w14:paraId="4CBC86F5">
            <w:pPr>
              <w:rPr>
                <w:rFonts w:cs="Times New Roman"/>
              </w:rPr>
            </w:pPr>
            <w:r>
              <w:rPr>
                <w:rFonts w:hint="eastAsia" w:cs="Times New Roman"/>
              </w:rPr>
              <w:t>3.9</w:t>
            </w:r>
            <w:r>
              <w:rPr>
                <w:rFonts w:cs="Times New Roman"/>
              </w:rPr>
              <w:t>%</w:t>
            </w:r>
          </w:p>
        </w:tc>
        <w:tc>
          <w:tcPr>
            <w:tcW w:w="775" w:type="dxa"/>
          </w:tcPr>
          <w:p w14:paraId="77924822">
            <w:pPr>
              <w:rPr>
                <w:rFonts w:cs="Times New Roman"/>
              </w:rPr>
            </w:pPr>
            <w:r>
              <w:rPr>
                <w:rFonts w:hint="eastAsia" w:cs="Times New Roman"/>
              </w:rPr>
              <w:t>3.6</w:t>
            </w:r>
            <w:r>
              <w:rPr>
                <w:rFonts w:cs="Times New Roman"/>
              </w:rPr>
              <w:t>%</w:t>
            </w:r>
          </w:p>
        </w:tc>
        <w:tc>
          <w:tcPr>
            <w:tcW w:w="775" w:type="dxa"/>
          </w:tcPr>
          <w:p w14:paraId="41E6261B">
            <w:pPr>
              <w:rPr>
                <w:rFonts w:cs="Times New Roman"/>
              </w:rPr>
            </w:pPr>
            <w:r>
              <w:rPr>
                <w:rFonts w:hint="eastAsia" w:cs="Times New Roman"/>
              </w:rPr>
              <w:t>0.8</w:t>
            </w:r>
            <w:r>
              <w:rPr>
                <w:rFonts w:cs="Times New Roman"/>
              </w:rPr>
              <w:t>%</w:t>
            </w:r>
          </w:p>
        </w:tc>
      </w:tr>
      <w:tr w14:paraId="77E083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7225CEB3">
            <w:pPr>
              <w:rPr>
                <w:rFonts w:cs="Times New Roman"/>
              </w:rPr>
            </w:pPr>
            <w:r>
              <w:rPr>
                <w:rFonts w:hint="eastAsia" w:cs="Times New Roman"/>
              </w:rPr>
              <w:t>Ford</w:t>
            </w:r>
          </w:p>
        </w:tc>
        <w:tc>
          <w:tcPr>
            <w:tcW w:w="774" w:type="dxa"/>
          </w:tcPr>
          <w:p w14:paraId="2F77AA94">
            <w:pPr>
              <w:rPr>
                <w:rFonts w:cs="Times New Roman"/>
              </w:rPr>
            </w:pPr>
            <w:r>
              <w:rPr>
                <w:rFonts w:hint="eastAsia" w:cs="Times New Roman"/>
              </w:rPr>
              <w:t>1.7</w:t>
            </w:r>
            <w:r>
              <w:rPr>
                <w:rFonts w:cs="Times New Roman"/>
              </w:rPr>
              <w:t>%</w:t>
            </w:r>
          </w:p>
        </w:tc>
        <w:tc>
          <w:tcPr>
            <w:tcW w:w="774" w:type="dxa"/>
          </w:tcPr>
          <w:p w14:paraId="1CD7CBDB">
            <w:pPr>
              <w:rPr>
                <w:rFonts w:cs="Times New Roman"/>
              </w:rPr>
            </w:pPr>
            <w:r>
              <w:rPr>
                <w:rFonts w:hint="eastAsia" w:cs="Times New Roman"/>
              </w:rPr>
              <w:t>-0.8</w:t>
            </w:r>
            <w:r>
              <w:rPr>
                <w:rFonts w:cs="Times New Roman"/>
              </w:rPr>
              <w:t>%</w:t>
            </w:r>
          </w:p>
        </w:tc>
        <w:tc>
          <w:tcPr>
            <w:tcW w:w="775" w:type="dxa"/>
          </w:tcPr>
          <w:p w14:paraId="1DB44D1A">
            <w:pPr>
              <w:rPr>
                <w:rFonts w:cs="Times New Roman"/>
              </w:rPr>
            </w:pPr>
            <w:r>
              <w:rPr>
                <w:rFonts w:hint="eastAsia" w:cs="Times New Roman"/>
              </w:rPr>
              <w:t>6.9</w:t>
            </w:r>
            <w:r>
              <w:rPr>
                <w:rFonts w:cs="Times New Roman"/>
              </w:rPr>
              <w:t>%</w:t>
            </w:r>
          </w:p>
        </w:tc>
        <w:tc>
          <w:tcPr>
            <w:tcW w:w="775" w:type="dxa"/>
          </w:tcPr>
          <w:p w14:paraId="28FEAF4B">
            <w:pPr>
              <w:rPr>
                <w:rFonts w:cs="Times New Roman"/>
              </w:rPr>
            </w:pPr>
            <w:r>
              <w:rPr>
                <w:rFonts w:hint="eastAsia" w:cs="Times New Roman"/>
              </w:rPr>
              <w:t>-0.5</w:t>
            </w:r>
            <w:r>
              <w:rPr>
                <w:rFonts w:cs="Times New Roman"/>
              </w:rPr>
              <w:t>%</w:t>
            </w:r>
          </w:p>
        </w:tc>
        <w:tc>
          <w:tcPr>
            <w:tcW w:w="775" w:type="dxa"/>
          </w:tcPr>
          <w:p w14:paraId="4D97A9B6">
            <w:pPr>
              <w:rPr>
                <w:rFonts w:cs="Times New Roman"/>
              </w:rPr>
            </w:pPr>
            <w:r>
              <w:rPr>
                <w:rFonts w:hint="eastAsia" w:cs="Times New Roman"/>
              </w:rPr>
              <w:t>0</w:t>
            </w:r>
            <w:r>
              <w:rPr>
                <w:rFonts w:cs="Times New Roman"/>
              </w:rPr>
              <w:t>%</w:t>
            </w:r>
          </w:p>
        </w:tc>
        <w:tc>
          <w:tcPr>
            <w:tcW w:w="775" w:type="dxa"/>
          </w:tcPr>
          <w:p w14:paraId="4E56804F">
            <w:pPr>
              <w:rPr>
                <w:rFonts w:cs="Times New Roman"/>
              </w:rPr>
            </w:pPr>
            <w:r>
              <w:rPr>
                <w:rFonts w:hint="eastAsia" w:cs="Times New Roman"/>
              </w:rPr>
              <w:t>1.5</w:t>
            </w:r>
            <w:r>
              <w:rPr>
                <w:rFonts w:cs="Times New Roman"/>
              </w:rPr>
              <w:t>%</w:t>
            </w:r>
          </w:p>
        </w:tc>
        <w:tc>
          <w:tcPr>
            <w:tcW w:w="775" w:type="dxa"/>
          </w:tcPr>
          <w:p w14:paraId="678544B1">
            <w:pPr>
              <w:rPr>
                <w:rFonts w:cs="Times New Roman"/>
              </w:rPr>
            </w:pPr>
            <w:r>
              <w:rPr>
                <w:rFonts w:hint="eastAsia" w:cs="Times New Roman"/>
              </w:rPr>
              <w:t>3.2</w:t>
            </w:r>
            <w:r>
              <w:rPr>
                <w:rFonts w:cs="Times New Roman"/>
              </w:rPr>
              <w:t>%</w:t>
            </w:r>
          </w:p>
        </w:tc>
        <w:tc>
          <w:tcPr>
            <w:tcW w:w="775" w:type="dxa"/>
          </w:tcPr>
          <w:p w14:paraId="7EA92D03">
            <w:pPr>
              <w:rPr>
                <w:rFonts w:cs="Times New Roman"/>
              </w:rPr>
            </w:pPr>
            <w:r>
              <w:rPr>
                <w:rFonts w:hint="eastAsia" w:cs="Times New Roman"/>
              </w:rPr>
              <w:t>2.1</w:t>
            </w:r>
            <w:r>
              <w:rPr>
                <w:rFonts w:cs="Times New Roman"/>
              </w:rPr>
              <w:t>%</w:t>
            </w:r>
          </w:p>
        </w:tc>
        <w:tc>
          <w:tcPr>
            <w:tcW w:w="775" w:type="dxa"/>
          </w:tcPr>
          <w:p w14:paraId="3B30CFD0">
            <w:pPr>
              <w:rPr>
                <w:rFonts w:cs="Times New Roman"/>
              </w:rPr>
            </w:pPr>
            <w:r>
              <w:rPr>
                <w:rFonts w:hint="eastAsia" w:cs="Times New Roman"/>
              </w:rPr>
              <w:t>3.4</w:t>
            </w:r>
            <w:r>
              <w:rPr>
                <w:rFonts w:cs="Times New Roman"/>
              </w:rPr>
              <w:t>%</w:t>
            </w:r>
          </w:p>
        </w:tc>
        <w:tc>
          <w:tcPr>
            <w:tcW w:w="775" w:type="dxa"/>
          </w:tcPr>
          <w:p w14:paraId="5AA144FD">
            <w:pPr>
              <w:rPr>
                <w:rFonts w:cs="Times New Roman"/>
              </w:rPr>
            </w:pPr>
            <w:r>
              <w:rPr>
                <w:rFonts w:hint="eastAsia" w:cs="Times New Roman"/>
              </w:rPr>
              <w:t>0.6</w:t>
            </w:r>
            <w:r>
              <w:rPr>
                <w:rFonts w:cs="Times New Roman"/>
              </w:rPr>
              <w:t>%</w:t>
            </w:r>
          </w:p>
        </w:tc>
      </w:tr>
    </w:tbl>
    <w:p w14:paraId="0A5D6FC1">
      <w:pPr>
        <w:rPr>
          <w:rFonts w:cs="Times New Roman"/>
        </w:rPr>
      </w:pPr>
      <w:r>
        <w:rPr>
          <w:rFonts w:hint="eastAsia" w:cs="Times New Roman"/>
        </w:rPr>
        <w:t>BYD</w:t>
      </w:r>
      <w:r>
        <w:rPr>
          <w:rFonts w:cs="Times New Roman"/>
        </w:rPr>
        <w:t>’</w:t>
      </w:r>
      <w:r>
        <w:rPr>
          <w:rFonts w:hint="eastAsia" w:cs="Times New Roman"/>
        </w:rPr>
        <w:t>s Average: 2.58%  ;  Ford</w:t>
      </w:r>
      <w:r>
        <w:rPr>
          <w:rFonts w:cs="Times New Roman"/>
        </w:rPr>
        <w:t>’</w:t>
      </w:r>
      <w:r>
        <w:rPr>
          <w:rFonts w:hint="eastAsia" w:cs="Times New Roman"/>
        </w:rPr>
        <w:t>s Average: 1.81% ; P-value: 0.380</w:t>
      </w:r>
    </w:p>
    <w:p w14:paraId="3D9501BA">
      <w:pPr>
        <w:rPr>
          <w:rFonts w:cs="Times New Roman"/>
        </w:rPr>
      </w:pPr>
    </w:p>
    <w:p w14:paraId="18700268">
      <w:pPr>
        <w:rPr>
          <w:rFonts w:cs="Times New Roman"/>
        </w:rPr>
      </w:pPr>
      <w:r>
        <w:rPr>
          <w:rFonts w:hint="eastAsia" w:cs="Times New Roman"/>
        </w:rPr>
        <w:t>Figure 1</w:t>
      </w:r>
      <w:r>
        <w:rPr>
          <w:rFonts w:hint="eastAsia" w:cs="Times New Roman"/>
          <w:lang w:val="en-US" w:eastAsia="zh-CN"/>
        </w:rPr>
        <w:t>1</w:t>
      </w:r>
      <w:r>
        <w:rPr>
          <w:rFonts w:hint="eastAsia" w:cs="Times New Roman"/>
        </w:rPr>
        <w:t>: ROE</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44"/>
        <w:gridCol w:w="785"/>
        <w:gridCol w:w="785"/>
        <w:gridCol w:w="785"/>
        <w:gridCol w:w="785"/>
        <w:gridCol w:w="749"/>
        <w:gridCol w:w="785"/>
        <w:gridCol w:w="785"/>
        <w:gridCol w:w="785"/>
        <w:gridCol w:w="785"/>
        <w:gridCol w:w="749"/>
      </w:tblGrid>
      <w:tr w14:paraId="08647E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1C190E59">
            <w:pPr>
              <w:rPr>
                <w:rFonts w:cs="Times New Roman"/>
              </w:rPr>
            </w:pPr>
          </w:p>
        </w:tc>
        <w:tc>
          <w:tcPr>
            <w:tcW w:w="774" w:type="dxa"/>
          </w:tcPr>
          <w:p w14:paraId="08483983">
            <w:pPr>
              <w:rPr>
                <w:rFonts w:cs="Times New Roman"/>
              </w:rPr>
            </w:pPr>
            <w:r>
              <w:rPr>
                <w:rFonts w:hint="eastAsia" w:cs="Times New Roman"/>
              </w:rPr>
              <w:t>2023</w:t>
            </w:r>
          </w:p>
        </w:tc>
        <w:tc>
          <w:tcPr>
            <w:tcW w:w="774" w:type="dxa"/>
          </w:tcPr>
          <w:p w14:paraId="55D30D83">
            <w:pPr>
              <w:rPr>
                <w:rFonts w:cs="Times New Roman"/>
              </w:rPr>
            </w:pPr>
            <w:r>
              <w:rPr>
                <w:rFonts w:hint="eastAsia" w:cs="Times New Roman"/>
              </w:rPr>
              <w:t>2022</w:t>
            </w:r>
          </w:p>
        </w:tc>
        <w:tc>
          <w:tcPr>
            <w:tcW w:w="775" w:type="dxa"/>
          </w:tcPr>
          <w:p w14:paraId="1CBA39E7">
            <w:pPr>
              <w:rPr>
                <w:rFonts w:cs="Times New Roman"/>
              </w:rPr>
            </w:pPr>
            <w:r>
              <w:rPr>
                <w:rFonts w:hint="eastAsia" w:cs="Times New Roman"/>
              </w:rPr>
              <w:t>2021</w:t>
            </w:r>
          </w:p>
        </w:tc>
        <w:tc>
          <w:tcPr>
            <w:tcW w:w="775" w:type="dxa"/>
          </w:tcPr>
          <w:p w14:paraId="2F4C0831">
            <w:pPr>
              <w:rPr>
                <w:rFonts w:cs="Times New Roman"/>
              </w:rPr>
            </w:pPr>
            <w:r>
              <w:rPr>
                <w:rFonts w:hint="eastAsia" w:cs="Times New Roman"/>
              </w:rPr>
              <w:t>2020</w:t>
            </w:r>
          </w:p>
        </w:tc>
        <w:tc>
          <w:tcPr>
            <w:tcW w:w="775" w:type="dxa"/>
          </w:tcPr>
          <w:p w14:paraId="12E31F43">
            <w:pPr>
              <w:rPr>
                <w:rFonts w:cs="Times New Roman"/>
              </w:rPr>
            </w:pPr>
            <w:r>
              <w:rPr>
                <w:rFonts w:hint="eastAsia" w:cs="Times New Roman"/>
              </w:rPr>
              <w:t>2019</w:t>
            </w:r>
          </w:p>
        </w:tc>
        <w:tc>
          <w:tcPr>
            <w:tcW w:w="775" w:type="dxa"/>
          </w:tcPr>
          <w:p w14:paraId="2E33108D">
            <w:pPr>
              <w:rPr>
                <w:rFonts w:cs="Times New Roman"/>
              </w:rPr>
            </w:pPr>
            <w:r>
              <w:rPr>
                <w:rFonts w:hint="eastAsia" w:cs="Times New Roman"/>
              </w:rPr>
              <w:t>2018</w:t>
            </w:r>
          </w:p>
        </w:tc>
        <w:tc>
          <w:tcPr>
            <w:tcW w:w="775" w:type="dxa"/>
          </w:tcPr>
          <w:p w14:paraId="780EC870">
            <w:pPr>
              <w:rPr>
                <w:rFonts w:cs="Times New Roman"/>
              </w:rPr>
            </w:pPr>
            <w:r>
              <w:rPr>
                <w:rFonts w:hint="eastAsia" w:cs="Times New Roman"/>
              </w:rPr>
              <w:t>2017</w:t>
            </w:r>
          </w:p>
        </w:tc>
        <w:tc>
          <w:tcPr>
            <w:tcW w:w="775" w:type="dxa"/>
          </w:tcPr>
          <w:p w14:paraId="6A2C5B02">
            <w:pPr>
              <w:rPr>
                <w:rFonts w:cs="Times New Roman"/>
              </w:rPr>
            </w:pPr>
            <w:r>
              <w:rPr>
                <w:rFonts w:hint="eastAsia" w:cs="Times New Roman"/>
              </w:rPr>
              <w:t>2016</w:t>
            </w:r>
          </w:p>
        </w:tc>
        <w:tc>
          <w:tcPr>
            <w:tcW w:w="775" w:type="dxa"/>
          </w:tcPr>
          <w:p w14:paraId="42AC5257">
            <w:pPr>
              <w:rPr>
                <w:rFonts w:cs="Times New Roman"/>
              </w:rPr>
            </w:pPr>
            <w:r>
              <w:rPr>
                <w:rFonts w:hint="eastAsia" w:cs="Times New Roman"/>
              </w:rPr>
              <w:t>2015</w:t>
            </w:r>
          </w:p>
        </w:tc>
        <w:tc>
          <w:tcPr>
            <w:tcW w:w="775" w:type="dxa"/>
          </w:tcPr>
          <w:p w14:paraId="67DF9BAF">
            <w:pPr>
              <w:rPr>
                <w:rFonts w:cs="Times New Roman"/>
              </w:rPr>
            </w:pPr>
            <w:r>
              <w:rPr>
                <w:rFonts w:hint="eastAsia" w:cs="Times New Roman"/>
              </w:rPr>
              <w:t>2014</w:t>
            </w:r>
          </w:p>
        </w:tc>
      </w:tr>
      <w:tr w14:paraId="381E9A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125EDD4C">
            <w:pPr>
              <w:rPr>
                <w:rFonts w:cs="Times New Roman"/>
                <w:sz w:val="22"/>
                <w:szCs w:val="21"/>
              </w:rPr>
            </w:pPr>
            <w:r>
              <w:rPr>
                <w:rFonts w:hint="eastAsia" w:cs="Times New Roman"/>
                <w:sz w:val="22"/>
                <w:szCs w:val="21"/>
              </w:rPr>
              <w:t>BYD</w:t>
            </w:r>
          </w:p>
        </w:tc>
        <w:tc>
          <w:tcPr>
            <w:tcW w:w="774" w:type="dxa"/>
          </w:tcPr>
          <w:p w14:paraId="5C5C6EC5">
            <w:pPr>
              <w:rPr>
                <w:rFonts w:cs="Times New Roman"/>
                <w:sz w:val="22"/>
                <w:szCs w:val="21"/>
              </w:rPr>
            </w:pPr>
            <w:r>
              <w:rPr>
                <w:rFonts w:hint="eastAsia" w:cs="Times New Roman"/>
                <w:sz w:val="22"/>
                <w:szCs w:val="21"/>
              </w:rPr>
              <w:t>20.8</w:t>
            </w:r>
            <w:r>
              <w:rPr>
                <w:rFonts w:cs="Times New Roman"/>
                <w:sz w:val="22"/>
                <w:szCs w:val="21"/>
              </w:rPr>
              <w:t>%</w:t>
            </w:r>
          </w:p>
        </w:tc>
        <w:tc>
          <w:tcPr>
            <w:tcW w:w="774" w:type="dxa"/>
          </w:tcPr>
          <w:p w14:paraId="61126451">
            <w:pPr>
              <w:rPr>
                <w:rFonts w:cs="Times New Roman"/>
                <w:sz w:val="22"/>
                <w:szCs w:val="21"/>
              </w:rPr>
            </w:pPr>
            <w:r>
              <w:rPr>
                <w:rFonts w:hint="eastAsia" w:cs="Times New Roman"/>
                <w:sz w:val="22"/>
                <w:szCs w:val="21"/>
              </w:rPr>
              <w:t>14.6</w:t>
            </w:r>
            <w:r>
              <w:rPr>
                <w:rFonts w:cs="Times New Roman"/>
                <w:sz w:val="22"/>
                <w:szCs w:val="21"/>
              </w:rPr>
              <w:t>%</w:t>
            </w:r>
          </w:p>
        </w:tc>
        <w:tc>
          <w:tcPr>
            <w:tcW w:w="775" w:type="dxa"/>
          </w:tcPr>
          <w:p w14:paraId="199F4EB8">
            <w:pPr>
              <w:rPr>
                <w:rFonts w:cs="Times New Roman"/>
                <w:sz w:val="22"/>
                <w:szCs w:val="21"/>
              </w:rPr>
            </w:pPr>
            <w:r>
              <w:rPr>
                <w:rFonts w:hint="eastAsia" w:cs="Times New Roman"/>
                <w:sz w:val="22"/>
                <w:szCs w:val="21"/>
              </w:rPr>
              <w:t>4.2</w:t>
            </w:r>
            <w:r>
              <w:rPr>
                <w:rFonts w:cs="Times New Roman"/>
                <w:sz w:val="22"/>
                <w:szCs w:val="21"/>
              </w:rPr>
              <w:t>%</w:t>
            </w:r>
          </w:p>
        </w:tc>
        <w:tc>
          <w:tcPr>
            <w:tcW w:w="775" w:type="dxa"/>
          </w:tcPr>
          <w:p w14:paraId="0F9BB3C6">
            <w:pPr>
              <w:rPr>
                <w:rFonts w:cs="Times New Roman"/>
                <w:sz w:val="22"/>
                <w:szCs w:val="21"/>
              </w:rPr>
            </w:pPr>
            <w:r>
              <w:rPr>
                <w:rFonts w:hint="eastAsia" w:cs="Times New Roman"/>
                <w:sz w:val="22"/>
                <w:szCs w:val="21"/>
              </w:rPr>
              <w:t>10.6</w:t>
            </w:r>
            <w:r>
              <w:rPr>
                <w:rFonts w:cs="Times New Roman"/>
                <w:sz w:val="22"/>
                <w:szCs w:val="21"/>
              </w:rPr>
              <w:t>%</w:t>
            </w:r>
          </w:p>
        </w:tc>
        <w:tc>
          <w:tcPr>
            <w:tcW w:w="775" w:type="dxa"/>
          </w:tcPr>
          <w:p w14:paraId="634C7EFB">
            <w:pPr>
              <w:rPr>
                <w:rFonts w:cs="Times New Roman"/>
                <w:sz w:val="22"/>
                <w:szCs w:val="21"/>
              </w:rPr>
            </w:pPr>
            <w:r>
              <w:rPr>
                <w:rFonts w:hint="eastAsia" w:cs="Times New Roman"/>
                <w:sz w:val="22"/>
                <w:szCs w:val="21"/>
              </w:rPr>
              <w:t>3.7</w:t>
            </w:r>
            <w:r>
              <w:rPr>
                <w:rFonts w:cs="Times New Roman"/>
                <w:sz w:val="22"/>
                <w:szCs w:val="21"/>
              </w:rPr>
              <w:t>%</w:t>
            </w:r>
          </w:p>
        </w:tc>
        <w:tc>
          <w:tcPr>
            <w:tcW w:w="775" w:type="dxa"/>
          </w:tcPr>
          <w:p w14:paraId="08B04B0A">
            <w:pPr>
              <w:rPr>
                <w:rFonts w:cs="Times New Roman"/>
                <w:sz w:val="22"/>
                <w:szCs w:val="21"/>
              </w:rPr>
            </w:pPr>
            <w:r>
              <w:rPr>
                <w:rFonts w:hint="eastAsia" w:cs="Times New Roman"/>
                <w:sz w:val="22"/>
                <w:szCs w:val="21"/>
              </w:rPr>
              <w:t>3.6</w:t>
            </w:r>
            <w:r>
              <w:rPr>
                <w:rFonts w:cs="Times New Roman"/>
                <w:sz w:val="22"/>
                <w:szCs w:val="21"/>
              </w:rPr>
              <w:t>%</w:t>
            </w:r>
          </w:p>
        </w:tc>
        <w:tc>
          <w:tcPr>
            <w:tcW w:w="775" w:type="dxa"/>
          </w:tcPr>
          <w:p w14:paraId="6E3B68AA">
            <w:pPr>
              <w:rPr>
                <w:rFonts w:cs="Times New Roman"/>
                <w:sz w:val="22"/>
                <w:szCs w:val="21"/>
              </w:rPr>
            </w:pPr>
            <w:r>
              <w:rPr>
                <w:rFonts w:hint="eastAsia" w:cs="Times New Roman"/>
                <w:sz w:val="22"/>
                <w:szCs w:val="21"/>
              </w:rPr>
              <w:t>9.5</w:t>
            </w:r>
            <w:r>
              <w:rPr>
                <w:rFonts w:cs="Times New Roman"/>
                <w:sz w:val="22"/>
                <w:szCs w:val="21"/>
              </w:rPr>
              <w:t>%</w:t>
            </w:r>
          </w:p>
        </w:tc>
        <w:tc>
          <w:tcPr>
            <w:tcW w:w="775" w:type="dxa"/>
          </w:tcPr>
          <w:p w14:paraId="782B3E23">
            <w:pPr>
              <w:rPr>
                <w:rFonts w:cs="Times New Roman"/>
                <w:sz w:val="22"/>
                <w:szCs w:val="21"/>
              </w:rPr>
            </w:pPr>
            <w:r>
              <w:rPr>
                <w:rFonts w:hint="eastAsia" w:cs="Times New Roman"/>
                <w:sz w:val="22"/>
                <w:szCs w:val="21"/>
              </w:rPr>
              <w:t>11</w:t>
            </w:r>
            <w:r>
              <w:rPr>
                <w:rFonts w:cs="Times New Roman"/>
                <w:sz w:val="22"/>
                <w:szCs w:val="21"/>
              </w:rPr>
              <w:t>%</w:t>
            </w:r>
          </w:p>
        </w:tc>
        <w:tc>
          <w:tcPr>
            <w:tcW w:w="775" w:type="dxa"/>
          </w:tcPr>
          <w:p w14:paraId="2DFBB2A3">
            <w:pPr>
              <w:rPr>
                <w:rFonts w:cs="Times New Roman"/>
                <w:sz w:val="22"/>
                <w:szCs w:val="21"/>
              </w:rPr>
            </w:pPr>
            <w:r>
              <w:rPr>
                <w:rFonts w:hint="eastAsia" w:cs="Times New Roman"/>
                <w:sz w:val="22"/>
                <w:szCs w:val="21"/>
              </w:rPr>
              <w:t>12.7</w:t>
            </w:r>
            <w:r>
              <w:rPr>
                <w:rFonts w:cs="Times New Roman"/>
                <w:sz w:val="22"/>
                <w:szCs w:val="21"/>
              </w:rPr>
              <w:t>%</w:t>
            </w:r>
          </w:p>
        </w:tc>
        <w:tc>
          <w:tcPr>
            <w:tcW w:w="775" w:type="dxa"/>
          </w:tcPr>
          <w:p w14:paraId="2C00DCAD">
            <w:pPr>
              <w:rPr>
                <w:rFonts w:cs="Times New Roman"/>
                <w:sz w:val="22"/>
                <w:szCs w:val="21"/>
              </w:rPr>
            </w:pPr>
            <w:r>
              <w:rPr>
                <w:rFonts w:hint="eastAsia" w:cs="Times New Roman"/>
                <w:sz w:val="22"/>
                <w:szCs w:val="21"/>
              </w:rPr>
              <w:t>2.9</w:t>
            </w:r>
            <w:r>
              <w:rPr>
                <w:rFonts w:cs="Times New Roman"/>
                <w:sz w:val="22"/>
                <w:szCs w:val="21"/>
              </w:rPr>
              <w:t>%</w:t>
            </w:r>
          </w:p>
        </w:tc>
      </w:tr>
      <w:tr w14:paraId="2EDC9D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092AA49C">
            <w:pPr>
              <w:rPr>
                <w:rFonts w:cs="Times New Roman"/>
                <w:sz w:val="22"/>
                <w:szCs w:val="21"/>
              </w:rPr>
            </w:pPr>
            <w:r>
              <w:rPr>
                <w:rFonts w:hint="eastAsia" w:cs="Times New Roman"/>
                <w:sz w:val="22"/>
                <w:szCs w:val="21"/>
              </w:rPr>
              <w:t>Ford</w:t>
            </w:r>
          </w:p>
        </w:tc>
        <w:tc>
          <w:tcPr>
            <w:tcW w:w="774" w:type="dxa"/>
          </w:tcPr>
          <w:p w14:paraId="43F9A9B9">
            <w:pPr>
              <w:rPr>
                <w:rFonts w:cs="Times New Roman"/>
                <w:sz w:val="22"/>
                <w:szCs w:val="21"/>
              </w:rPr>
            </w:pPr>
            <w:r>
              <w:rPr>
                <w:rFonts w:hint="eastAsia" w:cs="Times New Roman"/>
                <w:sz w:val="22"/>
                <w:szCs w:val="21"/>
              </w:rPr>
              <w:t>10.1</w:t>
            </w:r>
            <w:r>
              <w:rPr>
                <w:rFonts w:cs="Times New Roman"/>
                <w:sz w:val="22"/>
                <w:szCs w:val="21"/>
              </w:rPr>
              <w:t>%</w:t>
            </w:r>
          </w:p>
        </w:tc>
        <w:tc>
          <w:tcPr>
            <w:tcW w:w="774" w:type="dxa"/>
          </w:tcPr>
          <w:p w14:paraId="5BF0E8C2">
            <w:pPr>
              <w:rPr>
                <w:rFonts w:cs="Times New Roman"/>
                <w:sz w:val="22"/>
                <w:szCs w:val="21"/>
              </w:rPr>
            </w:pPr>
            <w:r>
              <w:rPr>
                <w:rFonts w:hint="eastAsia" w:cs="Times New Roman"/>
                <w:sz w:val="22"/>
                <w:szCs w:val="21"/>
              </w:rPr>
              <w:t>-5.0</w:t>
            </w:r>
            <w:r>
              <w:rPr>
                <w:rFonts w:cs="Times New Roman"/>
                <w:sz w:val="22"/>
                <w:szCs w:val="21"/>
              </w:rPr>
              <w:t>%</w:t>
            </w:r>
          </w:p>
        </w:tc>
        <w:tc>
          <w:tcPr>
            <w:tcW w:w="775" w:type="dxa"/>
          </w:tcPr>
          <w:p w14:paraId="441E506A">
            <w:pPr>
              <w:rPr>
                <w:rFonts w:cs="Times New Roman"/>
                <w:sz w:val="22"/>
                <w:szCs w:val="21"/>
              </w:rPr>
            </w:pPr>
            <w:r>
              <w:rPr>
                <w:rFonts w:hint="eastAsia" w:cs="Times New Roman"/>
                <w:sz w:val="22"/>
                <w:szCs w:val="21"/>
              </w:rPr>
              <w:t>36.9</w:t>
            </w:r>
            <w:r>
              <w:rPr>
                <w:rFonts w:cs="Times New Roman"/>
                <w:sz w:val="22"/>
                <w:szCs w:val="21"/>
              </w:rPr>
              <w:t>%</w:t>
            </w:r>
          </w:p>
        </w:tc>
        <w:tc>
          <w:tcPr>
            <w:tcW w:w="775" w:type="dxa"/>
          </w:tcPr>
          <w:p w14:paraId="59FFC899">
            <w:pPr>
              <w:rPr>
                <w:rFonts w:cs="Times New Roman"/>
                <w:sz w:val="22"/>
                <w:szCs w:val="21"/>
              </w:rPr>
            </w:pPr>
            <w:r>
              <w:rPr>
                <w:rFonts w:hint="eastAsia" w:cs="Times New Roman"/>
                <w:sz w:val="22"/>
                <w:szCs w:val="21"/>
              </w:rPr>
              <w:t>-4.2</w:t>
            </w:r>
            <w:r>
              <w:rPr>
                <w:rFonts w:cs="Times New Roman"/>
                <w:sz w:val="22"/>
                <w:szCs w:val="21"/>
              </w:rPr>
              <w:t>%</w:t>
            </w:r>
          </w:p>
        </w:tc>
        <w:tc>
          <w:tcPr>
            <w:tcW w:w="775" w:type="dxa"/>
          </w:tcPr>
          <w:p w14:paraId="44BF8A78">
            <w:pPr>
              <w:rPr>
                <w:rFonts w:cs="Times New Roman"/>
                <w:sz w:val="22"/>
                <w:szCs w:val="21"/>
              </w:rPr>
            </w:pPr>
            <w:r>
              <w:rPr>
                <w:rFonts w:hint="eastAsia" w:cs="Times New Roman"/>
                <w:sz w:val="22"/>
                <w:szCs w:val="21"/>
              </w:rPr>
              <w:t>0</w:t>
            </w:r>
            <w:r>
              <w:rPr>
                <w:rFonts w:cs="Times New Roman"/>
                <w:sz w:val="22"/>
                <w:szCs w:val="21"/>
              </w:rPr>
              <w:t>%</w:t>
            </w:r>
          </w:p>
        </w:tc>
        <w:tc>
          <w:tcPr>
            <w:tcW w:w="775" w:type="dxa"/>
          </w:tcPr>
          <w:p w14:paraId="03300539">
            <w:pPr>
              <w:rPr>
                <w:rFonts w:cs="Times New Roman"/>
                <w:sz w:val="22"/>
                <w:szCs w:val="21"/>
              </w:rPr>
            </w:pPr>
            <w:r>
              <w:rPr>
                <w:rFonts w:hint="eastAsia" w:cs="Times New Roman"/>
                <w:sz w:val="22"/>
                <w:szCs w:val="21"/>
              </w:rPr>
              <w:t>10.3</w:t>
            </w:r>
            <w:r>
              <w:rPr>
                <w:rFonts w:cs="Times New Roman"/>
                <w:sz w:val="22"/>
                <w:szCs w:val="21"/>
              </w:rPr>
              <w:t>%</w:t>
            </w:r>
          </w:p>
        </w:tc>
        <w:tc>
          <w:tcPr>
            <w:tcW w:w="775" w:type="dxa"/>
          </w:tcPr>
          <w:p w14:paraId="64451733">
            <w:pPr>
              <w:rPr>
                <w:rFonts w:cs="Times New Roman"/>
                <w:sz w:val="22"/>
                <w:szCs w:val="21"/>
              </w:rPr>
            </w:pPr>
            <w:r>
              <w:rPr>
                <w:rFonts w:hint="eastAsia" w:cs="Times New Roman"/>
                <w:sz w:val="22"/>
                <w:szCs w:val="21"/>
              </w:rPr>
              <w:t>22.2</w:t>
            </w:r>
            <w:r>
              <w:rPr>
                <w:rFonts w:cs="Times New Roman"/>
                <w:sz w:val="22"/>
                <w:szCs w:val="21"/>
              </w:rPr>
              <w:t>%</w:t>
            </w:r>
          </w:p>
        </w:tc>
        <w:tc>
          <w:tcPr>
            <w:tcW w:w="775" w:type="dxa"/>
          </w:tcPr>
          <w:p w14:paraId="4997E1E9">
            <w:pPr>
              <w:rPr>
                <w:rFonts w:cs="Times New Roman"/>
                <w:sz w:val="22"/>
                <w:szCs w:val="21"/>
              </w:rPr>
            </w:pPr>
            <w:r>
              <w:rPr>
                <w:rFonts w:hint="eastAsia" w:cs="Times New Roman"/>
                <w:sz w:val="22"/>
                <w:szCs w:val="21"/>
              </w:rPr>
              <w:t>15.8</w:t>
            </w:r>
            <w:r>
              <w:rPr>
                <w:rFonts w:cs="Times New Roman"/>
                <w:sz w:val="22"/>
                <w:szCs w:val="21"/>
              </w:rPr>
              <w:t>%</w:t>
            </w:r>
          </w:p>
        </w:tc>
        <w:tc>
          <w:tcPr>
            <w:tcW w:w="775" w:type="dxa"/>
          </w:tcPr>
          <w:p w14:paraId="62C28514">
            <w:pPr>
              <w:rPr>
                <w:rFonts w:cs="Times New Roman"/>
                <w:sz w:val="22"/>
                <w:szCs w:val="21"/>
              </w:rPr>
            </w:pPr>
            <w:r>
              <w:rPr>
                <w:rFonts w:hint="eastAsia" w:cs="Times New Roman"/>
                <w:sz w:val="22"/>
                <w:szCs w:val="21"/>
              </w:rPr>
              <w:t>25.7</w:t>
            </w:r>
            <w:r>
              <w:rPr>
                <w:rFonts w:cs="Times New Roman"/>
                <w:sz w:val="22"/>
                <w:szCs w:val="21"/>
              </w:rPr>
              <w:t>%</w:t>
            </w:r>
          </w:p>
        </w:tc>
        <w:tc>
          <w:tcPr>
            <w:tcW w:w="775" w:type="dxa"/>
          </w:tcPr>
          <w:p w14:paraId="5B783D82">
            <w:pPr>
              <w:rPr>
                <w:rFonts w:cs="Times New Roman"/>
                <w:sz w:val="22"/>
                <w:szCs w:val="21"/>
              </w:rPr>
            </w:pPr>
            <w:r>
              <w:rPr>
                <w:rFonts w:hint="eastAsia" w:cs="Times New Roman"/>
                <w:sz w:val="22"/>
                <w:szCs w:val="21"/>
              </w:rPr>
              <w:t>5.0</w:t>
            </w:r>
            <w:r>
              <w:rPr>
                <w:rFonts w:cs="Times New Roman"/>
                <w:sz w:val="22"/>
                <w:szCs w:val="21"/>
              </w:rPr>
              <w:t>%</w:t>
            </w:r>
          </w:p>
        </w:tc>
      </w:tr>
    </w:tbl>
    <w:p w14:paraId="60A5ACC1">
      <w:pPr>
        <w:rPr>
          <w:rFonts w:cs="Times New Roman"/>
        </w:rPr>
      </w:pPr>
      <w:r>
        <w:rPr>
          <w:rFonts w:hint="eastAsia" w:cs="Times New Roman"/>
        </w:rPr>
        <w:t>BYD</w:t>
      </w:r>
      <w:r>
        <w:rPr>
          <w:rFonts w:cs="Times New Roman"/>
        </w:rPr>
        <w:t>’</w:t>
      </w:r>
      <w:r>
        <w:rPr>
          <w:rFonts w:hint="eastAsia" w:cs="Times New Roman"/>
        </w:rPr>
        <w:t>s Average: 9.36%  ;  Ford</w:t>
      </w:r>
      <w:r>
        <w:rPr>
          <w:rFonts w:cs="Times New Roman"/>
        </w:rPr>
        <w:t>’</w:t>
      </w:r>
      <w:r>
        <w:rPr>
          <w:rFonts w:hint="eastAsia" w:cs="Times New Roman"/>
        </w:rPr>
        <w:t>s Average: 11.68% ; P-value: 0.630</w:t>
      </w:r>
    </w:p>
    <w:p w14:paraId="4EE14AA5">
      <w:pPr>
        <w:rPr>
          <w:rFonts w:cs="Times New Roman"/>
        </w:rPr>
      </w:pPr>
    </w:p>
    <w:p w14:paraId="33F97050">
      <w:pPr>
        <w:rPr>
          <w:rFonts w:cs="Times New Roman"/>
        </w:rPr>
      </w:pPr>
      <w:r>
        <w:rPr>
          <w:rFonts w:hint="eastAsia" w:cs="Times New Roman"/>
        </w:rPr>
        <w:t>Figure 1</w:t>
      </w:r>
      <w:r>
        <w:rPr>
          <w:rFonts w:hint="eastAsia" w:cs="Times New Roman"/>
          <w:lang w:val="en-US" w:eastAsia="zh-CN"/>
        </w:rPr>
        <w:t>2</w:t>
      </w:r>
      <w:r>
        <w:rPr>
          <w:rFonts w:hint="eastAsia" w:cs="Times New Roman"/>
        </w:rPr>
        <w:t>: Debt to equity ratio</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4"/>
        <w:gridCol w:w="774"/>
        <w:gridCol w:w="774"/>
        <w:gridCol w:w="775"/>
        <w:gridCol w:w="775"/>
        <w:gridCol w:w="775"/>
        <w:gridCol w:w="775"/>
        <w:gridCol w:w="775"/>
        <w:gridCol w:w="775"/>
        <w:gridCol w:w="775"/>
        <w:gridCol w:w="775"/>
      </w:tblGrid>
      <w:tr w14:paraId="0BBBA8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035674C6">
            <w:pPr>
              <w:rPr>
                <w:rFonts w:cs="Times New Roman"/>
              </w:rPr>
            </w:pPr>
          </w:p>
        </w:tc>
        <w:tc>
          <w:tcPr>
            <w:tcW w:w="774" w:type="dxa"/>
          </w:tcPr>
          <w:p w14:paraId="26CA7CE3">
            <w:pPr>
              <w:rPr>
                <w:rFonts w:cs="Times New Roman"/>
              </w:rPr>
            </w:pPr>
            <w:r>
              <w:rPr>
                <w:rFonts w:hint="eastAsia" w:cs="Times New Roman"/>
              </w:rPr>
              <w:t>2023</w:t>
            </w:r>
          </w:p>
        </w:tc>
        <w:tc>
          <w:tcPr>
            <w:tcW w:w="774" w:type="dxa"/>
          </w:tcPr>
          <w:p w14:paraId="4125E9B4">
            <w:pPr>
              <w:rPr>
                <w:rFonts w:cs="Times New Roman"/>
              </w:rPr>
            </w:pPr>
            <w:r>
              <w:rPr>
                <w:rFonts w:hint="eastAsia" w:cs="Times New Roman"/>
              </w:rPr>
              <w:t>2022</w:t>
            </w:r>
          </w:p>
        </w:tc>
        <w:tc>
          <w:tcPr>
            <w:tcW w:w="775" w:type="dxa"/>
          </w:tcPr>
          <w:p w14:paraId="6683850A">
            <w:pPr>
              <w:rPr>
                <w:rFonts w:cs="Times New Roman"/>
              </w:rPr>
            </w:pPr>
            <w:r>
              <w:rPr>
                <w:rFonts w:hint="eastAsia" w:cs="Times New Roman"/>
              </w:rPr>
              <w:t>2021</w:t>
            </w:r>
          </w:p>
        </w:tc>
        <w:tc>
          <w:tcPr>
            <w:tcW w:w="775" w:type="dxa"/>
          </w:tcPr>
          <w:p w14:paraId="5E93CAFD">
            <w:pPr>
              <w:rPr>
                <w:rFonts w:cs="Times New Roman"/>
              </w:rPr>
            </w:pPr>
            <w:r>
              <w:rPr>
                <w:rFonts w:hint="eastAsia" w:cs="Times New Roman"/>
              </w:rPr>
              <w:t>2020</w:t>
            </w:r>
          </w:p>
        </w:tc>
        <w:tc>
          <w:tcPr>
            <w:tcW w:w="775" w:type="dxa"/>
          </w:tcPr>
          <w:p w14:paraId="66DF3D80">
            <w:pPr>
              <w:rPr>
                <w:rFonts w:cs="Times New Roman"/>
              </w:rPr>
            </w:pPr>
            <w:r>
              <w:rPr>
                <w:rFonts w:hint="eastAsia" w:cs="Times New Roman"/>
              </w:rPr>
              <w:t>2019</w:t>
            </w:r>
          </w:p>
        </w:tc>
        <w:tc>
          <w:tcPr>
            <w:tcW w:w="775" w:type="dxa"/>
          </w:tcPr>
          <w:p w14:paraId="1D473F6E">
            <w:pPr>
              <w:rPr>
                <w:rFonts w:cs="Times New Roman"/>
              </w:rPr>
            </w:pPr>
            <w:r>
              <w:rPr>
                <w:rFonts w:hint="eastAsia" w:cs="Times New Roman"/>
              </w:rPr>
              <w:t>2018</w:t>
            </w:r>
          </w:p>
        </w:tc>
        <w:tc>
          <w:tcPr>
            <w:tcW w:w="775" w:type="dxa"/>
          </w:tcPr>
          <w:p w14:paraId="51590FF7">
            <w:pPr>
              <w:rPr>
                <w:rFonts w:cs="Times New Roman"/>
              </w:rPr>
            </w:pPr>
            <w:r>
              <w:rPr>
                <w:rFonts w:hint="eastAsia" w:cs="Times New Roman"/>
              </w:rPr>
              <w:t>2017</w:t>
            </w:r>
          </w:p>
        </w:tc>
        <w:tc>
          <w:tcPr>
            <w:tcW w:w="775" w:type="dxa"/>
          </w:tcPr>
          <w:p w14:paraId="60C648A0">
            <w:pPr>
              <w:rPr>
                <w:rFonts w:cs="Times New Roman"/>
              </w:rPr>
            </w:pPr>
            <w:r>
              <w:rPr>
                <w:rFonts w:hint="eastAsia" w:cs="Times New Roman"/>
              </w:rPr>
              <w:t>2016</w:t>
            </w:r>
          </w:p>
        </w:tc>
        <w:tc>
          <w:tcPr>
            <w:tcW w:w="775" w:type="dxa"/>
          </w:tcPr>
          <w:p w14:paraId="31DD106C">
            <w:pPr>
              <w:rPr>
                <w:rFonts w:cs="Times New Roman"/>
              </w:rPr>
            </w:pPr>
            <w:r>
              <w:rPr>
                <w:rFonts w:hint="eastAsia" w:cs="Times New Roman"/>
              </w:rPr>
              <w:t>2015</w:t>
            </w:r>
          </w:p>
        </w:tc>
        <w:tc>
          <w:tcPr>
            <w:tcW w:w="775" w:type="dxa"/>
          </w:tcPr>
          <w:p w14:paraId="08CBC11A">
            <w:pPr>
              <w:rPr>
                <w:rFonts w:cs="Times New Roman"/>
              </w:rPr>
            </w:pPr>
            <w:r>
              <w:rPr>
                <w:rFonts w:hint="eastAsia" w:cs="Times New Roman"/>
              </w:rPr>
              <w:t>2014</w:t>
            </w:r>
          </w:p>
        </w:tc>
      </w:tr>
      <w:tr w14:paraId="63149A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394DA6C8">
            <w:pPr>
              <w:rPr>
                <w:rFonts w:cs="Times New Roman"/>
              </w:rPr>
            </w:pPr>
            <w:r>
              <w:rPr>
                <w:rFonts w:hint="eastAsia" w:cs="Times New Roman"/>
              </w:rPr>
              <w:t>BYD</w:t>
            </w:r>
          </w:p>
        </w:tc>
        <w:tc>
          <w:tcPr>
            <w:tcW w:w="774" w:type="dxa"/>
          </w:tcPr>
          <w:p w14:paraId="73041015">
            <w:pPr>
              <w:rPr>
                <w:rFonts w:cs="Times New Roman"/>
              </w:rPr>
            </w:pPr>
            <w:r>
              <w:rPr>
                <w:rFonts w:hint="eastAsia" w:cs="Times New Roman"/>
              </w:rPr>
              <w:t>3.53</w:t>
            </w:r>
          </w:p>
        </w:tc>
        <w:tc>
          <w:tcPr>
            <w:tcW w:w="774" w:type="dxa"/>
          </w:tcPr>
          <w:p w14:paraId="7DE9F621">
            <w:pPr>
              <w:rPr>
                <w:rFonts w:cs="Times New Roman"/>
              </w:rPr>
            </w:pPr>
            <w:r>
              <w:rPr>
                <w:rFonts w:hint="eastAsia" w:cs="Times New Roman"/>
              </w:rPr>
              <w:t>3.07</w:t>
            </w:r>
          </w:p>
        </w:tc>
        <w:tc>
          <w:tcPr>
            <w:tcW w:w="775" w:type="dxa"/>
          </w:tcPr>
          <w:p w14:paraId="13943D9D">
            <w:pPr>
              <w:rPr>
                <w:rFonts w:cs="Times New Roman"/>
              </w:rPr>
            </w:pPr>
            <w:r>
              <w:rPr>
                <w:rFonts w:hint="eastAsia" w:cs="Times New Roman"/>
              </w:rPr>
              <w:t>1.84</w:t>
            </w:r>
          </w:p>
        </w:tc>
        <w:tc>
          <w:tcPr>
            <w:tcW w:w="775" w:type="dxa"/>
          </w:tcPr>
          <w:p w14:paraId="390C599F">
            <w:pPr>
              <w:rPr>
                <w:rFonts w:cs="Times New Roman"/>
              </w:rPr>
            </w:pPr>
            <w:r>
              <w:rPr>
                <w:rFonts w:hint="eastAsia" w:cs="Times New Roman"/>
              </w:rPr>
              <w:t>1.65</w:t>
            </w:r>
          </w:p>
        </w:tc>
        <w:tc>
          <w:tcPr>
            <w:tcW w:w="775" w:type="dxa"/>
          </w:tcPr>
          <w:p w14:paraId="29D6FB56">
            <w:pPr>
              <w:rPr>
                <w:rFonts w:cs="Times New Roman"/>
              </w:rPr>
            </w:pPr>
            <w:r>
              <w:rPr>
                <w:rFonts w:hint="eastAsia" w:cs="Times New Roman"/>
              </w:rPr>
              <w:t>2.13</w:t>
            </w:r>
          </w:p>
        </w:tc>
        <w:tc>
          <w:tcPr>
            <w:tcW w:w="775" w:type="dxa"/>
          </w:tcPr>
          <w:p w14:paraId="3774CC2A">
            <w:pPr>
              <w:rPr>
                <w:rFonts w:cs="Times New Roman"/>
              </w:rPr>
            </w:pPr>
            <w:r>
              <w:rPr>
                <w:rFonts w:hint="eastAsia" w:cs="Times New Roman"/>
              </w:rPr>
              <w:t>2.21</w:t>
            </w:r>
          </w:p>
        </w:tc>
        <w:tc>
          <w:tcPr>
            <w:tcW w:w="775" w:type="dxa"/>
          </w:tcPr>
          <w:p w14:paraId="16C92A65">
            <w:pPr>
              <w:rPr>
                <w:rFonts w:cs="Times New Roman"/>
              </w:rPr>
            </w:pPr>
            <w:r>
              <w:rPr>
                <w:rFonts w:hint="eastAsia" w:cs="Times New Roman"/>
              </w:rPr>
              <w:t>1.97</w:t>
            </w:r>
          </w:p>
        </w:tc>
        <w:tc>
          <w:tcPr>
            <w:tcW w:w="775" w:type="dxa"/>
          </w:tcPr>
          <w:p w14:paraId="3E6C34F1">
            <w:pPr>
              <w:rPr>
                <w:rFonts w:cs="Times New Roman"/>
              </w:rPr>
            </w:pPr>
            <w:r>
              <w:rPr>
                <w:rFonts w:hint="eastAsia" w:cs="Times New Roman"/>
              </w:rPr>
              <w:t>1.62</w:t>
            </w:r>
          </w:p>
        </w:tc>
        <w:tc>
          <w:tcPr>
            <w:tcW w:w="775" w:type="dxa"/>
          </w:tcPr>
          <w:p w14:paraId="5837C9A1">
            <w:pPr>
              <w:rPr>
                <w:rFonts w:cs="Times New Roman"/>
              </w:rPr>
            </w:pPr>
            <w:r>
              <w:rPr>
                <w:rFonts w:hint="eastAsia" w:cs="Times New Roman"/>
              </w:rPr>
              <w:t>2.21</w:t>
            </w:r>
          </w:p>
        </w:tc>
        <w:tc>
          <w:tcPr>
            <w:tcW w:w="775" w:type="dxa"/>
          </w:tcPr>
          <w:p w14:paraId="6F3F1BA6">
            <w:pPr>
              <w:rPr>
                <w:rFonts w:cs="Times New Roman"/>
              </w:rPr>
            </w:pPr>
            <w:r>
              <w:rPr>
                <w:rFonts w:hint="eastAsia" w:cs="Times New Roman"/>
              </w:rPr>
              <w:t>2.25</w:t>
            </w:r>
          </w:p>
        </w:tc>
      </w:tr>
      <w:tr w14:paraId="68A522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28706480">
            <w:pPr>
              <w:rPr>
                <w:rFonts w:cs="Times New Roman"/>
              </w:rPr>
            </w:pPr>
            <w:r>
              <w:rPr>
                <w:rFonts w:hint="eastAsia" w:cs="Times New Roman"/>
              </w:rPr>
              <w:t>Ford</w:t>
            </w:r>
          </w:p>
        </w:tc>
        <w:tc>
          <w:tcPr>
            <w:tcW w:w="774" w:type="dxa"/>
          </w:tcPr>
          <w:p w14:paraId="7ACC44E2">
            <w:pPr>
              <w:rPr>
                <w:rFonts w:cs="Times New Roman"/>
              </w:rPr>
            </w:pPr>
            <w:r>
              <w:rPr>
                <w:rFonts w:hint="eastAsia" w:cs="Times New Roman"/>
              </w:rPr>
              <w:t>5.39</w:t>
            </w:r>
          </w:p>
        </w:tc>
        <w:tc>
          <w:tcPr>
            <w:tcW w:w="774" w:type="dxa"/>
          </w:tcPr>
          <w:p w14:paraId="097B8FC3">
            <w:pPr>
              <w:rPr>
                <w:rFonts w:cs="Times New Roman"/>
              </w:rPr>
            </w:pPr>
            <w:r>
              <w:rPr>
                <w:rFonts w:hint="eastAsia" w:cs="Times New Roman"/>
              </w:rPr>
              <w:t>4.93</w:t>
            </w:r>
          </w:p>
        </w:tc>
        <w:tc>
          <w:tcPr>
            <w:tcW w:w="775" w:type="dxa"/>
          </w:tcPr>
          <w:p w14:paraId="6446D07A">
            <w:pPr>
              <w:rPr>
                <w:rFonts w:cs="Times New Roman"/>
              </w:rPr>
            </w:pPr>
            <w:r>
              <w:rPr>
                <w:rFonts w:hint="eastAsia" w:cs="Times New Roman"/>
              </w:rPr>
              <w:t>4.27</w:t>
            </w:r>
          </w:p>
        </w:tc>
        <w:tc>
          <w:tcPr>
            <w:tcW w:w="775" w:type="dxa"/>
          </w:tcPr>
          <w:p w14:paraId="0BB8D1B5">
            <w:pPr>
              <w:rPr>
                <w:rFonts w:cs="Times New Roman"/>
              </w:rPr>
            </w:pPr>
            <w:r>
              <w:rPr>
                <w:rFonts w:hint="eastAsia" w:cs="Times New Roman"/>
              </w:rPr>
              <w:t>7.67</w:t>
            </w:r>
          </w:p>
        </w:tc>
        <w:tc>
          <w:tcPr>
            <w:tcW w:w="775" w:type="dxa"/>
          </w:tcPr>
          <w:p w14:paraId="4C51CA1F">
            <w:pPr>
              <w:rPr>
                <w:rFonts w:cs="Times New Roman"/>
              </w:rPr>
            </w:pPr>
            <w:r>
              <w:rPr>
                <w:rFonts w:hint="eastAsia" w:cs="Times New Roman"/>
              </w:rPr>
              <w:t>6.78</w:t>
            </w:r>
          </w:p>
        </w:tc>
        <w:tc>
          <w:tcPr>
            <w:tcW w:w="775" w:type="dxa"/>
          </w:tcPr>
          <w:p w14:paraId="78C3D808">
            <w:pPr>
              <w:rPr>
                <w:rFonts w:cs="Times New Roman"/>
              </w:rPr>
            </w:pPr>
            <w:r>
              <w:rPr>
                <w:rFonts w:hint="eastAsia" w:cs="Times New Roman"/>
              </w:rPr>
              <w:t>6.13</w:t>
            </w:r>
          </w:p>
        </w:tc>
        <w:tc>
          <w:tcPr>
            <w:tcW w:w="775" w:type="dxa"/>
          </w:tcPr>
          <w:p w14:paraId="0C43A3C5">
            <w:pPr>
              <w:rPr>
                <w:rFonts w:cs="Times New Roman"/>
              </w:rPr>
            </w:pPr>
            <w:r>
              <w:rPr>
                <w:rFonts w:hint="eastAsia" w:cs="Times New Roman"/>
              </w:rPr>
              <w:t>6.38</w:t>
            </w:r>
          </w:p>
        </w:tc>
        <w:tc>
          <w:tcPr>
            <w:tcW w:w="775" w:type="dxa"/>
          </w:tcPr>
          <w:p w14:paraId="19EE6F98">
            <w:pPr>
              <w:rPr>
                <w:rFonts w:cs="Times New Roman"/>
              </w:rPr>
            </w:pPr>
            <w:r>
              <w:rPr>
                <w:rFonts w:hint="eastAsia" w:cs="Times New Roman"/>
              </w:rPr>
              <w:t>7.15</w:t>
            </w:r>
          </w:p>
        </w:tc>
        <w:tc>
          <w:tcPr>
            <w:tcW w:w="775" w:type="dxa"/>
          </w:tcPr>
          <w:p w14:paraId="6B3BE871">
            <w:pPr>
              <w:rPr>
                <w:rFonts w:cs="Times New Roman"/>
              </w:rPr>
            </w:pPr>
            <w:r>
              <w:rPr>
                <w:rFonts w:hint="eastAsia" w:cs="Times New Roman"/>
              </w:rPr>
              <w:t>6.85</w:t>
            </w:r>
          </w:p>
        </w:tc>
        <w:tc>
          <w:tcPr>
            <w:tcW w:w="775" w:type="dxa"/>
          </w:tcPr>
          <w:p w14:paraId="7451292A">
            <w:pPr>
              <w:rPr>
                <w:rFonts w:cs="Times New Roman"/>
              </w:rPr>
            </w:pPr>
            <w:r>
              <w:rPr>
                <w:rFonts w:hint="eastAsia" w:cs="Times New Roman"/>
              </w:rPr>
              <w:t>7.51</w:t>
            </w:r>
          </w:p>
        </w:tc>
      </w:tr>
    </w:tbl>
    <w:p w14:paraId="22300869">
      <w:pPr>
        <w:rPr>
          <w:rFonts w:hint="eastAsia" w:cs="Times New Roman"/>
        </w:rPr>
      </w:pPr>
      <w:r>
        <w:rPr>
          <w:rFonts w:hint="eastAsia" w:cs="Times New Roman"/>
        </w:rPr>
        <w:t>BYD</w:t>
      </w:r>
      <w:r>
        <w:rPr>
          <w:rFonts w:cs="Times New Roman"/>
        </w:rPr>
        <w:t>’</w:t>
      </w:r>
      <w:r>
        <w:rPr>
          <w:rFonts w:hint="eastAsia" w:cs="Times New Roman"/>
        </w:rPr>
        <w:t>s Average: 2.25  ;  Ford</w:t>
      </w:r>
      <w:r>
        <w:rPr>
          <w:rFonts w:cs="Times New Roman"/>
        </w:rPr>
        <w:t>’</w:t>
      </w:r>
      <w:r>
        <w:rPr>
          <w:rFonts w:hint="eastAsia" w:cs="Times New Roman"/>
        </w:rPr>
        <w:t>s Average: 6.31 ; P-value: 0.000</w:t>
      </w:r>
    </w:p>
    <w:p w14:paraId="041522F5">
      <w:pPr>
        <w:rPr>
          <w:rFonts w:hint="eastAsia" w:cs="Times New Roman"/>
        </w:rPr>
      </w:pPr>
    </w:p>
    <w:p w14:paraId="27BF7B83">
      <w:pPr>
        <w:rPr>
          <w:rFonts w:cs="Times New Roman"/>
          <w:b w:val="0"/>
          <w:bCs w:val="0"/>
        </w:rPr>
      </w:pPr>
      <w:r>
        <w:rPr>
          <w:rFonts w:hint="default" w:cs="Times New Roman"/>
          <w:b w:val="0"/>
          <w:bCs w:val="0"/>
        </w:rPr>
        <w:t>The only item in this section with a p-value less than 0.05 is debt to equity ratio. This means that there is no statistically significant difference between BYD and Ford in terms of profit margin, production cost and sales cost. It only shows that Ford is facing significantly greater debt pressure than BYD.</w:t>
      </w:r>
    </w:p>
    <w:p w14:paraId="0A709438">
      <w:pPr>
        <w:rPr>
          <w:rFonts w:hint="eastAsia" w:cs="Times New Roman" w:eastAsiaTheme="minorEastAsia"/>
          <w:b/>
          <w:bCs/>
          <w:lang w:val="en-US" w:eastAsia="zh-CN"/>
        </w:rPr>
      </w:pPr>
    </w:p>
    <w:p w14:paraId="6AA571A6">
      <w:pPr>
        <w:rPr>
          <w:rFonts w:hint="default" w:cs="Times New Roman" w:eastAsiaTheme="minorEastAsia"/>
          <w:b/>
          <w:bCs/>
          <w:lang w:val="en-US" w:eastAsia="zh-CN"/>
        </w:rPr>
      </w:pPr>
      <w:r>
        <w:rPr>
          <w:rFonts w:hint="eastAsia" w:cs="Times New Roman"/>
          <w:b/>
          <w:bCs/>
          <w:lang w:val="en-US" w:eastAsia="zh-CN"/>
        </w:rPr>
        <w:t>Efficiency Ratio</w:t>
      </w:r>
    </w:p>
    <w:p w14:paraId="77F2227C">
      <w:pPr>
        <w:rPr>
          <w:rFonts w:cs="Times New Roman"/>
        </w:rPr>
      </w:pPr>
      <w:r>
        <w:rPr>
          <w:rFonts w:hint="eastAsia" w:cs="Times New Roman"/>
        </w:rPr>
        <w:t>Figure 1</w:t>
      </w:r>
      <w:r>
        <w:rPr>
          <w:rFonts w:hint="eastAsia" w:cs="Times New Roman"/>
          <w:lang w:val="en-US" w:eastAsia="zh-CN"/>
        </w:rPr>
        <w:t>3</w:t>
      </w:r>
      <w:r>
        <w:rPr>
          <w:rFonts w:hint="eastAsia" w:cs="Times New Roman"/>
        </w:rPr>
        <w:t>: Account receivable turnover</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4"/>
        <w:gridCol w:w="774"/>
        <w:gridCol w:w="774"/>
        <w:gridCol w:w="775"/>
        <w:gridCol w:w="775"/>
        <w:gridCol w:w="775"/>
        <w:gridCol w:w="775"/>
        <w:gridCol w:w="775"/>
        <w:gridCol w:w="775"/>
        <w:gridCol w:w="775"/>
        <w:gridCol w:w="775"/>
      </w:tblGrid>
      <w:tr w14:paraId="3D8F48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1F21DD58">
            <w:pPr>
              <w:rPr>
                <w:rFonts w:cs="Times New Roman"/>
              </w:rPr>
            </w:pPr>
          </w:p>
        </w:tc>
        <w:tc>
          <w:tcPr>
            <w:tcW w:w="774" w:type="dxa"/>
          </w:tcPr>
          <w:p w14:paraId="71353AD4">
            <w:pPr>
              <w:rPr>
                <w:rFonts w:cs="Times New Roman"/>
              </w:rPr>
            </w:pPr>
            <w:r>
              <w:rPr>
                <w:rFonts w:hint="eastAsia" w:cs="Times New Roman"/>
              </w:rPr>
              <w:t>2023</w:t>
            </w:r>
          </w:p>
        </w:tc>
        <w:tc>
          <w:tcPr>
            <w:tcW w:w="774" w:type="dxa"/>
          </w:tcPr>
          <w:p w14:paraId="221ECA42">
            <w:pPr>
              <w:rPr>
                <w:rFonts w:cs="Times New Roman"/>
              </w:rPr>
            </w:pPr>
            <w:r>
              <w:rPr>
                <w:rFonts w:hint="eastAsia" w:cs="Times New Roman"/>
              </w:rPr>
              <w:t>2022</w:t>
            </w:r>
          </w:p>
        </w:tc>
        <w:tc>
          <w:tcPr>
            <w:tcW w:w="775" w:type="dxa"/>
          </w:tcPr>
          <w:p w14:paraId="1242078B">
            <w:pPr>
              <w:rPr>
                <w:rFonts w:cs="Times New Roman"/>
              </w:rPr>
            </w:pPr>
            <w:r>
              <w:rPr>
                <w:rFonts w:hint="eastAsia" w:cs="Times New Roman"/>
              </w:rPr>
              <w:t>2021</w:t>
            </w:r>
          </w:p>
        </w:tc>
        <w:tc>
          <w:tcPr>
            <w:tcW w:w="775" w:type="dxa"/>
          </w:tcPr>
          <w:p w14:paraId="0A281081">
            <w:pPr>
              <w:rPr>
                <w:rFonts w:cs="Times New Roman"/>
              </w:rPr>
            </w:pPr>
            <w:r>
              <w:rPr>
                <w:rFonts w:hint="eastAsia" w:cs="Times New Roman"/>
              </w:rPr>
              <w:t>2020</w:t>
            </w:r>
          </w:p>
        </w:tc>
        <w:tc>
          <w:tcPr>
            <w:tcW w:w="775" w:type="dxa"/>
          </w:tcPr>
          <w:p w14:paraId="3E0DD066">
            <w:pPr>
              <w:rPr>
                <w:rFonts w:cs="Times New Roman"/>
              </w:rPr>
            </w:pPr>
            <w:r>
              <w:rPr>
                <w:rFonts w:hint="eastAsia" w:cs="Times New Roman"/>
              </w:rPr>
              <w:t>2019</w:t>
            </w:r>
          </w:p>
        </w:tc>
        <w:tc>
          <w:tcPr>
            <w:tcW w:w="775" w:type="dxa"/>
          </w:tcPr>
          <w:p w14:paraId="3300A0FD">
            <w:pPr>
              <w:rPr>
                <w:rFonts w:cs="Times New Roman"/>
              </w:rPr>
            </w:pPr>
            <w:r>
              <w:rPr>
                <w:rFonts w:hint="eastAsia" w:cs="Times New Roman"/>
              </w:rPr>
              <w:t>2018</w:t>
            </w:r>
          </w:p>
        </w:tc>
        <w:tc>
          <w:tcPr>
            <w:tcW w:w="775" w:type="dxa"/>
          </w:tcPr>
          <w:p w14:paraId="3A2CCBC6">
            <w:pPr>
              <w:rPr>
                <w:rFonts w:cs="Times New Roman"/>
              </w:rPr>
            </w:pPr>
            <w:r>
              <w:rPr>
                <w:rFonts w:hint="eastAsia" w:cs="Times New Roman"/>
              </w:rPr>
              <w:t>2017</w:t>
            </w:r>
          </w:p>
        </w:tc>
        <w:tc>
          <w:tcPr>
            <w:tcW w:w="775" w:type="dxa"/>
          </w:tcPr>
          <w:p w14:paraId="639237CE">
            <w:pPr>
              <w:rPr>
                <w:rFonts w:cs="Times New Roman"/>
              </w:rPr>
            </w:pPr>
            <w:r>
              <w:rPr>
                <w:rFonts w:hint="eastAsia" w:cs="Times New Roman"/>
              </w:rPr>
              <w:t>2016</w:t>
            </w:r>
          </w:p>
        </w:tc>
        <w:tc>
          <w:tcPr>
            <w:tcW w:w="775" w:type="dxa"/>
          </w:tcPr>
          <w:p w14:paraId="7B73C19C">
            <w:pPr>
              <w:rPr>
                <w:rFonts w:cs="Times New Roman"/>
              </w:rPr>
            </w:pPr>
            <w:r>
              <w:rPr>
                <w:rFonts w:hint="eastAsia" w:cs="Times New Roman"/>
              </w:rPr>
              <w:t>2015</w:t>
            </w:r>
          </w:p>
        </w:tc>
        <w:tc>
          <w:tcPr>
            <w:tcW w:w="775" w:type="dxa"/>
          </w:tcPr>
          <w:p w14:paraId="22D76D78">
            <w:pPr>
              <w:rPr>
                <w:rFonts w:cs="Times New Roman"/>
              </w:rPr>
            </w:pPr>
            <w:r>
              <w:rPr>
                <w:rFonts w:hint="eastAsia" w:cs="Times New Roman"/>
              </w:rPr>
              <w:t>2014</w:t>
            </w:r>
          </w:p>
        </w:tc>
      </w:tr>
      <w:tr w14:paraId="36888C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3CD82BB2">
            <w:pPr>
              <w:rPr>
                <w:rFonts w:cs="Times New Roman"/>
              </w:rPr>
            </w:pPr>
            <w:r>
              <w:rPr>
                <w:rFonts w:hint="eastAsia" w:cs="Times New Roman"/>
              </w:rPr>
              <w:t>BYD</w:t>
            </w:r>
          </w:p>
        </w:tc>
        <w:tc>
          <w:tcPr>
            <w:tcW w:w="774" w:type="dxa"/>
          </w:tcPr>
          <w:p w14:paraId="4C111492">
            <w:pPr>
              <w:rPr>
                <w:rFonts w:cs="Times New Roman"/>
              </w:rPr>
            </w:pPr>
            <w:r>
              <w:rPr>
                <w:rFonts w:hint="eastAsia" w:cs="Times New Roman"/>
              </w:rPr>
              <w:t>1.26</w:t>
            </w:r>
          </w:p>
        </w:tc>
        <w:tc>
          <w:tcPr>
            <w:tcW w:w="774" w:type="dxa"/>
          </w:tcPr>
          <w:p w14:paraId="464EF4C3">
            <w:pPr>
              <w:rPr>
                <w:rFonts w:cs="Times New Roman"/>
              </w:rPr>
            </w:pPr>
            <w:r>
              <w:rPr>
                <w:rFonts w:hint="eastAsia" w:cs="Times New Roman"/>
              </w:rPr>
              <w:t>1.01</w:t>
            </w:r>
          </w:p>
        </w:tc>
        <w:tc>
          <w:tcPr>
            <w:tcW w:w="775" w:type="dxa"/>
          </w:tcPr>
          <w:p w14:paraId="5E10C0DE">
            <w:pPr>
              <w:rPr>
                <w:rFonts w:cs="Times New Roman"/>
              </w:rPr>
            </w:pPr>
            <w:r>
              <w:rPr>
                <w:rFonts w:hint="eastAsia" w:cs="Times New Roman"/>
              </w:rPr>
              <w:t>1.00</w:t>
            </w:r>
          </w:p>
        </w:tc>
        <w:tc>
          <w:tcPr>
            <w:tcW w:w="775" w:type="dxa"/>
          </w:tcPr>
          <w:p w14:paraId="43C3F14B">
            <w:pPr>
              <w:rPr>
                <w:rFonts w:cs="Times New Roman"/>
              </w:rPr>
            </w:pPr>
            <w:r>
              <w:rPr>
                <w:rFonts w:hint="eastAsia" w:cs="Times New Roman"/>
              </w:rPr>
              <w:t>1.03</w:t>
            </w:r>
          </w:p>
        </w:tc>
        <w:tc>
          <w:tcPr>
            <w:tcW w:w="775" w:type="dxa"/>
          </w:tcPr>
          <w:p w14:paraId="4F0CB29F">
            <w:pPr>
              <w:rPr>
                <w:rFonts w:cs="Times New Roman"/>
              </w:rPr>
            </w:pPr>
            <w:r>
              <w:rPr>
                <w:rFonts w:hint="eastAsia" w:cs="Times New Roman"/>
              </w:rPr>
              <w:t>1.13</w:t>
            </w:r>
          </w:p>
        </w:tc>
        <w:tc>
          <w:tcPr>
            <w:tcW w:w="775" w:type="dxa"/>
          </w:tcPr>
          <w:p w14:paraId="352D5893">
            <w:pPr>
              <w:rPr>
                <w:rFonts w:cs="Times New Roman"/>
              </w:rPr>
            </w:pPr>
            <w:r>
              <w:rPr>
                <w:rFonts w:hint="eastAsia" w:cs="Times New Roman"/>
              </w:rPr>
              <w:t>0.92</w:t>
            </w:r>
          </w:p>
        </w:tc>
        <w:tc>
          <w:tcPr>
            <w:tcW w:w="775" w:type="dxa"/>
          </w:tcPr>
          <w:p w14:paraId="27ABDEF0">
            <w:pPr>
              <w:rPr>
                <w:rFonts w:cs="Times New Roman"/>
              </w:rPr>
            </w:pPr>
            <w:r>
              <w:rPr>
                <w:rFonts w:hint="eastAsia" w:cs="Times New Roman"/>
              </w:rPr>
              <w:t>1.33</w:t>
            </w:r>
          </w:p>
        </w:tc>
        <w:tc>
          <w:tcPr>
            <w:tcW w:w="775" w:type="dxa"/>
          </w:tcPr>
          <w:p w14:paraId="0794675F">
            <w:pPr>
              <w:rPr>
                <w:rFonts w:cs="Times New Roman"/>
              </w:rPr>
            </w:pPr>
            <w:r>
              <w:rPr>
                <w:rFonts w:hint="eastAsia" w:cs="Times New Roman"/>
              </w:rPr>
              <w:t>1.43</w:t>
            </w:r>
          </w:p>
        </w:tc>
        <w:tc>
          <w:tcPr>
            <w:tcW w:w="775" w:type="dxa"/>
          </w:tcPr>
          <w:p w14:paraId="634E543E">
            <w:pPr>
              <w:rPr>
                <w:rFonts w:cs="Times New Roman"/>
              </w:rPr>
            </w:pPr>
            <w:r>
              <w:rPr>
                <w:rFonts w:hint="eastAsia" w:cs="Times New Roman"/>
              </w:rPr>
              <w:t>1.26</w:t>
            </w:r>
          </w:p>
        </w:tc>
        <w:tc>
          <w:tcPr>
            <w:tcW w:w="775" w:type="dxa"/>
          </w:tcPr>
          <w:p w14:paraId="4F02B939">
            <w:pPr>
              <w:rPr>
                <w:rFonts w:cs="Times New Roman"/>
              </w:rPr>
            </w:pPr>
            <w:r>
              <w:rPr>
                <w:rFonts w:hint="eastAsia" w:cs="Times New Roman"/>
              </w:rPr>
              <w:t>1.32</w:t>
            </w:r>
          </w:p>
        </w:tc>
      </w:tr>
      <w:tr w14:paraId="13E40E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2F7D784B">
            <w:pPr>
              <w:rPr>
                <w:rFonts w:cs="Times New Roman"/>
              </w:rPr>
            </w:pPr>
            <w:r>
              <w:rPr>
                <w:rFonts w:hint="eastAsia" w:cs="Times New Roman"/>
              </w:rPr>
              <w:t>Ford</w:t>
            </w:r>
          </w:p>
        </w:tc>
        <w:tc>
          <w:tcPr>
            <w:tcW w:w="774" w:type="dxa"/>
          </w:tcPr>
          <w:p w14:paraId="7B7CAB09">
            <w:pPr>
              <w:rPr>
                <w:rFonts w:cs="Times New Roman"/>
              </w:rPr>
            </w:pPr>
            <w:r>
              <w:rPr>
                <w:rFonts w:hint="eastAsia" w:cs="Times New Roman"/>
              </w:rPr>
              <w:t>1.44</w:t>
            </w:r>
          </w:p>
        </w:tc>
        <w:tc>
          <w:tcPr>
            <w:tcW w:w="774" w:type="dxa"/>
          </w:tcPr>
          <w:p w14:paraId="78BA77A5">
            <w:pPr>
              <w:rPr>
                <w:rFonts w:cs="Times New Roman"/>
              </w:rPr>
            </w:pPr>
            <w:r>
              <w:rPr>
                <w:rFonts w:hint="eastAsia" w:cs="Times New Roman"/>
              </w:rPr>
              <w:t>1.93</w:t>
            </w:r>
          </w:p>
        </w:tc>
        <w:tc>
          <w:tcPr>
            <w:tcW w:w="775" w:type="dxa"/>
          </w:tcPr>
          <w:p w14:paraId="248CED0E">
            <w:pPr>
              <w:rPr>
                <w:rFonts w:cs="Times New Roman"/>
              </w:rPr>
            </w:pPr>
            <w:r>
              <w:rPr>
                <w:rFonts w:hint="eastAsia" w:cs="Times New Roman"/>
              </w:rPr>
              <w:t>1.11</w:t>
            </w:r>
          </w:p>
        </w:tc>
        <w:tc>
          <w:tcPr>
            <w:tcW w:w="775" w:type="dxa"/>
          </w:tcPr>
          <w:p w14:paraId="4D6EEC28">
            <w:pPr>
              <w:rPr>
                <w:rFonts w:cs="Times New Roman"/>
              </w:rPr>
            </w:pPr>
            <w:r>
              <w:rPr>
                <w:rFonts w:hint="eastAsia" w:cs="Times New Roman"/>
              </w:rPr>
              <w:t>0.985</w:t>
            </w:r>
          </w:p>
        </w:tc>
        <w:tc>
          <w:tcPr>
            <w:tcW w:w="775" w:type="dxa"/>
          </w:tcPr>
          <w:p w14:paraId="33668B9B">
            <w:pPr>
              <w:rPr>
                <w:rFonts w:cs="Times New Roman"/>
              </w:rPr>
            </w:pPr>
            <w:r>
              <w:rPr>
                <w:rFonts w:hint="eastAsia" w:cs="Times New Roman"/>
              </w:rPr>
              <w:t>0.893</w:t>
            </w:r>
          </w:p>
        </w:tc>
        <w:tc>
          <w:tcPr>
            <w:tcW w:w="775" w:type="dxa"/>
          </w:tcPr>
          <w:p w14:paraId="00068152">
            <w:pPr>
              <w:rPr>
                <w:rFonts w:cs="Times New Roman"/>
              </w:rPr>
            </w:pPr>
            <w:r>
              <w:rPr>
                <w:rFonts w:hint="eastAsia" w:cs="Times New Roman"/>
              </w:rPr>
              <w:t>1.02</w:t>
            </w:r>
          </w:p>
        </w:tc>
        <w:tc>
          <w:tcPr>
            <w:tcW w:w="775" w:type="dxa"/>
          </w:tcPr>
          <w:p w14:paraId="149BC942">
            <w:pPr>
              <w:rPr>
                <w:rFonts w:cs="Times New Roman"/>
              </w:rPr>
            </w:pPr>
            <w:r>
              <w:rPr>
                <w:rFonts w:hint="eastAsia" w:cs="Times New Roman"/>
              </w:rPr>
              <w:t>0.97</w:t>
            </w:r>
          </w:p>
        </w:tc>
        <w:tc>
          <w:tcPr>
            <w:tcW w:w="775" w:type="dxa"/>
          </w:tcPr>
          <w:p w14:paraId="3784B1BC">
            <w:pPr>
              <w:rPr>
                <w:rFonts w:cs="Times New Roman"/>
              </w:rPr>
            </w:pPr>
            <w:r>
              <w:rPr>
                <w:rFonts w:hint="eastAsia" w:cs="Times New Roman"/>
              </w:rPr>
              <w:t>0.984</w:t>
            </w:r>
          </w:p>
        </w:tc>
        <w:tc>
          <w:tcPr>
            <w:tcW w:w="775" w:type="dxa"/>
          </w:tcPr>
          <w:p w14:paraId="78A348BD">
            <w:pPr>
              <w:rPr>
                <w:rFonts w:cs="Times New Roman"/>
              </w:rPr>
            </w:pPr>
            <w:r>
              <w:rPr>
                <w:rFonts w:hint="eastAsia" w:cs="Times New Roman"/>
              </w:rPr>
              <w:t>1.02</w:t>
            </w:r>
          </w:p>
        </w:tc>
        <w:tc>
          <w:tcPr>
            <w:tcW w:w="775" w:type="dxa"/>
          </w:tcPr>
          <w:p w14:paraId="2B2A6150">
            <w:pPr>
              <w:rPr>
                <w:rFonts w:cs="Times New Roman"/>
              </w:rPr>
            </w:pPr>
            <w:r>
              <w:rPr>
                <w:rFonts w:hint="eastAsia" w:cs="Times New Roman"/>
              </w:rPr>
              <w:t>1.09</w:t>
            </w:r>
          </w:p>
        </w:tc>
      </w:tr>
    </w:tbl>
    <w:p w14:paraId="760B488D">
      <w:pPr>
        <w:rPr>
          <w:rFonts w:cs="Times New Roman"/>
        </w:rPr>
      </w:pPr>
      <w:r>
        <w:rPr>
          <w:rFonts w:hint="eastAsia" w:cs="Times New Roman"/>
        </w:rPr>
        <w:t>BYD</w:t>
      </w:r>
      <w:r>
        <w:rPr>
          <w:rFonts w:cs="Times New Roman"/>
        </w:rPr>
        <w:t>’</w:t>
      </w:r>
      <w:r>
        <w:rPr>
          <w:rFonts w:hint="eastAsia" w:cs="Times New Roman"/>
        </w:rPr>
        <w:t>s Average: 1.3 ; Ford</w:t>
      </w:r>
      <w:r>
        <w:rPr>
          <w:rFonts w:cs="Times New Roman"/>
        </w:rPr>
        <w:t>’</w:t>
      </w:r>
      <w:r>
        <w:rPr>
          <w:rFonts w:hint="eastAsia" w:cs="Times New Roman"/>
        </w:rPr>
        <w:t>s Average: 1.03 ; P-value: 0.020</w:t>
      </w:r>
    </w:p>
    <w:p w14:paraId="12CC9484">
      <w:pPr>
        <w:rPr>
          <w:rFonts w:cs="Times New Roman"/>
        </w:rPr>
      </w:pPr>
    </w:p>
    <w:p w14:paraId="29EB47B4">
      <w:pPr>
        <w:rPr>
          <w:rFonts w:cs="Times New Roman"/>
        </w:rPr>
      </w:pPr>
      <w:r>
        <w:rPr>
          <w:rFonts w:hint="eastAsia" w:cs="Times New Roman"/>
        </w:rPr>
        <w:t>Figure 1</w:t>
      </w:r>
      <w:r>
        <w:rPr>
          <w:rFonts w:hint="eastAsia" w:cs="Times New Roman"/>
          <w:lang w:val="en-US" w:eastAsia="zh-CN"/>
        </w:rPr>
        <w:t>4</w:t>
      </w:r>
      <w:r>
        <w:rPr>
          <w:rFonts w:hint="eastAsia" w:cs="Times New Roman"/>
        </w:rPr>
        <w:t>: Account payable turnover</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4"/>
        <w:gridCol w:w="774"/>
        <w:gridCol w:w="774"/>
        <w:gridCol w:w="775"/>
        <w:gridCol w:w="775"/>
        <w:gridCol w:w="775"/>
        <w:gridCol w:w="775"/>
        <w:gridCol w:w="775"/>
        <w:gridCol w:w="775"/>
        <w:gridCol w:w="775"/>
        <w:gridCol w:w="775"/>
      </w:tblGrid>
      <w:tr w14:paraId="21C7C1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422A8F3F">
            <w:pPr>
              <w:rPr>
                <w:rFonts w:cs="Times New Roman"/>
              </w:rPr>
            </w:pPr>
          </w:p>
        </w:tc>
        <w:tc>
          <w:tcPr>
            <w:tcW w:w="774" w:type="dxa"/>
          </w:tcPr>
          <w:p w14:paraId="75C628F8">
            <w:pPr>
              <w:rPr>
                <w:rFonts w:cs="Times New Roman"/>
              </w:rPr>
            </w:pPr>
            <w:r>
              <w:rPr>
                <w:rFonts w:hint="eastAsia" w:cs="Times New Roman"/>
              </w:rPr>
              <w:t>2023</w:t>
            </w:r>
          </w:p>
        </w:tc>
        <w:tc>
          <w:tcPr>
            <w:tcW w:w="774" w:type="dxa"/>
          </w:tcPr>
          <w:p w14:paraId="4E1E9E11">
            <w:pPr>
              <w:rPr>
                <w:rFonts w:cs="Times New Roman"/>
              </w:rPr>
            </w:pPr>
            <w:r>
              <w:rPr>
                <w:rFonts w:hint="eastAsia" w:cs="Times New Roman"/>
              </w:rPr>
              <w:t>2022</w:t>
            </w:r>
          </w:p>
        </w:tc>
        <w:tc>
          <w:tcPr>
            <w:tcW w:w="775" w:type="dxa"/>
          </w:tcPr>
          <w:p w14:paraId="07A2C247">
            <w:pPr>
              <w:rPr>
                <w:rFonts w:cs="Times New Roman"/>
              </w:rPr>
            </w:pPr>
            <w:r>
              <w:rPr>
                <w:rFonts w:hint="eastAsia" w:cs="Times New Roman"/>
              </w:rPr>
              <w:t>2021</w:t>
            </w:r>
          </w:p>
        </w:tc>
        <w:tc>
          <w:tcPr>
            <w:tcW w:w="775" w:type="dxa"/>
          </w:tcPr>
          <w:p w14:paraId="0A03D7F1">
            <w:pPr>
              <w:rPr>
                <w:rFonts w:cs="Times New Roman"/>
              </w:rPr>
            </w:pPr>
            <w:r>
              <w:rPr>
                <w:rFonts w:hint="eastAsia" w:cs="Times New Roman"/>
              </w:rPr>
              <w:t>2020</w:t>
            </w:r>
          </w:p>
        </w:tc>
        <w:tc>
          <w:tcPr>
            <w:tcW w:w="775" w:type="dxa"/>
          </w:tcPr>
          <w:p w14:paraId="507FEA3A">
            <w:pPr>
              <w:rPr>
                <w:rFonts w:cs="Times New Roman"/>
              </w:rPr>
            </w:pPr>
            <w:r>
              <w:rPr>
                <w:rFonts w:hint="eastAsia" w:cs="Times New Roman"/>
              </w:rPr>
              <w:t>2019</w:t>
            </w:r>
          </w:p>
        </w:tc>
        <w:tc>
          <w:tcPr>
            <w:tcW w:w="775" w:type="dxa"/>
          </w:tcPr>
          <w:p w14:paraId="56499D51">
            <w:pPr>
              <w:rPr>
                <w:rFonts w:cs="Times New Roman"/>
              </w:rPr>
            </w:pPr>
            <w:r>
              <w:rPr>
                <w:rFonts w:hint="eastAsia" w:cs="Times New Roman"/>
              </w:rPr>
              <w:t>2018</w:t>
            </w:r>
          </w:p>
        </w:tc>
        <w:tc>
          <w:tcPr>
            <w:tcW w:w="775" w:type="dxa"/>
          </w:tcPr>
          <w:p w14:paraId="61251BFE">
            <w:pPr>
              <w:rPr>
                <w:rFonts w:cs="Times New Roman"/>
              </w:rPr>
            </w:pPr>
            <w:r>
              <w:rPr>
                <w:rFonts w:hint="eastAsia" w:cs="Times New Roman"/>
              </w:rPr>
              <w:t>2017</w:t>
            </w:r>
          </w:p>
        </w:tc>
        <w:tc>
          <w:tcPr>
            <w:tcW w:w="775" w:type="dxa"/>
          </w:tcPr>
          <w:p w14:paraId="67AFCADE">
            <w:pPr>
              <w:rPr>
                <w:rFonts w:cs="Times New Roman"/>
              </w:rPr>
            </w:pPr>
            <w:r>
              <w:rPr>
                <w:rFonts w:hint="eastAsia" w:cs="Times New Roman"/>
              </w:rPr>
              <w:t>2016</w:t>
            </w:r>
          </w:p>
        </w:tc>
        <w:tc>
          <w:tcPr>
            <w:tcW w:w="775" w:type="dxa"/>
          </w:tcPr>
          <w:p w14:paraId="5E06A08E">
            <w:pPr>
              <w:rPr>
                <w:rFonts w:cs="Times New Roman"/>
              </w:rPr>
            </w:pPr>
            <w:r>
              <w:rPr>
                <w:rFonts w:hint="eastAsia" w:cs="Times New Roman"/>
              </w:rPr>
              <w:t>2015</w:t>
            </w:r>
          </w:p>
        </w:tc>
        <w:tc>
          <w:tcPr>
            <w:tcW w:w="775" w:type="dxa"/>
          </w:tcPr>
          <w:p w14:paraId="3F4A55BB">
            <w:pPr>
              <w:rPr>
                <w:rFonts w:cs="Times New Roman"/>
              </w:rPr>
            </w:pPr>
            <w:r>
              <w:rPr>
                <w:rFonts w:hint="eastAsia" w:cs="Times New Roman"/>
              </w:rPr>
              <w:t>2014</w:t>
            </w:r>
          </w:p>
        </w:tc>
      </w:tr>
      <w:tr w14:paraId="73DF6D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074C7CD4">
            <w:pPr>
              <w:rPr>
                <w:rFonts w:cs="Times New Roman"/>
              </w:rPr>
            </w:pPr>
            <w:r>
              <w:rPr>
                <w:rFonts w:hint="eastAsia" w:cs="Times New Roman"/>
              </w:rPr>
              <w:t>BYD</w:t>
            </w:r>
          </w:p>
        </w:tc>
        <w:tc>
          <w:tcPr>
            <w:tcW w:w="774" w:type="dxa"/>
          </w:tcPr>
          <w:p w14:paraId="1C5D91AE">
            <w:pPr>
              <w:rPr>
                <w:rFonts w:cs="Times New Roman"/>
              </w:rPr>
            </w:pPr>
            <w:r>
              <w:rPr>
                <w:rFonts w:hint="eastAsia" w:cs="Times New Roman"/>
              </w:rPr>
              <w:t>1.46</w:t>
            </w:r>
          </w:p>
        </w:tc>
        <w:tc>
          <w:tcPr>
            <w:tcW w:w="774" w:type="dxa"/>
          </w:tcPr>
          <w:p w14:paraId="4CAA90AF">
            <w:pPr>
              <w:rPr>
                <w:rFonts w:cs="Times New Roman"/>
              </w:rPr>
            </w:pPr>
            <w:r>
              <w:rPr>
                <w:rFonts w:hint="eastAsia" w:cs="Times New Roman"/>
              </w:rPr>
              <w:t>1.83</w:t>
            </w:r>
          </w:p>
        </w:tc>
        <w:tc>
          <w:tcPr>
            <w:tcW w:w="775" w:type="dxa"/>
          </w:tcPr>
          <w:p w14:paraId="467D668F">
            <w:pPr>
              <w:rPr>
                <w:rFonts w:cs="Times New Roman"/>
              </w:rPr>
            </w:pPr>
            <w:r>
              <w:rPr>
                <w:rFonts w:hint="eastAsia" w:cs="Times New Roman"/>
              </w:rPr>
              <w:t>1.78</w:t>
            </w:r>
          </w:p>
        </w:tc>
        <w:tc>
          <w:tcPr>
            <w:tcW w:w="775" w:type="dxa"/>
          </w:tcPr>
          <w:p w14:paraId="53D465BF">
            <w:pPr>
              <w:rPr>
                <w:rFonts w:cs="Times New Roman"/>
              </w:rPr>
            </w:pPr>
            <w:r>
              <w:rPr>
                <w:rFonts w:hint="eastAsia" w:cs="Times New Roman"/>
              </w:rPr>
              <w:t>1.15</w:t>
            </w:r>
          </w:p>
        </w:tc>
        <w:tc>
          <w:tcPr>
            <w:tcW w:w="775" w:type="dxa"/>
          </w:tcPr>
          <w:p w14:paraId="16503C83">
            <w:pPr>
              <w:rPr>
                <w:rFonts w:cs="Times New Roman"/>
              </w:rPr>
            </w:pPr>
            <w:r>
              <w:rPr>
                <w:rFonts w:hint="eastAsia" w:cs="Times New Roman"/>
              </w:rPr>
              <w:t>0.88</w:t>
            </w:r>
          </w:p>
        </w:tc>
        <w:tc>
          <w:tcPr>
            <w:tcW w:w="775" w:type="dxa"/>
          </w:tcPr>
          <w:p w14:paraId="1F2E2530">
            <w:pPr>
              <w:rPr>
                <w:rFonts w:cs="Times New Roman"/>
              </w:rPr>
            </w:pPr>
            <w:r>
              <w:rPr>
                <w:rFonts w:hint="eastAsia" w:cs="Times New Roman"/>
              </w:rPr>
              <w:t>1.14</w:t>
            </w:r>
          </w:p>
        </w:tc>
        <w:tc>
          <w:tcPr>
            <w:tcW w:w="775" w:type="dxa"/>
          </w:tcPr>
          <w:p w14:paraId="485573BC">
            <w:pPr>
              <w:rPr>
                <w:rFonts w:cs="Times New Roman"/>
              </w:rPr>
            </w:pPr>
            <w:r>
              <w:rPr>
                <w:rFonts w:hint="eastAsia" w:cs="Times New Roman"/>
              </w:rPr>
              <w:t>1.13</w:t>
            </w:r>
          </w:p>
        </w:tc>
        <w:tc>
          <w:tcPr>
            <w:tcW w:w="775" w:type="dxa"/>
          </w:tcPr>
          <w:p w14:paraId="1145D036">
            <w:pPr>
              <w:rPr>
                <w:rFonts w:cs="Times New Roman"/>
              </w:rPr>
            </w:pPr>
            <w:r>
              <w:rPr>
                <w:rFonts w:hint="eastAsia" w:cs="Times New Roman"/>
              </w:rPr>
              <w:t>1.14</w:t>
            </w:r>
          </w:p>
        </w:tc>
        <w:tc>
          <w:tcPr>
            <w:tcW w:w="775" w:type="dxa"/>
          </w:tcPr>
          <w:p w14:paraId="3E516416">
            <w:pPr>
              <w:rPr>
                <w:rFonts w:cs="Times New Roman"/>
              </w:rPr>
            </w:pPr>
            <w:r>
              <w:rPr>
                <w:rFonts w:hint="eastAsia" w:cs="Times New Roman"/>
              </w:rPr>
              <w:t>1.17</w:t>
            </w:r>
          </w:p>
        </w:tc>
        <w:tc>
          <w:tcPr>
            <w:tcW w:w="775" w:type="dxa"/>
          </w:tcPr>
          <w:p w14:paraId="537969DF">
            <w:pPr>
              <w:rPr>
                <w:rFonts w:cs="Times New Roman"/>
              </w:rPr>
            </w:pPr>
            <w:r>
              <w:rPr>
                <w:rFonts w:hint="eastAsia" w:cs="Times New Roman"/>
              </w:rPr>
              <w:t>1.32</w:t>
            </w:r>
          </w:p>
        </w:tc>
      </w:tr>
      <w:tr w14:paraId="22B1C8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5D7C5B66">
            <w:pPr>
              <w:rPr>
                <w:rFonts w:cs="Times New Roman"/>
              </w:rPr>
            </w:pPr>
            <w:r>
              <w:rPr>
                <w:rFonts w:hint="eastAsia" w:cs="Times New Roman"/>
              </w:rPr>
              <w:t>Ford</w:t>
            </w:r>
          </w:p>
        </w:tc>
        <w:tc>
          <w:tcPr>
            <w:tcW w:w="774" w:type="dxa"/>
          </w:tcPr>
          <w:p w14:paraId="06CB4993">
            <w:pPr>
              <w:rPr>
                <w:rFonts w:cs="Times New Roman"/>
              </w:rPr>
            </w:pPr>
            <w:r>
              <w:rPr>
                <w:rFonts w:hint="eastAsia" w:cs="Times New Roman"/>
              </w:rPr>
              <w:t>1.05</w:t>
            </w:r>
          </w:p>
        </w:tc>
        <w:tc>
          <w:tcPr>
            <w:tcW w:w="774" w:type="dxa"/>
          </w:tcPr>
          <w:p w14:paraId="3FD246FF">
            <w:pPr>
              <w:rPr>
                <w:rFonts w:cs="Times New Roman"/>
              </w:rPr>
            </w:pPr>
            <w:r>
              <w:rPr>
                <w:rFonts w:hint="eastAsia" w:cs="Times New Roman"/>
              </w:rPr>
              <w:t>1.09</w:t>
            </w:r>
          </w:p>
        </w:tc>
        <w:tc>
          <w:tcPr>
            <w:tcW w:w="775" w:type="dxa"/>
          </w:tcPr>
          <w:p w14:paraId="00FA8021">
            <w:pPr>
              <w:rPr>
                <w:rFonts w:cs="Times New Roman"/>
              </w:rPr>
            </w:pPr>
            <w:r>
              <w:rPr>
                <w:rFonts w:hint="eastAsia" w:cs="Times New Roman"/>
              </w:rPr>
              <w:t>1.03</w:t>
            </w:r>
          </w:p>
        </w:tc>
        <w:tc>
          <w:tcPr>
            <w:tcW w:w="775" w:type="dxa"/>
          </w:tcPr>
          <w:p w14:paraId="25121D26">
            <w:pPr>
              <w:rPr>
                <w:rFonts w:cs="Times New Roman"/>
              </w:rPr>
            </w:pPr>
            <w:r>
              <w:rPr>
                <w:rFonts w:hint="eastAsia" w:cs="Times New Roman"/>
              </w:rPr>
              <w:t>1.03</w:t>
            </w:r>
          </w:p>
        </w:tc>
        <w:tc>
          <w:tcPr>
            <w:tcW w:w="775" w:type="dxa"/>
          </w:tcPr>
          <w:p w14:paraId="42F50642">
            <w:pPr>
              <w:rPr>
                <w:rFonts w:cs="Times New Roman"/>
              </w:rPr>
            </w:pPr>
            <w:r>
              <w:rPr>
                <w:rFonts w:hint="eastAsia" w:cs="Times New Roman"/>
              </w:rPr>
              <w:t>0.947</w:t>
            </w:r>
          </w:p>
        </w:tc>
        <w:tc>
          <w:tcPr>
            <w:tcW w:w="775" w:type="dxa"/>
          </w:tcPr>
          <w:p w14:paraId="4CFDF3F2">
            <w:pPr>
              <w:rPr>
                <w:rFonts w:cs="Times New Roman"/>
              </w:rPr>
            </w:pPr>
            <w:r>
              <w:rPr>
                <w:rFonts w:hint="eastAsia" w:cs="Times New Roman"/>
              </w:rPr>
              <w:t>0.977</w:t>
            </w:r>
          </w:p>
        </w:tc>
        <w:tc>
          <w:tcPr>
            <w:tcW w:w="775" w:type="dxa"/>
          </w:tcPr>
          <w:p w14:paraId="45846487">
            <w:pPr>
              <w:rPr>
                <w:rFonts w:cs="Times New Roman"/>
              </w:rPr>
            </w:pPr>
            <w:r>
              <w:rPr>
                <w:rFonts w:hint="eastAsia" w:cs="Times New Roman"/>
              </w:rPr>
              <w:t>1.08</w:t>
            </w:r>
          </w:p>
        </w:tc>
        <w:tc>
          <w:tcPr>
            <w:tcW w:w="775" w:type="dxa"/>
          </w:tcPr>
          <w:p w14:paraId="0311722D">
            <w:pPr>
              <w:rPr>
                <w:rFonts w:cs="Times New Roman"/>
              </w:rPr>
            </w:pPr>
            <w:r>
              <w:rPr>
                <w:rFonts w:hint="eastAsia" w:cs="Times New Roman"/>
              </w:rPr>
              <w:t>1.04</w:t>
            </w:r>
          </w:p>
        </w:tc>
        <w:tc>
          <w:tcPr>
            <w:tcW w:w="775" w:type="dxa"/>
          </w:tcPr>
          <w:p w14:paraId="4F55E7BD">
            <w:pPr>
              <w:rPr>
                <w:rFonts w:cs="Times New Roman"/>
              </w:rPr>
            </w:pPr>
            <w:r>
              <w:rPr>
                <w:rFonts w:hint="eastAsia" w:cs="Times New Roman"/>
              </w:rPr>
              <w:t>1.02</w:t>
            </w:r>
          </w:p>
        </w:tc>
        <w:tc>
          <w:tcPr>
            <w:tcW w:w="775" w:type="dxa"/>
          </w:tcPr>
          <w:p w14:paraId="2DA80AC4">
            <w:pPr>
              <w:rPr>
                <w:rFonts w:cs="Times New Roman"/>
              </w:rPr>
            </w:pPr>
            <w:r>
              <w:rPr>
                <w:rFonts w:hint="eastAsia" w:cs="Times New Roman"/>
              </w:rPr>
              <w:t>1.01</w:t>
            </w:r>
          </w:p>
        </w:tc>
      </w:tr>
    </w:tbl>
    <w:p w14:paraId="1958A743">
      <w:pPr>
        <w:rPr>
          <w:rFonts w:cs="Times New Roman"/>
        </w:rPr>
      </w:pPr>
      <w:r>
        <w:rPr>
          <w:rFonts w:hint="eastAsia" w:cs="Times New Roman"/>
        </w:rPr>
        <w:t>BYD</w:t>
      </w:r>
      <w:r>
        <w:rPr>
          <w:rFonts w:cs="Times New Roman"/>
        </w:rPr>
        <w:t>’</w:t>
      </w:r>
      <w:r>
        <w:rPr>
          <w:rFonts w:hint="eastAsia" w:cs="Times New Roman"/>
        </w:rPr>
        <w:t>s Average: 1.3 ; Ford</w:t>
      </w:r>
      <w:r>
        <w:rPr>
          <w:rFonts w:cs="Times New Roman"/>
        </w:rPr>
        <w:t>’</w:t>
      </w:r>
      <w:r>
        <w:rPr>
          <w:rFonts w:hint="eastAsia" w:cs="Times New Roman"/>
        </w:rPr>
        <w:t>s Average: 1.03 ; P-value: 0.020</w:t>
      </w:r>
    </w:p>
    <w:p w14:paraId="79156B0F">
      <w:pPr>
        <w:rPr>
          <w:rFonts w:cs="Times New Roman"/>
        </w:rPr>
      </w:pPr>
    </w:p>
    <w:p w14:paraId="45B927B8">
      <w:pPr>
        <w:rPr>
          <w:rFonts w:cs="Times New Roman"/>
        </w:rPr>
      </w:pPr>
      <w:r>
        <w:rPr>
          <w:rFonts w:hint="eastAsia" w:cs="Times New Roman"/>
        </w:rPr>
        <w:t>Figure 1</w:t>
      </w:r>
      <w:r>
        <w:rPr>
          <w:rFonts w:hint="eastAsia" w:cs="Times New Roman"/>
          <w:lang w:val="en-US" w:eastAsia="zh-CN"/>
        </w:rPr>
        <w:t>5</w:t>
      </w:r>
      <w:r>
        <w:rPr>
          <w:rFonts w:hint="eastAsia" w:cs="Times New Roman"/>
        </w:rPr>
        <w:t>: Asset turnover ratio</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4"/>
        <w:gridCol w:w="774"/>
        <w:gridCol w:w="774"/>
        <w:gridCol w:w="775"/>
        <w:gridCol w:w="775"/>
        <w:gridCol w:w="775"/>
        <w:gridCol w:w="775"/>
        <w:gridCol w:w="775"/>
        <w:gridCol w:w="775"/>
        <w:gridCol w:w="775"/>
        <w:gridCol w:w="775"/>
      </w:tblGrid>
      <w:tr w14:paraId="330D0D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6B358EB0">
            <w:pPr>
              <w:rPr>
                <w:rFonts w:cs="Times New Roman"/>
              </w:rPr>
            </w:pPr>
          </w:p>
        </w:tc>
        <w:tc>
          <w:tcPr>
            <w:tcW w:w="774" w:type="dxa"/>
          </w:tcPr>
          <w:p w14:paraId="00AFF5C5">
            <w:pPr>
              <w:rPr>
                <w:rFonts w:cs="Times New Roman"/>
              </w:rPr>
            </w:pPr>
            <w:r>
              <w:rPr>
                <w:rFonts w:hint="eastAsia" w:cs="Times New Roman"/>
              </w:rPr>
              <w:t>2023</w:t>
            </w:r>
          </w:p>
        </w:tc>
        <w:tc>
          <w:tcPr>
            <w:tcW w:w="774" w:type="dxa"/>
          </w:tcPr>
          <w:p w14:paraId="7974358B">
            <w:pPr>
              <w:rPr>
                <w:rFonts w:cs="Times New Roman"/>
              </w:rPr>
            </w:pPr>
            <w:r>
              <w:rPr>
                <w:rFonts w:hint="eastAsia" w:cs="Times New Roman"/>
              </w:rPr>
              <w:t>2022</w:t>
            </w:r>
          </w:p>
        </w:tc>
        <w:tc>
          <w:tcPr>
            <w:tcW w:w="775" w:type="dxa"/>
          </w:tcPr>
          <w:p w14:paraId="7A37116D">
            <w:pPr>
              <w:rPr>
                <w:rFonts w:cs="Times New Roman"/>
              </w:rPr>
            </w:pPr>
            <w:r>
              <w:rPr>
                <w:rFonts w:hint="eastAsia" w:cs="Times New Roman"/>
              </w:rPr>
              <w:t>2021</w:t>
            </w:r>
          </w:p>
        </w:tc>
        <w:tc>
          <w:tcPr>
            <w:tcW w:w="775" w:type="dxa"/>
          </w:tcPr>
          <w:p w14:paraId="2DA4789C">
            <w:pPr>
              <w:rPr>
                <w:rFonts w:cs="Times New Roman"/>
              </w:rPr>
            </w:pPr>
            <w:r>
              <w:rPr>
                <w:rFonts w:hint="eastAsia" w:cs="Times New Roman"/>
              </w:rPr>
              <w:t>2020</w:t>
            </w:r>
          </w:p>
        </w:tc>
        <w:tc>
          <w:tcPr>
            <w:tcW w:w="775" w:type="dxa"/>
          </w:tcPr>
          <w:p w14:paraId="19B3D5CF">
            <w:pPr>
              <w:rPr>
                <w:rFonts w:cs="Times New Roman"/>
              </w:rPr>
            </w:pPr>
            <w:r>
              <w:rPr>
                <w:rFonts w:hint="eastAsia" w:cs="Times New Roman"/>
              </w:rPr>
              <w:t>2019</w:t>
            </w:r>
          </w:p>
        </w:tc>
        <w:tc>
          <w:tcPr>
            <w:tcW w:w="775" w:type="dxa"/>
          </w:tcPr>
          <w:p w14:paraId="231E3793">
            <w:pPr>
              <w:rPr>
                <w:rFonts w:cs="Times New Roman"/>
              </w:rPr>
            </w:pPr>
            <w:r>
              <w:rPr>
                <w:rFonts w:hint="eastAsia" w:cs="Times New Roman"/>
              </w:rPr>
              <w:t>2018</w:t>
            </w:r>
          </w:p>
        </w:tc>
        <w:tc>
          <w:tcPr>
            <w:tcW w:w="775" w:type="dxa"/>
          </w:tcPr>
          <w:p w14:paraId="5946BFEB">
            <w:pPr>
              <w:rPr>
                <w:rFonts w:cs="Times New Roman"/>
              </w:rPr>
            </w:pPr>
            <w:r>
              <w:rPr>
                <w:rFonts w:hint="eastAsia" w:cs="Times New Roman"/>
              </w:rPr>
              <w:t>2017</w:t>
            </w:r>
          </w:p>
        </w:tc>
        <w:tc>
          <w:tcPr>
            <w:tcW w:w="775" w:type="dxa"/>
          </w:tcPr>
          <w:p w14:paraId="0A3D7916">
            <w:pPr>
              <w:rPr>
                <w:rFonts w:cs="Times New Roman"/>
              </w:rPr>
            </w:pPr>
            <w:r>
              <w:rPr>
                <w:rFonts w:hint="eastAsia" w:cs="Times New Roman"/>
              </w:rPr>
              <w:t>2016</w:t>
            </w:r>
          </w:p>
        </w:tc>
        <w:tc>
          <w:tcPr>
            <w:tcW w:w="775" w:type="dxa"/>
          </w:tcPr>
          <w:p w14:paraId="735AE4E1">
            <w:pPr>
              <w:rPr>
                <w:rFonts w:cs="Times New Roman"/>
              </w:rPr>
            </w:pPr>
            <w:r>
              <w:rPr>
                <w:rFonts w:hint="eastAsia" w:cs="Times New Roman"/>
              </w:rPr>
              <w:t>2015</w:t>
            </w:r>
          </w:p>
        </w:tc>
        <w:tc>
          <w:tcPr>
            <w:tcW w:w="775" w:type="dxa"/>
          </w:tcPr>
          <w:p w14:paraId="010B8C2B">
            <w:pPr>
              <w:rPr>
                <w:rFonts w:cs="Times New Roman"/>
              </w:rPr>
            </w:pPr>
            <w:r>
              <w:rPr>
                <w:rFonts w:hint="eastAsia" w:cs="Times New Roman"/>
              </w:rPr>
              <w:t>2014</w:t>
            </w:r>
          </w:p>
        </w:tc>
      </w:tr>
      <w:tr w14:paraId="69EA4D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16DE5784">
            <w:pPr>
              <w:rPr>
                <w:rFonts w:cs="Times New Roman"/>
              </w:rPr>
            </w:pPr>
            <w:r>
              <w:rPr>
                <w:rFonts w:hint="eastAsia" w:cs="Times New Roman"/>
              </w:rPr>
              <w:t>BYD</w:t>
            </w:r>
          </w:p>
        </w:tc>
        <w:tc>
          <w:tcPr>
            <w:tcW w:w="774" w:type="dxa"/>
          </w:tcPr>
          <w:p w14:paraId="6AD00F32">
            <w:pPr>
              <w:rPr>
                <w:rFonts w:cs="Times New Roman"/>
              </w:rPr>
            </w:pPr>
            <w:r>
              <w:rPr>
                <w:rFonts w:hint="eastAsia" w:cs="Times New Roman"/>
              </w:rPr>
              <w:t>1.23</w:t>
            </w:r>
          </w:p>
        </w:tc>
        <w:tc>
          <w:tcPr>
            <w:tcW w:w="774" w:type="dxa"/>
          </w:tcPr>
          <w:p w14:paraId="4AE3E81D">
            <w:pPr>
              <w:rPr>
                <w:rFonts w:cs="Times New Roman"/>
              </w:rPr>
            </w:pPr>
            <w:r>
              <w:rPr>
                <w:rFonts w:hint="eastAsia" w:cs="Times New Roman"/>
              </w:rPr>
              <w:t>1.28</w:t>
            </w:r>
          </w:p>
        </w:tc>
        <w:tc>
          <w:tcPr>
            <w:tcW w:w="775" w:type="dxa"/>
          </w:tcPr>
          <w:p w14:paraId="244C74D5">
            <w:pPr>
              <w:rPr>
                <w:rFonts w:cs="Times New Roman"/>
              </w:rPr>
            </w:pPr>
            <w:r>
              <w:rPr>
                <w:rFonts w:hint="eastAsia" w:cs="Times New Roman"/>
              </w:rPr>
              <w:t>0.94</w:t>
            </w:r>
          </w:p>
        </w:tc>
        <w:tc>
          <w:tcPr>
            <w:tcW w:w="775" w:type="dxa"/>
          </w:tcPr>
          <w:p w14:paraId="242AD01E">
            <w:pPr>
              <w:rPr>
                <w:rFonts w:cs="Times New Roman"/>
              </w:rPr>
            </w:pPr>
            <w:r>
              <w:rPr>
                <w:rFonts w:hint="eastAsia" w:cs="Times New Roman"/>
              </w:rPr>
              <w:t>0.79</w:t>
            </w:r>
          </w:p>
        </w:tc>
        <w:tc>
          <w:tcPr>
            <w:tcW w:w="775" w:type="dxa"/>
          </w:tcPr>
          <w:p w14:paraId="197EE658">
            <w:pPr>
              <w:rPr>
                <w:rFonts w:cs="Times New Roman"/>
              </w:rPr>
            </w:pPr>
            <w:r>
              <w:rPr>
                <w:rFonts w:hint="eastAsia" w:cs="Times New Roman"/>
              </w:rPr>
              <w:t>0.17</w:t>
            </w:r>
          </w:p>
        </w:tc>
        <w:tc>
          <w:tcPr>
            <w:tcW w:w="775" w:type="dxa"/>
          </w:tcPr>
          <w:p w14:paraId="34577079">
            <w:pPr>
              <w:rPr>
                <w:rFonts w:cs="Times New Roman"/>
              </w:rPr>
            </w:pPr>
            <w:r>
              <w:rPr>
                <w:rFonts w:hint="eastAsia" w:cs="Times New Roman"/>
              </w:rPr>
              <w:t>0.75</w:t>
            </w:r>
          </w:p>
        </w:tc>
        <w:tc>
          <w:tcPr>
            <w:tcW w:w="775" w:type="dxa"/>
          </w:tcPr>
          <w:p w14:paraId="198295C5">
            <w:pPr>
              <w:rPr>
                <w:rFonts w:cs="Times New Roman"/>
              </w:rPr>
            </w:pPr>
            <w:r>
              <w:rPr>
                <w:rFonts w:hint="eastAsia" w:cs="Times New Roman"/>
              </w:rPr>
              <w:t>0.70</w:t>
            </w:r>
          </w:p>
        </w:tc>
        <w:tc>
          <w:tcPr>
            <w:tcW w:w="775" w:type="dxa"/>
          </w:tcPr>
          <w:p w14:paraId="41B868CE">
            <w:pPr>
              <w:rPr>
                <w:rFonts w:cs="Times New Roman"/>
              </w:rPr>
            </w:pPr>
            <w:r>
              <w:rPr>
                <w:rFonts w:hint="eastAsia" w:cs="Times New Roman"/>
              </w:rPr>
              <w:t>0.85</w:t>
            </w:r>
          </w:p>
        </w:tc>
        <w:tc>
          <w:tcPr>
            <w:tcW w:w="775" w:type="dxa"/>
          </w:tcPr>
          <w:p w14:paraId="5A997030">
            <w:pPr>
              <w:rPr>
                <w:rFonts w:cs="Times New Roman"/>
              </w:rPr>
            </w:pPr>
            <w:r>
              <w:rPr>
                <w:rFonts w:hint="eastAsia" w:cs="Times New Roman"/>
              </w:rPr>
              <w:t>0.81</w:t>
            </w:r>
          </w:p>
        </w:tc>
        <w:tc>
          <w:tcPr>
            <w:tcW w:w="775" w:type="dxa"/>
          </w:tcPr>
          <w:p w14:paraId="4B71DAF9">
            <w:pPr>
              <w:rPr>
                <w:rFonts w:cs="Times New Roman"/>
              </w:rPr>
            </w:pPr>
            <w:r>
              <w:rPr>
                <w:rFonts w:hint="eastAsia" w:cs="Times New Roman"/>
              </w:rPr>
              <w:t>0.69</w:t>
            </w:r>
          </w:p>
        </w:tc>
      </w:tr>
      <w:tr w14:paraId="2EFE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5CB5FA5E">
            <w:pPr>
              <w:rPr>
                <w:rFonts w:cs="Times New Roman"/>
              </w:rPr>
            </w:pPr>
            <w:r>
              <w:rPr>
                <w:rFonts w:hint="eastAsia" w:cs="Times New Roman"/>
              </w:rPr>
              <w:t>Ford</w:t>
            </w:r>
          </w:p>
        </w:tc>
        <w:tc>
          <w:tcPr>
            <w:tcW w:w="774" w:type="dxa"/>
          </w:tcPr>
          <w:p w14:paraId="4C52E1C2">
            <w:pPr>
              <w:rPr>
                <w:rFonts w:cs="Times New Roman"/>
              </w:rPr>
            </w:pPr>
            <w:r>
              <w:rPr>
                <w:rFonts w:hint="eastAsia" w:cs="Times New Roman"/>
              </w:rPr>
              <w:t>0.67</w:t>
            </w:r>
          </w:p>
        </w:tc>
        <w:tc>
          <w:tcPr>
            <w:tcW w:w="774" w:type="dxa"/>
          </w:tcPr>
          <w:p w14:paraId="22ABA1C0">
            <w:pPr>
              <w:rPr>
                <w:rFonts w:cs="Times New Roman"/>
              </w:rPr>
            </w:pPr>
            <w:r>
              <w:rPr>
                <w:rFonts w:hint="eastAsia" w:cs="Times New Roman"/>
              </w:rPr>
              <w:t>0.61</w:t>
            </w:r>
          </w:p>
        </w:tc>
        <w:tc>
          <w:tcPr>
            <w:tcW w:w="775" w:type="dxa"/>
          </w:tcPr>
          <w:p w14:paraId="2D690729">
            <w:pPr>
              <w:rPr>
                <w:rFonts w:cs="Times New Roman"/>
              </w:rPr>
            </w:pPr>
            <w:r>
              <w:rPr>
                <w:rFonts w:hint="eastAsia" w:cs="Times New Roman"/>
              </w:rPr>
              <w:t>0.52</w:t>
            </w:r>
          </w:p>
        </w:tc>
        <w:tc>
          <w:tcPr>
            <w:tcW w:w="775" w:type="dxa"/>
          </w:tcPr>
          <w:p w14:paraId="31448384">
            <w:pPr>
              <w:rPr>
                <w:rFonts w:cs="Times New Roman"/>
              </w:rPr>
            </w:pPr>
            <w:r>
              <w:rPr>
                <w:rFonts w:hint="eastAsia" w:cs="Times New Roman"/>
              </w:rPr>
              <w:t>0.49</w:t>
            </w:r>
          </w:p>
        </w:tc>
        <w:tc>
          <w:tcPr>
            <w:tcW w:w="775" w:type="dxa"/>
          </w:tcPr>
          <w:p w14:paraId="2C762DB4">
            <w:pPr>
              <w:rPr>
                <w:rFonts w:cs="Times New Roman"/>
              </w:rPr>
            </w:pPr>
            <w:r>
              <w:rPr>
                <w:rFonts w:hint="eastAsia" w:cs="Times New Roman"/>
              </w:rPr>
              <w:t>0.60</w:t>
            </w:r>
          </w:p>
        </w:tc>
        <w:tc>
          <w:tcPr>
            <w:tcW w:w="775" w:type="dxa"/>
          </w:tcPr>
          <w:p w14:paraId="4CC4288F">
            <w:pPr>
              <w:rPr>
                <w:rFonts w:cs="Times New Roman"/>
              </w:rPr>
            </w:pPr>
            <w:r>
              <w:rPr>
                <w:rFonts w:hint="eastAsia" w:cs="Times New Roman"/>
              </w:rPr>
              <w:t>0.64</w:t>
            </w:r>
          </w:p>
        </w:tc>
        <w:tc>
          <w:tcPr>
            <w:tcW w:w="775" w:type="dxa"/>
          </w:tcPr>
          <w:p w14:paraId="1C54CB72">
            <w:pPr>
              <w:rPr>
                <w:rFonts w:cs="Times New Roman"/>
              </w:rPr>
            </w:pPr>
            <w:r>
              <w:rPr>
                <w:rFonts w:hint="eastAsia" w:cs="Times New Roman"/>
              </w:rPr>
              <w:t>0.65</w:t>
            </w:r>
          </w:p>
        </w:tc>
        <w:tc>
          <w:tcPr>
            <w:tcW w:w="775" w:type="dxa"/>
          </w:tcPr>
          <w:p w14:paraId="7C0D918D">
            <w:pPr>
              <w:rPr>
                <w:rFonts w:cs="Times New Roman"/>
              </w:rPr>
            </w:pPr>
            <w:r>
              <w:rPr>
                <w:rFonts w:hint="eastAsia" w:cs="Times New Roman"/>
              </w:rPr>
              <w:t>0.68</w:t>
            </w:r>
          </w:p>
        </w:tc>
        <w:tc>
          <w:tcPr>
            <w:tcW w:w="775" w:type="dxa"/>
          </w:tcPr>
          <w:p w14:paraId="2F95D6D1">
            <w:pPr>
              <w:rPr>
                <w:rFonts w:cs="Times New Roman"/>
              </w:rPr>
            </w:pPr>
            <w:r>
              <w:rPr>
                <w:rFonts w:hint="eastAsia" w:cs="Times New Roman"/>
              </w:rPr>
              <w:t>0.71</w:t>
            </w:r>
          </w:p>
        </w:tc>
        <w:tc>
          <w:tcPr>
            <w:tcW w:w="775" w:type="dxa"/>
          </w:tcPr>
          <w:p w14:paraId="225EEEDD">
            <w:pPr>
              <w:rPr>
                <w:rFonts w:cs="Times New Roman"/>
              </w:rPr>
            </w:pPr>
            <w:r>
              <w:rPr>
                <w:rFonts w:hint="eastAsia" w:cs="Times New Roman"/>
              </w:rPr>
              <w:t>0.70</w:t>
            </w:r>
          </w:p>
        </w:tc>
      </w:tr>
    </w:tbl>
    <w:p w14:paraId="6CDFEC54">
      <w:pPr>
        <w:rPr>
          <w:rFonts w:hint="eastAsia" w:cs="Times New Roman"/>
        </w:rPr>
      </w:pPr>
      <w:r>
        <w:rPr>
          <w:rFonts w:hint="eastAsia" w:cs="Times New Roman"/>
        </w:rPr>
        <w:t>BYD</w:t>
      </w:r>
      <w:r>
        <w:rPr>
          <w:rFonts w:cs="Times New Roman"/>
        </w:rPr>
        <w:t>’</w:t>
      </w:r>
      <w:r>
        <w:rPr>
          <w:rFonts w:hint="eastAsia" w:cs="Times New Roman"/>
        </w:rPr>
        <w:t>s Average: 0.821 ; Ford</w:t>
      </w:r>
      <w:r>
        <w:rPr>
          <w:rFonts w:cs="Times New Roman"/>
        </w:rPr>
        <w:t>’</w:t>
      </w:r>
      <w:r>
        <w:rPr>
          <w:rFonts w:hint="eastAsia" w:cs="Times New Roman"/>
        </w:rPr>
        <w:t>s Average: 0.628 ; P-value: 0.083</w:t>
      </w:r>
    </w:p>
    <w:p w14:paraId="14ACCC8C">
      <w:pPr>
        <w:rPr>
          <w:rFonts w:hint="eastAsia" w:cs="Times New Roman"/>
        </w:rPr>
      </w:pPr>
    </w:p>
    <w:p w14:paraId="657A3A37">
      <w:pPr>
        <w:rPr>
          <w:rFonts w:cs="Times New Roman"/>
        </w:rPr>
      </w:pPr>
      <w:r>
        <w:rPr>
          <w:rFonts w:hint="default" w:cs="Times New Roman"/>
        </w:rPr>
        <w:t>The items with p-values less than 0.05 in this section are Account receivable turnover and Account payable turnover. This means that BYD and Ford have significantly different capital turnover cycles. Given that BYD has higher values than Ford, it can be concluded that BYD's capital turnover rate is significantly higher than Ford's. However, there is no significant difference in the Asset turnover ratio between the two, which shows that there is no significant difference in their production efficiency and goods turnover cycle.</w:t>
      </w:r>
    </w:p>
    <w:p w14:paraId="755D6E55">
      <w:pPr>
        <w:rPr>
          <w:rFonts w:cs="Times New Roman"/>
        </w:rPr>
      </w:pPr>
    </w:p>
    <w:p w14:paraId="0063D04C">
      <w:pPr>
        <w:rPr>
          <w:rFonts w:hint="default" w:cs="Times New Roman" w:eastAsiaTheme="minorEastAsia"/>
          <w:b/>
          <w:bCs/>
          <w:color w:val="0D0D0D" w:themeColor="text1" w:themeTint="F2"/>
          <w:lang w:val="en-US" w:eastAsia="zh-CN"/>
          <w14:textFill>
            <w14:solidFill>
              <w14:schemeClr w14:val="tx1">
                <w14:lumMod w14:val="95000"/>
                <w14:lumOff w14:val="5000"/>
              </w14:schemeClr>
            </w14:solidFill>
          </w14:textFill>
        </w:rPr>
      </w:pPr>
      <w:r>
        <w:rPr>
          <w:rFonts w:hint="eastAsia" w:cs="Times New Roman"/>
          <w:b/>
          <w:bCs/>
          <w:color w:val="0D0D0D" w:themeColor="text1" w:themeTint="F2"/>
          <w:lang w:val="en-US" w:eastAsia="zh-CN"/>
          <w14:textFill>
            <w14:solidFill>
              <w14:schemeClr w14:val="tx1">
                <w14:lumMod w14:val="95000"/>
                <w14:lumOff w14:val="5000"/>
              </w14:schemeClr>
            </w14:solidFill>
          </w14:textFill>
        </w:rPr>
        <w:t>Liquidity Ratio</w:t>
      </w:r>
    </w:p>
    <w:p w14:paraId="1D1838CF">
      <w:pPr>
        <w:rPr>
          <w:rFonts w:cs="Times New Roman"/>
        </w:rPr>
      </w:pPr>
      <w:r>
        <w:rPr>
          <w:rFonts w:hint="eastAsia" w:cs="Times New Roman"/>
        </w:rPr>
        <w:t>Figure 1</w:t>
      </w:r>
      <w:r>
        <w:rPr>
          <w:rFonts w:hint="eastAsia" w:cs="Times New Roman"/>
          <w:lang w:val="en-US" w:eastAsia="zh-CN"/>
        </w:rPr>
        <w:t>6</w:t>
      </w:r>
      <w:r>
        <w:rPr>
          <w:rFonts w:hint="eastAsia" w:cs="Times New Roman"/>
        </w:rPr>
        <w:t>: Current ratio</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4"/>
        <w:gridCol w:w="774"/>
        <w:gridCol w:w="774"/>
        <w:gridCol w:w="775"/>
        <w:gridCol w:w="775"/>
        <w:gridCol w:w="775"/>
        <w:gridCol w:w="775"/>
        <w:gridCol w:w="775"/>
        <w:gridCol w:w="775"/>
        <w:gridCol w:w="775"/>
        <w:gridCol w:w="775"/>
      </w:tblGrid>
      <w:tr w14:paraId="4871C1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45481519">
            <w:pPr>
              <w:rPr>
                <w:rFonts w:cs="Times New Roman"/>
              </w:rPr>
            </w:pPr>
          </w:p>
        </w:tc>
        <w:tc>
          <w:tcPr>
            <w:tcW w:w="774" w:type="dxa"/>
          </w:tcPr>
          <w:p w14:paraId="795E26E3">
            <w:pPr>
              <w:rPr>
                <w:rFonts w:cs="Times New Roman"/>
              </w:rPr>
            </w:pPr>
            <w:r>
              <w:rPr>
                <w:rFonts w:hint="eastAsia" w:cs="Times New Roman"/>
              </w:rPr>
              <w:t>2023</w:t>
            </w:r>
          </w:p>
        </w:tc>
        <w:tc>
          <w:tcPr>
            <w:tcW w:w="774" w:type="dxa"/>
          </w:tcPr>
          <w:p w14:paraId="2C06C542">
            <w:pPr>
              <w:rPr>
                <w:rFonts w:cs="Times New Roman"/>
              </w:rPr>
            </w:pPr>
            <w:r>
              <w:rPr>
                <w:rFonts w:hint="eastAsia" w:cs="Times New Roman"/>
              </w:rPr>
              <w:t>2022</w:t>
            </w:r>
          </w:p>
        </w:tc>
        <w:tc>
          <w:tcPr>
            <w:tcW w:w="775" w:type="dxa"/>
          </w:tcPr>
          <w:p w14:paraId="1ACA32F2">
            <w:pPr>
              <w:rPr>
                <w:rFonts w:cs="Times New Roman"/>
              </w:rPr>
            </w:pPr>
            <w:r>
              <w:rPr>
                <w:rFonts w:hint="eastAsia" w:cs="Times New Roman"/>
              </w:rPr>
              <w:t>2021</w:t>
            </w:r>
          </w:p>
        </w:tc>
        <w:tc>
          <w:tcPr>
            <w:tcW w:w="775" w:type="dxa"/>
          </w:tcPr>
          <w:p w14:paraId="5A1129B5">
            <w:pPr>
              <w:rPr>
                <w:rFonts w:cs="Times New Roman"/>
              </w:rPr>
            </w:pPr>
            <w:r>
              <w:rPr>
                <w:rFonts w:hint="eastAsia" w:cs="Times New Roman"/>
              </w:rPr>
              <w:t>2020</w:t>
            </w:r>
          </w:p>
        </w:tc>
        <w:tc>
          <w:tcPr>
            <w:tcW w:w="775" w:type="dxa"/>
          </w:tcPr>
          <w:p w14:paraId="5F79DCA5">
            <w:pPr>
              <w:rPr>
                <w:rFonts w:cs="Times New Roman"/>
              </w:rPr>
            </w:pPr>
            <w:r>
              <w:rPr>
                <w:rFonts w:hint="eastAsia" w:cs="Times New Roman"/>
              </w:rPr>
              <w:t>2019</w:t>
            </w:r>
          </w:p>
        </w:tc>
        <w:tc>
          <w:tcPr>
            <w:tcW w:w="775" w:type="dxa"/>
          </w:tcPr>
          <w:p w14:paraId="61128240">
            <w:pPr>
              <w:rPr>
                <w:rFonts w:cs="Times New Roman"/>
              </w:rPr>
            </w:pPr>
            <w:r>
              <w:rPr>
                <w:rFonts w:hint="eastAsia" w:cs="Times New Roman"/>
              </w:rPr>
              <w:t>2018</w:t>
            </w:r>
          </w:p>
        </w:tc>
        <w:tc>
          <w:tcPr>
            <w:tcW w:w="775" w:type="dxa"/>
          </w:tcPr>
          <w:p w14:paraId="1E1BC910">
            <w:pPr>
              <w:rPr>
                <w:rFonts w:cs="Times New Roman"/>
              </w:rPr>
            </w:pPr>
            <w:r>
              <w:rPr>
                <w:rFonts w:hint="eastAsia" w:cs="Times New Roman"/>
              </w:rPr>
              <w:t>2017</w:t>
            </w:r>
          </w:p>
        </w:tc>
        <w:tc>
          <w:tcPr>
            <w:tcW w:w="775" w:type="dxa"/>
          </w:tcPr>
          <w:p w14:paraId="2AFD2F4C">
            <w:pPr>
              <w:rPr>
                <w:rFonts w:cs="Times New Roman"/>
              </w:rPr>
            </w:pPr>
            <w:r>
              <w:rPr>
                <w:rFonts w:hint="eastAsia" w:cs="Times New Roman"/>
              </w:rPr>
              <w:t>2016</w:t>
            </w:r>
          </w:p>
        </w:tc>
        <w:tc>
          <w:tcPr>
            <w:tcW w:w="775" w:type="dxa"/>
          </w:tcPr>
          <w:p w14:paraId="4E0C5132">
            <w:pPr>
              <w:rPr>
                <w:rFonts w:cs="Times New Roman"/>
              </w:rPr>
            </w:pPr>
            <w:r>
              <w:rPr>
                <w:rFonts w:hint="eastAsia" w:cs="Times New Roman"/>
              </w:rPr>
              <w:t>2015</w:t>
            </w:r>
          </w:p>
        </w:tc>
        <w:tc>
          <w:tcPr>
            <w:tcW w:w="775" w:type="dxa"/>
          </w:tcPr>
          <w:p w14:paraId="4993DC28">
            <w:pPr>
              <w:rPr>
                <w:rFonts w:cs="Times New Roman"/>
              </w:rPr>
            </w:pPr>
            <w:r>
              <w:rPr>
                <w:rFonts w:hint="eastAsia" w:cs="Times New Roman"/>
              </w:rPr>
              <w:t>2014</w:t>
            </w:r>
          </w:p>
        </w:tc>
      </w:tr>
      <w:tr w14:paraId="156B79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4F08C7E0">
            <w:pPr>
              <w:rPr>
                <w:rFonts w:cs="Times New Roman"/>
              </w:rPr>
            </w:pPr>
            <w:r>
              <w:rPr>
                <w:rFonts w:hint="eastAsia" w:cs="Times New Roman"/>
              </w:rPr>
              <w:t>BYD</w:t>
            </w:r>
          </w:p>
        </w:tc>
        <w:tc>
          <w:tcPr>
            <w:tcW w:w="774" w:type="dxa"/>
          </w:tcPr>
          <w:p w14:paraId="1EE8AB47">
            <w:pPr>
              <w:rPr>
                <w:rFonts w:cs="Times New Roman"/>
              </w:rPr>
            </w:pPr>
            <w:r>
              <w:rPr>
                <w:rFonts w:hint="eastAsia" w:cs="Times New Roman"/>
              </w:rPr>
              <w:t>0.67</w:t>
            </w:r>
          </w:p>
        </w:tc>
        <w:tc>
          <w:tcPr>
            <w:tcW w:w="774" w:type="dxa"/>
          </w:tcPr>
          <w:p w14:paraId="5EFF8088">
            <w:pPr>
              <w:rPr>
                <w:rFonts w:cs="Times New Roman"/>
              </w:rPr>
            </w:pPr>
            <w:r>
              <w:rPr>
                <w:rFonts w:hint="eastAsia" w:cs="Times New Roman"/>
              </w:rPr>
              <w:t>0.72</w:t>
            </w:r>
          </w:p>
        </w:tc>
        <w:tc>
          <w:tcPr>
            <w:tcW w:w="775" w:type="dxa"/>
          </w:tcPr>
          <w:p w14:paraId="0AF2D506">
            <w:pPr>
              <w:rPr>
                <w:rFonts w:cs="Times New Roman"/>
              </w:rPr>
            </w:pPr>
            <w:r>
              <w:rPr>
                <w:rFonts w:hint="eastAsia" w:cs="Times New Roman"/>
              </w:rPr>
              <w:t>0.97</w:t>
            </w:r>
          </w:p>
        </w:tc>
        <w:tc>
          <w:tcPr>
            <w:tcW w:w="775" w:type="dxa"/>
          </w:tcPr>
          <w:p w14:paraId="20E30513">
            <w:pPr>
              <w:rPr>
                <w:rFonts w:cs="Times New Roman"/>
              </w:rPr>
            </w:pPr>
            <w:r>
              <w:rPr>
                <w:rFonts w:hint="eastAsia" w:cs="Times New Roman"/>
              </w:rPr>
              <w:t>1.05</w:t>
            </w:r>
          </w:p>
        </w:tc>
        <w:tc>
          <w:tcPr>
            <w:tcW w:w="775" w:type="dxa"/>
          </w:tcPr>
          <w:p w14:paraId="40465EBA">
            <w:pPr>
              <w:rPr>
                <w:rFonts w:cs="Times New Roman"/>
              </w:rPr>
            </w:pPr>
            <w:r>
              <w:rPr>
                <w:rFonts w:hint="eastAsia" w:cs="Times New Roman"/>
              </w:rPr>
              <w:t>0.99</w:t>
            </w:r>
          </w:p>
        </w:tc>
        <w:tc>
          <w:tcPr>
            <w:tcW w:w="775" w:type="dxa"/>
          </w:tcPr>
          <w:p w14:paraId="66ACE195">
            <w:pPr>
              <w:rPr>
                <w:rFonts w:cs="Times New Roman"/>
              </w:rPr>
            </w:pPr>
            <w:r>
              <w:rPr>
                <w:rFonts w:hint="eastAsia" w:cs="Times New Roman"/>
              </w:rPr>
              <w:t>0.99</w:t>
            </w:r>
          </w:p>
        </w:tc>
        <w:tc>
          <w:tcPr>
            <w:tcW w:w="775" w:type="dxa"/>
          </w:tcPr>
          <w:p w14:paraId="1156ED12">
            <w:pPr>
              <w:rPr>
                <w:rFonts w:cs="Times New Roman"/>
              </w:rPr>
            </w:pPr>
            <w:r>
              <w:rPr>
                <w:rFonts w:hint="eastAsia" w:cs="Times New Roman"/>
              </w:rPr>
              <w:t>0.98</w:t>
            </w:r>
          </w:p>
        </w:tc>
        <w:tc>
          <w:tcPr>
            <w:tcW w:w="775" w:type="dxa"/>
          </w:tcPr>
          <w:p w14:paraId="4ED17A25">
            <w:pPr>
              <w:rPr>
                <w:rFonts w:cs="Times New Roman"/>
              </w:rPr>
            </w:pPr>
            <w:r>
              <w:rPr>
                <w:rFonts w:hint="eastAsia" w:cs="Times New Roman"/>
              </w:rPr>
              <w:t>1.00</w:t>
            </w:r>
          </w:p>
        </w:tc>
        <w:tc>
          <w:tcPr>
            <w:tcW w:w="775" w:type="dxa"/>
          </w:tcPr>
          <w:p w14:paraId="5547B688">
            <w:pPr>
              <w:rPr>
                <w:rFonts w:cs="Times New Roman"/>
              </w:rPr>
            </w:pPr>
            <w:r>
              <w:rPr>
                <w:rFonts w:hint="eastAsia" w:cs="Times New Roman"/>
              </w:rPr>
              <w:t>0.82</w:t>
            </w:r>
          </w:p>
        </w:tc>
        <w:tc>
          <w:tcPr>
            <w:tcW w:w="775" w:type="dxa"/>
          </w:tcPr>
          <w:p w14:paraId="3B32581F">
            <w:pPr>
              <w:rPr>
                <w:rFonts w:cs="Times New Roman"/>
              </w:rPr>
            </w:pPr>
            <w:r>
              <w:rPr>
                <w:rFonts w:hint="eastAsia" w:cs="Times New Roman"/>
              </w:rPr>
              <w:t>0.77</w:t>
            </w:r>
          </w:p>
        </w:tc>
      </w:tr>
      <w:tr w14:paraId="7570F1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5720EDFA">
            <w:pPr>
              <w:rPr>
                <w:rFonts w:cs="Times New Roman"/>
              </w:rPr>
            </w:pPr>
            <w:r>
              <w:rPr>
                <w:rFonts w:hint="eastAsia" w:cs="Times New Roman"/>
              </w:rPr>
              <w:t>Ford</w:t>
            </w:r>
          </w:p>
        </w:tc>
        <w:tc>
          <w:tcPr>
            <w:tcW w:w="774" w:type="dxa"/>
          </w:tcPr>
          <w:p w14:paraId="25567ECB">
            <w:pPr>
              <w:rPr>
                <w:rFonts w:cs="Times New Roman"/>
              </w:rPr>
            </w:pPr>
            <w:r>
              <w:rPr>
                <w:rFonts w:hint="eastAsia" w:cs="Times New Roman"/>
              </w:rPr>
              <w:t>1.20</w:t>
            </w:r>
          </w:p>
        </w:tc>
        <w:tc>
          <w:tcPr>
            <w:tcW w:w="774" w:type="dxa"/>
          </w:tcPr>
          <w:p w14:paraId="024AE59A">
            <w:pPr>
              <w:rPr>
                <w:rFonts w:cs="Times New Roman"/>
              </w:rPr>
            </w:pPr>
            <w:r>
              <w:rPr>
                <w:rFonts w:hint="eastAsia" w:cs="Times New Roman"/>
              </w:rPr>
              <w:t>1.20</w:t>
            </w:r>
          </w:p>
        </w:tc>
        <w:tc>
          <w:tcPr>
            <w:tcW w:w="775" w:type="dxa"/>
          </w:tcPr>
          <w:p w14:paraId="0E56ECBC">
            <w:pPr>
              <w:rPr>
                <w:rFonts w:cs="Times New Roman"/>
              </w:rPr>
            </w:pPr>
            <w:r>
              <w:rPr>
                <w:rFonts w:hint="eastAsia" w:cs="Times New Roman"/>
              </w:rPr>
              <w:t>1.20</w:t>
            </w:r>
          </w:p>
        </w:tc>
        <w:tc>
          <w:tcPr>
            <w:tcW w:w="775" w:type="dxa"/>
          </w:tcPr>
          <w:p w14:paraId="37C4AD16">
            <w:pPr>
              <w:rPr>
                <w:rFonts w:cs="Times New Roman"/>
              </w:rPr>
            </w:pPr>
            <w:r>
              <w:rPr>
                <w:rFonts w:hint="eastAsia" w:cs="Times New Roman"/>
              </w:rPr>
              <w:t>1.20</w:t>
            </w:r>
          </w:p>
        </w:tc>
        <w:tc>
          <w:tcPr>
            <w:tcW w:w="775" w:type="dxa"/>
          </w:tcPr>
          <w:p w14:paraId="0F30E5BC">
            <w:pPr>
              <w:rPr>
                <w:rFonts w:cs="Times New Roman"/>
              </w:rPr>
            </w:pPr>
            <w:r>
              <w:rPr>
                <w:rFonts w:hint="eastAsia" w:cs="Times New Roman"/>
              </w:rPr>
              <w:t>1.16</w:t>
            </w:r>
          </w:p>
        </w:tc>
        <w:tc>
          <w:tcPr>
            <w:tcW w:w="775" w:type="dxa"/>
          </w:tcPr>
          <w:p w14:paraId="61EA0E60">
            <w:pPr>
              <w:rPr>
                <w:rFonts w:cs="Times New Roman"/>
              </w:rPr>
            </w:pPr>
            <w:r>
              <w:rPr>
                <w:rFonts w:hint="eastAsia" w:cs="Times New Roman"/>
              </w:rPr>
              <w:t>1.20</w:t>
            </w:r>
          </w:p>
        </w:tc>
        <w:tc>
          <w:tcPr>
            <w:tcW w:w="775" w:type="dxa"/>
          </w:tcPr>
          <w:p w14:paraId="6B3651BD">
            <w:pPr>
              <w:rPr>
                <w:rFonts w:cs="Times New Roman"/>
              </w:rPr>
            </w:pPr>
            <w:r>
              <w:rPr>
                <w:rFonts w:hint="eastAsia" w:cs="Times New Roman"/>
              </w:rPr>
              <w:t>1.23</w:t>
            </w:r>
          </w:p>
        </w:tc>
        <w:tc>
          <w:tcPr>
            <w:tcW w:w="775" w:type="dxa"/>
          </w:tcPr>
          <w:p w14:paraId="1DEAA9D6">
            <w:pPr>
              <w:rPr>
                <w:rFonts w:cs="Times New Roman"/>
              </w:rPr>
            </w:pPr>
            <w:r>
              <w:rPr>
                <w:rFonts w:hint="eastAsia" w:cs="Times New Roman"/>
              </w:rPr>
              <w:t>1.20</w:t>
            </w:r>
          </w:p>
        </w:tc>
        <w:tc>
          <w:tcPr>
            <w:tcW w:w="775" w:type="dxa"/>
          </w:tcPr>
          <w:p w14:paraId="4E82390E">
            <w:pPr>
              <w:rPr>
                <w:rFonts w:cs="Times New Roman"/>
              </w:rPr>
            </w:pPr>
            <w:r>
              <w:rPr>
                <w:rFonts w:hint="eastAsia" w:cs="Times New Roman"/>
              </w:rPr>
              <w:t>1.25</w:t>
            </w:r>
          </w:p>
        </w:tc>
        <w:tc>
          <w:tcPr>
            <w:tcW w:w="775" w:type="dxa"/>
          </w:tcPr>
          <w:p w14:paraId="74D39E68">
            <w:pPr>
              <w:rPr>
                <w:rFonts w:cs="Times New Roman"/>
              </w:rPr>
            </w:pPr>
            <w:r>
              <w:rPr>
                <w:rFonts w:hint="eastAsia" w:cs="Times New Roman"/>
              </w:rPr>
              <w:t>UA</w:t>
            </w:r>
          </w:p>
        </w:tc>
      </w:tr>
    </w:tbl>
    <w:p w14:paraId="08E1D6EC">
      <w:pPr>
        <w:rPr>
          <w:rFonts w:cs="Times New Roman"/>
        </w:rPr>
      </w:pPr>
      <w:r>
        <w:rPr>
          <w:rFonts w:hint="eastAsia" w:cs="Times New Roman"/>
        </w:rPr>
        <w:t>BYD</w:t>
      </w:r>
      <w:r>
        <w:rPr>
          <w:rFonts w:cs="Times New Roman"/>
        </w:rPr>
        <w:t>’</w:t>
      </w:r>
      <w:r>
        <w:rPr>
          <w:rFonts w:hint="eastAsia" w:cs="Times New Roman"/>
        </w:rPr>
        <w:t>s Average: 0.896 ; Ford</w:t>
      </w:r>
      <w:r>
        <w:rPr>
          <w:rFonts w:cs="Times New Roman"/>
        </w:rPr>
        <w:t>’</w:t>
      </w:r>
      <w:r>
        <w:rPr>
          <w:rFonts w:hint="eastAsia" w:cs="Times New Roman"/>
        </w:rPr>
        <w:t>s Average: 1.20 ; P-value: 0.000</w:t>
      </w:r>
    </w:p>
    <w:p w14:paraId="5AFEC16C">
      <w:pPr>
        <w:rPr>
          <w:rFonts w:cs="Times New Roman"/>
        </w:rPr>
      </w:pPr>
    </w:p>
    <w:p w14:paraId="7A4F3415">
      <w:pPr>
        <w:rPr>
          <w:rFonts w:cs="Times New Roman"/>
        </w:rPr>
      </w:pPr>
      <w:r>
        <w:rPr>
          <w:rFonts w:hint="eastAsia" w:cs="Times New Roman"/>
        </w:rPr>
        <w:t>Figure 1</w:t>
      </w:r>
      <w:r>
        <w:rPr>
          <w:rFonts w:hint="eastAsia" w:cs="Times New Roman"/>
          <w:lang w:val="en-US" w:eastAsia="zh-CN"/>
        </w:rPr>
        <w:t>7</w:t>
      </w:r>
      <w:r>
        <w:rPr>
          <w:rFonts w:hint="eastAsia" w:cs="Times New Roman"/>
        </w:rPr>
        <w:t>: Cash ratio</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4"/>
        <w:gridCol w:w="774"/>
        <w:gridCol w:w="774"/>
        <w:gridCol w:w="775"/>
        <w:gridCol w:w="775"/>
        <w:gridCol w:w="775"/>
        <w:gridCol w:w="775"/>
        <w:gridCol w:w="775"/>
        <w:gridCol w:w="775"/>
        <w:gridCol w:w="775"/>
        <w:gridCol w:w="775"/>
      </w:tblGrid>
      <w:tr w14:paraId="11BB44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4B8E0064">
            <w:pPr>
              <w:rPr>
                <w:rFonts w:cs="Times New Roman"/>
              </w:rPr>
            </w:pPr>
          </w:p>
        </w:tc>
        <w:tc>
          <w:tcPr>
            <w:tcW w:w="774" w:type="dxa"/>
          </w:tcPr>
          <w:p w14:paraId="21B1D26C">
            <w:pPr>
              <w:rPr>
                <w:rFonts w:cs="Times New Roman"/>
              </w:rPr>
            </w:pPr>
            <w:r>
              <w:rPr>
                <w:rFonts w:hint="eastAsia" w:cs="Times New Roman"/>
              </w:rPr>
              <w:t>2023</w:t>
            </w:r>
          </w:p>
        </w:tc>
        <w:tc>
          <w:tcPr>
            <w:tcW w:w="774" w:type="dxa"/>
          </w:tcPr>
          <w:p w14:paraId="3DE247C2">
            <w:pPr>
              <w:rPr>
                <w:rFonts w:cs="Times New Roman"/>
              </w:rPr>
            </w:pPr>
            <w:r>
              <w:rPr>
                <w:rFonts w:hint="eastAsia" w:cs="Times New Roman"/>
              </w:rPr>
              <w:t>2022</w:t>
            </w:r>
          </w:p>
        </w:tc>
        <w:tc>
          <w:tcPr>
            <w:tcW w:w="775" w:type="dxa"/>
          </w:tcPr>
          <w:p w14:paraId="2CE7C51B">
            <w:pPr>
              <w:rPr>
                <w:rFonts w:cs="Times New Roman"/>
              </w:rPr>
            </w:pPr>
            <w:r>
              <w:rPr>
                <w:rFonts w:hint="eastAsia" w:cs="Times New Roman"/>
              </w:rPr>
              <w:t>2021</w:t>
            </w:r>
          </w:p>
        </w:tc>
        <w:tc>
          <w:tcPr>
            <w:tcW w:w="775" w:type="dxa"/>
          </w:tcPr>
          <w:p w14:paraId="5281584D">
            <w:pPr>
              <w:rPr>
                <w:rFonts w:cs="Times New Roman"/>
              </w:rPr>
            </w:pPr>
            <w:r>
              <w:rPr>
                <w:rFonts w:hint="eastAsia" w:cs="Times New Roman"/>
              </w:rPr>
              <w:t>2020</w:t>
            </w:r>
          </w:p>
        </w:tc>
        <w:tc>
          <w:tcPr>
            <w:tcW w:w="775" w:type="dxa"/>
          </w:tcPr>
          <w:p w14:paraId="4725645A">
            <w:pPr>
              <w:rPr>
                <w:rFonts w:cs="Times New Roman"/>
              </w:rPr>
            </w:pPr>
            <w:r>
              <w:rPr>
                <w:rFonts w:hint="eastAsia" w:cs="Times New Roman"/>
              </w:rPr>
              <w:t>2019</w:t>
            </w:r>
          </w:p>
        </w:tc>
        <w:tc>
          <w:tcPr>
            <w:tcW w:w="775" w:type="dxa"/>
          </w:tcPr>
          <w:p w14:paraId="0087BD7F">
            <w:pPr>
              <w:rPr>
                <w:rFonts w:cs="Times New Roman"/>
              </w:rPr>
            </w:pPr>
            <w:r>
              <w:rPr>
                <w:rFonts w:hint="eastAsia" w:cs="Times New Roman"/>
              </w:rPr>
              <w:t>2018</w:t>
            </w:r>
          </w:p>
        </w:tc>
        <w:tc>
          <w:tcPr>
            <w:tcW w:w="775" w:type="dxa"/>
          </w:tcPr>
          <w:p w14:paraId="727D5AB8">
            <w:pPr>
              <w:rPr>
                <w:rFonts w:cs="Times New Roman"/>
              </w:rPr>
            </w:pPr>
            <w:r>
              <w:rPr>
                <w:rFonts w:hint="eastAsia" w:cs="Times New Roman"/>
              </w:rPr>
              <w:t>2017</w:t>
            </w:r>
          </w:p>
        </w:tc>
        <w:tc>
          <w:tcPr>
            <w:tcW w:w="775" w:type="dxa"/>
          </w:tcPr>
          <w:p w14:paraId="4E0E3DC7">
            <w:pPr>
              <w:rPr>
                <w:rFonts w:cs="Times New Roman"/>
              </w:rPr>
            </w:pPr>
            <w:r>
              <w:rPr>
                <w:rFonts w:hint="eastAsia" w:cs="Times New Roman"/>
              </w:rPr>
              <w:t>2016</w:t>
            </w:r>
          </w:p>
        </w:tc>
        <w:tc>
          <w:tcPr>
            <w:tcW w:w="775" w:type="dxa"/>
          </w:tcPr>
          <w:p w14:paraId="1364E71E">
            <w:pPr>
              <w:rPr>
                <w:rFonts w:cs="Times New Roman"/>
              </w:rPr>
            </w:pPr>
            <w:r>
              <w:rPr>
                <w:rFonts w:hint="eastAsia" w:cs="Times New Roman"/>
              </w:rPr>
              <w:t>2015</w:t>
            </w:r>
          </w:p>
        </w:tc>
        <w:tc>
          <w:tcPr>
            <w:tcW w:w="775" w:type="dxa"/>
          </w:tcPr>
          <w:p w14:paraId="21032BFD">
            <w:pPr>
              <w:rPr>
                <w:rFonts w:cs="Times New Roman"/>
              </w:rPr>
            </w:pPr>
            <w:r>
              <w:rPr>
                <w:rFonts w:hint="eastAsia" w:cs="Times New Roman"/>
              </w:rPr>
              <w:t>2014</w:t>
            </w:r>
          </w:p>
        </w:tc>
      </w:tr>
      <w:tr w14:paraId="5B0354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583925ED">
            <w:pPr>
              <w:rPr>
                <w:rFonts w:cs="Times New Roman"/>
              </w:rPr>
            </w:pPr>
            <w:r>
              <w:rPr>
                <w:rFonts w:hint="eastAsia" w:cs="Times New Roman"/>
              </w:rPr>
              <w:t>BYD</w:t>
            </w:r>
          </w:p>
        </w:tc>
        <w:tc>
          <w:tcPr>
            <w:tcW w:w="774" w:type="dxa"/>
          </w:tcPr>
          <w:p w14:paraId="2370E604">
            <w:pPr>
              <w:rPr>
                <w:rFonts w:cs="Times New Roman"/>
              </w:rPr>
            </w:pPr>
            <w:r>
              <w:rPr>
                <w:rFonts w:hint="eastAsia" w:cs="Times New Roman"/>
              </w:rPr>
              <w:t>0.26</w:t>
            </w:r>
          </w:p>
        </w:tc>
        <w:tc>
          <w:tcPr>
            <w:tcW w:w="774" w:type="dxa"/>
          </w:tcPr>
          <w:p w14:paraId="3D34F707">
            <w:pPr>
              <w:rPr>
                <w:rFonts w:cs="Times New Roman"/>
              </w:rPr>
            </w:pPr>
            <w:r>
              <w:rPr>
                <w:rFonts w:hint="eastAsia" w:cs="Times New Roman"/>
              </w:rPr>
              <w:t>0.22</w:t>
            </w:r>
          </w:p>
        </w:tc>
        <w:tc>
          <w:tcPr>
            <w:tcW w:w="775" w:type="dxa"/>
          </w:tcPr>
          <w:p w14:paraId="33F59DA3">
            <w:pPr>
              <w:rPr>
                <w:rFonts w:cs="Times New Roman"/>
              </w:rPr>
            </w:pPr>
            <w:r>
              <w:rPr>
                <w:rFonts w:hint="eastAsia" w:cs="Times New Roman"/>
              </w:rPr>
              <w:t>0.33</w:t>
            </w:r>
          </w:p>
        </w:tc>
        <w:tc>
          <w:tcPr>
            <w:tcW w:w="775" w:type="dxa"/>
          </w:tcPr>
          <w:p w14:paraId="70AD44BD">
            <w:pPr>
              <w:rPr>
                <w:rFonts w:cs="Times New Roman"/>
              </w:rPr>
            </w:pPr>
            <w:r>
              <w:rPr>
                <w:rFonts w:hint="eastAsia" w:cs="Times New Roman"/>
              </w:rPr>
              <w:t>0.13</w:t>
            </w:r>
          </w:p>
        </w:tc>
        <w:tc>
          <w:tcPr>
            <w:tcW w:w="775" w:type="dxa"/>
          </w:tcPr>
          <w:p w14:paraId="4232EE49">
            <w:pPr>
              <w:rPr>
                <w:rFonts w:cs="Times New Roman"/>
              </w:rPr>
            </w:pPr>
            <w:r>
              <w:rPr>
                <w:rFonts w:hint="eastAsia" w:cs="Times New Roman"/>
              </w:rPr>
              <w:t>0.11</w:t>
            </w:r>
          </w:p>
        </w:tc>
        <w:tc>
          <w:tcPr>
            <w:tcW w:w="775" w:type="dxa"/>
          </w:tcPr>
          <w:p w14:paraId="36EC4874">
            <w:pPr>
              <w:rPr>
                <w:rFonts w:cs="Times New Roman"/>
              </w:rPr>
            </w:pPr>
            <w:r>
              <w:rPr>
                <w:rFonts w:hint="eastAsia" w:cs="Times New Roman"/>
              </w:rPr>
              <w:t>0.10</w:t>
            </w:r>
          </w:p>
        </w:tc>
        <w:tc>
          <w:tcPr>
            <w:tcW w:w="775" w:type="dxa"/>
          </w:tcPr>
          <w:p w14:paraId="21A44D21">
            <w:pPr>
              <w:rPr>
                <w:rFonts w:cs="Times New Roman"/>
              </w:rPr>
            </w:pPr>
            <w:r>
              <w:rPr>
                <w:rFonts w:hint="eastAsia" w:cs="Times New Roman"/>
              </w:rPr>
              <w:t>0.09</w:t>
            </w:r>
          </w:p>
        </w:tc>
        <w:tc>
          <w:tcPr>
            <w:tcW w:w="775" w:type="dxa"/>
          </w:tcPr>
          <w:p w14:paraId="372FAD4D">
            <w:pPr>
              <w:rPr>
                <w:rFonts w:cs="Times New Roman"/>
              </w:rPr>
            </w:pPr>
            <w:r>
              <w:rPr>
                <w:rFonts w:hint="eastAsia" w:cs="Times New Roman"/>
              </w:rPr>
              <w:t>0.09</w:t>
            </w:r>
          </w:p>
        </w:tc>
        <w:tc>
          <w:tcPr>
            <w:tcW w:w="775" w:type="dxa"/>
          </w:tcPr>
          <w:p w14:paraId="3B18334C">
            <w:pPr>
              <w:rPr>
                <w:rFonts w:cs="Times New Roman"/>
              </w:rPr>
            </w:pPr>
            <w:r>
              <w:rPr>
                <w:rFonts w:hint="eastAsia" w:cs="Times New Roman"/>
              </w:rPr>
              <w:t>0.09</w:t>
            </w:r>
          </w:p>
        </w:tc>
        <w:tc>
          <w:tcPr>
            <w:tcW w:w="775" w:type="dxa"/>
          </w:tcPr>
          <w:p w14:paraId="2A74B9A9">
            <w:pPr>
              <w:rPr>
                <w:rFonts w:cs="Times New Roman"/>
              </w:rPr>
            </w:pPr>
            <w:r>
              <w:rPr>
                <w:rFonts w:hint="eastAsia" w:cs="Times New Roman"/>
              </w:rPr>
              <w:t>0.07</w:t>
            </w:r>
          </w:p>
        </w:tc>
      </w:tr>
      <w:tr w14:paraId="260FC8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29BD21EA">
            <w:pPr>
              <w:rPr>
                <w:rFonts w:cs="Times New Roman"/>
              </w:rPr>
            </w:pPr>
            <w:r>
              <w:rPr>
                <w:rFonts w:hint="eastAsia" w:cs="Times New Roman"/>
              </w:rPr>
              <w:t>Ford</w:t>
            </w:r>
          </w:p>
        </w:tc>
        <w:tc>
          <w:tcPr>
            <w:tcW w:w="774" w:type="dxa"/>
          </w:tcPr>
          <w:p w14:paraId="57CACCA6">
            <w:pPr>
              <w:rPr>
                <w:rFonts w:cs="Times New Roman"/>
              </w:rPr>
            </w:pPr>
            <w:r>
              <w:rPr>
                <w:rFonts w:hint="eastAsia" w:cs="Times New Roman"/>
              </w:rPr>
              <w:t>0.24</w:t>
            </w:r>
          </w:p>
        </w:tc>
        <w:tc>
          <w:tcPr>
            <w:tcW w:w="774" w:type="dxa"/>
          </w:tcPr>
          <w:p w14:paraId="1A19D074">
            <w:pPr>
              <w:rPr>
                <w:rFonts w:cs="Times New Roman"/>
              </w:rPr>
            </w:pPr>
            <w:r>
              <w:rPr>
                <w:rFonts w:hint="eastAsia" w:cs="Times New Roman"/>
              </w:rPr>
              <w:t>0.26</w:t>
            </w:r>
          </w:p>
        </w:tc>
        <w:tc>
          <w:tcPr>
            <w:tcW w:w="775" w:type="dxa"/>
          </w:tcPr>
          <w:p w14:paraId="6B5EA4F1">
            <w:pPr>
              <w:rPr>
                <w:rFonts w:cs="Times New Roman"/>
              </w:rPr>
            </w:pPr>
            <w:r>
              <w:rPr>
                <w:rFonts w:hint="eastAsia" w:cs="Times New Roman"/>
              </w:rPr>
              <w:t>0.23</w:t>
            </w:r>
          </w:p>
        </w:tc>
        <w:tc>
          <w:tcPr>
            <w:tcW w:w="775" w:type="dxa"/>
          </w:tcPr>
          <w:p w14:paraId="28EA913C">
            <w:pPr>
              <w:rPr>
                <w:rFonts w:cs="Times New Roman"/>
              </w:rPr>
            </w:pPr>
            <w:r>
              <w:rPr>
                <w:rFonts w:hint="eastAsia" w:cs="Times New Roman"/>
              </w:rPr>
              <w:t>0.26</w:t>
            </w:r>
          </w:p>
        </w:tc>
        <w:tc>
          <w:tcPr>
            <w:tcW w:w="775" w:type="dxa"/>
          </w:tcPr>
          <w:p w14:paraId="49D282FD">
            <w:pPr>
              <w:rPr>
                <w:rFonts w:cs="Times New Roman"/>
              </w:rPr>
            </w:pPr>
            <w:r>
              <w:rPr>
                <w:rFonts w:hint="eastAsia" w:cs="Times New Roman"/>
              </w:rPr>
              <w:t>0.18</w:t>
            </w:r>
          </w:p>
        </w:tc>
        <w:tc>
          <w:tcPr>
            <w:tcW w:w="775" w:type="dxa"/>
          </w:tcPr>
          <w:p w14:paraId="2BF7F5BC">
            <w:pPr>
              <w:rPr>
                <w:rFonts w:cs="Times New Roman"/>
              </w:rPr>
            </w:pPr>
            <w:r>
              <w:rPr>
                <w:rFonts w:hint="eastAsia" w:cs="Times New Roman"/>
              </w:rPr>
              <w:t>0.17</w:t>
            </w:r>
          </w:p>
        </w:tc>
        <w:tc>
          <w:tcPr>
            <w:tcW w:w="775" w:type="dxa"/>
          </w:tcPr>
          <w:p w14:paraId="629AEE42">
            <w:pPr>
              <w:rPr>
                <w:rFonts w:cs="Times New Roman"/>
              </w:rPr>
            </w:pPr>
            <w:r>
              <w:rPr>
                <w:rFonts w:hint="eastAsia" w:cs="Times New Roman"/>
              </w:rPr>
              <w:t>0.20</w:t>
            </w:r>
          </w:p>
        </w:tc>
        <w:tc>
          <w:tcPr>
            <w:tcW w:w="775" w:type="dxa"/>
          </w:tcPr>
          <w:p w14:paraId="6CB34652">
            <w:pPr>
              <w:rPr>
                <w:rFonts w:cs="Times New Roman"/>
              </w:rPr>
            </w:pPr>
            <w:r>
              <w:rPr>
                <w:rFonts w:hint="eastAsia" w:cs="Times New Roman"/>
              </w:rPr>
              <w:t>0.18</w:t>
            </w:r>
          </w:p>
        </w:tc>
        <w:tc>
          <w:tcPr>
            <w:tcW w:w="775" w:type="dxa"/>
          </w:tcPr>
          <w:p w14:paraId="349DAAA8">
            <w:pPr>
              <w:rPr>
                <w:rFonts w:cs="Times New Roman"/>
              </w:rPr>
            </w:pPr>
            <w:r>
              <w:rPr>
                <w:rFonts w:hint="eastAsia" w:cs="Times New Roman"/>
              </w:rPr>
              <w:t>0.17</w:t>
            </w:r>
          </w:p>
        </w:tc>
        <w:tc>
          <w:tcPr>
            <w:tcW w:w="775" w:type="dxa"/>
          </w:tcPr>
          <w:p w14:paraId="1FA8B40B">
            <w:pPr>
              <w:rPr>
                <w:rFonts w:cs="Times New Roman"/>
              </w:rPr>
            </w:pPr>
            <w:r>
              <w:rPr>
                <w:rFonts w:hint="eastAsia" w:cs="Times New Roman"/>
              </w:rPr>
              <w:t>UA</w:t>
            </w:r>
          </w:p>
        </w:tc>
      </w:tr>
    </w:tbl>
    <w:p w14:paraId="4690E95C">
      <w:pPr>
        <w:rPr>
          <w:rFonts w:hint="eastAsia" w:cs="Times New Roman"/>
        </w:rPr>
      </w:pPr>
      <w:r>
        <w:rPr>
          <w:rFonts w:hint="eastAsia" w:cs="Times New Roman"/>
        </w:rPr>
        <w:t>BYD</w:t>
      </w:r>
      <w:r>
        <w:rPr>
          <w:rFonts w:cs="Times New Roman"/>
        </w:rPr>
        <w:t>’</w:t>
      </w:r>
      <w:r>
        <w:rPr>
          <w:rFonts w:hint="eastAsia" w:cs="Times New Roman"/>
        </w:rPr>
        <w:t>s Average: 0.149 ; Ford</w:t>
      </w:r>
      <w:r>
        <w:rPr>
          <w:rFonts w:cs="Times New Roman"/>
        </w:rPr>
        <w:t>’</w:t>
      </w:r>
      <w:r>
        <w:rPr>
          <w:rFonts w:hint="eastAsia" w:cs="Times New Roman"/>
        </w:rPr>
        <w:t>s Average: 0.21 ; P-value: 0.070</w:t>
      </w:r>
    </w:p>
    <w:p w14:paraId="199EA6D7">
      <w:pPr>
        <w:rPr>
          <w:rFonts w:hint="eastAsia" w:cs="Times New Roman"/>
        </w:rPr>
      </w:pPr>
    </w:p>
    <w:p w14:paraId="5FD19072">
      <w:pPr>
        <w:rPr>
          <w:rFonts w:hint="eastAsia" w:cs="Times New Roman"/>
        </w:rPr>
      </w:pPr>
      <w:r>
        <w:rPr>
          <w:rFonts w:hint="eastAsia" w:cs="Times New Roman"/>
        </w:rPr>
        <w:t>The item with a p-value less than 0.05 in this section is Current ratio. This means that Ford has more current assets than BYD. However, there is no significant difference in Cash ratio between the two, which means that this is not caused by Ford having more cash. This shows that Ford has invested more of its cash flow in short-term assets or more bluntly in financial investment. The main reason for this difference in strategy is that BYD is expanding its production scale and will use more funds to expand production rather than financial investment.</w:t>
      </w:r>
    </w:p>
    <w:p w14:paraId="5011BB58">
      <w:pPr>
        <w:rPr>
          <w:rFonts w:hint="eastAsia" w:cs="Times New Roman"/>
        </w:rPr>
      </w:pPr>
    </w:p>
    <w:p w14:paraId="5425DBFD">
      <w:pPr>
        <w:rPr>
          <w:rFonts w:hint="default" w:cs="Times New Roman" w:eastAsiaTheme="minorEastAsia"/>
          <w:b/>
          <w:bCs/>
          <w:lang w:val="en-US" w:eastAsia="zh-CN"/>
        </w:rPr>
      </w:pPr>
      <w:r>
        <w:rPr>
          <w:rFonts w:hint="eastAsia" w:cs="Times New Roman"/>
          <w:b/>
          <w:bCs/>
          <w:lang w:val="en-US" w:eastAsia="zh-CN"/>
        </w:rPr>
        <w:t>Solvency Ratio</w:t>
      </w:r>
    </w:p>
    <w:p w14:paraId="40554796">
      <w:pPr>
        <w:rPr>
          <w:rFonts w:cs="Times New Roman"/>
        </w:rPr>
      </w:pPr>
      <w:r>
        <w:rPr>
          <w:rFonts w:hint="eastAsia" w:cs="Times New Roman"/>
        </w:rPr>
        <w:t>Figure 1</w:t>
      </w:r>
      <w:r>
        <w:rPr>
          <w:rFonts w:hint="eastAsia" w:cs="Times New Roman"/>
          <w:lang w:val="en-US" w:eastAsia="zh-CN"/>
        </w:rPr>
        <w:t>8</w:t>
      </w:r>
      <w:r>
        <w:rPr>
          <w:rFonts w:hint="eastAsia" w:cs="Times New Roman"/>
        </w:rPr>
        <w:t>: Debt ratio</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4"/>
        <w:gridCol w:w="774"/>
        <w:gridCol w:w="774"/>
        <w:gridCol w:w="775"/>
        <w:gridCol w:w="775"/>
        <w:gridCol w:w="775"/>
        <w:gridCol w:w="775"/>
        <w:gridCol w:w="775"/>
        <w:gridCol w:w="775"/>
        <w:gridCol w:w="775"/>
        <w:gridCol w:w="775"/>
      </w:tblGrid>
      <w:tr w14:paraId="6CC1A0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22A8252D">
            <w:pPr>
              <w:rPr>
                <w:rFonts w:cs="Times New Roman"/>
              </w:rPr>
            </w:pPr>
          </w:p>
        </w:tc>
        <w:tc>
          <w:tcPr>
            <w:tcW w:w="774" w:type="dxa"/>
          </w:tcPr>
          <w:p w14:paraId="27A70777">
            <w:pPr>
              <w:rPr>
                <w:rFonts w:cs="Times New Roman"/>
              </w:rPr>
            </w:pPr>
            <w:r>
              <w:rPr>
                <w:rFonts w:hint="eastAsia" w:cs="Times New Roman"/>
              </w:rPr>
              <w:t>2023</w:t>
            </w:r>
          </w:p>
        </w:tc>
        <w:tc>
          <w:tcPr>
            <w:tcW w:w="774" w:type="dxa"/>
          </w:tcPr>
          <w:p w14:paraId="4DD62B15">
            <w:pPr>
              <w:rPr>
                <w:rFonts w:cs="Times New Roman"/>
              </w:rPr>
            </w:pPr>
            <w:r>
              <w:rPr>
                <w:rFonts w:hint="eastAsia" w:cs="Times New Roman"/>
              </w:rPr>
              <w:t>2022</w:t>
            </w:r>
          </w:p>
        </w:tc>
        <w:tc>
          <w:tcPr>
            <w:tcW w:w="775" w:type="dxa"/>
          </w:tcPr>
          <w:p w14:paraId="2C3FB014">
            <w:pPr>
              <w:rPr>
                <w:rFonts w:cs="Times New Roman"/>
              </w:rPr>
            </w:pPr>
            <w:r>
              <w:rPr>
                <w:rFonts w:hint="eastAsia" w:cs="Times New Roman"/>
              </w:rPr>
              <w:t>2021</w:t>
            </w:r>
          </w:p>
        </w:tc>
        <w:tc>
          <w:tcPr>
            <w:tcW w:w="775" w:type="dxa"/>
          </w:tcPr>
          <w:p w14:paraId="2252B4E0">
            <w:pPr>
              <w:rPr>
                <w:rFonts w:cs="Times New Roman"/>
              </w:rPr>
            </w:pPr>
            <w:r>
              <w:rPr>
                <w:rFonts w:hint="eastAsia" w:cs="Times New Roman"/>
              </w:rPr>
              <w:t>2020</w:t>
            </w:r>
          </w:p>
        </w:tc>
        <w:tc>
          <w:tcPr>
            <w:tcW w:w="775" w:type="dxa"/>
          </w:tcPr>
          <w:p w14:paraId="59F1C566">
            <w:pPr>
              <w:rPr>
                <w:rFonts w:cs="Times New Roman"/>
              </w:rPr>
            </w:pPr>
            <w:r>
              <w:rPr>
                <w:rFonts w:hint="eastAsia" w:cs="Times New Roman"/>
              </w:rPr>
              <w:t>2019</w:t>
            </w:r>
          </w:p>
        </w:tc>
        <w:tc>
          <w:tcPr>
            <w:tcW w:w="775" w:type="dxa"/>
          </w:tcPr>
          <w:p w14:paraId="2B2EB398">
            <w:pPr>
              <w:rPr>
                <w:rFonts w:cs="Times New Roman"/>
              </w:rPr>
            </w:pPr>
            <w:r>
              <w:rPr>
                <w:rFonts w:hint="eastAsia" w:cs="Times New Roman"/>
              </w:rPr>
              <w:t>2018</w:t>
            </w:r>
          </w:p>
        </w:tc>
        <w:tc>
          <w:tcPr>
            <w:tcW w:w="775" w:type="dxa"/>
          </w:tcPr>
          <w:p w14:paraId="39ACAA62">
            <w:pPr>
              <w:rPr>
                <w:rFonts w:cs="Times New Roman"/>
              </w:rPr>
            </w:pPr>
            <w:r>
              <w:rPr>
                <w:rFonts w:hint="eastAsia" w:cs="Times New Roman"/>
              </w:rPr>
              <w:t>2017</w:t>
            </w:r>
          </w:p>
        </w:tc>
        <w:tc>
          <w:tcPr>
            <w:tcW w:w="775" w:type="dxa"/>
          </w:tcPr>
          <w:p w14:paraId="3011351D">
            <w:pPr>
              <w:rPr>
                <w:rFonts w:cs="Times New Roman"/>
              </w:rPr>
            </w:pPr>
            <w:r>
              <w:rPr>
                <w:rFonts w:hint="eastAsia" w:cs="Times New Roman"/>
              </w:rPr>
              <w:t>2016</w:t>
            </w:r>
          </w:p>
        </w:tc>
        <w:tc>
          <w:tcPr>
            <w:tcW w:w="775" w:type="dxa"/>
          </w:tcPr>
          <w:p w14:paraId="1F2F6644">
            <w:pPr>
              <w:rPr>
                <w:rFonts w:cs="Times New Roman"/>
              </w:rPr>
            </w:pPr>
            <w:r>
              <w:rPr>
                <w:rFonts w:hint="eastAsia" w:cs="Times New Roman"/>
              </w:rPr>
              <w:t>2015</w:t>
            </w:r>
          </w:p>
        </w:tc>
        <w:tc>
          <w:tcPr>
            <w:tcW w:w="775" w:type="dxa"/>
          </w:tcPr>
          <w:p w14:paraId="7872F22D">
            <w:pPr>
              <w:rPr>
                <w:rFonts w:cs="Times New Roman"/>
              </w:rPr>
            </w:pPr>
            <w:r>
              <w:rPr>
                <w:rFonts w:hint="eastAsia" w:cs="Times New Roman"/>
              </w:rPr>
              <w:t>2014</w:t>
            </w:r>
          </w:p>
        </w:tc>
      </w:tr>
      <w:tr w14:paraId="5018B7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5B32A924">
            <w:pPr>
              <w:rPr>
                <w:rFonts w:cs="Times New Roman"/>
              </w:rPr>
            </w:pPr>
            <w:r>
              <w:rPr>
                <w:rFonts w:hint="eastAsia" w:cs="Times New Roman"/>
              </w:rPr>
              <w:t>BYD</w:t>
            </w:r>
          </w:p>
        </w:tc>
        <w:tc>
          <w:tcPr>
            <w:tcW w:w="774" w:type="dxa"/>
          </w:tcPr>
          <w:p w14:paraId="418FA651">
            <w:pPr>
              <w:rPr>
                <w:rFonts w:cs="Times New Roman"/>
              </w:rPr>
            </w:pPr>
            <w:r>
              <w:rPr>
                <w:rFonts w:hint="eastAsia" w:cs="Times New Roman"/>
              </w:rPr>
              <w:t>0.78</w:t>
            </w:r>
          </w:p>
        </w:tc>
        <w:tc>
          <w:tcPr>
            <w:tcW w:w="774" w:type="dxa"/>
          </w:tcPr>
          <w:p w14:paraId="3EEC3BE8">
            <w:pPr>
              <w:rPr>
                <w:rFonts w:cs="Times New Roman"/>
              </w:rPr>
            </w:pPr>
            <w:r>
              <w:rPr>
                <w:rFonts w:hint="eastAsia" w:cs="Times New Roman"/>
              </w:rPr>
              <w:t>0.75</w:t>
            </w:r>
          </w:p>
        </w:tc>
        <w:tc>
          <w:tcPr>
            <w:tcW w:w="775" w:type="dxa"/>
          </w:tcPr>
          <w:p w14:paraId="07C2FBE4">
            <w:pPr>
              <w:rPr>
                <w:rFonts w:cs="Times New Roman"/>
              </w:rPr>
            </w:pPr>
            <w:r>
              <w:rPr>
                <w:rFonts w:hint="eastAsia" w:cs="Times New Roman"/>
              </w:rPr>
              <w:t>0.65</w:t>
            </w:r>
          </w:p>
        </w:tc>
        <w:tc>
          <w:tcPr>
            <w:tcW w:w="775" w:type="dxa"/>
          </w:tcPr>
          <w:p w14:paraId="5E460DAD">
            <w:pPr>
              <w:rPr>
                <w:rFonts w:cs="Times New Roman"/>
              </w:rPr>
            </w:pPr>
            <w:r>
              <w:rPr>
                <w:rFonts w:hint="eastAsia" w:cs="Times New Roman"/>
              </w:rPr>
              <w:t>0.68</w:t>
            </w:r>
          </w:p>
        </w:tc>
        <w:tc>
          <w:tcPr>
            <w:tcW w:w="775" w:type="dxa"/>
          </w:tcPr>
          <w:p w14:paraId="40879A5D">
            <w:pPr>
              <w:rPr>
                <w:rFonts w:cs="Times New Roman"/>
              </w:rPr>
            </w:pPr>
            <w:r>
              <w:rPr>
                <w:rFonts w:hint="eastAsia" w:cs="Times New Roman"/>
              </w:rPr>
              <w:t>0.68</w:t>
            </w:r>
          </w:p>
        </w:tc>
        <w:tc>
          <w:tcPr>
            <w:tcW w:w="775" w:type="dxa"/>
          </w:tcPr>
          <w:p w14:paraId="2D39A692">
            <w:pPr>
              <w:rPr>
                <w:rFonts w:cs="Times New Roman"/>
              </w:rPr>
            </w:pPr>
            <w:r>
              <w:rPr>
                <w:rFonts w:hint="eastAsia" w:cs="Times New Roman"/>
              </w:rPr>
              <w:t>0.69</w:t>
            </w:r>
          </w:p>
        </w:tc>
        <w:tc>
          <w:tcPr>
            <w:tcW w:w="775" w:type="dxa"/>
          </w:tcPr>
          <w:p w14:paraId="17B7FF24">
            <w:pPr>
              <w:rPr>
                <w:rFonts w:cs="Times New Roman"/>
              </w:rPr>
            </w:pPr>
            <w:r>
              <w:rPr>
                <w:rFonts w:hint="eastAsia" w:cs="Times New Roman"/>
              </w:rPr>
              <w:t>0.66</w:t>
            </w:r>
          </w:p>
        </w:tc>
        <w:tc>
          <w:tcPr>
            <w:tcW w:w="775" w:type="dxa"/>
          </w:tcPr>
          <w:p w14:paraId="08C3C23A">
            <w:pPr>
              <w:rPr>
                <w:rFonts w:cs="Times New Roman"/>
              </w:rPr>
            </w:pPr>
            <w:r>
              <w:rPr>
                <w:rFonts w:hint="eastAsia" w:cs="Times New Roman"/>
              </w:rPr>
              <w:t>0.62</w:t>
            </w:r>
          </w:p>
        </w:tc>
        <w:tc>
          <w:tcPr>
            <w:tcW w:w="775" w:type="dxa"/>
          </w:tcPr>
          <w:p w14:paraId="58FEDCBF">
            <w:pPr>
              <w:rPr>
                <w:rFonts w:cs="Times New Roman"/>
              </w:rPr>
            </w:pPr>
            <w:r>
              <w:rPr>
                <w:rFonts w:hint="eastAsia" w:cs="Times New Roman"/>
              </w:rPr>
              <w:t>0.69</w:t>
            </w:r>
          </w:p>
        </w:tc>
        <w:tc>
          <w:tcPr>
            <w:tcW w:w="775" w:type="dxa"/>
          </w:tcPr>
          <w:p w14:paraId="446775A3">
            <w:pPr>
              <w:rPr>
                <w:rFonts w:cs="Times New Roman"/>
              </w:rPr>
            </w:pPr>
            <w:r>
              <w:rPr>
                <w:rFonts w:hint="eastAsia" w:cs="Times New Roman"/>
              </w:rPr>
              <w:t>0.69</w:t>
            </w:r>
          </w:p>
        </w:tc>
      </w:tr>
      <w:tr w14:paraId="3A4807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5F416F77">
            <w:pPr>
              <w:rPr>
                <w:rFonts w:cs="Times New Roman"/>
              </w:rPr>
            </w:pPr>
            <w:r>
              <w:rPr>
                <w:rFonts w:hint="eastAsia" w:cs="Times New Roman"/>
              </w:rPr>
              <w:t>Ford</w:t>
            </w:r>
          </w:p>
        </w:tc>
        <w:tc>
          <w:tcPr>
            <w:tcW w:w="774" w:type="dxa"/>
          </w:tcPr>
          <w:p w14:paraId="6C5E2223">
            <w:pPr>
              <w:rPr>
                <w:rFonts w:cs="Times New Roman"/>
              </w:rPr>
            </w:pPr>
            <w:r>
              <w:rPr>
                <w:rFonts w:hint="eastAsia" w:cs="Times New Roman"/>
              </w:rPr>
              <w:t>0.84</w:t>
            </w:r>
          </w:p>
        </w:tc>
        <w:tc>
          <w:tcPr>
            <w:tcW w:w="774" w:type="dxa"/>
          </w:tcPr>
          <w:p w14:paraId="725086DB">
            <w:pPr>
              <w:rPr>
                <w:rFonts w:cs="Times New Roman"/>
              </w:rPr>
            </w:pPr>
            <w:r>
              <w:rPr>
                <w:rFonts w:hint="eastAsia" w:cs="Times New Roman"/>
              </w:rPr>
              <w:t>0.83</w:t>
            </w:r>
          </w:p>
        </w:tc>
        <w:tc>
          <w:tcPr>
            <w:tcW w:w="775" w:type="dxa"/>
          </w:tcPr>
          <w:p w14:paraId="1652805D">
            <w:pPr>
              <w:rPr>
                <w:rFonts w:cs="Times New Roman"/>
              </w:rPr>
            </w:pPr>
            <w:r>
              <w:rPr>
                <w:rFonts w:hint="eastAsia" w:cs="Times New Roman"/>
              </w:rPr>
              <w:t>0.81</w:t>
            </w:r>
          </w:p>
        </w:tc>
        <w:tc>
          <w:tcPr>
            <w:tcW w:w="775" w:type="dxa"/>
          </w:tcPr>
          <w:p w14:paraId="76132C8D">
            <w:pPr>
              <w:rPr>
                <w:rFonts w:cs="Times New Roman"/>
              </w:rPr>
            </w:pPr>
            <w:r>
              <w:rPr>
                <w:rFonts w:hint="eastAsia" w:cs="Times New Roman"/>
              </w:rPr>
              <w:t>0.88</w:t>
            </w:r>
          </w:p>
        </w:tc>
        <w:tc>
          <w:tcPr>
            <w:tcW w:w="775" w:type="dxa"/>
          </w:tcPr>
          <w:p w14:paraId="58A102F9">
            <w:pPr>
              <w:rPr>
                <w:rFonts w:cs="Times New Roman"/>
              </w:rPr>
            </w:pPr>
            <w:r>
              <w:rPr>
                <w:rFonts w:hint="eastAsia" w:cs="Times New Roman"/>
              </w:rPr>
              <w:t>0.87</w:t>
            </w:r>
          </w:p>
        </w:tc>
        <w:tc>
          <w:tcPr>
            <w:tcW w:w="775" w:type="dxa"/>
          </w:tcPr>
          <w:p w14:paraId="33FBFE13">
            <w:pPr>
              <w:rPr>
                <w:rFonts w:cs="Times New Roman"/>
              </w:rPr>
            </w:pPr>
            <w:r>
              <w:rPr>
                <w:rFonts w:hint="eastAsia" w:cs="Times New Roman"/>
              </w:rPr>
              <w:t>0.86</w:t>
            </w:r>
          </w:p>
        </w:tc>
        <w:tc>
          <w:tcPr>
            <w:tcW w:w="775" w:type="dxa"/>
          </w:tcPr>
          <w:p w14:paraId="654EDCCB">
            <w:pPr>
              <w:rPr>
                <w:rFonts w:cs="Times New Roman"/>
              </w:rPr>
            </w:pPr>
            <w:r>
              <w:rPr>
                <w:rFonts w:hint="eastAsia" w:cs="Times New Roman"/>
              </w:rPr>
              <w:t>0.17</w:t>
            </w:r>
          </w:p>
        </w:tc>
        <w:tc>
          <w:tcPr>
            <w:tcW w:w="775" w:type="dxa"/>
          </w:tcPr>
          <w:p w14:paraId="1D7932F0">
            <w:pPr>
              <w:rPr>
                <w:rFonts w:cs="Times New Roman"/>
              </w:rPr>
            </w:pPr>
            <w:r>
              <w:rPr>
                <w:rFonts w:hint="eastAsia" w:cs="Times New Roman"/>
              </w:rPr>
              <w:t>0.20</w:t>
            </w:r>
          </w:p>
        </w:tc>
        <w:tc>
          <w:tcPr>
            <w:tcW w:w="775" w:type="dxa"/>
          </w:tcPr>
          <w:p w14:paraId="4DA3D6D6">
            <w:pPr>
              <w:rPr>
                <w:rFonts w:cs="Times New Roman"/>
              </w:rPr>
            </w:pPr>
            <w:r>
              <w:rPr>
                <w:rFonts w:hint="eastAsia" w:cs="Times New Roman"/>
              </w:rPr>
              <w:t>0.17</w:t>
            </w:r>
          </w:p>
        </w:tc>
        <w:tc>
          <w:tcPr>
            <w:tcW w:w="775" w:type="dxa"/>
          </w:tcPr>
          <w:p w14:paraId="2175ABAE">
            <w:pPr>
              <w:rPr>
                <w:rFonts w:cs="Times New Roman"/>
              </w:rPr>
            </w:pPr>
            <w:r>
              <w:rPr>
                <w:rFonts w:hint="eastAsia" w:cs="Times New Roman"/>
              </w:rPr>
              <w:t>UA</w:t>
            </w:r>
          </w:p>
        </w:tc>
      </w:tr>
    </w:tbl>
    <w:p w14:paraId="68F707DA">
      <w:pPr>
        <w:rPr>
          <w:rFonts w:hint="eastAsia" w:cs="Times New Roman"/>
        </w:rPr>
      </w:pPr>
      <w:r>
        <w:rPr>
          <w:rFonts w:hint="eastAsia" w:cs="Times New Roman"/>
        </w:rPr>
        <w:t>BYD</w:t>
      </w:r>
      <w:r>
        <w:rPr>
          <w:rFonts w:cs="Times New Roman"/>
        </w:rPr>
        <w:t>’</w:t>
      </w:r>
      <w:r>
        <w:rPr>
          <w:rFonts w:hint="eastAsia" w:cs="Times New Roman"/>
        </w:rPr>
        <w:t>s Average: 0.689 ; Ford</w:t>
      </w:r>
      <w:r>
        <w:rPr>
          <w:rFonts w:cs="Times New Roman"/>
        </w:rPr>
        <w:t>’</w:t>
      </w:r>
      <w:r>
        <w:rPr>
          <w:rFonts w:hint="eastAsia" w:cs="Times New Roman"/>
        </w:rPr>
        <w:t>s Average: 0.626 ; P-value: 0.588</w:t>
      </w:r>
    </w:p>
    <w:p w14:paraId="1CED9287">
      <w:pPr>
        <w:rPr>
          <w:rFonts w:hint="eastAsia" w:cs="Times New Roman"/>
        </w:rPr>
      </w:pPr>
    </w:p>
    <w:p w14:paraId="775642AC">
      <w:pPr>
        <w:rPr>
          <w:rFonts w:cs="Times New Roman"/>
        </w:rPr>
      </w:pPr>
      <w:r>
        <w:rPr>
          <w:rFonts w:hint="eastAsia" w:cs="Times New Roman"/>
        </w:rPr>
        <w:t xml:space="preserve">Figure </w:t>
      </w:r>
      <w:r>
        <w:rPr>
          <w:rFonts w:hint="eastAsia" w:cs="Times New Roman"/>
          <w:lang w:val="en-US" w:eastAsia="zh-CN"/>
        </w:rPr>
        <w:t>19</w:t>
      </w:r>
      <w:r>
        <w:rPr>
          <w:rFonts w:hint="eastAsia" w:cs="Times New Roman"/>
        </w:rPr>
        <w:t>: Equity ratio</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4"/>
        <w:gridCol w:w="774"/>
        <w:gridCol w:w="774"/>
        <w:gridCol w:w="775"/>
        <w:gridCol w:w="775"/>
        <w:gridCol w:w="775"/>
        <w:gridCol w:w="775"/>
        <w:gridCol w:w="775"/>
        <w:gridCol w:w="775"/>
        <w:gridCol w:w="775"/>
        <w:gridCol w:w="775"/>
      </w:tblGrid>
      <w:tr w14:paraId="670053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774" w:type="dxa"/>
          </w:tcPr>
          <w:p w14:paraId="4348B154">
            <w:pPr>
              <w:rPr>
                <w:rFonts w:cs="Times New Roman"/>
              </w:rPr>
            </w:pPr>
          </w:p>
        </w:tc>
        <w:tc>
          <w:tcPr>
            <w:tcW w:w="774" w:type="dxa"/>
          </w:tcPr>
          <w:p w14:paraId="56C7AC45">
            <w:pPr>
              <w:rPr>
                <w:rFonts w:cs="Times New Roman"/>
              </w:rPr>
            </w:pPr>
            <w:r>
              <w:rPr>
                <w:rFonts w:hint="eastAsia" w:cs="Times New Roman"/>
              </w:rPr>
              <w:t>2023</w:t>
            </w:r>
          </w:p>
        </w:tc>
        <w:tc>
          <w:tcPr>
            <w:tcW w:w="774" w:type="dxa"/>
          </w:tcPr>
          <w:p w14:paraId="4528BB37">
            <w:pPr>
              <w:rPr>
                <w:rFonts w:cs="Times New Roman"/>
              </w:rPr>
            </w:pPr>
            <w:r>
              <w:rPr>
                <w:rFonts w:hint="eastAsia" w:cs="Times New Roman"/>
              </w:rPr>
              <w:t>2022</w:t>
            </w:r>
          </w:p>
        </w:tc>
        <w:tc>
          <w:tcPr>
            <w:tcW w:w="775" w:type="dxa"/>
          </w:tcPr>
          <w:p w14:paraId="46A31940">
            <w:pPr>
              <w:rPr>
                <w:rFonts w:cs="Times New Roman"/>
              </w:rPr>
            </w:pPr>
            <w:r>
              <w:rPr>
                <w:rFonts w:hint="eastAsia" w:cs="Times New Roman"/>
              </w:rPr>
              <w:t>2021</w:t>
            </w:r>
          </w:p>
        </w:tc>
        <w:tc>
          <w:tcPr>
            <w:tcW w:w="775" w:type="dxa"/>
          </w:tcPr>
          <w:p w14:paraId="7A0C9825">
            <w:pPr>
              <w:rPr>
                <w:rFonts w:cs="Times New Roman"/>
              </w:rPr>
            </w:pPr>
            <w:r>
              <w:rPr>
                <w:rFonts w:hint="eastAsia" w:cs="Times New Roman"/>
              </w:rPr>
              <w:t>2020</w:t>
            </w:r>
          </w:p>
        </w:tc>
        <w:tc>
          <w:tcPr>
            <w:tcW w:w="775" w:type="dxa"/>
          </w:tcPr>
          <w:p w14:paraId="5035B2DC">
            <w:pPr>
              <w:rPr>
                <w:rFonts w:cs="Times New Roman"/>
              </w:rPr>
            </w:pPr>
            <w:r>
              <w:rPr>
                <w:rFonts w:hint="eastAsia" w:cs="Times New Roman"/>
              </w:rPr>
              <w:t>2019</w:t>
            </w:r>
          </w:p>
        </w:tc>
        <w:tc>
          <w:tcPr>
            <w:tcW w:w="775" w:type="dxa"/>
          </w:tcPr>
          <w:p w14:paraId="371B7FA8">
            <w:pPr>
              <w:rPr>
                <w:rFonts w:cs="Times New Roman"/>
              </w:rPr>
            </w:pPr>
            <w:r>
              <w:rPr>
                <w:rFonts w:hint="eastAsia" w:cs="Times New Roman"/>
              </w:rPr>
              <w:t>2018</w:t>
            </w:r>
          </w:p>
        </w:tc>
        <w:tc>
          <w:tcPr>
            <w:tcW w:w="775" w:type="dxa"/>
          </w:tcPr>
          <w:p w14:paraId="34FD32CA">
            <w:pPr>
              <w:rPr>
                <w:rFonts w:cs="Times New Roman"/>
              </w:rPr>
            </w:pPr>
            <w:r>
              <w:rPr>
                <w:rFonts w:hint="eastAsia" w:cs="Times New Roman"/>
              </w:rPr>
              <w:t>2017</w:t>
            </w:r>
          </w:p>
        </w:tc>
        <w:tc>
          <w:tcPr>
            <w:tcW w:w="775" w:type="dxa"/>
          </w:tcPr>
          <w:p w14:paraId="7092324B">
            <w:pPr>
              <w:rPr>
                <w:rFonts w:cs="Times New Roman"/>
              </w:rPr>
            </w:pPr>
            <w:r>
              <w:rPr>
                <w:rFonts w:hint="eastAsia" w:cs="Times New Roman"/>
              </w:rPr>
              <w:t>2016</w:t>
            </w:r>
          </w:p>
        </w:tc>
        <w:tc>
          <w:tcPr>
            <w:tcW w:w="775" w:type="dxa"/>
          </w:tcPr>
          <w:p w14:paraId="33A048F4">
            <w:pPr>
              <w:rPr>
                <w:rFonts w:cs="Times New Roman"/>
              </w:rPr>
            </w:pPr>
            <w:r>
              <w:rPr>
                <w:rFonts w:hint="eastAsia" w:cs="Times New Roman"/>
              </w:rPr>
              <w:t>2015</w:t>
            </w:r>
          </w:p>
        </w:tc>
        <w:tc>
          <w:tcPr>
            <w:tcW w:w="775" w:type="dxa"/>
          </w:tcPr>
          <w:p w14:paraId="271B8D16">
            <w:pPr>
              <w:rPr>
                <w:rFonts w:cs="Times New Roman"/>
              </w:rPr>
            </w:pPr>
            <w:r>
              <w:rPr>
                <w:rFonts w:hint="eastAsia" w:cs="Times New Roman"/>
              </w:rPr>
              <w:t>2014</w:t>
            </w:r>
          </w:p>
        </w:tc>
      </w:tr>
      <w:tr w14:paraId="5F485D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12969653">
            <w:pPr>
              <w:rPr>
                <w:rFonts w:cs="Times New Roman"/>
              </w:rPr>
            </w:pPr>
            <w:r>
              <w:rPr>
                <w:rFonts w:hint="eastAsia" w:cs="Times New Roman"/>
              </w:rPr>
              <w:t>BYD</w:t>
            </w:r>
          </w:p>
        </w:tc>
        <w:tc>
          <w:tcPr>
            <w:tcW w:w="774" w:type="dxa"/>
          </w:tcPr>
          <w:p w14:paraId="3611A167">
            <w:pPr>
              <w:rPr>
                <w:rFonts w:cs="Times New Roman"/>
              </w:rPr>
            </w:pPr>
            <w:r>
              <w:rPr>
                <w:rFonts w:hint="eastAsia" w:cs="Times New Roman"/>
              </w:rPr>
              <w:t>0.22</w:t>
            </w:r>
          </w:p>
        </w:tc>
        <w:tc>
          <w:tcPr>
            <w:tcW w:w="774" w:type="dxa"/>
          </w:tcPr>
          <w:p w14:paraId="5D69CF8C">
            <w:pPr>
              <w:rPr>
                <w:rFonts w:cs="Times New Roman"/>
              </w:rPr>
            </w:pPr>
            <w:r>
              <w:rPr>
                <w:rFonts w:hint="eastAsia" w:cs="Times New Roman"/>
              </w:rPr>
              <w:t>0.25</w:t>
            </w:r>
          </w:p>
        </w:tc>
        <w:tc>
          <w:tcPr>
            <w:tcW w:w="775" w:type="dxa"/>
          </w:tcPr>
          <w:p w14:paraId="3F4C139D">
            <w:pPr>
              <w:rPr>
                <w:rFonts w:cs="Times New Roman"/>
              </w:rPr>
            </w:pPr>
            <w:r>
              <w:rPr>
                <w:rFonts w:hint="eastAsia" w:cs="Times New Roman"/>
              </w:rPr>
              <w:t>0.35</w:t>
            </w:r>
          </w:p>
        </w:tc>
        <w:tc>
          <w:tcPr>
            <w:tcW w:w="775" w:type="dxa"/>
          </w:tcPr>
          <w:p w14:paraId="64993B22">
            <w:pPr>
              <w:rPr>
                <w:rFonts w:cs="Times New Roman"/>
              </w:rPr>
            </w:pPr>
            <w:r>
              <w:rPr>
                <w:rFonts w:hint="eastAsia" w:cs="Times New Roman"/>
              </w:rPr>
              <w:t>0.32</w:t>
            </w:r>
          </w:p>
        </w:tc>
        <w:tc>
          <w:tcPr>
            <w:tcW w:w="775" w:type="dxa"/>
          </w:tcPr>
          <w:p w14:paraId="657E8408">
            <w:pPr>
              <w:rPr>
                <w:rFonts w:cs="Times New Roman"/>
              </w:rPr>
            </w:pPr>
            <w:r>
              <w:rPr>
                <w:rFonts w:hint="eastAsia" w:cs="Times New Roman"/>
              </w:rPr>
              <w:t>0.32</w:t>
            </w:r>
          </w:p>
        </w:tc>
        <w:tc>
          <w:tcPr>
            <w:tcW w:w="775" w:type="dxa"/>
          </w:tcPr>
          <w:p w14:paraId="419C0A56">
            <w:pPr>
              <w:rPr>
                <w:rFonts w:cs="Times New Roman"/>
              </w:rPr>
            </w:pPr>
            <w:r>
              <w:rPr>
                <w:rFonts w:hint="eastAsia" w:cs="Times New Roman"/>
              </w:rPr>
              <w:t>0.31</w:t>
            </w:r>
          </w:p>
        </w:tc>
        <w:tc>
          <w:tcPr>
            <w:tcW w:w="775" w:type="dxa"/>
          </w:tcPr>
          <w:p w14:paraId="1A456082">
            <w:pPr>
              <w:rPr>
                <w:rFonts w:cs="Times New Roman"/>
              </w:rPr>
            </w:pPr>
            <w:r>
              <w:rPr>
                <w:rFonts w:hint="eastAsia" w:cs="Times New Roman"/>
              </w:rPr>
              <w:t>0.34</w:t>
            </w:r>
          </w:p>
        </w:tc>
        <w:tc>
          <w:tcPr>
            <w:tcW w:w="775" w:type="dxa"/>
          </w:tcPr>
          <w:p w14:paraId="729417D7">
            <w:pPr>
              <w:rPr>
                <w:rFonts w:cs="Times New Roman"/>
              </w:rPr>
            </w:pPr>
            <w:r>
              <w:rPr>
                <w:rFonts w:hint="eastAsia" w:cs="Times New Roman"/>
              </w:rPr>
              <w:t>0.38</w:t>
            </w:r>
          </w:p>
        </w:tc>
        <w:tc>
          <w:tcPr>
            <w:tcW w:w="775" w:type="dxa"/>
          </w:tcPr>
          <w:p w14:paraId="36639149">
            <w:pPr>
              <w:rPr>
                <w:rFonts w:cs="Times New Roman"/>
              </w:rPr>
            </w:pPr>
            <w:r>
              <w:rPr>
                <w:rFonts w:hint="eastAsia" w:cs="Times New Roman"/>
              </w:rPr>
              <w:t>0.31</w:t>
            </w:r>
          </w:p>
        </w:tc>
        <w:tc>
          <w:tcPr>
            <w:tcW w:w="775" w:type="dxa"/>
          </w:tcPr>
          <w:p w14:paraId="24C972DD">
            <w:pPr>
              <w:rPr>
                <w:rFonts w:cs="Times New Roman"/>
              </w:rPr>
            </w:pPr>
            <w:r>
              <w:rPr>
                <w:rFonts w:hint="eastAsia" w:cs="Times New Roman"/>
              </w:rPr>
              <w:t>0.31</w:t>
            </w:r>
          </w:p>
        </w:tc>
      </w:tr>
      <w:tr w14:paraId="3CAE44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76455EAA">
            <w:pPr>
              <w:rPr>
                <w:rFonts w:cs="Times New Roman"/>
              </w:rPr>
            </w:pPr>
            <w:r>
              <w:rPr>
                <w:rFonts w:hint="eastAsia" w:cs="Times New Roman"/>
              </w:rPr>
              <w:t>Ford</w:t>
            </w:r>
          </w:p>
        </w:tc>
        <w:tc>
          <w:tcPr>
            <w:tcW w:w="774" w:type="dxa"/>
          </w:tcPr>
          <w:p w14:paraId="5E4DA43B">
            <w:pPr>
              <w:rPr>
                <w:rFonts w:cs="Times New Roman"/>
              </w:rPr>
            </w:pPr>
            <w:r>
              <w:rPr>
                <w:rFonts w:hint="eastAsia" w:cs="Times New Roman"/>
              </w:rPr>
              <w:t>0.16</w:t>
            </w:r>
          </w:p>
        </w:tc>
        <w:tc>
          <w:tcPr>
            <w:tcW w:w="774" w:type="dxa"/>
          </w:tcPr>
          <w:p w14:paraId="63A24AAA">
            <w:pPr>
              <w:rPr>
                <w:rFonts w:cs="Times New Roman"/>
              </w:rPr>
            </w:pPr>
            <w:r>
              <w:rPr>
                <w:rFonts w:hint="eastAsia" w:cs="Times New Roman"/>
              </w:rPr>
              <w:t>0.17</w:t>
            </w:r>
          </w:p>
        </w:tc>
        <w:tc>
          <w:tcPr>
            <w:tcW w:w="775" w:type="dxa"/>
          </w:tcPr>
          <w:p w14:paraId="641756CA">
            <w:pPr>
              <w:rPr>
                <w:rFonts w:cs="Times New Roman"/>
              </w:rPr>
            </w:pPr>
            <w:r>
              <w:rPr>
                <w:rFonts w:hint="eastAsia" w:cs="Times New Roman"/>
              </w:rPr>
              <w:t>0.19</w:t>
            </w:r>
          </w:p>
        </w:tc>
        <w:tc>
          <w:tcPr>
            <w:tcW w:w="775" w:type="dxa"/>
          </w:tcPr>
          <w:p w14:paraId="6E6966F6">
            <w:pPr>
              <w:rPr>
                <w:rFonts w:cs="Times New Roman"/>
              </w:rPr>
            </w:pPr>
            <w:r>
              <w:rPr>
                <w:rFonts w:hint="eastAsia" w:cs="Times New Roman"/>
              </w:rPr>
              <w:t>0.12</w:t>
            </w:r>
          </w:p>
        </w:tc>
        <w:tc>
          <w:tcPr>
            <w:tcW w:w="775" w:type="dxa"/>
          </w:tcPr>
          <w:p w14:paraId="5C9FD491">
            <w:pPr>
              <w:rPr>
                <w:rFonts w:cs="Times New Roman"/>
              </w:rPr>
            </w:pPr>
            <w:r>
              <w:rPr>
                <w:rFonts w:hint="eastAsia" w:cs="Times New Roman"/>
              </w:rPr>
              <w:t>0.13</w:t>
            </w:r>
          </w:p>
        </w:tc>
        <w:tc>
          <w:tcPr>
            <w:tcW w:w="775" w:type="dxa"/>
          </w:tcPr>
          <w:p w14:paraId="7AAA9969">
            <w:pPr>
              <w:rPr>
                <w:rFonts w:cs="Times New Roman"/>
              </w:rPr>
            </w:pPr>
            <w:r>
              <w:rPr>
                <w:rFonts w:hint="eastAsia" w:cs="Times New Roman"/>
              </w:rPr>
              <w:t>0.14</w:t>
            </w:r>
          </w:p>
        </w:tc>
        <w:tc>
          <w:tcPr>
            <w:tcW w:w="775" w:type="dxa"/>
          </w:tcPr>
          <w:p w14:paraId="7DCC5012">
            <w:pPr>
              <w:rPr>
                <w:rFonts w:cs="Times New Roman"/>
              </w:rPr>
            </w:pPr>
            <w:r>
              <w:rPr>
                <w:rFonts w:hint="eastAsia" w:cs="Times New Roman"/>
              </w:rPr>
              <w:t>0.14</w:t>
            </w:r>
          </w:p>
        </w:tc>
        <w:tc>
          <w:tcPr>
            <w:tcW w:w="775" w:type="dxa"/>
          </w:tcPr>
          <w:p w14:paraId="2228B75B">
            <w:pPr>
              <w:rPr>
                <w:rFonts w:cs="Times New Roman"/>
              </w:rPr>
            </w:pPr>
            <w:r>
              <w:rPr>
                <w:rFonts w:hint="eastAsia" w:cs="Times New Roman"/>
              </w:rPr>
              <w:t>0.12</w:t>
            </w:r>
          </w:p>
        </w:tc>
        <w:tc>
          <w:tcPr>
            <w:tcW w:w="775" w:type="dxa"/>
          </w:tcPr>
          <w:p w14:paraId="0F0ED86E">
            <w:pPr>
              <w:rPr>
                <w:rFonts w:cs="Times New Roman"/>
              </w:rPr>
            </w:pPr>
            <w:r>
              <w:rPr>
                <w:rFonts w:hint="eastAsia" w:cs="Times New Roman"/>
              </w:rPr>
              <w:t>0.13</w:t>
            </w:r>
          </w:p>
        </w:tc>
        <w:tc>
          <w:tcPr>
            <w:tcW w:w="775" w:type="dxa"/>
          </w:tcPr>
          <w:p w14:paraId="4791BA8B">
            <w:pPr>
              <w:rPr>
                <w:rFonts w:cs="Times New Roman"/>
              </w:rPr>
            </w:pPr>
            <w:r>
              <w:rPr>
                <w:rFonts w:hint="eastAsia" w:cs="Times New Roman"/>
              </w:rPr>
              <w:t>0.12</w:t>
            </w:r>
          </w:p>
        </w:tc>
      </w:tr>
    </w:tbl>
    <w:p w14:paraId="04822DEF">
      <w:pPr>
        <w:rPr>
          <w:rFonts w:cs="Times New Roman"/>
        </w:rPr>
      </w:pPr>
      <w:r>
        <w:rPr>
          <w:rFonts w:hint="eastAsia" w:cs="Times New Roman"/>
        </w:rPr>
        <w:t>BYD</w:t>
      </w:r>
      <w:r>
        <w:rPr>
          <w:rFonts w:cs="Times New Roman"/>
        </w:rPr>
        <w:t>’</w:t>
      </w:r>
      <w:r>
        <w:rPr>
          <w:rFonts w:hint="eastAsia" w:cs="Times New Roman"/>
        </w:rPr>
        <w:t>s Average: 0.311 ; Ford</w:t>
      </w:r>
      <w:r>
        <w:rPr>
          <w:rFonts w:cs="Times New Roman"/>
        </w:rPr>
        <w:t>’</w:t>
      </w:r>
      <w:r>
        <w:rPr>
          <w:rFonts w:hint="eastAsia" w:cs="Times New Roman"/>
        </w:rPr>
        <w:t>s Average: 0.142 ; P-value: 0.000</w:t>
      </w:r>
    </w:p>
    <w:p w14:paraId="1128E47F">
      <w:pPr>
        <w:rPr>
          <w:rFonts w:cs="Times New Roman"/>
        </w:rPr>
      </w:pPr>
    </w:p>
    <w:p w14:paraId="68D2983A">
      <w:pPr>
        <w:rPr>
          <w:rFonts w:cs="Times New Roman"/>
        </w:rPr>
      </w:pPr>
      <w:r>
        <w:rPr>
          <w:rFonts w:hint="eastAsia" w:cs="Times New Roman"/>
        </w:rPr>
        <w:t xml:space="preserve">Figure </w:t>
      </w:r>
      <w:r>
        <w:rPr>
          <w:rFonts w:hint="eastAsia" w:cs="Times New Roman"/>
          <w:lang w:val="en-US" w:eastAsia="zh-CN"/>
        </w:rPr>
        <w:t>20</w:t>
      </w:r>
      <w:r>
        <w:rPr>
          <w:rFonts w:hint="eastAsia" w:cs="Times New Roman"/>
        </w:rPr>
        <w:t>: Inventory turnover ratio</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4"/>
        <w:gridCol w:w="774"/>
        <w:gridCol w:w="774"/>
        <w:gridCol w:w="775"/>
        <w:gridCol w:w="775"/>
        <w:gridCol w:w="775"/>
        <w:gridCol w:w="775"/>
        <w:gridCol w:w="775"/>
        <w:gridCol w:w="775"/>
        <w:gridCol w:w="775"/>
        <w:gridCol w:w="775"/>
      </w:tblGrid>
      <w:tr w14:paraId="5976F9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7226DCD5">
            <w:pPr>
              <w:rPr>
                <w:rFonts w:cs="Times New Roman"/>
              </w:rPr>
            </w:pPr>
          </w:p>
        </w:tc>
        <w:tc>
          <w:tcPr>
            <w:tcW w:w="774" w:type="dxa"/>
          </w:tcPr>
          <w:p w14:paraId="57F2C992">
            <w:pPr>
              <w:rPr>
                <w:rFonts w:cs="Times New Roman"/>
              </w:rPr>
            </w:pPr>
            <w:r>
              <w:rPr>
                <w:rFonts w:hint="eastAsia" w:cs="Times New Roman"/>
              </w:rPr>
              <w:t>2023</w:t>
            </w:r>
          </w:p>
        </w:tc>
        <w:tc>
          <w:tcPr>
            <w:tcW w:w="774" w:type="dxa"/>
          </w:tcPr>
          <w:p w14:paraId="182BB8FD">
            <w:pPr>
              <w:rPr>
                <w:rFonts w:cs="Times New Roman"/>
              </w:rPr>
            </w:pPr>
            <w:r>
              <w:rPr>
                <w:rFonts w:hint="eastAsia" w:cs="Times New Roman"/>
              </w:rPr>
              <w:t>2022</w:t>
            </w:r>
          </w:p>
        </w:tc>
        <w:tc>
          <w:tcPr>
            <w:tcW w:w="775" w:type="dxa"/>
          </w:tcPr>
          <w:p w14:paraId="6064784E">
            <w:pPr>
              <w:rPr>
                <w:rFonts w:cs="Times New Roman"/>
              </w:rPr>
            </w:pPr>
            <w:r>
              <w:rPr>
                <w:rFonts w:hint="eastAsia" w:cs="Times New Roman"/>
              </w:rPr>
              <w:t>2021</w:t>
            </w:r>
          </w:p>
        </w:tc>
        <w:tc>
          <w:tcPr>
            <w:tcW w:w="775" w:type="dxa"/>
          </w:tcPr>
          <w:p w14:paraId="09684399">
            <w:pPr>
              <w:rPr>
                <w:rFonts w:cs="Times New Roman"/>
              </w:rPr>
            </w:pPr>
            <w:r>
              <w:rPr>
                <w:rFonts w:hint="eastAsia" w:cs="Times New Roman"/>
              </w:rPr>
              <w:t>2020</w:t>
            </w:r>
          </w:p>
        </w:tc>
        <w:tc>
          <w:tcPr>
            <w:tcW w:w="775" w:type="dxa"/>
          </w:tcPr>
          <w:p w14:paraId="7FF5F056">
            <w:pPr>
              <w:rPr>
                <w:rFonts w:cs="Times New Roman"/>
              </w:rPr>
            </w:pPr>
            <w:r>
              <w:rPr>
                <w:rFonts w:hint="eastAsia" w:cs="Times New Roman"/>
              </w:rPr>
              <w:t>2019</w:t>
            </w:r>
          </w:p>
        </w:tc>
        <w:tc>
          <w:tcPr>
            <w:tcW w:w="775" w:type="dxa"/>
          </w:tcPr>
          <w:p w14:paraId="19121672">
            <w:pPr>
              <w:rPr>
                <w:rFonts w:cs="Times New Roman"/>
              </w:rPr>
            </w:pPr>
            <w:r>
              <w:rPr>
                <w:rFonts w:hint="eastAsia" w:cs="Times New Roman"/>
              </w:rPr>
              <w:t>2018</w:t>
            </w:r>
          </w:p>
        </w:tc>
        <w:tc>
          <w:tcPr>
            <w:tcW w:w="775" w:type="dxa"/>
          </w:tcPr>
          <w:p w14:paraId="65F3C8FC">
            <w:pPr>
              <w:rPr>
                <w:rFonts w:cs="Times New Roman"/>
              </w:rPr>
            </w:pPr>
            <w:r>
              <w:rPr>
                <w:rFonts w:hint="eastAsia" w:cs="Times New Roman"/>
              </w:rPr>
              <w:t>2017</w:t>
            </w:r>
          </w:p>
        </w:tc>
        <w:tc>
          <w:tcPr>
            <w:tcW w:w="775" w:type="dxa"/>
          </w:tcPr>
          <w:p w14:paraId="547266E1">
            <w:pPr>
              <w:rPr>
                <w:rFonts w:cs="Times New Roman"/>
              </w:rPr>
            </w:pPr>
            <w:r>
              <w:rPr>
                <w:rFonts w:hint="eastAsia" w:cs="Times New Roman"/>
              </w:rPr>
              <w:t>2016</w:t>
            </w:r>
          </w:p>
        </w:tc>
        <w:tc>
          <w:tcPr>
            <w:tcW w:w="775" w:type="dxa"/>
          </w:tcPr>
          <w:p w14:paraId="43E19ED4">
            <w:pPr>
              <w:rPr>
                <w:rFonts w:cs="Times New Roman"/>
              </w:rPr>
            </w:pPr>
            <w:r>
              <w:rPr>
                <w:rFonts w:hint="eastAsia" w:cs="Times New Roman"/>
              </w:rPr>
              <w:t>2015</w:t>
            </w:r>
          </w:p>
        </w:tc>
        <w:tc>
          <w:tcPr>
            <w:tcW w:w="775" w:type="dxa"/>
          </w:tcPr>
          <w:p w14:paraId="419703BB">
            <w:pPr>
              <w:rPr>
                <w:rFonts w:cs="Times New Roman"/>
              </w:rPr>
            </w:pPr>
            <w:r>
              <w:rPr>
                <w:rFonts w:hint="eastAsia" w:cs="Times New Roman"/>
              </w:rPr>
              <w:t>2014</w:t>
            </w:r>
          </w:p>
        </w:tc>
      </w:tr>
      <w:tr w14:paraId="55FE4A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4441D777">
            <w:pPr>
              <w:rPr>
                <w:rFonts w:cs="Times New Roman"/>
              </w:rPr>
            </w:pPr>
            <w:r>
              <w:rPr>
                <w:rFonts w:hint="eastAsia" w:cs="Times New Roman"/>
              </w:rPr>
              <w:t>BYD</w:t>
            </w:r>
          </w:p>
        </w:tc>
        <w:tc>
          <w:tcPr>
            <w:tcW w:w="774" w:type="dxa"/>
          </w:tcPr>
          <w:p w14:paraId="2CF3B8D6">
            <w:pPr>
              <w:rPr>
                <w:rFonts w:cs="Times New Roman"/>
              </w:rPr>
            </w:pPr>
            <w:r>
              <w:rPr>
                <w:rFonts w:hint="eastAsia" w:cs="Times New Roman"/>
              </w:rPr>
              <w:t>6.86</w:t>
            </w:r>
          </w:p>
        </w:tc>
        <w:tc>
          <w:tcPr>
            <w:tcW w:w="774" w:type="dxa"/>
          </w:tcPr>
          <w:p w14:paraId="1D06C3F5">
            <w:pPr>
              <w:rPr>
                <w:rFonts w:cs="Times New Roman"/>
              </w:rPr>
            </w:pPr>
            <w:r>
              <w:rPr>
                <w:rFonts w:hint="eastAsia" w:cs="Times New Roman"/>
              </w:rPr>
              <w:t>6.86</w:t>
            </w:r>
          </w:p>
        </w:tc>
        <w:tc>
          <w:tcPr>
            <w:tcW w:w="775" w:type="dxa"/>
          </w:tcPr>
          <w:p w14:paraId="27985C28">
            <w:pPr>
              <w:rPr>
                <w:rFonts w:cs="Times New Roman"/>
              </w:rPr>
            </w:pPr>
            <w:r>
              <w:rPr>
                <w:rFonts w:hint="eastAsia" w:cs="Times New Roman"/>
              </w:rPr>
              <w:t>5.62</w:t>
            </w:r>
          </w:p>
        </w:tc>
        <w:tc>
          <w:tcPr>
            <w:tcW w:w="775" w:type="dxa"/>
          </w:tcPr>
          <w:p w14:paraId="1B142F51">
            <w:pPr>
              <w:rPr>
                <w:rFonts w:cs="Times New Roman"/>
              </w:rPr>
            </w:pPr>
            <w:r>
              <w:rPr>
                <w:rFonts w:hint="eastAsia" w:cs="Times New Roman"/>
              </w:rPr>
              <w:t>4.55</w:t>
            </w:r>
          </w:p>
        </w:tc>
        <w:tc>
          <w:tcPr>
            <w:tcW w:w="775" w:type="dxa"/>
          </w:tcPr>
          <w:p w14:paraId="70680686">
            <w:pPr>
              <w:rPr>
                <w:rFonts w:cs="Times New Roman"/>
              </w:rPr>
            </w:pPr>
            <w:r>
              <w:rPr>
                <w:rFonts w:hint="eastAsia" w:cs="Times New Roman"/>
              </w:rPr>
              <w:t>4.47</w:t>
            </w:r>
          </w:p>
        </w:tc>
        <w:tc>
          <w:tcPr>
            <w:tcW w:w="775" w:type="dxa"/>
          </w:tcPr>
          <w:p w14:paraId="61CF2330">
            <w:pPr>
              <w:rPr>
                <w:rFonts w:cs="Times New Roman"/>
              </w:rPr>
            </w:pPr>
            <w:r>
              <w:rPr>
                <w:rFonts w:hint="eastAsia" w:cs="Times New Roman"/>
              </w:rPr>
              <w:t>5.28</w:t>
            </w:r>
          </w:p>
        </w:tc>
        <w:tc>
          <w:tcPr>
            <w:tcW w:w="775" w:type="dxa"/>
          </w:tcPr>
          <w:p w14:paraId="6285C07A">
            <w:pPr>
              <w:rPr>
                <w:rFonts w:cs="Times New Roman"/>
              </w:rPr>
            </w:pPr>
            <w:r>
              <w:rPr>
                <w:rFonts w:hint="eastAsia" w:cs="Times New Roman"/>
              </w:rPr>
              <w:t>4.80</w:t>
            </w:r>
          </w:p>
        </w:tc>
        <w:tc>
          <w:tcPr>
            <w:tcW w:w="775" w:type="dxa"/>
          </w:tcPr>
          <w:p w14:paraId="4035F292">
            <w:pPr>
              <w:rPr>
                <w:rFonts w:cs="Times New Roman"/>
              </w:rPr>
            </w:pPr>
            <w:r>
              <w:rPr>
                <w:rFonts w:hint="eastAsia" w:cs="Times New Roman"/>
              </w:rPr>
              <w:t>5.65</w:t>
            </w:r>
          </w:p>
        </w:tc>
        <w:tc>
          <w:tcPr>
            <w:tcW w:w="775" w:type="dxa"/>
          </w:tcPr>
          <w:p w14:paraId="70A7943E">
            <w:pPr>
              <w:rPr>
                <w:rFonts w:cs="Times New Roman"/>
              </w:rPr>
            </w:pPr>
            <w:r>
              <w:rPr>
                <w:rFonts w:hint="eastAsia" w:cs="Times New Roman"/>
              </w:rPr>
              <w:t>5.81</w:t>
            </w:r>
          </w:p>
        </w:tc>
        <w:tc>
          <w:tcPr>
            <w:tcW w:w="775" w:type="dxa"/>
          </w:tcPr>
          <w:p w14:paraId="67EEFA1E">
            <w:pPr>
              <w:rPr>
                <w:rFonts w:cs="Times New Roman"/>
              </w:rPr>
            </w:pPr>
            <w:r>
              <w:rPr>
                <w:rFonts w:hint="eastAsia" w:cs="Times New Roman"/>
              </w:rPr>
              <w:t>5.61</w:t>
            </w:r>
          </w:p>
        </w:tc>
      </w:tr>
      <w:tr w14:paraId="3A72CF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1788AEFC">
            <w:pPr>
              <w:rPr>
                <w:rFonts w:cs="Times New Roman"/>
              </w:rPr>
            </w:pPr>
            <w:r>
              <w:rPr>
                <w:rFonts w:hint="eastAsia" w:cs="Times New Roman"/>
              </w:rPr>
              <w:t>Ford</w:t>
            </w:r>
          </w:p>
        </w:tc>
        <w:tc>
          <w:tcPr>
            <w:tcW w:w="774" w:type="dxa"/>
          </w:tcPr>
          <w:p w14:paraId="71ADAD78">
            <w:pPr>
              <w:rPr>
                <w:rFonts w:cs="Times New Roman"/>
              </w:rPr>
            </w:pPr>
            <w:r>
              <w:rPr>
                <w:rFonts w:hint="eastAsia" w:cs="Times New Roman"/>
              </w:rPr>
              <w:t>10.8</w:t>
            </w:r>
          </w:p>
        </w:tc>
        <w:tc>
          <w:tcPr>
            <w:tcW w:w="774" w:type="dxa"/>
          </w:tcPr>
          <w:p w14:paraId="2EE4D014">
            <w:pPr>
              <w:rPr>
                <w:rFonts w:cs="Times New Roman"/>
              </w:rPr>
            </w:pPr>
            <w:r>
              <w:rPr>
                <w:rFonts w:hint="eastAsia" w:cs="Times New Roman"/>
              </w:rPr>
              <w:t>10.9</w:t>
            </w:r>
          </w:p>
        </w:tc>
        <w:tc>
          <w:tcPr>
            <w:tcW w:w="775" w:type="dxa"/>
          </w:tcPr>
          <w:p w14:paraId="1B0F4FEE">
            <w:pPr>
              <w:rPr>
                <w:rFonts w:cs="Times New Roman"/>
              </w:rPr>
            </w:pPr>
            <w:r>
              <w:rPr>
                <w:rFonts w:hint="eastAsia" w:cs="Times New Roman"/>
              </w:rPr>
              <w:t>10.2</w:t>
            </w:r>
          </w:p>
        </w:tc>
        <w:tc>
          <w:tcPr>
            <w:tcW w:w="775" w:type="dxa"/>
          </w:tcPr>
          <w:p w14:paraId="357A2DEF">
            <w:pPr>
              <w:rPr>
                <w:rFonts w:cs="Times New Roman"/>
              </w:rPr>
            </w:pPr>
            <w:r>
              <w:rPr>
                <w:rFonts w:hint="eastAsia" w:cs="Times New Roman"/>
              </w:rPr>
              <w:t>10.3</w:t>
            </w:r>
          </w:p>
        </w:tc>
        <w:tc>
          <w:tcPr>
            <w:tcW w:w="775" w:type="dxa"/>
          </w:tcPr>
          <w:p w14:paraId="2B4106D0">
            <w:pPr>
              <w:rPr>
                <w:rFonts w:cs="Times New Roman"/>
              </w:rPr>
            </w:pPr>
            <w:r>
              <w:rPr>
                <w:rFonts w:hint="eastAsia" w:cs="Times New Roman"/>
              </w:rPr>
              <w:t>12.2</w:t>
            </w:r>
          </w:p>
        </w:tc>
        <w:tc>
          <w:tcPr>
            <w:tcW w:w="775" w:type="dxa"/>
          </w:tcPr>
          <w:p w14:paraId="78AF1CFF">
            <w:pPr>
              <w:rPr>
                <w:rFonts w:cs="Times New Roman"/>
              </w:rPr>
            </w:pPr>
            <w:r>
              <w:rPr>
                <w:rFonts w:hint="eastAsia" w:cs="Times New Roman"/>
              </w:rPr>
              <w:t>13.1</w:t>
            </w:r>
          </w:p>
        </w:tc>
        <w:tc>
          <w:tcPr>
            <w:tcW w:w="775" w:type="dxa"/>
          </w:tcPr>
          <w:p w14:paraId="70F84EC1">
            <w:pPr>
              <w:rPr>
                <w:rFonts w:cs="Times New Roman"/>
              </w:rPr>
            </w:pPr>
            <w:r>
              <w:rPr>
                <w:rFonts w:hint="eastAsia" w:cs="Times New Roman"/>
              </w:rPr>
              <w:t>13.9</w:t>
            </w:r>
          </w:p>
        </w:tc>
        <w:tc>
          <w:tcPr>
            <w:tcW w:w="775" w:type="dxa"/>
          </w:tcPr>
          <w:p w14:paraId="00F24684">
            <w:pPr>
              <w:rPr>
                <w:rFonts w:cs="Times New Roman"/>
              </w:rPr>
            </w:pPr>
            <w:r>
              <w:rPr>
                <w:rFonts w:hint="eastAsia" w:cs="Times New Roman"/>
              </w:rPr>
              <w:t>15.1</w:t>
            </w:r>
          </w:p>
        </w:tc>
        <w:tc>
          <w:tcPr>
            <w:tcW w:w="775" w:type="dxa"/>
          </w:tcPr>
          <w:p w14:paraId="6987E7EE">
            <w:pPr>
              <w:rPr>
                <w:rFonts w:cs="Times New Roman"/>
              </w:rPr>
            </w:pPr>
            <w:r>
              <w:rPr>
                <w:rFonts w:hint="eastAsia" w:cs="Times New Roman"/>
              </w:rPr>
              <w:t>15.6</w:t>
            </w:r>
          </w:p>
        </w:tc>
        <w:tc>
          <w:tcPr>
            <w:tcW w:w="775" w:type="dxa"/>
          </w:tcPr>
          <w:p w14:paraId="1DD97539">
            <w:pPr>
              <w:rPr>
                <w:rFonts w:cs="Times New Roman"/>
              </w:rPr>
            </w:pPr>
            <w:r>
              <w:rPr>
                <w:rFonts w:hint="eastAsia" w:cs="Times New Roman"/>
              </w:rPr>
              <w:t>16.1</w:t>
            </w:r>
          </w:p>
        </w:tc>
      </w:tr>
    </w:tbl>
    <w:p w14:paraId="619E42E8">
      <w:pPr>
        <w:rPr>
          <w:rFonts w:hint="eastAsia" w:cs="Times New Roman"/>
        </w:rPr>
      </w:pPr>
      <w:r>
        <w:rPr>
          <w:rFonts w:hint="eastAsia" w:cs="Times New Roman"/>
        </w:rPr>
        <w:t>BYD</w:t>
      </w:r>
      <w:r>
        <w:rPr>
          <w:rFonts w:cs="Times New Roman"/>
        </w:rPr>
        <w:t>’</w:t>
      </w:r>
      <w:r>
        <w:rPr>
          <w:rFonts w:hint="eastAsia" w:cs="Times New Roman"/>
        </w:rPr>
        <w:t>s Average: 5.51 ; Ford</w:t>
      </w:r>
      <w:r>
        <w:rPr>
          <w:rFonts w:cs="Times New Roman"/>
        </w:rPr>
        <w:t>’</w:t>
      </w:r>
      <w:r>
        <w:rPr>
          <w:rFonts w:hint="eastAsia" w:cs="Times New Roman"/>
        </w:rPr>
        <w:t>s Average: 12.8 ; P-value: 0.000</w:t>
      </w:r>
    </w:p>
    <w:p w14:paraId="48ED238B">
      <w:pPr>
        <w:rPr>
          <w:rFonts w:hint="eastAsia" w:cs="Times New Roman"/>
        </w:rPr>
      </w:pPr>
    </w:p>
    <w:p w14:paraId="0F799966">
      <w:pPr>
        <w:rPr>
          <w:rFonts w:cs="Times New Roman"/>
          <w:b w:val="0"/>
          <w:bCs w:val="0"/>
        </w:rPr>
      </w:pPr>
      <w:r>
        <w:rPr>
          <w:rFonts w:hint="default" w:cs="Times New Roman"/>
          <w:b w:val="0"/>
          <w:bCs w:val="0"/>
        </w:rPr>
        <w:t>The items with p-values less than 0.05 in this section are Equity ratio and Inventory turnover ratio. This means BYD has a higher debt ratio and inventory turnover ratio than Ford. This not only shows that BYD has less debt pressure than Ford, but also shows that BYD's products are more popular.</w:t>
      </w:r>
    </w:p>
    <w:p w14:paraId="7F8E8DE6">
      <w:pPr>
        <w:rPr>
          <w:rFonts w:cs="Times New Roman"/>
        </w:rPr>
      </w:pPr>
    </w:p>
    <w:p w14:paraId="5717FDFC">
      <w:pPr>
        <w:rPr>
          <w:rFonts w:cs="Times New Roman"/>
        </w:rPr>
      </w:pPr>
    </w:p>
    <w:p w14:paraId="46FE8CBC">
      <w:pPr>
        <w:rPr>
          <w:rFonts w:cs="Times New Roman"/>
        </w:rPr>
      </w:pPr>
      <w:r>
        <w:rPr>
          <w:rFonts w:cs="Times New Roman"/>
        </w:rPr>
        <w:t xml:space="preserve">From the above data, </w:t>
      </w:r>
      <w:r>
        <w:rPr>
          <w:rFonts w:hint="eastAsia" w:cs="Times New Roman"/>
        </w:rPr>
        <w:t>it can be seen</w:t>
      </w:r>
      <w:r>
        <w:rPr>
          <w:rFonts w:cs="Times New Roman"/>
        </w:rPr>
        <w:t xml:space="preserve"> that the P-values of debt to equity ratio, account receivable turnover, account payable turnover, current ratio, equity ratio, and inventory turnover ratio in BYD and Ford's financial data are less than 0.05. That is to say, only BYD and Ford's financial reports have obvious differences in these items in the past decade. Debt to equity ratio is simply the ratio of liabilities to assets. It is not difficult to understand that the lower this value, the better. And Ford's value is nearly three times that of BYD. This shows that Ford's debt burden is much greater than BYD. Account receivable turnover is an indicator to measure the degree of flow of corporate collection. The higher this value indicates that the faster the company collects its accounts, the better its corresponding financial health. BYD is also higher than Ford in this value. Account payable turnover is an indicator to measure the speed at which a company pays its upstream and downstream companies. The higher this value means that the company has a shorter period of occupation of supplier payments, making it difficult to obtain financial income from this aspect. Ford's lower value in this regard means that it is in a more advantageous position than BYD in the industry. Current ratio is a value that measures the degree of financial tension of a company. Generally speaking, the higher the value, the less financial tension. In this value, BYD is not only far lower than Ford, but also lower than 1, indicating that BYD's cash flow is in a very tight state. Equity ratio is an indicator that measures the amount of assets that a company can have after paying off all its liabilities. Generally speaking, the higher this value means the less debt pressure the company has. It can be seen that BYD's debt burden is much smaller than Ford. Inventory turnover ratio is an indicator used to measure the turnover speed of a company's goods. The higher this indicator means the faster the company's goods turnover speed and the less inventory backlog. It can be seen that Ford's inventory backlog is much less than BYD, and the goods turnover cycle is much faster. From a management perspective, this shows that Ford's production and sales management level is significantly higher than BYD. Among these six data with obvious differences, Ford and BYD each have advantages in 3 aspects. However, after a detailed analysis, it will be found that this does not mean that Ford and BYD are in a state of parity. It should be noted that although Ford's revenue is higher than BYD in absolute terms, its profit margin is not higher than BYD, and its debt ratio is much higher. However, its production management and sales management are relatively stronger than BYD. At the same time, its financial management is not significantly weaker than BYD. There are two explanations for this situation. One is that BYD's assets are in an overvalued state, which makes the denominator in the debt ratio formula larger and thus appears to have a low debt ratio. The other is that Ford's production scale expansion has stopped or slowed down, making its cash assets in its balance sheet more than production assets that are easily overvalued. The latter explanation is partially supported by the value of the Cash ratio. Although the P-value of this value is not lower than 0.05, it is only 0.07. This shows that Ford may be more inclined to hold cash than BYD. These analyses point to a possibility that Ford's business has passed the period of rapid expansion, and Ford may be more inclined to hold more cash than expanding its production scale. On the other hand, BYD is more inclined to expand its business scale, so it uses more funds to expand its production scale, so its capital chain is also more tense. This possibility also verifies to a certain extent that products in the decline stage of the product life cycle theory are increasingly unable to meet market demand, so sales and profit margins continue to decline. At this time, companies that produce such products will graduall</w:t>
      </w:r>
      <w:r>
        <w:rPr>
          <w:rFonts w:cs="Times New Roman"/>
        </w:rPr>
        <w:t>y stop expanding their production scale or even actively reduce their production scale. This trend will be even more obvious if the outlier value in the operating interest rate caused by the massive fiscal stimulus in the United States in 2021 is removed.</w:t>
      </w:r>
    </w:p>
    <w:p w14:paraId="2E69E85B">
      <w:pPr>
        <w:jc w:val="left"/>
        <w:rPr>
          <w:rFonts w:cs="Times New Roman"/>
        </w:rPr>
      </w:pPr>
    </w:p>
    <w:p w14:paraId="76AF979F">
      <w:pPr>
        <w:jc w:val="left"/>
        <w:rPr>
          <w:rFonts w:cs="Times New Roman"/>
        </w:rPr>
      </w:pPr>
    </w:p>
    <w:p w14:paraId="3003BFA7">
      <w:pPr>
        <w:pStyle w:val="3"/>
        <w:bidi w:val="0"/>
        <w:rPr>
          <w:rFonts w:hint="default"/>
          <w:lang w:val="en-US" w:eastAsia="zh-CN"/>
        </w:rPr>
      </w:pPr>
      <w:bookmarkStart w:id="91" w:name="_Toc11924"/>
      <w:r>
        <w:rPr>
          <w:rFonts w:hint="eastAsia"/>
          <w:lang w:val="en-US" w:eastAsia="zh-CN"/>
        </w:rPr>
        <w:t>4.3 Conclusion</w:t>
      </w:r>
      <w:bookmarkEnd w:id="91"/>
    </w:p>
    <w:p w14:paraId="7D2AF6BD">
      <w:pPr>
        <w:jc w:val="left"/>
        <w:rPr>
          <w:rFonts w:hint="default" w:cs="Times New Roman"/>
        </w:rPr>
      </w:pPr>
      <w:r>
        <w:rPr>
          <w:rFonts w:hint="default" w:cs="Times New Roman"/>
        </w:rPr>
        <w:t>From the results of the questionnaire, it can be seen that although electric vehicles do not have a clear advantage over fuel vehicles in terms of purchase price, they have a clear advantage in terms of the cost of use. On the other hand, the higher maintenance frequency of electric vehicles means that their reliability still has room for improvement. These two things together show that electric vehicles are in a stage of rapid growth in their product life cycle and have the ability to seize the market of traditional fuel vehicles. In China, the lower insurance costs of electric vehicles compared to fuel vehicles and the better user feedback brought by sufficient supporting infrastructure have accelerated this process. From this, it can be concluded that from the perspective of consumers, compared with electric vehicles, traditional fuel vehicles are indeed a product that has entered the end of its product life cycle. It is feasible for electric vehicles to replace traditional fuel-powered vehicles in this direction.</w:t>
      </w:r>
    </w:p>
    <w:p w14:paraId="3C15AB3B">
      <w:pPr>
        <w:jc w:val="left"/>
        <w:rPr>
          <w:rFonts w:hint="default" w:cs="Times New Roman"/>
        </w:rPr>
      </w:pPr>
    </w:p>
    <w:p w14:paraId="0D856653">
      <w:pPr>
        <w:jc w:val="left"/>
        <w:rPr>
          <w:rFonts w:hint="default" w:cs="Times New Roman"/>
        </w:rPr>
      </w:pPr>
      <w:r>
        <w:rPr>
          <w:rFonts w:hint="default" w:cs="Times New Roman"/>
        </w:rPr>
        <w:t>On the other hand, from the results of the financial report analysis, it can be seen that there is no statistically significant difference in the profit margins and return on assets of BYD and Ford. This means that the production and sales costs of electric vehicles are not significantly higher than those of traditional fuel vehicles. It also proves from one side that the production of electric vehicles is not much affected by the supply of metal raw materials. From the sales amount of previous years in the table below, it can be seen that BYD's sales have increased significantly, while Ford's sales shrank significantly before the economic stimulus plan in 2020. This shows that the sales of manufacturers of replaced products in the product life cycle theory have indeed shrunk. If the 2020 economic stimulus plan had not significantly increased consumer demand, this situation would have been more obvious.</w:t>
      </w:r>
    </w:p>
    <w:p w14:paraId="0588E1B7">
      <w:pPr>
        <w:rPr>
          <w:rFonts w:hint="default" w:cs="Times New Roman" w:eastAsiaTheme="minorEastAsia"/>
          <w:lang w:val="en-US" w:eastAsia="zh-CN"/>
        </w:rPr>
      </w:pPr>
      <w:r>
        <w:rPr>
          <w:rFonts w:hint="eastAsia" w:cs="Times New Roman"/>
        </w:rPr>
        <w:t xml:space="preserve">Figure </w:t>
      </w:r>
      <w:r>
        <w:rPr>
          <w:rFonts w:hint="eastAsia" w:cs="Times New Roman"/>
          <w:lang w:val="en-US" w:eastAsia="zh-CN"/>
        </w:rPr>
        <w:t>21</w:t>
      </w:r>
      <w:r>
        <w:rPr>
          <w:rFonts w:hint="eastAsia" w:cs="Times New Roman"/>
        </w:rPr>
        <w:t xml:space="preserve">: </w:t>
      </w:r>
      <w:r>
        <w:rPr>
          <w:rFonts w:hint="eastAsia" w:cs="Times New Roman"/>
          <w:lang w:val="en-US" w:eastAsia="zh-CN"/>
        </w:rPr>
        <w:t>Sales revenue (in unit of trillion)</w:t>
      </w:r>
      <w:r>
        <w:rPr>
          <w:rFonts w:hint="eastAsia" w:cs="Times New Roman"/>
          <w:lang w:val="en-US" w:eastAsia="zh-CN"/>
        </w:rPr>
        <w:t xml:space="preserve"> </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05"/>
        <w:gridCol w:w="750"/>
        <w:gridCol w:w="751"/>
        <w:gridCol w:w="752"/>
        <w:gridCol w:w="752"/>
        <w:gridCol w:w="752"/>
        <w:gridCol w:w="752"/>
        <w:gridCol w:w="752"/>
        <w:gridCol w:w="752"/>
        <w:gridCol w:w="752"/>
        <w:gridCol w:w="752"/>
      </w:tblGrid>
      <w:tr w14:paraId="0F7593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18168267">
            <w:pPr>
              <w:rPr>
                <w:rFonts w:cs="Times New Roman"/>
              </w:rPr>
            </w:pPr>
          </w:p>
        </w:tc>
        <w:tc>
          <w:tcPr>
            <w:tcW w:w="774" w:type="dxa"/>
          </w:tcPr>
          <w:p w14:paraId="423E733A">
            <w:pPr>
              <w:rPr>
                <w:rFonts w:cs="Times New Roman"/>
              </w:rPr>
            </w:pPr>
            <w:r>
              <w:rPr>
                <w:rFonts w:hint="eastAsia" w:cs="Times New Roman"/>
              </w:rPr>
              <w:t>2023</w:t>
            </w:r>
          </w:p>
        </w:tc>
        <w:tc>
          <w:tcPr>
            <w:tcW w:w="774" w:type="dxa"/>
          </w:tcPr>
          <w:p w14:paraId="4F78B46C">
            <w:pPr>
              <w:rPr>
                <w:rFonts w:cs="Times New Roman"/>
              </w:rPr>
            </w:pPr>
            <w:r>
              <w:rPr>
                <w:rFonts w:hint="eastAsia" w:cs="Times New Roman"/>
              </w:rPr>
              <w:t>2022</w:t>
            </w:r>
          </w:p>
        </w:tc>
        <w:tc>
          <w:tcPr>
            <w:tcW w:w="775" w:type="dxa"/>
          </w:tcPr>
          <w:p w14:paraId="3221A3C1">
            <w:pPr>
              <w:rPr>
                <w:rFonts w:cs="Times New Roman"/>
              </w:rPr>
            </w:pPr>
            <w:r>
              <w:rPr>
                <w:rFonts w:hint="eastAsia" w:cs="Times New Roman"/>
              </w:rPr>
              <w:t>2021</w:t>
            </w:r>
          </w:p>
        </w:tc>
        <w:tc>
          <w:tcPr>
            <w:tcW w:w="775" w:type="dxa"/>
          </w:tcPr>
          <w:p w14:paraId="16DA0DB2">
            <w:pPr>
              <w:rPr>
                <w:rFonts w:cs="Times New Roman"/>
              </w:rPr>
            </w:pPr>
            <w:r>
              <w:rPr>
                <w:rFonts w:hint="eastAsia" w:cs="Times New Roman"/>
              </w:rPr>
              <w:t>2020</w:t>
            </w:r>
          </w:p>
        </w:tc>
        <w:tc>
          <w:tcPr>
            <w:tcW w:w="775" w:type="dxa"/>
          </w:tcPr>
          <w:p w14:paraId="3C48D9B2">
            <w:pPr>
              <w:rPr>
                <w:rFonts w:cs="Times New Roman"/>
              </w:rPr>
            </w:pPr>
            <w:r>
              <w:rPr>
                <w:rFonts w:hint="eastAsia" w:cs="Times New Roman"/>
              </w:rPr>
              <w:t>2019</w:t>
            </w:r>
          </w:p>
        </w:tc>
        <w:tc>
          <w:tcPr>
            <w:tcW w:w="775" w:type="dxa"/>
          </w:tcPr>
          <w:p w14:paraId="6C73B865">
            <w:pPr>
              <w:rPr>
                <w:rFonts w:cs="Times New Roman"/>
              </w:rPr>
            </w:pPr>
            <w:r>
              <w:rPr>
                <w:rFonts w:hint="eastAsia" w:cs="Times New Roman"/>
              </w:rPr>
              <w:t>2018</w:t>
            </w:r>
          </w:p>
        </w:tc>
        <w:tc>
          <w:tcPr>
            <w:tcW w:w="775" w:type="dxa"/>
          </w:tcPr>
          <w:p w14:paraId="60EE1425">
            <w:pPr>
              <w:rPr>
                <w:rFonts w:cs="Times New Roman"/>
              </w:rPr>
            </w:pPr>
            <w:r>
              <w:rPr>
                <w:rFonts w:hint="eastAsia" w:cs="Times New Roman"/>
              </w:rPr>
              <w:t>2017</w:t>
            </w:r>
          </w:p>
        </w:tc>
        <w:tc>
          <w:tcPr>
            <w:tcW w:w="775" w:type="dxa"/>
          </w:tcPr>
          <w:p w14:paraId="527B9401">
            <w:pPr>
              <w:rPr>
                <w:rFonts w:cs="Times New Roman"/>
              </w:rPr>
            </w:pPr>
            <w:r>
              <w:rPr>
                <w:rFonts w:hint="eastAsia" w:cs="Times New Roman"/>
              </w:rPr>
              <w:t>2016</w:t>
            </w:r>
          </w:p>
        </w:tc>
        <w:tc>
          <w:tcPr>
            <w:tcW w:w="775" w:type="dxa"/>
          </w:tcPr>
          <w:p w14:paraId="139A4941">
            <w:pPr>
              <w:rPr>
                <w:rFonts w:cs="Times New Roman"/>
              </w:rPr>
            </w:pPr>
            <w:r>
              <w:rPr>
                <w:rFonts w:hint="eastAsia" w:cs="Times New Roman"/>
              </w:rPr>
              <w:t>2015</w:t>
            </w:r>
          </w:p>
        </w:tc>
        <w:tc>
          <w:tcPr>
            <w:tcW w:w="775" w:type="dxa"/>
          </w:tcPr>
          <w:p w14:paraId="27360B23">
            <w:pPr>
              <w:rPr>
                <w:rFonts w:cs="Times New Roman"/>
              </w:rPr>
            </w:pPr>
            <w:r>
              <w:rPr>
                <w:rFonts w:hint="eastAsia" w:cs="Times New Roman"/>
              </w:rPr>
              <w:t>2014</w:t>
            </w:r>
          </w:p>
        </w:tc>
      </w:tr>
      <w:tr w14:paraId="77D0FE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7A11CCE4">
            <w:pPr>
              <w:rPr>
                <w:rFonts w:hint="default" w:cs="Times New Roman" w:eastAsiaTheme="minorEastAsia"/>
                <w:lang w:val="en-US" w:eastAsia="zh-CN"/>
              </w:rPr>
            </w:pPr>
            <w:r>
              <w:rPr>
                <w:rFonts w:hint="eastAsia" w:cs="Times New Roman"/>
              </w:rPr>
              <w:t>BYD</w:t>
            </w:r>
            <w:r>
              <w:rPr>
                <w:rFonts w:hint="eastAsia" w:cs="Times New Roman"/>
                <w:lang w:val="en-US" w:eastAsia="zh-CN"/>
              </w:rPr>
              <w:t>(</w:t>
            </w:r>
            <w:r>
              <w:rPr>
                <w:rFonts w:hint="default" w:ascii="Calibri" w:hAnsi="Calibri" w:cs="Calibri"/>
                <w:lang w:val="en-US" w:eastAsia="zh-CN"/>
              </w:rPr>
              <w:t>¥</w:t>
            </w:r>
            <w:r>
              <w:rPr>
                <w:rFonts w:hint="eastAsia" w:cs="Times New Roman"/>
                <w:lang w:val="en-US" w:eastAsia="zh-CN"/>
              </w:rPr>
              <w:t>)</w:t>
            </w:r>
          </w:p>
        </w:tc>
        <w:tc>
          <w:tcPr>
            <w:tcW w:w="774" w:type="dxa"/>
          </w:tcPr>
          <w:p w14:paraId="6F14C181">
            <w:pPr>
              <w:rPr>
                <w:rFonts w:hint="default" w:cs="Times New Roman" w:eastAsiaTheme="minorEastAsia"/>
                <w:sz w:val="24"/>
                <w:szCs w:val="22"/>
                <w:lang w:val="en-US" w:eastAsia="zh-CN"/>
              </w:rPr>
            </w:pPr>
            <w:r>
              <w:rPr>
                <w:rFonts w:hint="eastAsia" w:cs="Times New Roman"/>
                <w:sz w:val="24"/>
                <w:szCs w:val="22"/>
                <w:lang w:val="en-US" w:eastAsia="zh-CN"/>
              </w:rPr>
              <w:t>602</w:t>
            </w:r>
          </w:p>
        </w:tc>
        <w:tc>
          <w:tcPr>
            <w:tcW w:w="774" w:type="dxa"/>
          </w:tcPr>
          <w:p w14:paraId="7351D48E">
            <w:pPr>
              <w:rPr>
                <w:rFonts w:hint="default" w:cs="Times New Roman" w:eastAsiaTheme="minorEastAsia"/>
                <w:sz w:val="24"/>
                <w:szCs w:val="22"/>
                <w:lang w:val="en-US" w:eastAsia="zh-CN"/>
              </w:rPr>
            </w:pPr>
            <w:r>
              <w:rPr>
                <w:rFonts w:hint="eastAsia" w:cs="Times New Roman"/>
                <w:sz w:val="24"/>
                <w:szCs w:val="22"/>
                <w:lang w:val="en-US" w:eastAsia="zh-CN"/>
              </w:rPr>
              <w:t>424</w:t>
            </w:r>
          </w:p>
        </w:tc>
        <w:tc>
          <w:tcPr>
            <w:tcW w:w="775" w:type="dxa"/>
          </w:tcPr>
          <w:p w14:paraId="792B3C0B">
            <w:pPr>
              <w:rPr>
                <w:rFonts w:hint="default" w:cs="Times New Roman" w:eastAsiaTheme="minorEastAsia"/>
                <w:sz w:val="24"/>
                <w:szCs w:val="22"/>
                <w:lang w:val="en-US" w:eastAsia="zh-CN"/>
              </w:rPr>
            </w:pPr>
            <w:r>
              <w:rPr>
                <w:rFonts w:hint="eastAsia" w:cs="Times New Roman"/>
                <w:sz w:val="24"/>
                <w:szCs w:val="22"/>
                <w:lang w:val="en-US" w:eastAsia="zh-CN"/>
              </w:rPr>
              <w:t>216</w:t>
            </w:r>
          </w:p>
        </w:tc>
        <w:tc>
          <w:tcPr>
            <w:tcW w:w="775" w:type="dxa"/>
          </w:tcPr>
          <w:p w14:paraId="3274BD0E">
            <w:pPr>
              <w:rPr>
                <w:rFonts w:hint="default" w:cs="Times New Roman" w:eastAsiaTheme="minorEastAsia"/>
                <w:sz w:val="24"/>
                <w:szCs w:val="22"/>
                <w:lang w:val="en-US" w:eastAsia="zh-CN"/>
              </w:rPr>
            </w:pPr>
            <w:r>
              <w:rPr>
                <w:rFonts w:hint="eastAsia" w:cs="Times New Roman"/>
                <w:sz w:val="24"/>
                <w:szCs w:val="22"/>
                <w:lang w:val="en-US" w:eastAsia="zh-CN"/>
              </w:rPr>
              <w:t>157</w:t>
            </w:r>
          </w:p>
        </w:tc>
        <w:tc>
          <w:tcPr>
            <w:tcW w:w="775" w:type="dxa"/>
          </w:tcPr>
          <w:p w14:paraId="18A9D21D">
            <w:pPr>
              <w:rPr>
                <w:rFonts w:hint="default" w:cs="Times New Roman" w:eastAsiaTheme="minorEastAsia"/>
                <w:sz w:val="24"/>
                <w:szCs w:val="22"/>
                <w:lang w:val="en-US" w:eastAsia="zh-CN"/>
              </w:rPr>
            </w:pPr>
            <w:r>
              <w:rPr>
                <w:rFonts w:hint="eastAsia" w:cs="Times New Roman"/>
                <w:sz w:val="24"/>
                <w:szCs w:val="22"/>
                <w:lang w:val="en-US" w:eastAsia="zh-CN"/>
              </w:rPr>
              <w:t>128</w:t>
            </w:r>
          </w:p>
        </w:tc>
        <w:tc>
          <w:tcPr>
            <w:tcW w:w="775" w:type="dxa"/>
          </w:tcPr>
          <w:p w14:paraId="3A556C0C">
            <w:pPr>
              <w:rPr>
                <w:rFonts w:hint="default" w:cs="Times New Roman" w:eastAsiaTheme="minorEastAsia"/>
                <w:sz w:val="24"/>
                <w:szCs w:val="22"/>
                <w:lang w:val="en-US" w:eastAsia="zh-CN"/>
              </w:rPr>
            </w:pPr>
            <w:r>
              <w:rPr>
                <w:rFonts w:hint="eastAsia" w:cs="Times New Roman"/>
                <w:sz w:val="24"/>
                <w:szCs w:val="22"/>
                <w:lang w:val="en-US" w:eastAsia="zh-CN"/>
              </w:rPr>
              <w:t>130</w:t>
            </w:r>
          </w:p>
        </w:tc>
        <w:tc>
          <w:tcPr>
            <w:tcW w:w="775" w:type="dxa"/>
          </w:tcPr>
          <w:p w14:paraId="038170BF">
            <w:pPr>
              <w:rPr>
                <w:rFonts w:hint="default" w:cs="Times New Roman" w:eastAsiaTheme="minorEastAsia"/>
                <w:sz w:val="24"/>
                <w:szCs w:val="22"/>
                <w:lang w:val="en-US" w:eastAsia="zh-CN"/>
              </w:rPr>
            </w:pPr>
            <w:r>
              <w:rPr>
                <w:rFonts w:hint="eastAsia" w:cs="Times New Roman"/>
                <w:sz w:val="24"/>
                <w:szCs w:val="22"/>
                <w:lang w:val="en-US" w:eastAsia="zh-CN"/>
              </w:rPr>
              <w:t>103</w:t>
            </w:r>
          </w:p>
        </w:tc>
        <w:tc>
          <w:tcPr>
            <w:tcW w:w="775" w:type="dxa"/>
          </w:tcPr>
          <w:p w14:paraId="7E55A558">
            <w:pPr>
              <w:rPr>
                <w:rFonts w:hint="default" w:cs="Times New Roman" w:eastAsiaTheme="minorEastAsia"/>
                <w:sz w:val="24"/>
                <w:szCs w:val="22"/>
                <w:lang w:val="en-US" w:eastAsia="zh-CN"/>
              </w:rPr>
            </w:pPr>
            <w:r>
              <w:rPr>
                <w:rFonts w:hint="eastAsia" w:cs="Times New Roman"/>
                <w:sz w:val="24"/>
                <w:szCs w:val="22"/>
                <w:lang w:val="en-US" w:eastAsia="zh-CN"/>
              </w:rPr>
              <w:t>100</w:t>
            </w:r>
          </w:p>
        </w:tc>
        <w:tc>
          <w:tcPr>
            <w:tcW w:w="775" w:type="dxa"/>
          </w:tcPr>
          <w:p w14:paraId="699646D6">
            <w:pPr>
              <w:rPr>
                <w:rFonts w:hint="default" w:cs="Times New Roman" w:eastAsiaTheme="minorEastAsia"/>
                <w:sz w:val="24"/>
                <w:szCs w:val="22"/>
                <w:lang w:val="en-US" w:eastAsia="zh-CN"/>
              </w:rPr>
            </w:pPr>
            <w:r>
              <w:rPr>
                <w:rFonts w:hint="eastAsia" w:cs="Times New Roman"/>
                <w:sz w:val="24"/>
                <w:szCs w:val="22"/>
                <w:lang w:val="en-US" w:eastAsia="zh-CN"/>
              </w:rPr>
              <w:t>78</w:t>
            </w:r>
          </w:p>
        </w:tc>
        <w:tc>
          <w:tcPr>
            <w:tcW w:w="775" w:type="dxa"/>
          </w:tcPr>
          <w:p w14:paraId="56E12652">
            <w:pPr>
              <w:rPr>
                <w:rFonts w:hint="default" w:cs="Times New Roman" w:eastAsiaTheme="minorEastAsia"/>
                <w:sz w:val="24"/>
                <w:szCs w:val="22"/>
                <w:lang w:val="en-US" w:eastAsia="zh-CN"/>
              </w:rPr>
            </w:pPr>
            <w:r>
              <w:rPr>
                <w:rFonts w:hint="eastAsia" w:cs="Times New Roman"/>
                <w:sz w:val="24"/>
                <w:szCs w:val="22"/>
                <w:lang w:val="en-US" w:eastAsia="zh-CN"/>
              </w:rPr>
              <w:t>55</w:t>
            </w:r>
          </w:p>
        </w:tc>
      </w:tr>
      <w:tr w14:paraId="195D05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69CE0D34">
            <w:pPr>
              <w:rPr>
                <w:rFonts w:hint="default" w:cs="Times New Roman" w:eastAsiaTheme="minorEastAsia"/>
                <w:lang w:val="en-US" w:eastAsia="zh-CN"/>
              </w:rPr>
            </w:pPr>
            <w:r>
              <w:rPr>
                <w:rFonts w:hint="eastAsia" w:cs="Times New Roman"/>
              </w:rPr>
              <w:t>Ford</w:t>
            </w:r>
            <w:r>
              <w:rPr>
                <w:rFonts w:hint="eastAsia" w:cs="Times New Roman"/>
                <w:lang w:val="en-US" w:eastAsia="zh-CN"/>
              </w:rPr>
              <w:t>($)</w:t>
            </w:r>
          </w:p>
        </w:tc>
        <w:tc>
          <w:tcPr>
            <w:tcW w:w="774" w:type="dxa"/>
          </w:tcPr>
          <w:p w14:paraId="207A13F6">
            <w:pPr>
              <w:rPr>
                <w:rFonts w:hint="default" w:cs="Times New Roman" w:eastAsiaTheme="minorEastAsia"/>
                <w:sz w:val="24"/>
                <w:szCs w:val="22"/>
                <w:lang w:val="en-US" w:eastAsia="zh-CN"/>
              </w:rPr>
            </w:pPr>
            <w:r>
              <w:rPr>
                <w:rFonts w:hint="eastAsia" w:cs="Times New Roman"/>
                <w:sz w:val="24"/>
                <w:szCs w:val="22"/>
                <w:lang w:val="en-US" w:eastAsia="zh-CN"/>
              </w:rPr>
              <w:t>176</w:t>
            </w:r>
          </w:p>
        </w:tc>
        <w:tc>
          <w:tcPr>
            <w:tcW w:w="774" w:type="dxa"/>
          </w:tcPr>
          <w:p w14:paraId="061FF763">
            <w:pPr>
              <w:rPr>
                <w:rFonts w:hint="default" w:cs="Times New Roman" w:eastAsiaTheme="minorEastAsia"/>
                <w:sz w:val="24"/>
                <w:szCs w:val="22"/>
                <w:lang w:val="en-US" w:eastAsia="zh-CN"/>
              </w:rPr>
            </w:pPr>
            <w:r>
              <w:rPr>
                <w:rFonts w:hint="eastAsia" w:cs="Times New Roman"/>
                <w:sz w:val="24"/>
                <w:szCs w:val="22"/>
                <w:lang w:val="en-US" w:eastAsia="zh-CN"/>
              </w:rPr>
              <w:t>158</w:t>
            </w:r>
          </w:p>
        </w:tc>
        <w:tc>
          <w:tcPr>
            <w:tcW w:w="775" w:type="dxa"/>
          </w:tcPr>
          <w:p w14:paraId="1E3C8507">
            <w:pPr>
              <w:rPr>
                <w:rFonts w:hint="default" w:cs="Times New Roman" w:eastAsiaTheme="minorEastAsia"/>
                <w:sz w:val="24"/>
                <w:szCs w:val="22"/>
                <w:lang w:val="en-US" w:eastAsia="zh-CN"/>
              </w:rPr>
            </w:pPr>
            <w:r>
              <w:rPr>
                <w:rFonts w:hint="eastAsia" w:cs="Times New Roman"/>
                <w:sz w:val="24"/>
                <w:szCs w:val="22"/>
                <w:lang w:val="en-US" w:eastAsia="zh-CN"/>
              </w:rPr>
              <w:t>136</w:t>
            </w:r>
          </w:p>
        </w:tc>
        <w:tc>
          <w:tcPr>
            <w:tcW w:w="775" w:type="dxa"/>
          </w:tcPr>
          <w:p w14:paraId="326EA9C5">
            <w:pPr>
              <w:rPr>
                <w:rFonts w:hint="default" w:cs="Times New Roman" w:eastAsiaTheme="minorEastAsia"/>
                <w:sz w:val="24"/>
                <w:szCs w:val="22"/>
                <w:lang w:val="en-US" w:eastAsia="zh-CN"/>
              </w:rPr>
            </w:pPr>
            <w:r>
              <w:rPr>
                <w:rFonts w:hint="eastAsia" w:cs="Times New Roman"/>
                <w:sz w:val="24"/>
                <w:szCs w:val="22"/>
                <w:lang w:val="en-US" w:eastAsia="zh-CN"/>
              </w:rPr>
              <w:t>127</w:t>
            </w:r>
          </w:p>
        </w:tc>
        <w:tc>
          <w:tcPr>
            <w:tcW w:w="775" w:type="dxa"/>
          </w:tcPr>
          <w:p w14:paraId="7C26240E">
            <w:pPr>
              <w:rPr>
                <w:rFonts w:hint="default" w:cs="Times New Roman" w:eastAsiaTheme="minorEastAsia"/>
                <w:sz w:val="24"/>
                <w:szCs w:val="22"/>
                <w:lang w:val="en-US" w:eastAsia="zh-CN"/>
              </w:rPr>
            </w:pPr>
            <w:r>
              <w:rPr>
                <w:rFonts w:hint="eastAsia" w:cs="Times New Roman"/>
                <w:sz w:val="24"/>
                <w:szCs w:val="22"/>
                <w:lang w:val="en-US" w:eastAsia="zh-CN"/>
              </w:rPr>
              <w:t>156</w:t>
            </w:r>
          </w:p>
        </w:tc>
        <w:tc>
          <w:tcPr>
            <w:tcW w:w="775" w:type="dxa"/>
          </w:tcPr>
          <w:p w14:paraId="1E1E85B4">
            <w:pPr>
              <w:rPr>
                <w:rFonts w:hint="default" w:cs="Times New Roman" w:eastAsiaTheme="minorEastAsia"/>
                <w:sz w:val="24"/>
                <w:szCs w:val="22"/>
                <w:lang w:val="en-US" w:eastAsia="zh-CN"/>
              </w:rPr>
            </w:pPr>
            <w:r>
              <w:rPr>
                <w:rFonts w:hint="eastAsia" w:cs="Times New Roman"/>
                <w:sz w:val="24"/>
                <w:szCs w:val="22"/>
                <w:lang w:val="en-US" w:eastAsia="zh-CN"/>
              </w:rPr>
              <w:t>160</w:t>
            </w:r>
          </w:p>
        </w:tc>
        <w:tc>
          <w:tcPr>
            <w:tcW w:w="775" w:type="dxa"/>
          </w:tcPr>
          <w:p w14:paraId="4353D5EC">
            <w:pPr>
              <w:rPr>
                <w:rFonts w:hint="default" w:cs="Times New Roman" w:eastAsiaTheme="minorEastAsia"/>
                <w:sz w:val="24"/>
                <w:szCs w:val="22"/>
                <w:lang w:val="en-US" w:eastAsia="zh-CN"/>
              </w:rPr>
            </w:pPr>
            <w:r>
              <w:rPr>
                <w:rFonts w:hint="eastAsia" w:cs="Times New Roman"/>
                <w:sz w:val="24"/>
                <w:szCs w:val="22"/>
                <w:lang w:val="en-US" w:eastAsia="zh-CN"/>
              </w:rPr>
              <w:t>157</w:t>
            </w:r>
          </w:p>
        </w:tc>
        <w:tc>
          <w:tcPr>
            <w:tcW w:w="775" w:type="dxa"/>
          </w:tcPr>
          <w:p w14:paraId="2C781A18">
            <w:pPr>
              <w:rPr>
                <w:rFonts w:hint="default" w:cs="Times New Roman" w:eastAsiaTheme="minorEastAsia"/>
                <w:sz w:val="24"/>
                <w:szCs w:val="22"/>
                <w:lang w:val="en-US" w:eastAsia="zh-CN"/>
              </w:rPr>
            </w:pPr>
            <w:r>
              <w:rPr>
                <w:rFonts w:hint="eastAsia" w:cs="Times New Roman"/>
                <w:sz w:val="24"/>
                <w:szCs w:val="22"/>
                <w:lang w:val="en-US" w:eastAsia="zh-CN"/>
              </w:rPr>
              <w:t>152</w:t>
            </w:r>
          </w:p>
        </w:tc>
        <w:tc>
          <w:tcPr>
            <w:tcW w:w="775" w:type="dxa"/>
          </w:tcPr>
          <w:p w14:paraId="4CE75AC2">
            <w:pPr>
              <w:rPr>
                <w:rFonts w:hint="default" w:cs="Times New Roman" w:eastAsiaTheme="minorEastAsia"/>
                <w:sz w:val="24"/>
                <w:szCs w:val="22"/>
                <w:lang w:val="en-US" w:eastAsia="zh-CN"/>
              </w:rPr>
            </w:pPr>
            <w:r>
              <w:rPr>
                <w:rFonts w:hint="eastAsia" w:cs="Times New Roman"/>
                <w:sz w:val="24"/>
                <w:szCs w:val="22"/>
                <w:lang w:val="en-US" w:eastAsia="zh-CN"/>
              </w:rPr>
              <w:t>150</w:t>
            </w:r>
          </w:p>
        </w:tc>
        <w:tc>
          <w:tcPr>
            <w:tcW w:w="775" w:type="dxa"/>
          </w:tcPr>
          <w:p w14:paraId="7BD9E7E7">
            <w:pPr>
              <w:rPr>
                <w:rFonts w:hint="default" w:cs="Times New Roman" w:eastAsiaTheme="minorEastAsia"/>
                <w:sz w:val="24"/>
                <w:szCs w:val="22"/>
                <w:lang w:val="en-US" w:eastAsia="zh-CN"/>
              </w:rPr>
            </w:pPr>
            <w:r>
              <w:rPr>
                <w:rFonts w:hint="eastAsia" w:cs="Times New Roman"/>
                <w:sz w:val="24"/>
                <w:szCs w:val="22"/>
                <w:lang w:val="en-US" w:eastAsia="zh-CN"/>
              </w:rPr>
              <w:t>144</w:t>
            </w:r>
          </w:p>
        </w:tc>
      </w:tr>
    </w:tbl>
    <w:p w14:paraId="613659A9">
      <w:pPr>
        <w:jc w:val="left"/>
        <w:rPr>
          <w:rFonts w:hint="eastAsia" w:cs="Times New Roman" w:eastAsiaTheme="minorEastAsia"/>
          <w:lang w:eastAsia="zh-CN"/>
        </w:rPr>
      </w:pPr>
    </w:p>
    <w:p w14:paraId="622AD263">
      <w:pPr>
        <w:jc w:val="left"/>
        <w:rPr>
          <w:rFonts w:cs="Times New Roman"/>
        </w:rPr>
      </w:pPr>
    </w:p>
    <w:p w14:paraId="03B6B99B">
      <w:pPr>
        <w:jc w:val="left"/>
        <w:rPr>
          <w:rFonts w:cs="Times New Roman"/>
        </w:rPr>
      </w:pPr>
    </w:p>
    <w:p w14:paraId="4B2C2C76">
      <w:pPr>
        <w:jc w:val="left"/>
        <w:rPr>
          <w:rFonts w:cs="Times New Roman"/>
        </w:rPr>
      </w:pPr>
    </w:p>
    <w:p w14:paraId="7258376E">
      <w:pPr>
        <w:jc w:val="left"/>
        <w:rPr>
          <w:rFonts w:cs="Times New Roman"/>
        </w:rPr>
      </w:pPr>
    </w:p>
    <w:p w14:paraId="231FD4B1">
      <w:pPr>
        <w:jc w:val="left"/>
        <w:rPr>
          <w:rFonts w:cs="Times New Roman"/>
        </w:rPr>
      </w:pPr>
    </w:p>
    <w:p w14:paraId="2A7B7954">
      <w:pPr>
        <w:jc w:val="left"/>
        <w:rPr>
          <w:rFonts w:cs="Times New Roman"/>
        </w:rPr>
      </w:pPr>
    </w:p>
    <w:p w14:paraId="080E83FD">
      <w:pPr>
        <w:jc w:val="left"/>
        <w:rPr>
          <w:rFonts w:cs="Times New Roman"/>
        </w:rPr>
      </w:pPr>
    </w:p>
    <w:p w14:paraId="37A875D8">
      <w:pPr>
        <w:jc w:val="left"/>
        <w:rPr>
          <w:rFonts w:cs="Times New Roman"/>
        </w:rPr>
      </w:pPr>
    </w:p>
    <w:p w14:paraId="670C55ED">
      <w:pPr>
        <w:pStyle w:val="2"/>
        <w:rPr>
          <w:rFonts w:cs="Times New Roman"/>
        </w:rPr>
      </w:pPr>
      <w:bookmarkStart w:id="92" w:name="_Toc6298"/>
      <w:bookmarkStart w:id="93" w:name="_Toc1790"/>
      <w:bookmarkStart w:id="94" w:name="_Toc559"/>
      <w:bookmarkStart w:id="95" w:name="_Toc24737"/>
      <w:r>
        <w:rPr>
          <w:rFonts w:hint="eastAsia"/>
        </w:rPr>
        <w:t>Chapter 5.</w:t>
      </w:r>
      <w:r>
        <w:t xml:space="preserve"> Conclusion</w:t>
      </w:r>
      <w:bookmarkEnd w:id="92"/>
    </w:p>
    <w:p w14:paraId="5F4958C9">
      <w:pPr>
        <w:jc w:val="left"/>
        <w:rPr>
          <w:rFonts w:cs="Times New Roman"/>
        </w:rPr>
      </w:pPr>
      <w:r>
        <w:rPr>
          <w:rFonts w:cs="Times New Roman"/>
        </w:rPr>
        <w:t>The results of the questionnaire support the conclusion that electric vehicles are more economical than traditional fuel vehicles. The company's financial analysis also supports that the production and sale of electric vehicles has at least the same profit margin as the production and sale of traditional fuel-powered vehicles. In addition, electric vehicles are more sustainable in terms of resources and the environment than traditional fuel vehicles</w:t>
      </w:r>
      <w:r>
        <w:rPr>
          <w:rFonts w:hint="eastAsia" w:cs="Times New Roman"/>
        </w:rPr>
        <w:t>. Then</w:t>
      </w:r>
      <w:r>
        <w:rPr>
          <w:rFonts w:cs="Times New Roman"/>
        </w:rPr>
        <w:t xml:space="preserve"> the following conclusion can be drawn. For users who only need cars for daily commuting and have a large number of advantages, although electric cars are more expensive, their advantages in terms of use cost are more obvious. BYD, as an electric car manufacturer, is in a stage where both sales and profit levels are rising. In contrast, Ford, a representative of traditional energy vehicle manufacturers, is in a more obvious recession cycle. This situation confirms from both sides that traditional power vehicles are being replaced by electric vehicles. It also proves that the replacement of traditional power vehicles by electric vehicles is indeed a process that conforms to business laws and has commercial feasibility.</w:t>
      </w:r>
    </w:p>
    <w:p w14:paraId="1BE0023F">
      <w:pPr>
        <w:jc w:val="left"/>
        <w:rPr>
          <w:rFonts w:cs="Times New Roman"/>
        </w:rPr>
      </w:pPr>
    </w:p>
    <w:p w14:paraId="7BC2DB96">
      <w:pPr>
        <w:jc w:val="left"/>
        <w:rPr>
          <w:rFonts w:cs="Times New Roman"/>
        </w:rPr>
      </w:pPr>
      <w:r>
        <w:rPr>
          <w:rFonts w:cs="Times New Roman"/>
        </w:rPr>
        <w:t>It also shows that the replacement of traditional fuel vehicles by electric vehicles is largely a normal market evolution that conforms to the product life cycle theory. In the past decade, the subsidies and various policy benefits provided by governments to the electric vehicle industry should be considered as a promotion of this market evolution process rather than a distortion of the market by government behavior</w:t>
      </w:r>
      <w:r>
        <w:rPr>
          <w:rFonts w:hint="eastAsia" w:cs="Times New Roman"/>
        </w:rPr>
        <w:t>(Sun, 2020)</w:t>
      </w:r>
      <w:r>
        <w:rPr>
          <w:rFonts w:cs="Times New Roman"/>
        </w:rPr>
        <w:t>. This conclusion has far-reaching significance because it counters a popular rumor that "the replacement of fuel vehicles by electric vehicles is a political purpose to take away some jobs from others, which is a violation of the rules of the free market." (Reimers, 2021). Therefore, governments should not think that the electric vehicle industry is an industry that needs subsidies to survive</w:t>
      </w:r>
      <w:r>
        <w:rPr>
          <w:rFonts w:hint="eastAsia" w:cs="Times New Roman"/>
        </w:rPr>
        <w:t>(Song, 2020)</w:t>
      </w:r>
      <w:r>
        <w:rPr>
          <w:rFonts w:cs="Times New Roman"/>
        </w:rPr>
        <w:t>. When the country's electric vehicle manufacturing industry begins to approach or even catch up with the traditional fuel vehicle manufacturing industry in terms of sales, profit margins and supply chain maturity, subsidies can be introduced. After that, electric vehicles should be able to have a positive impact on the economic development of the entire society. In contrast, for this kind of industrial transformation mainly dominated by the laws of the free market economy, the government should also reduce policy intervention as much as possible after the initial subsidies and support. Let the market evolve and develop on its own to determine the life and death of participating enterprises and the future development direction.</w:t>
      </w:r>
    </w:p>
    <w:p w14:paraId="7D6F0C3D">
      <w:pPr>
        <w:jc w:val="left"/>
        <w:rPr>
          <w:rFonts w:cs="Times New Roman"/>
        </w:rPr>
      </w:pPr>
    </w:p>
    <w:p w14:paraId="28357F04">
      <w:pPr>
        <w:jc w:val="left"/>
        <w:rPr>
          <w:rFonts w:cs="Times New Roman"/>
        </w:rPr>
      </w:pPr>
      <w:r>
        <w:rPr>
          <w:rFonts w:cs="Times New Roman"/>
        </w:rPr>
        <w:t>At the same time, this conclusion also shows that environmental protection and economic development can be achieved at the same time. It is not always necessary to make a difficult choice between protecting the environment and improving the quality of life</w:t>
      </w:r>
      <w:r>
        <w:rPr>
          <w:rFonts w:hint="eastAsia" w:cs="Times New Roman"/>
        </w:rPr>
        <w:t>(Jorgenson, 2014;Klemensits, 2019 )</w:t>
      </w:r>
      <w:r>
        <w:rPr>
          <w:rFonts w:cs="Times New Roman"/>
        </w:rPr>
        <w:t>. This is of great significance to the vast number of developing countries. Because from their perspective, they did not contribute a lot to the current environmental problems, let alone profit from it</w:t>
      </w:r>
      <w:r>
        <w:rPr>
          <w:rFonts w:hint="eastAsia" w:cs="Times New Roman"/>
        </w:rPr>
        <w:t>(Walter, 1979; Leal, 2020)</w:t>
      </w:r>
      <w:r>
        <w:rPr>
          <w:rFonts w:cs="Times New Roman"/>
        </w:rPr>
        <w:t>. But now developed countries and the international community need them to share the responsibility of protecting the environment and even require them to sacrifice some economic interests to do so. Obviously, they do not have sufficient reasons to convince their people to do so</w:t>
      </w:r>
      <w:r>
        <w:rPr>
          <w:rFonts w:hint="eastAsia" w:cs="Times New Roman"/>
        </w:rPr>
        <w:t>(Madu, 1999; Çarkoğlu, 2015)</w:t>
      </w:r>
      <w:r>
        <w:rPr>
          <w:rFonts w:cs="Times New Roman"/>
        </w:rPr>
        <w:t>. However, if other environmental protection policies can also have obvious commercial feasibility like the replacement of electric vehicles for fuel vehicles, and can even create or release greater commercial demand, then the difficulty of promoting various environmental protection measures will be greatly reduced. This has a deeper meaning in today's world of increasingly fierce disputes and confrontations</w:t>
      </w:r>
      <w:r>
        <w:rPr>
          <w:rFonts w:hint="eastAsia" w:cs="Times New Roman"/>
        </w:rPr>
        <w:t>(Baikushikova, 2021)</w:t>
      </w:r>
      <w:r>
        <w:rPr>
          <w:rFonts w:cs="Times New Roman"/>
        </w:rPr>
        <w:t>.</w:t>
      </w:r>
    </w:p>
    <w:p w14:paraId="275683DD">
      <w:pPr>
        <w:jc w:val="left"/>
        <w:rPr>
          <w:rFonts w:cs="Times New Roman"/>
        </w:rPr>
      </w:pPr>
    </w:p>
    <w:p w14:paraId="3D0D6CBC">
      <w:pPr>
        <w:jc w:val="left"/>
        <w:rPr>
          <w:rFonts w:cs="Times New Roman"/>
        </w:rPr>
      </w:pPr>
      <w:r>
        <w:rPr>
          <w:rFonts w:cs="Times New Roman"/>
        </w:rPr>
        <w:t xml:space="preserve">Of course, this study also has many imperfections due to time and various resource limitations. For example, the sample of the questionnaire is too small, the number of automobile companies conducting financial analysis is also very limited, and the analysis of financial reports is limited to the surface information of the financial reports without going into more detailed aspects such as income composition. The former will make the customer survey have obvious regional and sample characteristics. After all, Nanjing is a temperate city in southern China. Whether the experience of using </w:t>
      </w:r>
      <w:r>
        <w:rPr>
          <w:rFonts w:hint="eastAsia" w:cs="Times New Roman"/>
        </w:rPr>
        <w:t>electric vehicles</w:t>
      </w:r>
      <w:r>
        <w:rPr>
          <w:rFonts w:cs="Times New Roman"/>
        </w:rPr>
        <w:t xml:space="preserve"> in the northern regions or even in the cold regions is still so good was not discussed in this study</w:t>
      </w:r>
      <w:r>
        <w:rPr>
          <w:rFonts w:hint="eastAsia" w:cs="Times New Roman"/>
        </w:rPr>
        <w:t>(Senol, 2023)</w:t>
      </w:r>
      <w:r>
        <w:rPr>
          <w:rFonts w:cs="Times New Roman"/>
        </w:rPr>
        <w:t>. But it is obviously a meaningful and interesting discussion. There are many such questions. Therefore, the conclusion of this study should be considered as a conclusion with certain academic rigor and significance under limited conditions. It can provide certain directional guidance, but it is inevitable that it is not comprehensive and there are many details that can be improved. If further research is to be conducted on this issue in the future, then conducting a more extensive user feedback survey that can cover more regions and types of users is a necessary step to improve the credibility and reliability of the buyer's survey. The analysis of the operating conditions of more traditional fuel vehicle manufacturers and tram manufacturers is an effective way to improve the credibility and reliability of the seller's survey</w:t>
      </w:r>
      <w:r>
        <w:rPr>
          <w:rFonts w:hint="eastAsia" w:cs="Times New Roman"/>
        </w:rPr>
        <w:t>(Gumpili, 2022)</w:t>
      </w:r>
      <w:r>
        <w:rPr>
          <w:rFonts w:cs="Times New Roman"/>
        </w:rPr>
        <w:t>. The existing survey is limited to Ford and BYD. Considering that German, Japanese and Korean cars are quite influential in the global market, it is also necessary to include the car companies in these countries in the scope of the survey. On the other hand, the electric vehicle department of Tesla, the largest and most influential tram manufacturer today, was not included in the scope of discussion. If a more comprehensive and credible seller survey</w:t>
      </w:r>
      <w:r>
        <w:rPr>
          <w:rFonts w:hint="eastAsia" w:cs="Times New Roman"/>
        </w:rPr>
        <w:t xml:space="preserve"> want to be get</w:t>
      </w:r>
      <w:r>
        <w:rPr>
          <w:rFonts w:cs="Times New Roman"/>
        </w:rPr>
        <w:t>, it is necessary to expand the survey scope several times to the current level.</w:t>
      </w:r>
    </w:p>
    <w:p w14:paraId="47112BA8">
      <w:pPr>
        <w:jc w:val="left"/>
        <w:rPr>
          <w:rFonts w:cs="Times New Roman"/>
        </w:rPr>
      </w:pPr>
    </w:p>
    <w:p w14:paraId="78C4B12E">
      <w:pPr>
        <w:jc w:val="left"/>
        <w:rPr>
          <w:rFonts w:cs="Times New Roman"/>
        </w:rPr>
      </w:pPr>
      <w:r>
        <w:rPr>
          <w:rFonts w:cs="Times New Roman"/>
        </w:rPr>
        <w:t>Finally, as a summary, it can be said that this study partially proves that the replacement of traditional fuel-powered vehicles by electric vehicles is a natural market behavior based on the evolution of the product life cycle. It has commercial feasibility in accordance with the laws of the free market. Therefore, it should be regarded as a natural market behavior rather than the result of government intervention.</w:t>
      </w:r>
    </w:p>
    <w:p w14:paraId="2CCE3A28">
      <w:pPr>
        <w:jc w:val="left"/>
        <w:rPr>
          <w:rFonts w:cs="Times New Roman"/>
        </w:rPr>
      </w:pPr>
    </w:p>
    <w:p w14:paraId="7E99E186">
      <w:pPr>
        <w:pStyle w:val="2"/>
        <w:spacing w:line="360" w:lineRule="auto"/>
        <w:ind w:left="425" w:hanging="425"/>
        <w:rPr>
          <w:rFonts w:cs="Times New Roman"/>
        </w:rPr>
      </w:pPr>
      <w:bookmarkStart w:id="96" w:name="_Toc31707"/>
      <w:r>
        <w:rPr>
          <w:rFonts w:hint="eastAsia" w:cs="Times New Roman"/>
        </w:rPr>
        <w:t>Chapter 6</w:t>
      </w:r>
      <w:r>
        <w:rPr>
          <w:rFonts w:cs="Times New Roman"/>
        </w:rPr>
        <w:t>.</w:t>
      </w:r>
      <w:r>
        <w:rPr>
          <w:rFonts w:hint="eastAsia" w:cs="Times New Roman"/>
        </w:rPr>
        <w:t xml:space="preserve"> </w:t>
      </w:r>
      <w:r>
        <w:rPr>
          <w:rFonts w:cs="Times New Roman"/>
        </w:rPr>
        <w:t>Reference</w:t>
      </w:r>
      <w:bookmarkEnd w:id="93"/>
      <w:bookmarkEnd w:id="94"/>
      <w:bookmarkEnd w:id="95"/>
      <w:bookmarkEnd w:id="96"/>
    </w:p>
    <w:p w14:paraId="00C8282A">
      <w:pPr>
        <w:pStyle w:val="13"/>
        <w:widowControl/>
        <w:rPr>
          <w:rStyle w:val="19"/>
          <w:rFonts w:hint="eastAsia" w:eastAsiaTheme="minorEastAsia"/>
          <w:b w:val="0"/>
          <w:bCs w:val="0"/>
          <w:lang w:val="en-US" w:eastAsia="zh-CN"/>
        </w:rPr>
      </w:pPr>
      <w:bookmarkStart w:id="97" w:name="_Toc11118"/>
      <w:bookmarkStart w:id="98" w:name="_Toc12995"/>
      <w:r>
        <w:rPr>
          <w:rStyle w:val="19"/>
          <w:rFonts w:hint="default"/>
          <w:b w:val="0"/>
          <w:bCs w:val="0"/>
        </w:rPr>
        <w:t xml:space="preserve">Abro, G., Zulkifli, S., Kumar, K., Ouanjli, N., Asirvadam, V., &amp; Mossa, M., 2023. Comprehensive Review of Recent Advancements in Battery Technology, Propulsion, Power Interfaces, and Vehicle Network Systems for Intelligent Autonomous and Connected Electric Vehicles. Energies. </w:t>
      </w:r>
      <w:r>
        <w:rPr>
          <w:rStyle w:val="19"/>
          <w:rFonts w:hint="default"/>
          <w:b w:val="0"/>
          <w:bCs w:val="0"/>
        </w:rPr>
        <w:fldChar w:fldCharType="begin"/>
      </w:r>
      <w:r>
        <w:rPr>
          <w:rStyle w:val="19"/>
          <w:rFonts w:hint="default"/>
          <w:b w:val="0"/>
          <w:bCs w:val="0"/>
        </w:rPr>
        <w:instrText xml:space="preserve"> HYPERLINK "https://doi.org/10.3390/en16062925." </w:instrText>
      </w:r>
      <w:r>
        <w:rPr>
          <w:rStyle w:val="19"/>
          <w:rFonts w:hint="default"/>
          <w:b w:val="0"/>
          <w:bCs w:val="0"/>
        </w:rPr>
        <w:fldChar w:fldCharType="separate"/>
      </w:r>
      <w:r>
        <w:rPr>
          <w:rStyle w:val="22"/>
          <w:rFonts w:hint="default"/>
          <w:b w:val="0"/>
          <w:bCs w:val="0"/>
        </w:rPr>
        <w:t>https://doi.org/10.3390/en16062925.</w:t>
      </w:r>
      <w:r>
        <w:rPr>
          <w:rStyle w:val="19"/>
          <w:rFonts w:hint="default"/>
          <w:b w:val="0"/>
          <w:bCs w:val="0"/>
        </w:rPr>
        <w:fldChar w:fldCharType="end"/>
      </w:r>
      <w:r>
        <w:rPr>
          <w:rStyle w:val="19"/>
          <w:rFonts w:hint="eastAsia"/>
          <w:b w:val="0"/>
          <w:bCs w:val="0"/>
          <w:lang w:val="en-US" w:eastAsia="zh-CN"/>
        </w:rPr>
        <w:t xml:space="preserve"> [</w:t>
      </w:r>
      <w:r>
        <w:rPr>
          <w:rStyle w:val="19"/>
          <w:b w:val="0"/>
          <w:bCs w:val="0"/>
        </w:rPr>
        <w:t xml:space="preserve">Accessed </w:t>
      </w:r>
      <w:r>
        <w:rPr>
          <w:rStyle w:val="19"/>
          <w:rFonts w:hint="eastAsia"/>
          <w:b w:val="0"/>
          <w:bCs w:val="0"/>
          <w:lang w:val="en-US" w:eastAsia="zh-CN"/>
        </w:rPr>
        <w:t>16</w:t>
      </w:r>
      <w:r>
        <w:rPr>
          <w:rStyle w:val="19"/>
          <w:rFonts w:hint="eastAsia"/>
          <w:b w:val="0"/>
          <w:bCs w:val="0"/>
          <w:vertAlign w:val="superscript"/>
          <w:lang w:val="en-US" w:eastAsia="zh-CN"/>
        </w:rPr>
        <w:t>th</w:t>
      </w:r>
      <w:r>
        <w:rPr>
          <w:rStyle w:val="19"/>
          <w:rFonts w:hint="eastAsia"/>
          <w:b w:val="0"/>
          <w:bCs w:val="0"/>
          <w:lang w:val="en-US" w:eastAsia="zh-CN"/>
        </w:rPr>
        <w:t xml:space="preserve"> September</w:t>
      </w:r>
      <w:r>
        <w:rPr>
          <w:rStyle w:val="19"/>
          <w:b w:val="0"/>
          <w:bCs w:val="0"/>
        </w:rPr>
        <w:t xml:space="preserve"> 2024]</w:t>
      </w:r>
    </w:p>
    <w:p w14:paraId="706DDF71">
      <w:pPr>
        <w:pStyle w:val="13"/>
        <w:widowControl/>
        <w:rPr>
          <w:rStyle w:val="19"/>
          <w:b w:val="0"/>
          <w:bCs w:val="0"/>
        </w:rPr>
      </w:pPr>
      <w:r>
        <w:rPr>
          <w:rStyle w:val="19"/>
          <w:b w:val="0"/>
          <w:bCs w:val="0"/>
        </w:rPr>
        <w:t xml:space="preserve">Administrator &amp; Administrator (2024), </w:t>
      </w:r>
      <w:r>
        <w:rPr>
          <w:rStyle w:val="19"/>
          <w:b w:val="0"/>
          <w:bCs w:val="0"/>
          <w:i/>
          <w:iCs/>
        </w:rPr>
        <w:t xml:space="preserve">'LFP batteries surge in electric vehicle market', </w:t>
      </w:r>
      <w:r>
        <w:rPr>
          <w:rStyle w:val="21"/>
        </w:rPr>
        <w:t>MANLY - A leader in the battery field</w:t>
      </w:r>
      <w:r>
        <w:rPr>
          <w:rStyle w:val="19"/>
          <w:b w:val="0"/>
          <w:bCs w:val="0"/>
        </w:rPr>
        <w:t xml:space="preserve">, [Online] Available: </w:t>
      </w:r>
      <w:r>
        <w:fldChar w:fldCharType="begin"/>
      </w:r>
      <w:r>
        <w:instrText xml:space="preserve"> HYPERLINK "https://manlybattery.com/lfp-batteries-surge-in-electric-vehicle-market/" \t "/Users/luocaisheng/Documentsx/_new" </w:instrText>
      </w:r>
      <w:r>
        <w:fldChar w:fldCharType="separate"/>
      </w:r>
      <w:r>
        <w:rPr>
          <w:rStyle w:val="22"/>
        </w:rPr>
        <w:t>https://manlybattery.com/lfp-batteries-surge-in-electric-vehicle-market/</w:t>
      </w:r>
      <w:r>
        <w:rPr>
          <w:rStyle w:val="22"/>
        </w:rPr>
        <w:fldChar w:fldCharType="end"/>
      </w:r>
      <w:r>
        <w:rPr>
          <w:rStyle w:val="19"/>
          <w:b w:val="0"/>
          <w:bCs w:val="0"/>
        </w:rPr>
        <w:t xml:space="preserve"> [Accessed 27th May 2024].</w:t>
      </w:r>
    </w:p>
    <w:p w14:paraId="4221E55E">
      <w:pPr>
        <w:pStyle w:val="13"/>
        <w:widowControl/>
        <w:rPr>
          <w:rStyle w:val="19"/>
          <w:b w:val="0"/>
          <w:bCs w:val="0"/>
        </w:rPr>
      </w:pPr>
      <w:r>
        <w:rPr>
          <w:rStyle w:val="19"/>
          <w:b w:val="0"/>
          <w:bCs w:val="0"/>
        </w:rPr>
        <w:t>Alternative Fuels Data Center (2022),</w:t>
      </w:r>
      <w:r>
        <w:rPr>
          <w:rStyle w:val="19"/>
          <w:b w:val="0"/>
          <w:bCs w:val="0"/>
          <w:i/>
          <w:iCs/>
        </w:rPr>
        <w:t xml:space="preserve"> 'Electric vehicle benefits and considerations', </w:t>
      </w:r>
      <w:r>
        <w:rPr>
          <w:rStyle w:val="19"/>
          <w:b w:val="0"/>
          <w:bCs w:val="0"/>
        </w:rPr>
        <w:t xml:space="preserve">[Online] Available: </w:t>
      </w:r>
      <w:r>
        <w:fldChar w:fldCharType="begin"/>
      </w:r>
      <w:r>
        <w:instrText xml:space="preserve"> HYPERLINK "https://afdc.energy.gov/fuels/electricity-benefits" \t "/Users/luocaisheng/Documentsx/_new" </w:instrText>
      </w:r>
      <w:r>
        <w:fldChar w:fldCharType="separate"/>
      </w:r>
      <w:r>
        <w:rPr>
          <w:rStyle w:val="22"/>
        </w:rPr>
        <w:t>https://afdc.energy.gov/fuels/electricity-benefits</w:t>
      </w:r>
      <w:r>
        <w:rPr>
          <w:rStyle w:val="22"/>
        </w:rPr>
        <w:fldChar w:fldCharType="end"/>
      </w:r>
      <w:r>
        <w:rPr>
          <w:rStyle w:val="19"/>
          <w:b w:val="0"/>
          <w:bCs w:val="0"/>
        </w:rPr>
        <w:t xml:space="preserve"> [Accessed 10th July 2024].</w:t>
      </w:r>
    </w:p>
    <w:p w14:paraId="29690F9B">
      <w:pPr>
        <w:pStyle w:val="13"/>
        <w:widowControl/>
      </w:pPr>
      <w:r>
        <w:rPr>
          <w:rStyle w:val="19"/>
          <w:b w:val="0"/>
          <w:bCs w:val="0"/>
        </w:rPr>
        <w:t xml:space="preserve">American Psychological Association (2017), 'Ethical principles of psychologists and code of conduct', [Online] Available: </w:t>
      </w:r>
      <w:r>
        <w:fldChar w:fldCharType="begin"/>
      </w:r>
      <w:r>
        <w:instrText xml:space="preserve"> HYPERLINK "https://www.apa.org/ethics/code" \t "/Users/luocaisheng/Documentsx/_new" </w:instrText>
      </w:r>
      <w:r>
        <w:fldChar w:fldCharType="separate"/>
      </w:r>
      <w:r>
        <w:rPr>
          <w:rStyle w:val="22"/>
        </w:rPr>
        <w:t>https://www.apa.org/ethics/code</w:t>
      </w:r>
      <w:r>
        <w:rPr>
          <w:rStyle w:val="22"/>
        </w:rPr>
        <w:fldChar w:fldCharType="end"/>
      </w:r>
      <w:r>
        <w:rPr>
          <w:rStyle w:val="19"/>
          <w:b w:val="0"/>
          <w:bCs w:val="0"/>
        </w:rPr>
        <w:t xml:space="preserve"> [Accessed 1st January 2017].</w:t>
      </w:r>
    </w:p>
    <w:p w14:paraId="3E887996">
      <w:pPr>
        <w:pStyle w:val="13"/>
        <w:widowControl/>
      </w:pPr>
      <w:r>
        <w:rPr>
          <w:rStyle w:val="19"/>
          <w:b w:val="0"/>
          <w:bCs w:val="0"/>
        </w:rPr>
        <w:t xml:space="preserve">American Psychological Association (2017), </w:t>
      </w:r>
      <w:r>
        <w:rPr>
          <w:rStyle w:val="21"/>
        </w:rPr>
        <w:t>Ethical Principles of Psychologists and Code of Conduct</w:t>
      </w:r>
      <w:r>
        <w:rPr>
          <w:rStyle w:val="19"/>
          <w:b w:val="0"/>
          <w:bCs w:val="0"/>
        </w:rPr>
        <w:t>.</w:t>
      </w:r>
    </w:p>
    <w:p w14:paraId="14AD45E3">
      <w:pPr>
        <w:pStyle w:val="13"/>
        <w:widowControl/>
      </w:pPr>
      <w:r>
        <w:rPr>
          <w:rStyle w:val="19"/>
          <w:b w:val="0"/>
          <w:bCs w:val="0"/>
        </w:rPr>
        <w:t>Ayodele, B. &amp; Mustapa, S. (2020), '</w:t>
      </w:r>
      <w:r>
        <w:rPr>
          <w:rStyle w:val="19"/>
          <w:b w:val="0"/>
          <w:bCs w:val="0"/>
          <w:i/>
          <w:iCs/>
        </w:rPr>
        <w:t>Life Cycle Cost Assessment of Electric Vehicles: A Review and Bibliometric Analysis',</w:t>
      </w:r>
      <w:r>
        <w:rPr>
          <w:rStyle w:val="19"/>
          <w:b w:val="0"/>
          <w:bCs w:val="0"/>
        </w:rPr>
        <w:t xml:space="preserve"> </w:t>
      </w:r>
      <w:r>
        <w:rPr>
          <w:rStyle w:val="21"/>
        </w:rPr>
        <w:t>Sustainability</w:t>
      </w:r>
      <w:r>
        <w:rPr>
          <w:rStyle w:val="19"/>
          <w:b w:val="0"/>
          <w:bCs w:val="0"/>
        </w:rPr>
        <w:t xml:space="preserve">, [Online] Available: </w:t>
      </w:r>
      <w:r>
        <w:fldChar w:fldCharType="begin"/>
      </w:r>
      <w:r>
        <w:instrText xml:space="preserve"> HYPERLINK "https://www.mdpi.com/2071-1050/12/6/2387" \t "/Users/luocaisheng/Documentsx/_new" </w:instrText>
      </w:r>
      <w:r>
        <w:fldChar w:fldCharType="separate"/>
      </w:r>
      <w:r>
        <w:rPr>
          <w:rStyle w:val="22"/>
        </w:rPr>
        <w:t>https://www.mdpi.com/2071-1050/12/6/2387</w:t>
      </w:r>
      <w:r>
        <w:rPr>
          <w:rStyle w:val="22"/>
        </w:rPr>
        <w:fldChar w:fldCharType="end"/>
      </w:r>
      <w:r>
        <w:rPr>
          <w:rStyle w:val="19"/>
          <w:b w:val="0"/>
          <w:bCs w:val="0"/>
        </w:rPr>
        <w:t xml:space="preserve"> [Accessed 17th August 2024].</w:t>
      </w:r>
    </w:p>
    <w:p w14:paraId="565ED980">
      <w:pPr>
        <w:pStyle w:val="13"/>
        <w:widowControl/>
      </w:pPr>
      <w:r>
        <w:rPr>
          <w:rStyle w:val="19"/>
          <w:b w:val="0"/>
          <w:bCs w:val="0"/>
        </w:rPr>
        <w:t xml:space="preserve">Bacon, F., Bacon, F. &amp; Tosi, A. (1620), </w:t>
      </w:r>
      <w:r>
        <w:rPr>
          <w:rStyle w:val="21"/>
        </w:rPr>
        <w:t>Novum Organum Scientiarum</w:t>
      </w:r>
      <w:r>
        <w:rPr>
          <w:rStyle w:val="19"/>
          <w:b w:val="0"/>
          <w:bCs w:val="0"/>
        </w:rPr>
        <w:t xml:space="preserve">, [Online] Available: </w:t>
      </w:r>
      <w:r>
        <w:fldChar w:fldCharType="begin"/>
      </w:r>
      <w:r>
        <w:instrText xml:space="preserve"> HYPERLINK "https://oll.libertyfund.org/titles/bacon-novum-organum" \t "/Users/luocaisheng/Documentsx/_new" </w:instrText>
      </w:r>
      <w:r>
        <w:fldChar w:fldCharType="separate"/>
      </w:r>
      <w:r>
        <w:rPr>
          <w:rStyle w:val="22"/>
        </w:rPr>
        <w:t>https://oll.libertyfund.org/titles/bacon-novum-organum</w:t>
      </w:r>
      <w:r>
        <w:rPr>
          <w:rStyle w:val="22"/>
        </w:rPr>
        <w:fldChar w:fldCharType="end"/>
      </w:r>
      <w:r>
        <w:rPr>
          <w:rStyle w:val="19"/>
          <w:b w:val="0"/>
          <w:bCs w:val="0"/>
        </w:rPr>
        <w:t xml:space="preserve"> [Accessed 14th August 2024].</w:t>
      </w:r>
    </w:p>
    <w:p w14:paraId="0FCADAA5">
      <w:pPr>
        <w:pStyle w:val="13"/>
        <w:widowControl/>
      </w:pPr>
      <w:r>
        <w:rPr>
          <w:rStyle w:val="19"/>
          <w:b w:val="0"/>
          <w:bCs w:val="0"/>
        </w:rPr>
        <w:t xml:space="preserve">Baikushikova, G., Utkelbay, R. &amp; Hu, H. (2021), 'Evolution of world trade wars: the historical aspect', </w:t>
      </w:r>
      <w:r>
        <w:rPr>
          <w:rStyle w:val="21"/>
        </w:rPr>
        <w:t>KazNU Bulletin. International Relations and International Law Series</w:t>
      </w:r>
      <w:r>
        <w:rPr>
          <w:rStyle w:val="19"/>
          <w:b w:val="0"/>
          <w:bCs w:val="0"/>
        </w:rPr>
        <w:t xml:space="preserve">, [Online] Available: </w:t>
      </w:r>
      <w:r>
        <w:fldChar w:fldCharType="begin"/>
      </w:r>
      <w:r>
        <w:instrText xml:space="preserve"> HYPERLINK "https://www.researchgate.net/publication/350420827_Evolution_of_world_trade_wars_the_historical_aspect" \t "/Users/luocaisheng/Documentsx/_new" </w:instrText>
      </w:r>
      <w:r>
        <w:fldChar w:fldCharType="separate"/>
      </w:r>
      <w:r>
        <w:rPr>
          <w:rStyle w:val="22"/>
        </w:rPr>
        <w:t>https://www.researchgate.net/publication/350420827_Evolution_of_world_trade_wars_the_historical_aspect</w:t>
      </w:r>
      <w:r>
        <w:rPr>
          <w:rStyle w:val="22"/>
        </w:rPr>
        <w:fldChar w:fldCharType="end"/>
      </w:r>
      <w:r>
        <w:rPr>
          <w:rStyle w:val="19"/>
          <w:b w:val="0"/>
          <w:bCs w:val="0"/>
        </w:rPr>
        <w:t xml:space="preserve"> [Accessed 3rd September 2024].</w:t>
      </w:r>
    </w:p>
    <w:p w14:paraId="7432A8EE">
      <w:pPr>
        <w:pStyle w:val="13"/>
        <w:widowControl/>
        <w:rPr>
          <w:rStyle w:val="19"/>
          <w:b w:val="0"/>
          <w:bCs w:val="0"/>
        </w:rPr>
      </w:pPr>
      <w:r>
        <w:rPr>
          <w:rStyle w:val="19"/>
          <w:b w:val="0"/>
          <w:bCs w:val="0"/>
        </w:rPr>
        <w:t xml:space="preserve">Babbie, E.R. (2020), </w:t>
      </w:r>
      <w:r>
        <w:rPr>
          <w:rStyle w:val="21"/>
        </w:rPr>
        <w:t>The Practice of Social Research</w:t>
      </w:r>
      <w:r>
        <w:rPr>
          <w:rStyle w:val="19"/>
          <w:b w:val="0"/>
          <w:bCs w:val="0"/>
        </w:rPr>
        <w:t>, Southbank: Cengage AU.</w:t>
      </w:r>
      <w:r>
        <w:rPr>
          <w:rStyle w:val="19"/>
          <w:rFonts w:hint="eastAsia"/>
          <w:b w:val="0"/>
          <w:bCs w:val="0"/>
        </w:rPr>
        <w:t xml:space="preserve"> </w:t>
      </w:r>
      <w:r>
        <w:fldChar w:fldCharType="begin"/>
      </w:r>
      <w:r>
        <w:instrText xml:space="preserve"> HYPERLINK "https://www.statista.com/statistics/993121/china-public-electric-vehicle-charging-station-number/" \t "/Users/luocaisheng/Documentsx/_new" </w:instrText>
      </w:r>
      <w:r>
        <w:fldChar w:fldCharType="separate"/>
      </w:r>
      <w:r>
        <w:rPr>
          <w:rStyle w:val="22"/>
        </w:rPr>
        <w:t>https://www.statista.com/statistics/993121/china-public-electric-vehicle-charging-station-number/</w:t>
      </w:r>
      <w:r>
        <w:rPr>
          <w:rStyle w:val="22"/>
        </w:rPr>
        <w:fldChar w:fldCharType="end"/>
      </w:r>
      <w:r>
        <w:rPr>
          <w:rStyle w:val="19"/>
          <w:b w:val="0"/>
          <w:bCs w:val="0"/>
        </w:rPr>
        <w:t xml:space="preserve"> [Accessed 5th August 2024].</w:t>
      </w:r>
    </w:p>
    <w:p w14:paraId="5687AD1E">
      <w:pPr>
        <w:pStyle w:val="13"/>
        <w:widowControl/>
        <w:rPr>
          <w:rStyle w:val="19"/>
          <w:b w:val="0"/>
          <w:bCs w:val="0"/>
        </w:rPr>
      </w:pPr>
      <w:r>
        <w:rPr>
          <w:rStyle w:val="19"/>
          <w:b w:val="0"/>
          <w:bCs w:val="0"/>
        </w:rPr>
        <w:t>Barroga, E. &amp; Matanguihan, G.J. (2022), '</w:t>
      </w:r>
      <w:r>
        <w:rPr>
          <w:rStyle w:val="19"/>
          <w:b w:val="0"/>
          <w:bCs w:val="0"/>
          <w:i/>
          <w:iCs/>
        </w:rPr>
        <w:t>A practical guide to writing quantitative and qualitative research questions and hypotheses in scholarly dissertations'</w:t>
      </w:r>
      <w:r>
        <w:rPr>
          <w:rStyle w:val="19"/>
          <w:b w:val="0"/>
          <w:bCs w:val="0"/>
        </w:rPr>
        <w:t xml:space="preserve">, </w:t>
      </w:r>
      <w:r>
        <w:rPr>
          <w:rStyle w:val="21"/>
        </w:rPr>
        <w:t>Journal of Korean Medical Science</w:t>
      </w:r>
      <w:r>
        <w:rPr>
          <w:rStyle w:val="19"/>
          <w:b w:val="0"/>
          <w:bCs w:val="0"/>
        </w:rPr>
        <w:t>, Seoul, 37, pp. 16.</w:t>
      </w:r>
    </w:p>
    <w:p w14:paraId="2E093F13">
      <w:pPr>
        <w:pStyle w:val="13"/>
        <w:widowControl/>
        <w:rPr>
          <w:rStyle w:val="19"/>
          <w:b w:val="0"/>
          <w:bCs w:val="0"/>
        </w:rPr>
      </w:pPr>
      <w:r>
        <w:rPr>
          <w:rStyle w:val="19"/>
          <w:b w:val="0"/>
          <w:bCs w:val="0"/>
        </w:rPr>
        <w:t xml:space="preserve">Bayazit, N. (2004), </w:t>
      </w:r>
      <w:r>
        <w:rPr>
          <w:rStyle w:val="19"/>
          <w:b w:val="0"/>
          <w:bCs w:val="0"/>
          <w:i/>
          <w:iCs/>
        </w:rPr>
        <w:t>'Investigating Design: A Review of Forty Years of Design Research',</w:t>
      </w:r>
      <w:r>
        <w:rPr>
          <w:rStyle w:val="19"/>
          <w:b w:val="0"/>
          <w:bCs w:val="0"/>
        </w:rPr>
        <w:t xml:space="preserve"> </w:t>
      </w:r>
      <w:r>
        <w:rPr>
          <w:rStyle w:val="21"/>
        </w:rPr>
        <w:t>Design Issues</w:t>
      </w:r>
      <w:r>
        <w:rPr>
          <w:rStyle w:val="19"/>
          <w:b w:val="0"/>
          <w:bCs w:val="0"/>
        </w:rPr>
        <w:t>, Cambridge, Massachusetts, 20, pp. 16-29.</w:t>
      </w:r>
    </w:p>
    <w:p w14:paraId="33C59A50">
      <w:pPr>
        <w:pStyle w:val="13"/>
        <w:widowControl/>
        <w:rPr>
          <w:rStyle w:val="19"/>
          <w:b w:val="0"/>
          <w:bCs w:val="0"/>
        </w:rPr>
      </w:pPr>
      <w:r>
        <w:rPr>
          <w:rStyle w:val="19"/>
          <w:b w:val="0"/>
          <w:bCs w:val="0"/>
        </w:rPr>
        <w:t xml:space="preserve">BBC News Chinese (2023), </w:t>
      </w:r>
      <w:r>
        <w:rPr>
          <w:rStyle w:val="19"/>
          <w:b w:val="0"/>
          <w:bCs w:val="0"/>
          <w:i/>
          <w:iCs/>
        </w:rPr>
        <w:t>'China’s new energy vehicle subsidies end after 13 years: rising ambitions and future challenges'</w:t>
      </w:r>
      <w:r>
        <w:rPr>
          <w:rStyle w:val="19"/>
          <w:b w:val="0"/>
          <w:bCs w:val="0"/>
        </w:rPr>
        <w:t xml:space="preserve">, [Online] Available: </w:t>
      </w:r>
      <w:r>
        <w:fldChar w:fldCharType="begin"/>
      </w:r>
      <w:r>
        <w:instrText xml:space="preserve"> HYPERLINK "https://www.bbc.com/zhongwen/simp/business-64173650" \t "/Users/luocaisheng/Documentsx/_new" </w:instrText>
      </w:r>
      <w:r>
        <w:fldChar w:fldCharType="separate"/>
      </w:r>
      <w:r>
        <w:rPr>
          <w:rStyle w:val="22"/>
        </w:rPr>
        <w:t>https://www.bbc.com/zhongwen/simp/business-64173650</w:t>
      </w:r>
      <w:r>
        <w:rPr>
          <w:rStyle w:val="22"/>
        </w:rPr>
        <w:fldChar w:fldCharType="end"/>
      </w:r>
      <w:r>
        <w:rPr>
          <w:rStyle w:val="19"/>
          <w:b w:val="0"/>
          <w:bCs w:val="0"/>
        </w:rPr>
        <w:t xml:space="preserve"> [Accessed 23rd June 2024].</w:t>
      </w:r>
    </w:p>
    <w:p w14:paraId="3EBDC3CF">
      <w:pPr>
        <w:pStyle w:val="13"/>
        <w:widowControl/>
      </w:pPr>
      <w:r>
        <w:rPr>
          <w:rStyle w:val="19"/>
          <w:b w:val="0"/>
          <w:bCs w:val="0"/>
        </w:rPr>
        <w:t xml:space="preserve">Beauchamp, T.L. &amp; Childress, J.F. (2001), </w:t>
      </w:r>
      <w:r>
        <w:rPr>
          <w:rStyle w:val="21"/>
        </w:rPr>
        <w:t>Principles of Biomedical Ethics</w:t>
      </w:r>
      <w:r>
        <w:rPr>
          <w:rStyle w:val="19"/>
          <w:b w:val="0"/>
          <w:bCs w:val="0"/>
        </w:rPr>
        <w:t>.</w:t>
      </w:r>
    </w:p>
    <w:p w14:paraId="110DA063">
      <w:pPr>
        <w:pStyle w:val="13"/>
        <w:widowControl/>
      </w:pPr>
      <w:r>
        <w:rPr>
          <w:rStyle w:val="19"/>
          <w:b w:val="0"/>
          <w:bCs w:val="0"/>
        </w:rPr>
        <w:t xml:space="preserve">Beers, B. (2024), 'P-Value: What It Is, How to Calculate It, and Why It Matters', </w:t>
      </w:r>
      <w:r>
        <w:rPr>
          <w:rStyle w:val="21"/>
        </w:rPr>
        <w:t>Investopedia</w:t>
      </w:r>
      <w:r>
        <w:rPr>
          <w:rStyle w:val="19"/>
          <w:b w:val="0"/>
          <w:bCs w:val="0"/>
        </w:rPr>
        <w:t xml:space="preserve">, [Online] Available: </w:t>
      </w:r>
      <w:r>
        <w:fldChar w:fldCharType="begin"/>
      </w:r>
      <w:r>
        <w:instrText xml:space="preserve"> HYPERLINK "https://www.investopedia.com/terms/p/p-value.asp" \t "/Users/luocaisheng/Documentsx/_new" </w:instrText>
      </w:r>
      <w:r>
        <w:fldChar w:fldCharType="separate"/>
      </w:r>
      <w:r>
        <w:rPr>
          <w:rStyle w:val="22"/>
        </w:rPr>
        <w:t>https://www.investopedia.com/terms/p/p-value.asp</w:t>
      </w:r>
      <w:r>
        <w:rPr>
          <w:rStyle w:val="22"/>
        </w:rPr>
        <w:fldChar w:fldCharType="end"/>
      </w:r>
      <w:r>
        <w:rPr>
          <w:rStyle w:val="19"/>
          <w:b w:val="0"/>
          <w:bCs w:val="0"/>
        </w:rPr>
        <w:t xml:space="preserve"> [Accessed 1st August 2023].</w:t>
      </w:r>
    </w:p>
    <w:p w14:paraId="52CEB4AE">
      <w:pPr>
        <w:pStyle w:val="13"/>
        <w:widowControl/>
      </w:pPr>
      <w:r>
        <w:rPr>
          <w:rStyle w:val="19"/>
          <w:b w:val="0"/>
          <w:bCs w:val="0"/>
        </w:rPr>
        <w:t>Bhattarai, A. (2023), '</w:t>
      </w:r>
      <w:r>
        <w:rPr>
          <w:rStyle w:val="19"/>
          <w:b w:val="0"/>
          <w:bCs w:val="0"/>
          <w:i/>
          <w:iCs/>
        </w:rPr>
        <w:t>A tipping point in equal pay: Automakers are scrapping tiered wages'</w:t>
      </w:r>
      <w:r>
        <w:rPr>
          <w:rStyle w:val="19"/>
          <w:b w:val="0"/>
          <w:bCs w:val="0"/>
        </w:rPr>
        <w:t xml:space="preserve">, </w:t>
      </w:r>
      <w:r>
        <w:rPr>
          <w:rStyle w:val="21"/>
        </w:rPr>
        <w:t>Washington Post</w:t>
      </w:r>
      <w:r>
        <w:rPr>
          <w:rStyle w:val="19"/>
          <w:b w:val="0"/>
          <w:bCs w:val="0"/>
        </w:rPr>
        <w:t xml:space="preserve">, [Online] Available: </w:t>
      </w:r>
      <w:r>
        <w:fldChar w:fldCharType="begin"/>
      </w:r>
      <w:r>
        <w:instrText xml:space="preserve"> HYPERLINK "https://www.washingtonpost.com/business/2023/10/31/tier-pay-ford-gm-stellantis-ups-unions/" \t "/Users/luocaisheng/Documentsx/_new" </w:instrText>
      </w:r>
      <w:r>
        <w:fldChar w:fldCharType="separate"/>
      </w:r>
      <w:r>
        <w:rPr>
          <w:rStyle w:val="22"/>
        </w:rPr>
        <w:t>https://www.washingtonpost.com/business/2023/10/31/tier-pay-ford-gm-stellantis-ups-unions/</w:t>
      </w:r>
      <w:r>
        <w:rPr>
          <w:rStyle w:val="22"/>
        </w:rPr>
        <w:fldChar w:fldCharType="end"/>
      </w:r>
      <w:r>
        <w:rPr>
          <w:rStyle w:val="19"/>
          <w:b w:val="0"/>
          <w:bCs w:val="0"/>
        </w:rPr>
        <w:t xml:space="preserve"> [Accessed 31st May 2024].</w:t>
      </w:r>
    </w:p>
    <w:p w14:paraId="5EF65252">
      <w:pPr>
        <w:pStyle w:val="13"/>
        <w:widowControl/>
      </w:pPr>
      <w:r>
        <w:rPr>
          <w:rStyle w:val="19"/>
          <w:b w:val="0"/>
          <w:bCs w:val="0"/>
        </w:rPr>
        <w:t>Bloomberg</w:t>
      </w:r>
      <w:r>
        <w:rPr>
          <w:rStyle w:val="19"/>
          <w:rFonts w:hint="eastAsia"/>
          <w:b w:val="0"/>
          <w:bCs w:val="0"/>
        </w:rPr>
        <w:t xml:space="preserve"> </w:t>
      </w:r>
      <w:r>
        <w:rPr>
          <w:rStyle w:val="19"/>
          <w:b w:val="0"/>
          <w:bCs w:val="0"/>
        </w:rPr>
        <w:t xml:space="preserve">(2023)  'Are you a robot?' , [Online] Available: </w:t>
      </w:r>
      <w:r>
        <w:fldChar w:fldCharType="begin"/>
      </w:r>
      <w:r>
        <w:instrText xml:space="preserve"> HYPERLINK "https://www.bloomberg.com/news/newsletters/2023-09-28/eu-needs-more-than-just-tariffs-to-counter-china-s-electric-cars" \t "/Users/luocaisheng/Documentsx/_new" </w:instrText>
      </w:r>
      <w:r>
        <w:fldChar w:fldCharType="separate"/>
      </w:r>
      <w:r>
        <w:rPr>
          <w:rStyle w:val="22"/>
        </w:rPr>
        <w:t>https://www.bloomberg.com/news/newsletters/2023-09-28/eu-needs-more-than-just-tariffs-to-counter-china-s-electric-cars</w:t>
      </w:r>
      <w:r>
        <w:rPr>
          <w:rStyle w:val="22"/>
        </w:rPr>
        <w:fldChar w:fldCharType="end"/>
      </w:r>
      <w:r>
        <w:rPr>
          <w:rStyle w:val="19"/>
          <w:b w:val="0"/>
          <w:bCs w:val="0"/>
        </w:rPr>
        <w:t xml:space="preserve"> [Accessed 17th August 2024].</w:t>
      </w:r>
    </w:p>
    <w:p w14:paraId="2AC10F33">
      <w:pPr>
        <w:pStyle w:val="13"/>
        <w:widowControl/>
      </w:pPr>
      <w:r>
        <w:rPr>
          <w:rStyle w:val="19"/>
          <w:b w:val="0"/>
          <w:bCs w:val="0"/>
        </w:rPr>
        <w:t xml:space="preserve">BloombergNEF (2021), 'Battery pack prices fall to an average of $132/kWh, but rising commodity prices start to bite', [Online] Available: </w:t>
      </w:r>
      <w:r>
        <w:fldChar w:fldCharType="begin"/>
      </w:r>
      <w:r>
        <w:instrText xml:space="preserve"> HYPERLINK "https://about.bnef.com/blog/battery-pack-prices-fall-to-an-average-of-132-kwh-but-rising-commodity-prices-start-to-bite/" \t "/Users/luocaisheng/Documentsx/_new" </w:instrText>
      </w:r>
      <w:r>
        <w:fldChar w:fldCharType="separate"/>
      </w:r>
      <w:r>
        <w:rPr>
          <w:rStyle w:val="22"/>
        </w:rPr>
        <w:t>https://about.bnef.com/blog/battery-pack-prices-fall-to-an-average-of-132-kwh-but-rising-commodity-prices-start-to-bite/</w:t>
      </w:r>
      <w:r>
        <w:rPr>
          <w:rStyle w:val="22"/>
        </w:rPr>
        <w:fldChar w:fldCharType="end"/>
      </w:r>
      <w:r>
        <w:rPr>
          <w:rStyle w:val="19"/>
          <w:b w:val="0"/>
          <w:bCs w:val="0"/>
        </w:rPr>
        <w:t xml:space="preserve"> [Accessed 26th August 2024].</w:t>
      </w:r>
    </w:p>
    <w:p w14:paraId="4B70D139">
      <w:pPr>
        <w:pStyle w:val="13"/>
        <w:widowControl/>
        <w:rPr>
          <w:rStyle w:val="19"/>
          <w:b w:val="0"/>
          <w:bCs w:val="0"/>
        </w:rPr>
      </w:pPr>
      <w:r>
        <w:rPr>
          <w:rStyle w:val="19"/>
          <w:b w:val="0"/>
          <w:bCs w:val="0"/>
        </w:rPr>
        <w:t xml:space="preserve">BloombergNEF (2022), 'Lithium-ion battery pack prices rise for first time to an average of $151/kWh', [Online] Available: </w:t>
      </w:r>
      <w:r>
        <w:fldChar w:fldCharType="begin"/>
      </w:r>
      <w:r>
        <w:instrText xml:space="preserve"> HYPERLINK "https://about.bnef.com/blog/lithium-ion-battery-pack-prices-rise-for-first-time-to-an-average-of-151-kwh/" \t "/Users/luocaisheng/Documentsx/_new" </w:instrText>
      </w:r>
      <w:r>
        <w:fldChar w:fldCharType="separate"/>
      </w:r>
      <w:r>
        <w:rPr>
          <w:rStyle w:val="22"/>
        </w:rPr>
        <w:t>https://about.bnef.com/blog/lithium-ion-battery-pack-prices-rise-for-first-time-to-an-average-of-151-kwh/</w:t>
      </w:r>
      <w:r>
        <w:rPr>
          <w:rStyle w:val="22"/>
        </w:rPr>
        <w:fldChar w:fldCharType="end"/>
      </w:r>
      <w:r>
        <w:rPr>
          <w:rStyle w:val="19"/>
          <w:b w:val="0"/>
          <w:bCs w:val="0"/>
        </w:rPr>
        <w:t xml:space="preserve"> [Accessed 26th August 2024].</w:t>
      </w:r>
    </w:p>
    <w:p w14:paraId="42174C4D">
      <w:pPr>
        <w:pStyle w:val="13"/>
        <w:widowControl/>
        <w:rPr>
          <w:rStyle w:val="19"/>
          <w:b w:val="0"/>
          <w:bCs w:val="0"/>
        </w:rPr>
      </w:pPr>
      <w:r>
        <w:rPr>
          <w:rStyle w:val="19"/>
          <w:b w:val="0"/>
          <w:bCs w:val="0"/>
        </w:rPr>
        <w:t>Bobylev, D. (2024), '</w:t>
      </w:r>
      <w:r>
        <w:rPr>
          <w:rStyle w:val="19"/>
          <w:b w:val="0"/>
          <w:bCs w:val="0"/>
          <w:i/>
          <w:iCs/>
        </w:rPr>
        <w:t>BYD Qin L plug-in hybrid sedan arrived at dealers in China before the launch</w:t>
      </w:r>
      <w:r>
        <w:rPr>
          <w:rStyle w:val="19"/>
          <w:b w:val="0"/>
          <w:bCs w:val="0"/>
        </w:rPr>
        <w:t xml:space="preserve">', </w:t>
      </w:r>
      <w:r>
        <w:rPr>
          <w:rStyle w:val="21"/>
        </w:rPr>
        <w:t>CarnewsChina</w:t>
      </w:r>
      <w:r>
        <w:rPr>
          <w:rStyle w:val="19"/>
          <w:b w:val="0"/>
          <w:bCs w:val="0"/>
        </w:rPr>
        <w:t xml:space="preserve">, [Online] Available: </w:t>
      </w:r>
      <w:r>
        <w:fldChar w:fldCharType="begin"/>
      </w:r>
      <w:r>
        <w:instrText xml:space="preserve"> HYPERLINK "https://carnewschina.com/2024/05/20/byd-qin-l-plug-in-hybrid-sedan-arrived-at-dealers-in-china-before-the-launch/" \t "/Users/luocaisheng/Documentsx/_new" </w:instrText>
      </w:r>
      <w:r>
        <w:fldChar w:fldCharType="separate"/>
      </w:r>
      <w:r>
        <w:rPr>
          <w:rStyle w:val="22"/>
        </w:rPr>
        <w:t>https://carnewschina.com/2024/05/20/byd-qin-l-plug-in-hybrid-sedan-arrived-at-dealers-in-china-before-the-launch/</w:t>
      </w:r>
      <w:r>
        <w:rPr>
          <w:rStyle w:val="22"/>
        </w:rPr>
        <w:fldChar w:fldCharType="end"/>
      </w:r>
      <w:r>
        <w:rPr>
          <w:rStyle w:val="19"/>
          <w:b w:val="0"/>
          <w:bCs w:val="0"/>
        </w:rPr>
        <w:t xml:space="preserve"> [Accessed 20th May 2024].</w:t>
      </w:r>
    </w:p>
    <w:p w14:paraId="12D70296">
      <w:pPr>
        <w:pStyle w:val="13"/>
        <w:widowControl/>
        <w:rPr>
          <w:rStyle w:val="19"/>
          <w:b w:val="0"/>
          <w:bCs w:val="0"/>
        </w:rPr>
      </w:pPr>
      <w:r>
        <w:rPr>
          <w:rStyle w:val="19"/>
          <w:b w:val="0"/>
          <w:bCs w:val="0"/>
        </w:rPr>
        <w:t xml:space="preserve">Borgstedt, P., Neyer, B. &amp; Schewe, G. (2017), 'Paving the Road to Electric Vehicles – A Patent Analysis of the Automotive Supply Industry', </w:t>
      </w:r>
      <w:r>
        <w:rPr>
          <w:rStyle w:val="21"/>
        </w:rPr>
        <w:t>Journal of Cleaner Production</w:t>
      </w:r>
      <w:r>
        <w:rPr>
          <w:rStyle w:val="19"/>
          <w:b w:val="0"/>
          <w:bCs w:val="0"/>
        </w:rPr>
        <w:t>, 167, pp. 75-87.</w:t>
      </w:r>
    </w:p>
    <w:p w14:paraId="5D8AFB73">
      <w:pPr>
        <w:pStyle w:val="13"/>
        <w:widowControl/>
        <w:rPr>
          <w:rStyle w:val="19"/>
          <w:b w:val="0"/>
          <w:bCs w:val="0"/>
        </w:rPr>
      </w:pPr>
      <w:r>
        <w:rPr>
          <w:rStyle w:val="19"/>
          <w:b w:val="0"/>
          <w:bCs w:val="0"/>
        </w:rPr>
        <w:t xml:space="preserve">BYD Company (2024), 'BYD Company Profile', [Online] Available: </w:t>
      </w:r>
      <w:r>
        <w:fldChar w:fldCharType="begin"/>
      </w:r>
      <w:r>
        <w:instrText xml:space="preserve"> HYPERLINK "https://theicct.org/sites/default/files/BYD%20EV%20SEDEMA.pdf" \t "/Users/luocaisheng/Documentsx/_new" </w:instrText>
      </w:r>
      <w:r>
        <w:fldChar w:fldCharType="separate"/>
      </w:r>
      <w:r>
        <w:rPr>
          <w:rStyle w:val="22"/>
        </w:rPr>
        <w:t>https://theicct.org/sites/default/files/BYD%20EV%20SEDEMA.pdf</w:t>
      </w:r>
      <w:r>
        <w:rPr>
          <w:rStyle w:val="22"/>
        </w:rPr>
        <w:fldChar w:fldCharType="end"/>
      </w:r>
      <w:r>
        <w:rPr>
          <w:rStyle w:val="19"/>
          <w:b w:val="0"/>
          <w:bCs w:val="0"/>
        </w:rPr>
        <w:t xml:space="preserve"> [Accessed 10th August 2024].</w:t>
      </w:r>
    </w:p>
    <w:p w14:paraId="37DD4524">
      <w:pPr>
        <w:pStyle w:val="13"/>
        <w:widowControl/>
        <w:rPr>
          <w:rStyle w:val="19"/>
          <w:b w:val="0"/>
          <w:bCs w:val="0"/>
        </w:rPr>
      </w:pPr>
      <w:r>
        <w:rPr>
          <w:rStyle w:val="19"/>
          <w:b w:val="0"/>
          <w:bCs w:val="0"/>
        </w:rPr>
        <w:t xml:space="preserve">BYD (2024), </w:t>
      </w:r>
      <w:r>
        <w:rPr>
          <w:rStyle w:val="19"/>
          <w:b w:val="0"/>
          <w:bCs w:val="0"/>
          <w:i/>
          <w:iCs/>
        </w:rPr>
        <w:t xml:space="preserve">'BYD Concludes 2023 with Record 3 Million Annual Sales, Leading Global NEV Market', </w:t>
      </w:r>
      <w:r>
        <w:rPr>
          <w:rStyle w:val="19"/>
          <w:b w:val="0"/>
          <w:bCs w:val="0"/>
        </w:rPr>
        <w:t xml:space="preserve">[Online] Available: </w:t>
      </w:r>
      <w:r>
        <w:fldChar w:fldCharType="begin"/>
      </w:r>
      <w:r>
        <w:instrText xml:space="preserve"> HYPERLINK "https://www.byd.com/us/news-list/BYD-Concludes-2023-with-Record-3-Million-Annual-Sales-Leading-Global-NEV-Market.html" \t "/Users/luocaisheng/Documentsx/_new" </w:instrText>
      </w:r>
      <w:r>
        <w:fldChar w:fldCharType="separate"/>
      </w:r>
      <w:r>
        <w:rPr>
          <w:rStyle w:val="22"/>
        </w:rPr>
        <w:t>https://www.byd.com/us/news-list/BYD-Concludes-2023-with-Record-3-Million-Annual-Sales-Leading-Global-NEV-Market.html</w:t>
      </w:r>
      <w:r>
        <w:rPr>
          <w:rStyle w:val="22"/>
        </w:rPr>
        <w:fldChar w:fldCharType="end"/>
      </w:r>
      <w:r>
        <w:rPr>
          <w:rStyle w:val="19"/>
          <w:b w:val="0"/>
          <w:bCs w:val="0"/>
        </w:rPr>
        <w:t xml:space="preserve"> [Accessed 3rd July 2024].</w:t>
      </w:r>
    </w:p>
    <w:p w14:paraId="3EB2522A">
      <w:pPr>
        <w:pStyle w:val="13"/>
        <w:widowControl/>
        <w:rPr>
          <w:rStyle w:val="19"/>
          <w:b w:val="0"/>
          <w:bCs w:val="0"/>
        </w:rPr>
      </w:pPr>
      <w:r>
        <w:rPr>
          <w:rStyle w:val="19"/>
          <w:b w:val="0"/>
          <w:bCs w:val="0"/>
        </w:rPr>
        <w:t xml:space="preserve">BYD (2024), </w:t>
      </w:r>
      <w:r>
        <w:rPr>
          <w:rStyle w:val="19"/>
          <w:b w:val="0"/>
          <w:bCs w:val="0"/>
          <w:i/>
          <w:iCs/>
        </w:rPr>
        <w:t>'BYD Concludes 2023 with Record 3 Million Annual Sales, Leading Global NEV Market',</w:t>
      </w:r>
      <w:r>
        <w:rPr>
          <w:rStyle w:val="19"/>
          <w:b w:val="0"/>
          <w:bCs w:val="0"/>
        </w:rPr>
        <w:t xml:space="preserve"> </w:t>
      </w:r>
      <w:r>
        <w:rPr>
          <w:rStyle w:val="21"/>
        </w:rPr>
        <w:t>Technological Innovations for a Better Life | BYD USA</w:t>
      </w:r>
      <w:r>
        <w:rPr>
          <w:rStyle w:val="19"/>
          <w:b w:val="0"/>
          <w:bCs w:val="0"/>
        </w:rPr>
        <w:t xml:space="preserve">, [Online] Available: </w:t>
      </w:r>
      <w:r>
        <w:fldChar w:fldCharType="begin"/>
      </w:r>
      <w:r>
        <w:instrText xml:space="preserve"> HYPERLINK "https://en.byd.com/news/byd-concludes-2023-with-record-3-million-annual-sales-leading-global-nev-market/" \t "/Users/luocaisheng/Documentsx/_new" </w:instrText>
      </w:r>
      <w:r>
        <w:fldChar w:fldCharType="separate"/>
      </w:r>
      <w:r>
        <w:rPr>
          <w:rStyle w:val="22"/>
        </w:rPr>
        <w:t>https://en.byd.com/news/byd-concludes-2023-with-record-3-million-annual-sales-leading-global-nev-market/</w:t>
      </w:r>
      <w:r>
        <w:rPr>
          <w:rStyle w:val="22"/>
        </w:rPr>
        <w:fldChar w:fldCharType="end"/>
      </w:r>
      <w:r>
        <w:rPr>
          <w:rStyle w:val="19"/>
          <w:b w:val="0"/>
          <w:bCs w:val="0"/>
        </w:rPr>
        <w:t xml:space="preserve"> [Accessed 20th July 2024].</w:t>
      </w:r>
    </w:p>
    <w:p w14:paraId="5A06F829">
      <w:pPr>
        <w:pStyle w:val="13"/>
        <w:widowControl/>
        <w:rPr>
          <w:rStyle w:val="19"/>
          <w:b w:val="0"/>
          <w:bCs w:val="0"/>
        </w:rPr>
      </w:pPr>
      <w:r>
        <w:rPr>
          <w:rStyle w:val="19"/>
          <w:b w:val="0"/>
          <w:bCs w:val="0"/>
        </w:rPr>
        <w:t xml:space="preserve">Çarkoğlu, A. &amp; Kentmen-Çin, Ç. (2015), 'Economic development, environmental justice, and pro-environmental behavior', </w:t>
      </w:r>
      <w:r>
        <w:rPr>
          <w:rStyle w:val="21"/>
        </w:rPr>
        <w:t>Environmental Politics</w:t>
      </w:r>
      <w:r>
        <w:rPr>
          <w:rStyle w:val="19"/>
          <w:b w:val="0"/>
          <w:bCs w:val="0"/>
        </w:rPr>
        <w:t>, 24, pp. 575-597.</w:t>
      </w:r>
    </w:p>
    <w:p w14:paraId="586B341B">
      <w:pPr>
        <w:pStyle w:val="13"/>
        <w:widowControl/>
      </w:pPr>
      <w:r>
        <w:rPr>
          <w:rStyle w:val="21"/>
          <w:i w:val="0"/>
        </w:rPr>
        <w:t>CarsGuide</w:t>
      </w:r>
      <w:r>
        <w:rPr>
          <w:rStyle w:val="21"/>
          <w:rFonts w:hint="eastAsia"/>
          <w:i w:val="0"/>
        </w:rPr>
        <w:t xml:space="preserve"> </w:t>
      </w:r>
      <w:r>
        <w:rPr>
          <w:rStyle w:val="19"/>
          <w:b w:val="0"/>
          <w:bCs w:val="0"/>
        </w:rPr>
        <w:t xml:space="preserve">(2023),'Ford Puma 2023 price &amp; Specs'  , [Online] Available: </w:t>
      </w:r>
      <w:r>
        <w:fldChar w:fldCharType="begin"/>
      </w:r>
      <w:r>
        <w:instrText xml:space="preserve"> HYPERLINK "https://www.carsguide.com.au/ford/puma/price/2023" \t "/Users/luocaisheng/Documentsx/_new" </w:instrText>
      </w:r>
      <w:r>
        <w:fldChar w:fldCharType="separate"/>
      </w:r>
      <w:r>
        <w:rPr>
          <w:rStyle w:val="22"/>
        </w:rPr>
        <w:t>https://www.carsguide.com.au/ford/puma/price/2023</w:t>
      </w:r>
      <w:r>
        <w:rPr>
          <w:rStyle w:val="22"/>
        </w:rPr>
        <w:fldChar w:fldCharType="end"/>
      </w:r>
      <w:r>
        <w:rPr>
          <w:rStyle w:val="19"/>
          <w:b w:val="0"/>
          <w:bCs w:val="0"/>
        </w:rPr>
        <w:t xml:space="preserve"> [Accessed 6th June 2024].</w:t>
      </w:r>
    </w:p>
    <w:p w14:paraId="23BAC946">
      <w:pPr>
        <w:pStyle w:val="13"/>
        <w:widowControl/>
        <w:rPr>
          <w:rStyle w:val="19"/>
          <w:b w:val="0"/>
          <w:bCs w:val="0"/>
        </w:rPr>
      </w:pPr>
      <w:r>
        <w:rPr>
          <w:rStyle w:val="19"/>
          <w:rFonts w:hint="eastAsia"/>
          <w:b w:val="0"/>
          <w:bCs w:val="0"/>
        </w:rPr>
        <w:t>C</w:t>
      </w:r>
      <w:r>
        <w:rPr>
          <w:rStyle w:val="21"/>
          <w:i w:val="0"/>
        </w:rPr>
        <w:t>arwow.co.uk</w:t>
      </w:r>
      <w:r>
        <w:rPr>
          <w:rStyle w:val="19"/>
          <w:b w:val="0"/>
          <w:bCs w:val="0"/>
          <w:iCs/>
        </w:rPr>
        <w:t>,</w:t>
      </w:r>
      <w:r>
        <w:rPr>
          <w:rStyle w:val="19"/>
          <w:b w:val="0"/>
          <w:bCs w:val="0"/>
        </w:rPr>
        <w:t xml:space="preserve"> (2024) | Performance &amp; Pricing' ,  [Online] Available: </w:t>
      </w:r>
      <w:r>
        <w:fldChar w:fldCharType="begin"/>
      </w:r>
      <w:r>
        <w:instrText xml:space="preserve"> HYPERLINK "https://www.carwow.co.uk/byd/dolphin" \l "gref" \t "/Users/luocaisheng/Documentsx/_new" </w:instrText>
      </w:r>
      <w:r>
        <w:fldChar w:fldCharType="separate"/>
      </w:r>
      <w:r>
        <w:rPr>
          <w:rStyle w:val="22"/>
        </w:rPr>
        <w:t>https://www.carwow.co.uk/byd/dolphin#gref</w:t>
      </w:r>
      <w:r>
        <w:rPr>
          <w:rStyle w:val="22"/>
        </w:rPr>
        <w:fldChar w:fldCharType="end"/>
      </w:r>
      <w:r>
        <w:rPr>
          <w:rStyle w:val="19"/>
          <w:b w:val="0"/>
          <w:bCs w:val="0"/>
        </w:rPr>
        <w:t xml:space="preserve"> [Accessed 25th July 2024].</w:t>
      </w:r>
    </w:p>
    <w:p w14:paraId="3C251044">
      <w:pPr>
        <w:pStyle w:val="13"/>
        <w:widowControl/>
        <w:rPr>
          <w:rStyle w:val="19"/>
          <w:rFonts w:hint="eastAsia" w:eastAsiaTheme="minorEastAsia"/>
          <w:b w:val="0"/>
          <w:bCs w:val="0"/>
          <w:lang w:val="en-US" w:eastAsia="zh-CN"/>
        </w:rPr>
      </w:pPr>
      <w:r>
        <w:rPr>
          <w:rStyle w:val="19"/>
          <w:rFonts w:hint="default"/>
          <w:b w:val="0"/>
          <w:bCs w:val="0"/>
        </w:rPr>
        <w:t xml:space="preserve">Carey, J., 2023. The other benefit of electric vehicles. Proceedings of the National Academy of Sciences of the United States of America, 120. </w:t>
      </w:r>
      <w:r>
        <w:rPr>
          <w:rStyle w:val="19"/>
          <w:rFonts w:hint="default"/>
          <w:b w:val="0"/>
          <w:bCs w:val="0"/>
        </w:rPr>
        <w:fldChar w:fldCharType="begin"/>
      </w:r>
      <w:r>
        <w:rPr>
          <w:rStyle w:val="19"/>
          <w:rFonts w:hint="default"/>
          <w:b w:val="0"/>
          <w:bCs w:val="0"/>
        </w:rPr>
        <w:instrText xml:space="preserve"> HYPERLINK "https://doi.org/10.1073/pnas.2220923120." </w:instrText>
      </w:r>
      <w:r>
        <w:rPr>
          <w:rStyle w:val="19"/>
          <w:rFonts w:hint="default"/>
          <w:b w:val="0"/>
          <w:bCs w:val="0"/>
        </w:rPr>
        <w:fldChar w:fldCharType="separate"/>
      </w:r>
      <w:r>
        <w:rPr>
          <w:rStyle w:val="22"/>
          <w:rFonts w:hint="default"/>
          <w:b w:val="0"/>
          <w:bCs w:val="0"/>
        </w:rPr>
        <w:t>https://doi.org/10.1073/pnas.2220923120.</w:t>
      </w:r>
      <w:r>
        <w:rPr>
          <w:rStyle w:val="19"/>
          <w:rFonts w:hint="default"/>
          <w:b w:val="0"/>
          <w:bCs w:val="0"/>
        </w:rPr>
        <w:fldChar w:fldCharType="end"/>
      </w:r>
      <w:r>
        <w:rPr>
          <w:rStyle w:val="19"/>
          <w:rFonts w:hint="eastAsia"/>
          <w:b w:val="0"/>
          <w:bCs w:val="0"/>
          <w:lang w:val="en-US" w:eastAsia="zh-CN"/>
        </w:rPr>
        <w:t xml:space="preserve"> </w:t>
      </w:r>
      <w:r>
        <w:rPr>
          <w:rStyle w:val="19"/>
          <w:b w:val="0"/>
          <w:bCs w:val="0"/>
        </w:rPr>
        <w:t>[Accessed 1</w:t>
      </w:r>
      <w:r>
        <w:rPr>
          <w:rStyle w:val="19"/>
          <w:rFonts w:hint="eastAsia"/>
          <w:b w:val="0"/>
          <w:bCs w:val="0"/>
          <w:lang w:val="en-US" w:eastAsia="zh-CN"/>
        </w:rPr>
        <w:t>6</w:t>
      </w:r>
      <w:r>
        <w:rPr>
          <w:rStyle w:val="19"/>
          <w:b w:val="0"/>
          <w:bCs w:val="0"/>
          <w:vertAlign w:val="superscript"/>
        </w:rPr>
        <w:t>th</w:t>
      </w:r>
      <w:r>
        <w:rPr>
          <w:rStyle w:val="19"/>
          <w:rFonts w:hint="eastAsia"/>
          <w:b w:val="0"/>
          <w:bCs w:val="0"/>
          <w:lang w:val="en-US" w:eastAsia="zh-CN"/>
        </w:rPr>
        <w:t xml:space="preserve"> September</w:t>
      </w:r>
      <w:r>
        <w:rPr>
          <w:rStyle w:val="19"/>
          <w:b w:val="0"/>
          <w:bCs w:val="0"/>
        </w:rPr>
        <w:t xml:space="preserve"> 2024].</w:t>
      </w:r>
    </w:p>
    <w:p w14:paraId="4FC8579F">
      <w:pPr>
        <w:pStyle w:val="13"/>
        <w:widowControl/>
      </w:pPr>
      <w:r>
        <w:rPr>
          <w:rStyle w:val="19"/>
          <w:b w:val="0"/>
          <w:bCs w:val="0"/>
        </w:rPr>
        <w:t xml:space="preserve">Cckean &amp; Cckean (2024), </w:t>
      </w:r>
      <w:r>
        <w:rPr>
          <w:rStyle w:val="19"/>
          <w:b w:val="0"/>
          <w:bCs w:val="0"/>
          <w:i/>
          <w:iCs/>
        </w:rPr>
        <w:t xml:space="preserve">'Tracking Ford Global Vehicle Sales and Market Share', </w:t>
      </w:r>
      <w:r>
        <w:rPr>
          <w:rStyle w:val="21"/>
        </w:rPr>
        <w:t>StockDividendScreener.com</w:t>
      </w:r>
      <w:r>
        <w:rPr>
          <w:rStyle w:val="19"/>
          <w:b w:val="0"/>
          <w:bCs w:val="0"/>
        </w:rPr>
        <w:t xml:space="preserve">, [Online] Available: </w:t>
      </w:r>
      <w:r>
        <w:fldChar w:fldCharType="begin"/>
      </w:r>
      <w:r>
        <w:instrText xml:space="preserve"> HYPERLINK "https://stockdividendscreener.com/auto-manufacturers/ford-global-vehicle-sales-and-market-share/" \l "retail-sales" \t "/Users/luocaisheng/Documentsx/_new" </w:instrText>
      </w:r>
      <w:r>
        <w:fldChar w:fldCharType="separate"/>
      </w:r>
      <w:r>
        <w:rPr>
          <w:rStyle w:val="22"/>
        </w:rPr>
        <w:t>https://stockdividendscreener.com/auto-manufacturers/ford-global-vehicle-sales-and-market-share/#retail-sales</w:t>
      </w:r>
      <w:r>
        <w:rPr>
          <w:rStyle w:val="22"/>
        </w:rPr>
        <w:fldChar w:fldCharType="end"/>
      </w:r>
      <w:r>
        <w:rPr>
          <w:rStyle w:val="19"/>
          <w:b w:val="0"/>
          <w:bCs w:val="0"/>
        </w:rPr>
        <w:t xml:space="preserve"> [Accessed 10th July 2024].</w:t>
      </w:r>
    </w:p>
    <w:p w14:paraId="53D65CC1">
      <w:pPr>
        <w:pStyle w:val="13"/>
        <w:widowControl/>
      </w:pPr>
      <w:r>
        <w:rPr>
          <w:rStyle w:val="19"/>
          <w:b w:val="0"/>
          <w:bCs w:val="0"/>
        </w:rPr>
        <w:t xml:space="preserve">Chen, S. (2024), 'China Charging Alliance: Public charging piles increased by 51.2% year-on-year in February', [Online] Available: </w:t>
      </w:r>
      <w:r>
        <w:fldChar w:fldCharType="begin"/>
      </w:r>
      <w:r>
        <w:instrText xml:space="preserve"> HYPERLINK "https://news.cctv.com/2024/03/11/ARTIaJC71JIjpCvk1rPwThup240311.shtml" \t "/Users/luocaisheng/Documentsx/_new" </w:instrText>
      </w:r>
      <w:r>
        <w:fldChar w:fldCharType="separate"/>
      </w:r>
      <w:r>
        <w:rPr>
          <w:rStyle w:val="22"/>
        </w:rPr>
        <w:t>https://news.cctv.com/2024/03/11/ARTIaJC71JIjpCvk1rPwThup240311.shtml</w:t>
      </w:r>
      <w:r>
        <w:rPr>
          <w:rStyle w:val="22"/>
        </w:rPr>
        <w:fldChar w:fldCharType="end"/>
      </w:r>
      <w:r>
        <w:rPr>
          <w:rStyle w:val="19"/>
          <w:b w:val="0"/>
          <w:bCs w:val="0"/>
        </w:rPr>
        <w:t xml:space="preserve"> [Accessed 24th August 2024].</w:t>
      </w:r>
    </w:p>
    <w:p w14:paraId="61B14AD4">
      <w:pPr>
        <w:pStyle w:val="13"/>
        <w:widowControl/>
        <w:rPr>
          <w:rStyle w:val="19"/>
          <w:b w:val="0"/>
          <w:bCs w:val="0"/>
        </w:rPr>
      </w:pPr>
      <w:r>
        <w:rPr>
          <w:rStyle w:val="19"/>
          <w:b w:val="0"/>
          <w:bCs w:val="0"/>
        </w:rPr>
        <w:t>Chen, T., Zhang, X., Wang, J., Li, J., Wu, C., Hu, M. &amp; Bian, H. (2020), '</w:t>
      </w:r>
      <w:r>
        <w:rPr>
          <w:rStyle w:val="19"/>
          <w:b w:val="0"/>
          <w:bCs w:val="0"/>
          <w:i/>
          <w:iCs/>
        </w:rPr>
        <w:t>A Review on Electric Vehicle Charging Infrastructure Development in the UK</w:t>
      </w:r>
      <w:r>
        <w:rPr>
          <w:rStyle w:val="19"/>
          <w:b w:val="0"/>
          <w:bCs w:val="0"/>
        </w:rPr>
        <w:t xml:space="preserve">', </w:t>
      </w:r>
      <w:r>
        <w:rPr>
          <w:rStyle w:val="21"/>
        </w:rPr>
        <w:t>Journal of Modern Power Systems and Clean Energy</w:t>
      </w:r>
      <w:r>
        <w:rPr>
          <w:rStyle w:val="19"/>
          <w:b w:val="0"/>
          <w:bCs w:val="0"/>
        </w:rPr>
        <w:t xml:space="preserve">, [Online] Available: </w:t>
      </w:r>
      <w:r>
        <w:fldChar w:fldCharType="begin"/>
      </w:r>
      <w:r>
        <w:instrText xml:space="preserve"> HYPERLINK "https://ieeexplore.ieee.org/document/9028778" \t "/Users/luocaisheng/Documentsx/_new" </w:instrText>
      </w:r>
      <w:r>
        <w:fldChar w:fldCharType="separate"/>
      </w:r>
      <w:r>
        <w:rPr>
          <w:rStyle w:val="22"/>
        </w:rPr>
        <w:t>https://ieeexplore.ieee.org/document/9028778</w:t>
      </w:r>
      <w:r>
        <w:rPr>
          <w:rStyle w:val="22"/>
        </w:rPr>
        <w:fldChar w:fldCharType="end"/>
      </w:r>
      <w:r>
        <w:rPr>
          <w:rStyle w:val="19"/>
          <w:b w:val="0"/>
          <w:bCs w:val="0"/>
        </w:rPr>
        <w:t xml:space="preserve"> [Accessed 17th July 2024].</w:t>
      </w:r>
    </w:p>
    <w:p w14:paraId="69908460">
      <w:pPr>
        <w:pStyle w:val="13"/>
        <w:widowControl/>
        <w:rPr>
          <w:rStyle w:val="19"/>
          <w:b w:val="0"/>
          <w:bCs w:val="0"/>
        </w:rPr>
      </w:pPr>
      <w:r>
        <w:rPr>
          <w:rStyle w:val="19"/>
          <w:b w:val="0"/>
          <w:bCs w:val="0"/>
        </w:rPr>
        <w:t xml:space="preserve">Chen, Y., Kang, Y., Zhao, Y., Wang, L., Liu, J., Li, Y., Liang, Z., He, X., Li, X., Tavajohi, N. &amp; Li, B. (2021), </w:t>
      </w:r>
      <w:r>
        <w:rPr>
          <w:rStyle w:val="19"/>
          <w:b w:val="0"/>
          <w:bCs w:val="0"/>
          <w:i/>
          <w:iCs/>
        </w:rPr>
        <w:t>'A review of lithium-ion battery safety concerns: The issues, strategies, and testing standards'</w:t>
      </w:r>
      <w:r>
        <w:rPr>
          <w:rStyle w:val="19"/>
          <w:b w:val="0"/>
          <w:bCs w:val="0"/>
        </w:rPr>
        <w:t xml:space="preserve">, </w:t>
      </w:r>
      <w:r>
        <w:rPr>
          <w:rStyle w:val="21"/>
        </w:rPr>
        <w:t>Journal of Energy Chemistry</w:t>
      </w:r>
      <w:r>
        <w:rPr>
          <w:rStyle w:val="19"/>
          <w:b w:val="0"/>
          <w:bCs w:val="0"/>
        </w:rPr>
        <w:t>, 59, pp. 83–99.</w:t>
      </w:r>
    </w:p>
    <w:p w14:paraId="68333D26">
      <w:pPr>
        <w:pStyle w:val="13"/>
        <w:widowControl/>
        <w:rPr>
          <w:rStyle w:val="19"/>
          <w:b w:val="0"/>
          <w:bCs w:val="0"/>
        </w:rPr>
      </w:pPr>
      <w:r>
        <w:rPr>
          <w:rStyle w:val="21"/>
          <w:i w:val="0"/>
        </w:rPr>
        <w:t>China Energy Storage Network</w:t>
      </w:r>
      <w:r>
        <w:rPr>
          <w:rStyle w:val="19"/>
          <w:b w:val="0"/>
          <w:bCs w:val="0"/>
        </w:rPr>
        <w:t xml:space="preserve"> (2023),</w:t>
      </w:r>
      <w:r>
        <w:rPr>
          <w:rStyle w:val="19"/>
          <w:b w:val="0"/>
          <w:bCs w:val="0"/>
          <w:i/>
          <w:iCs/>
        </w:rPr>
        <w:t>'Overview of lithium mineral resources and their distribution at home and abroad'</w:t>
      </w:r>
      <w:r>
        <w:rPr>
          <w:rStyle w:val="19"/>
          <w:b w:val="0"/>
          <w:bCs w:val="0"/>
        </w:rPr>
        <w:t xml:space="preserve"> , [Online] Available: </w:t>
      </w:r>
      <w:r>
        <w:fldChar w:fldCharType="begin"/>
      </w:r>
      <w:r>
        <w:instrText xml:space="preserve"> HYPERLINK "https://www.escn.com.cn/20231102/9ff38cb8239c444a81df317690b5f996/c.html" \t "/Users/luocaisheng/Documentsx/_new" </w:instrText>
      </w:r>
      <w:r>
        <w:fldChar w:fldCharType="separate"/>
      </w:r>
      <w:r>
        <w:rPr>
          <w:rStyle w:val="22"/>
        </w:rPr>
        <w:t>https://www.escn.com.cn/20231102/9ff38cb8239c444a81df317690b5f996/c.html</w:t>
      </w:r>
      <w:r>
        <w:rPr>
          <w:rStyle w:val="22"/>
        </w:rPr>
        <w:fldChar w:fldCharType="end"/>
      </w:r>
      <w:r>
        <w:rPr>
          <w:rStyle w:val="19"/>
          <w:b w:val="0"/>
          <w:bCs w:val="0"/>
        </w:rPr>
        <w:t xml:space="preserve"> [Accessed 17th August 2024].</w:t>
      </w:r>
    </w:p>
    <w:p w14:paraId="10BDD8B0">
      <w:pPr>
        <w:pStyle w:val="13"/>
        <w:widowControl/>
        <w:rPr>
          <w:rStyle w:val="19"/>
          <w:b w:val="0"/>
          <w:bCs w:val="0"/>
        </w:rPr>
      </w:pPr>
      <w:r>
        <w:rPr>
          <w:rStyle w:val="19"/>
          <w:b w:val="0"/>
          <w:bCs w:val="0"/>
        </w:rPr>
        <w:t xml:space="preserve">Cobalt Institute (2021), </w:t>
      </w:r>
      <w:r>
        <w:rPr>
          <w:rStyle w:val="19"/>
          <w:b w:val="0"/>
          <w:bCs w:val="0"/>
          <w:i/>
          <w:iCs/>
        </w:rPr>
        <w:t>'COBALT SUPPLY CHAIN'</w:t>
      </w:r>
      <w:r>
        <w:rPr>
          <w:rStyle w:val="19"/>
          <w:b w:val="0"/>
          <w:bCs w:val="0"/>
        </w:rPr>
        <w:t xml:space="preserve">, [Online] Available: </w:t>
      </w:r>
      <w:r>
        <w:fldChar w:fldCharType="begin"/>
      </w:r>
      <w:r>
        <w:instrText xml:space="preserve"> HYPERLINK "https://www.cobaltinstitute.org/wp-content/uploads/2023/02/cobalt_institute_fact_sheet_2023.pdf" \t "/Users/luocaisheng/Documentsx/_new" </w:instrText>
      </w:r>
      <w:r>
        <w:fldChar w:fldCharType="separate"/>
      </w:r>
      <w:r>
        <w:rPr>
          <w:rStyle w:val="22"/>
        </w:rPr>
        <w:t>https://www.cobaltinstitute.org/wp-content/uploads/2023/02/cobalt_institute_fact_sheet_2023.pdf</w:t>
      </w:r>
      <w:r>
        <w:rPr>
          <w:rStyle w:val="22"/>
        </w:rPr>
        <w:fldChar w:fldCharType="end"/>
      </w:r>
      <w:r>
        <w:rPr>
          <w:rStyle w:val="19"/>
          <w:b w:val="0"/>
          <w:bCs w:val="0"/>
        </w:rPr>
        <w:t xml:space="preserve"> [Accessed 25th July 202Cornesse, C., Blom, A., Dutwin, D., Krosnick, J., Leeuw, E., Legleye, S., Pasek, J., Pennay, D., Phillips, B., Sakshaug, J., Struminskaya, B. &amp; Wenz, A. (2020), '</w:t>
      </w:r>
      <w:r>
        <w:rPr>
          <w:rStyle w:val="19"/>
          <w:b w:val="0"/>
          <w:bCs w:val="0"/>
          <w:i/>
          <w:iCs/>
        </w:rPr>
        <w:t>A Review of Conceptual Approaches and Empirical Evidence on Probability and Nonprobability Sample Survey Research'</w:t>
      </w:r>
      <w:r>
        <w:rPr>
          <w:rStyle w:val="19"/>
          <w:b w:val="0"/>
          <w:bCs w:val="0"/>
        </w:rPr>
        <w:t xml:space="preserve">, </w:t>
      </w:r>
      <w:r>
        <w:rPr>
          <w:rStyle w:val="21"/>
        </w:rPr>
        <w:t>Journal of Survey Statistics and Methodology</w:t>
      </w:r>
      <w:r>
        <w:rPr>
          <w:rStyle w:val="19"/>
          <w:b w:val="0"/>
          <w:bCs w:val="0"/>
        </w:rPr>
        <w:t>, 8, pp. 4-36. Oxford: Journal of Survey Statistics and Methodology.</w:t>
      </w:r>
    </w:p>
    <w:p w14:paraId="5E2E9168">
      <w:pPr>
        <w:pStyle w:val="13"/>
        <w:widowControl/>
        <w:rPr>
          <w:rStyle w:val="19"/>
          <w:b w:val="0"/>
          <w:bCs w:val="0"/>
        </w:rPr>
      </w:pPr>
      <w:r>
        <w:rPr>
          <w:rStyle w:val="19"/>
          <w:b w:val="0"/>
          <w:bCs w:val="0"/>
        </w:rPr>
        <w:t xml:space="preserve">Collins, R. (1994), 'Why the social sciences won't become high-consensus, rapid-discovery science', </w:t>
      </w:r>
      <w:r>
        <w:rPr>
          <w:rStyle w:val="21"/>
        </w:rPr>
        <w:t>Sociological Forum</w:t>
      </w:r>
      <w:r>
        <w:rPr>
          <w:rStyle w:val="19"/>
          <w:b w:val="0"/>
          <w:bCs w:val="0"/>
        </w:rPr>
        <w:t>, 9, pp. 155-177.</w:t>
      </w:r>
    </w:p>
    <w:p w14:paraId="3B8D28D6">
      <w:pPr>
        <w:pStyle w:val="13"/>
        <w:widowControl/>
        <w:rPr>
          <w:rStyle w:val="19"/>
          <w:b w:val="0"/>
          <w:bCs w:val="0"/>
        </w:rPr>
      </w:pPr>
      <w:r>
        <w:rPr>
          <w:rStyle w:val="19"/>
          <w:b w:val="0"/>
          <w:bCs w:val="0"/>
        </w:rPr>
        <w:t xml:space="preserve">Congressional Budget Office (2021), 'Emissions of carbon dioxide in the transportation sector', </w:t>
      </w:r>
      <w:r>
        <w:rPr>
          <w:rStyle w:val="21"/>
        </w:rPr>
        <w:t>Congressional Budget Office Report</w:t>
      </w:r>
      <w:r>
        <w:rPr>
          <w:rStyle w:val="19"/>
          <w:b w:val="0"/>
          <w:bCs w:val="0"/>
        </w:rPr>
        <w:t xml:space="preserve">, [Online] Available: </w:t>
      </w:r>
      <w:r>
        <w:fldChar w:fldCharType="begin"/>
      </w:r>
      <w:r>
        <w:instrText xml:space="preserve"> HYPERLINK "https://www.cbo.gov/system/files/2022-12/58566-co2-emissions-transportation.pdf/" \t "/Users/luocaisheng/Documentsx/_new" </w:instrText>
      </w:r>
      <w:r>
        <w:fldChar w:fldCharType="separate"/>
      </w:r>
      <w:r>
        <w:rPr>
          <w:rStyle w:val="22"/>
        </w:rPr>
        <w:t>https://www.cbo.gov/system/files/2022-12/58566-co2-emissions-transportation.pdf/</w:t>
      </w:r>
      <w:r>
        <w:rPr>
          <w:rStyle w:val="22"/>
        </w:rPr>
        <w:fldChar w:fldCharType="end"/>
      </w:r>
      <w:r>
        <w:rPr>
          <w:rStyle w:val="19"/>
          <w:b w:val="0"/>
          <w:bCs w:val="0"/>
        </w:rPr>
        <w:t xml:space="preserve"> [Accessed 17th August 2024].</w:t>
      </w:r>
    </w:p>
    <w:p w14:paraId="31645C5B">
      <w:pPr>
        <w:pStyle w:val="13"/>
        <w:widowControl/>
        <w:rPr>
          <w:rStyle w:val="19"/>
          <w:b w:val="0"/>
          <w:bCs w:val="0"/>
        </w:rPr>
      </w:pPr>
      <w:r>
        <w:rPr>
          <w:rStyle w:val="19"/>
          <w:b w:val="0"/>
          <w:bCs w:val="0"/>
        </w:rPr>
        <w:t xml:space="preserve">Cowie, R.H., Bouchet, P. &amp; Fontaine, B. (2022), 'The Sixth Mass Extinction: fact, fiction or speculation?', </w:t>
      </w:r>
      <w:r>
        <w:rPr>
          <w:rStyle w:val="21"/>
        </w:rPr>
        <w:t>Biological Reviews of the Cambridge Philosophical Society</w:t>
      </w:r>
      <w:r>
        <w:rPr>
          <w:rStyle w:val="19"/>
          <w:b w:val="0"/>
          <w:bCs w:val="0"/>
        </w:rPr>
        <w:t>, 97(2), pp. 640–663. Cambridge: Biological Reviews of the Cambridge Philosophical Society.</w:t>
      </w:r>
    </w:p>
    <w:p w14:paraId="7237D4E4">
      <w:pPr>
        <w:pStyle w:val="13"/>
        <w:widowControl/>
      </w:pPr>
      <w:r>
        <w:rPr>
          <w:rStyle w:val="19"/>
          <w:b w:val="0"/>
          <w:bCs w:val="0"/>
        </w:rPr>
        <w:t xml:space="preserve">Creswell, J.W. (2009), </w:t>
      </w:r>
      <w:r>
        <w:rPr>
          <w:rStyle w:val="21"/>
        </w:rPr>
        <w:t>Research Design: Qualitative, Quantitative, and Mixed Methods Approaches</w:t>
      </w:r>
      <w:r>
        <w:rPr>
          <w:rStyle w:val="19"/>
          <w:b w:val="0"/>
          <w:bCs w:val="0"/>
        </w:rPr>
        <w:t>, London: SAGE Publications, Inc.</w:t>
      </w:r>
    </w:p>
    <w:p w14:paraId="62EF13C1">
      <w:pPr>
        <w:pStyle w:val="13"/>
        <w:widowControl/>
        <w:rPr>
          <w:rStyle w:val="19"/>
          <w:b w:val="0"/>
          <w:bCs w:val="0"/>
        </w:rPr>
      </w:pPr>
      <w:r>
        <w:rPr>
          <w:rStyle w:val="19"/>
          <w:b w:val="0"/>
          <w:bCs w:val="0"/>
        </w:rPr>
        <w:t xml:space="preserve">Creswell, J.W. &amp; Poth, C.N. (2024), </w:t>
      </w:r>
      <w:r>
        <w:rPr>
          <w:rStyle w:val="21"/>
        </w:rPr>
        <w:t>Qualitative Inquiry and Research Design</w:t>
      </w:r>
      <w:r>
        <w:rPr>
          <w:rStyle w:val="19"/>
          <w:b w:val="0"/>
          <w:bCs w:val="0"/>
        </w:rPr>
        <w:t xml:space="preserve"> (Fifth Edition), London: SAGE Publications Ltd.</w:t>
      </w:r>
    </w:p>
    <w:p w14:paraId="08D5C6BB">
      <w:pPr>
        <w:pStyle w:val="13"/>
        <w:widowControl/>
        <w:rPr>
          <w:rStyle w:val="19"/>
          <w:b w:val="0"/>
          <w:bCs w:val="0"/>
        </w:rPr>
      </w:pPr>
      <w:r>
        <w:rPr>
          <w:rStyle w:val="19"/>
          <w:b w:val="0"/>
          <w:bCs w:val="0"/>
        </w:rPr>
        <w:t xml:space="preserve">Creswell, J.W. (2023), </w:t>
      </w:r>
      <w:r>
        <w:rPr>
          <w:rStyle w:val="21"/>
        </w:rPr>
        <w:t>Research Design: Qualitative, Quantitative, and Mixed Methods Approaches</w:t>
      </w:r>
      <w:r>
        <w:rPr>
          <w:rStyle w:val="19"/>
          <w:b w:val="0"/>
          <w:bCs w:val="0"/>
        </w:rPr>
        <w:t xml:space="preserve"> (6th edition), London: SAGE Publications, Inc.</w:t>
      </w:r>
    </w:p>
    <w:p w14:paraId="0C35B1D4">
      <w:pPr>
        <w:pStyle w:val="13"/>
        <w:widowControl/>
      </w:pPr>
      <w:r>
        <w:rPr>
          <w:rStyle w:val="19"/>
          <w:b w:val="0"/>
          <w:bCs w:val="0"/>
        </w:rPr>
        <w:t xml:space="preserve">Denscomber, M. (2021), </w:t>
      </w:r>
      <w:r>
        <w:rPr>
          <w:rStyle w:val="21"/>
        </w:rPr>
        <w:t>The Research Guide: For Small Scale Social Research Projects</w:t>
      </w:r>
      <w:r>
        <w:rPr>
          <w:rStyle w:val="19"/>
          <w:b w:val="0"/>
          <w:bCs w:val="0"/>
        </w:rPr>
        <w:t xml:space="preserve"> (Seventh Edition), New York: McGraw-Hill Education.</w:t>
      </w:r>
    </w:p>
    <w:p w14:paraId="02F3C6D8">
      <w:pPr>
        <w:pStyle w:val="13"/>
        <w:widowControl/>
        <w:rPr>
          <w:rStyle w:val="19"/>
          <w:b w:val="0"/>
          <w:bCs w:val="0"/>
        </w:rPr>
      </w:pPr>
      <w:r>
        <w:rPr>
          <w:rStyle w:val="19"/>
          <w:b w:val="0"/>
          <w:bCs w:val="0"/>
        </w:rPr>
        <w:t>Derron, M. (1966), '</w:t>
      </w:r>
      <w:r>
        <w:rPr>
          <w:rStyle w:val="19"/>
          <w:b w:val="0"/>
          <w:bCs w:val="0"/>
          <w:i/>
          <w:iCs/>
        </w:rPr>
        <w:t>A Study in Credibility Betterment Through Exclusion of the Largest Claims'</w:t>
      </w:r>
      <w:r>
        <w:rPr>
          <w:rStyle w:val="19"/>
          <w:b w:val="0"/>
          <w:bCs w:val="0"/>
        </w:rPr>
        <w:t xml:space="preserve">, </w:t>
      </w:r>
      <w:r>
        <w:rPr>
          <w:rStyle w:val="21"/>
        </w:rPr>
        <w:t>ASTIN Bulletin</w:t>
      </w:r>
      <w:r>
        <w:rPr>
          <w:rStyle w:val="19"/>
          <w:b w:val="0"/>
          <w:bCs w:val="0"/>
        </w:rPr>
        <w:t>, 4, pp. 39-48. Cambridge: ASTIN Bulletin.</w:t>
      </w:r>
    </w:p>
    <w:p w14:paraId="5D20021E">
      <w:pPr>
        <w:pStyle w:val="13"/>
        <w:widowControl/>
      </w:pPr>
      <w:r>
        <w:rPr>
          <w:rStyle w:val="19"/>
          <w:b w:val="0"/>
          <w:bCs w:val="0"/>
        </w:rPr>
        <w:t xml:space="preserve">Deloitte (2021), 'Deloitte’s 2021 Global Automotive Consumer Study', </w:t>
      </w:r>
      <w:r>
        <w:rPr>
          <w:rStyle w:val="21"/>
        </w:rPr>
        <w:t>WardsAuto</w:t>
      </w:r>
      <w:r>
        <w:rPr>
          <w:rStyle w:val="19"/>
          <w:b w:val="0"/>
          <w:bCs w:val="0"/>
        </w:rPr>
        <w:t xml:space="preserve">, [Video] Available: </w:t>
      </w:r>
      <w:r>
        <w:fldChar w:fldCharType="begin"/>
      </w:r>
      <w:r>
        <w:instrText xml:space="preserve"> HYPERLINK "https://www.wardsauto.com/dealers/deloitte-s-2021-global-automotive-consumer-study" \t "/Users/luocaisheng/Documentsx/_new" </w:instrText>
      </w:r>
      <w:r>
        <w:fldChar w:fldCharType="separate"/>
      </w:r>
      <w:r>
        <w:rPr>
          <w:rStyle w:val="22"/>
        </w:rPr>
        <w:t>https://www.wardsauto.com/dealers/deloitte-s-2021-global-automotive-consumer-study</w:t>
      </w:r>
      <w:r>
        <w:rPr>
          <w:rStyle w:val="22"/>
        </w:rPr>
        <w:fldChar w:fldCharType="end"/>
      </w:r>
      <w:r>
        <w:rPr>
          <w:rStyle w:val="19"/>
          <w:b w:val="0"/>
          <w:bCs w:val="0"/>
        </w:rPr>
        <w:t xml:space="preserve"> [Accessed 26th August 2024].</w:t>
      </w:r>
    </w:p>
    <w:p w14:paraId="2FFE14D7">
      <w:pPr>
        <w:pStyle w:val="13"/>
        <w:widowControl/>
        <w:rPr>
          <w:rStyle w:val="19"/>
          <w:b w:val="0"/>
          <w:bCs w:val="0"/>
        </w:rPr>
      </w:pPr>
      <w:r>
        <w:rPr>
          <w:rStyle w:val="19"/>
          <w:b w:val="0"/>
          <w:bCs w:val="0"/>
        </w:rPr>
        <w:t xml:space="preserve">Dillman, D., Smyth, J. &amp; Christian, L. (2014), </w:t>
      </w:r>
      <w:r>
        <w:rPr>
          <w:rStyle w:val="21"/>
        </w:rPr>
        <w:t>Internet, Phone, Mail, and Mixed-Mode Surveys: The Tailored Design Method</w:t>
      </w:r>
      <w:r>
        <w:rPr>
          <w:rStyle w:val="19"/>
          <w:b w:val="0"/>
          <w:bCs w:val="0"/>
        </w:rPr>
        <w:t xml:space="preserve"> (4th Edition), [Online] Available: </w:t>
      </w:r>
      <w:r>
        <w:fldChar w:fldCharType="begin"/>
      </w:r>
      <w:r>
        <w:instrText xml:space="preserve"> HYPERLINK "https://www.researchgate.net/publication/378082896_Internet_Phone_Mail_and_Mixed-Mode_Surveys_The_Tailored_Design_Method" \t "/Users/luocaisheng/Documentsx/_new" </w:instrText>
      </w:r>
      <w:r>
        <w:fldChar w:fldCharType="separate"/>
      </w:r>
      <w:r>
        <w:rPr>
          <w:rStyle w:val="22"/>
        </w:rPr>
        <w:t>https://www.researchgate.net/publication/378082896_Internet_Phone_Mail_and_Mixed-Mode_Surveys_The_Tailored_Design_Method</w:t>
      </w:r>
      <w:r>
        <w:rPr>
          <w:rStyle w:val="22"/>
        </w:rPr>
        <w:fldChar w:fldCharType="end"/>
      </w:r>
      <w:r>
        <w:rPr>
          <w:rStyle w:val="19"/>
          <w:b w:val="0"/>
          <w:bCs w:val="0"/>
        </w:rPr>
        <w:t xml:space="preserve"> [Accessed 10th August 2024].</w:t>
      </w:r>
    </w:p>
    <w:p w14:paraId="417241B7">
      <w:pPr>
        <w:pStyle w:val="13"/>
        <w:widowControl/>
        <w:rPr>
          <w:rStyle w:val="19"/>
          <w:b w:val="0"/>
          <w:bCs w:val="0"/>
        </w:rPr>
      </w:pPr>
      <w:r>
        <w:rPr>
          <w:rStyle w:val="19"/>
          <w:b w:val="0"/>
          <w:bCs w:val="0"/>
        </w:rPr>
        <w:t xml:space="preserve">Doe, J. (2022), 'The Role of Local Government Websites and Business Media in Providing Infrastructure Data', </w:t>
      </w:r>
      <w:r>
        <w:rPr>
          <w:rStyle w:val="21"/>
        </w:rPr>
        <w:t>Infrastructure Data Analysis Quarterly</w:t>
      </w:r>
      <w:r>
        <w:rPr>
          <w:rStyle w:val="19"/>
          <w:b w:val="0"/>
          <w:bCs w:val="0"/>
        </w:rPr>
        <w:t>, 8(2), pp. 45-56.</w:t>
      </w:r>
    </w:p>
    <w:p w14:paraId="574FD981">
      <w:pPr>
        <w:pStyle w:val="13"/>
        <w:widowControl/>
        <w:rPr>
          <w:rStyle w:val="19"/>
          <w:b w:val="0"/>
          <w:bCs w:val="0"/>
        </w:rPr>
      </w:pPr>
      <w:r>
        <w:rPr>
          <w:rStyle w:val="19"/>
          <w:b w:val="0"/>
          <w:bCs w:val="0"/>
        </w:rPr>
        <w:t xml:space="preserve">Dolan, S., Nowell, L. &amp; McCaffrey, G. (2022), 'Pragmatism as a philosophical foundation to integrate education, practice, research and policy across the nursing profession', </w:t>
      </w:r>
      <w:r>
        <w:rPr>
          <w:rStyle w:val="21"/>
        </w:rPr>
        <w:t>Journal of Advanced Nursing</w:t>
      </w:r>
      <w:r>
        <w:rPr>
          <w:rStyle w:val="19"/>
          <w:b w:val="0"/>
          <w:bCs w:val="0"/>
        </w:rPr>
        <w:t xml:space="preserve">, [Online] Available: </w:t>
      </w:r>
      <w:r>
        <w:fldChar w:fldCharType="begin"/>
      </w:r>
      <w:r>
        <w:instrText xml:space="preserve"> HYPERLINK "https://pubmed.ncbi.nlm.nih.gov/35854667/" \t "/Users/luocaisheng/Documentsx/_new" </w:instrText>
      </w:r>
      <w:r>
        <w:fldChar w:fldCharType="separate"/>
      </w:r>
      <w:r>
        <w:rPr>
          <w:rStyle w:val="22"/>
        </w:rPr>
        <w:t>https://pubmed.ncbi.nlm.nih.gov/35854667/</w:t>
      </w:r>
      <w:r>
        <w:rPr>
          <w:rStyle w:val="22"/>
        </w:rPr>
        <w:fldChar w:fldCharType="end"/>
      </w:r>
      <w:r>
        <w:rPr>
          <w:rStyle w:val="19"/>
          <w:b w:val="0"/>
          <w:bCs w:val="0"/>
        </w:rPr>
        <w:t xml:space="preserve"> [Accessed 16th August 2024].</w:t>
      </w:r>
    </w:p>
    <w:p w14:paraId="2D580367">
      <w:pPr>
        <w:pStyle w:val="13"/>
        <w:widowControl/>
        <w:rPr>
          <w:rStyle w:val="19"/>
          <w:b w:val="0"/>
          <w:bCs w:val="0"/>
        </w:rPr>
      </w:pPr>
      <w:r>
        <w:rPr>
          <w:rStyle w:val="19"/>
          <w:b w:val="0"/>
          <w:bCs w:val="0"/>
        </w:rPr>
        <w:t xml:space="preserve">Drennan, J. (2003), </w:t>
      </w:r>
      <w:r>
        <w:rPr>
          <w:rStyle w:val="19"/>
          <w:b w:val="0"/>
          <w:bCs w:val="0"/>
          <w:i/>
          <w:iCs/>
        </w:rPr>
        <w:t>'Cognitive interviewing: verbal data in the design and pretesting of questionnaires'</w:t>
      </w:r>
      <w:r>
        <w:rPr>
          <w:rStyle w:val="19"/>
          <w:b w:val="0"/>
          <w:bCs w:val="0"/>
        </w:rPr>
        <w:t xml:space="preserve">, </w:t>
      </w:r>
      <w:r>
        <w:rPr>
          <w:rStyle w:val="21"/>
        </w:rPr>
        <w:t>Journal of Advanced Nursing</w:t>
      </w:r>
      <w:r>
        <w:rPr>
          <w:rStyle w:val="19"/>
          <w:b w:val="0"/>
          <w:bCs w:val="0"/>
        </w:rPr>
        <w:t>, 42(1), pp. 57-63. Hoboken, New Jersey: Journal of Advanced Nursing.</w:t>
      </w:r>
    </w:p>
    <w:p w14:paraId="24876295">
      <w:pPr>
        <w:pStyle w:val="13"/>
        <w:widowControl/>
      </w:pPr>
      <w:r>
        <w:rPr>
          <w:rStyle w:val="19"/>
          <w:b w:val="0"/>
          <w:bCs w:val="0"/>
        </w:rPr>
        <w:t>Electric Vehicle Association (2023), 'Consumer insights on electric vehicle charging'.</w:t>
      </w:r>
    </w:p>
    <w:p w14:paraId="78DDB1A3">
      <w:pPr>
        <w:pStyle w:val="13"/>
        <w:widowControl/>
      </w:pPr>
      <w:r>
        <w:rPr>
          <w:rStyle w:val="21"/>
          <w:i w:val="0"/>
        </w:rPr>
        <w:t>European Alternative Fuels Observatory</w:t>
      </w:r>
      <w:r>
        <w:rPr>
          <w:rStyle w:val="21"/>
          <w:rFonts w:hint="eastAsia"/>
          <w:i w:val="0"/>
        </w:rPr>
        <w:t xml:space="preserve"> </w:t>
      </w:r>
      <w:r>
        <w:rPr>
          <w:rStyle w:val="19"/>
          <w:b w:val="0"/>
          <w:bCs w:val="0"/>
        </w:rPr>
        <w:t>(2024)</w:t>
      </w:r>
      <w:r>
        <w:rPr>
          <w:rStyle w:val="19"/>
          <w:b w:val="0"/>
          <w:bCs w:val="0"/>
          <w:i/>
          <w:iCs/>
        </w:rPr>
        <w:t xml:space="preserve">'Infrastructure' </w:t>
      </w:r>
      <w:r>
        <w:rPr>
          <w:rStyle w:val="19"/>
          <w:b w:val="0"/>
          <w:bCs w:val="0"/>
        </w:rPr>
        <w:t xml:space="preserve">, , [Online] Available: </w:t>
      </w:r>
      <w:r>
        <w:fldChar w:fldCharType="begin"/>
      </w:r>
      <w:r>
        <w:instrText xml:space="preserve"> HYPERLINK "https://alternative-fuels-observatory.ec.europa.eu/transport-mode/road/european-union-eu27/infrastructure" \t "/Users/luocaisheng/Documentsx/_new" </w:instrText>
      </w:r>
      <w:r>
        <w:fldChar w:fldCharType="separate"/>
      </w:r>
      <w:r>
        <w:rPr>
          <w:rStyle w:val="22"/>
        </w:rPr>
        <w:t>https://alternative-fuels-observatory.ec.europa.eu/transport-mode/road/european-union-eu27/infrastructure</w:t>
      </w:r>
      <w:r>
        <w:rPr>
          <w:rStyle w:val="22"/>
        </w:rPr>
        <w:fldChar w:fldCharType="end"/>
      </w:r>
      <w:r>
        <w:rPr>
          <w:rStyle w:val="19"/>
          <w:b w:val="0"/>
          <w:bCs w:val="0"/>
        </w:rPr>
        <w:t xml:space="preserve"> [Accessed 22nd August 2024].</w:t>
      </w:r>
    </w:p>
    <w:p w14:paraId="6BF4AD4D">
      <w:pPr>
        <w:pStyle w:val="13"/>
        <w:widowControl/>
      </w:pPr>
      <w:r>
        <w:rPr>
          <w:rStyle w:val="19"/>
          <w:b w:val="0"/>
          <w:bCs w:val="0"/>
        </w:rPr>
        <w:t xml:space="preserve">European Commission (2021), 'The European Green Deal', [Online] Available: </w:t>
      </w:r>
      <w:r>
        <w:fldChar w:fldCharType="begin"/>
      </w:r>
      <w:r>
        <w:instrText xml:space="preserve"> HYPERLINK "https://commission.europa.eu/strategy-and-policy/priorities-2019-2024/european-green-deal_en" \t "/Users/luocaisheng/Documentsx/_new" </w:instrText>
      </w:r>
      <w:r>
        <w:fldChar w:fldCharType="separate"/>
      </w:r>
      <w:r>
        <w:rPr>
          <w:rStyle w:val="22"/>
        </w:rPr>
        <w:t>https://commission.europa.eu/strategy-and-policy/priorities-2019-2024/european-green-deal_en</w:t>
      </w:r>
      <w:r>
        <w:rPr>
          <w:rStyle w:val="22"/>
        </w:rPr>
        <w:fldChar w:fldCharType="end"/>
      </w:r>
      <w:r>
        <w:rPr>
          <w:rStyle w:val="19"/>
          <w:b w:val="0"/>
          <w:bCs w:val="0"/>
        </w:rPr>
        <w:t xml:space="preserve"> [Accessed 26th August 2024].</w:t>
      </w:r>
    </w:p>
    <w:p w14:paraId="24A9632D">
      <w:pPr>
        <w:pStyle w:val="13"/>
        <w:widowControl/>
      </w:pPr>
      <w:r>
        <w:rPr>
          <w:rStyle w:val="19"/>
          <w:b w:val="0"/>
          <w:bCs w:val="0"/>
        </w:rPr>
        <w:t xml:space="preserve">European Economic and Social Committee (2024), 'Fit for 55: delivering the EU’s 2030 Climate Target on the way to climate neutrality', [Online] Available: </w:t>
      </w:r>
      <w:r>
        <w:fldChar w:fldCharType="begin"/>
      </w:r>
      <w:r>
        <w:instrText xml:space="preserve"> HYPERLINK "https://www.eesc.europa.eu/en/our-work/opinions-information-reports/opinions/fit-55-delivering-eus-2030-climate-target-way-climate-neutrality" \t "/Users/luocaisheng/Documentsx/_new" </w:instrText>
      </w:r>
      <w:r>
        <w:fldChar w:fldCharType="separate"/>
      </w:r>
      <w:r>
        <w:rPr>
          <w:rStyle w:val="22"/>
        </w:rPr>
        <w:t>https://www.eesc.europa.eu/en/our-work/opinions-information-reports/opinions/fit-55-delivering-eus-2030-climate-target-way-climate-neutrality</w:t>
      </w:r>
      <w:r>
        <w:rPr>
          <w:rStyle w:val="22"/>
        </w:rPr>
        <w:fldChar w:fldCharType="end"/>
      </w:r>
      <w:r>
        <w:rPr>
          <w:rStyle w:val="19"/>
          <w:b w:val="0"/>
          <w:bCs w:val="0"/>
        </w:rPr>
        <w:t xml:space="preserve"> [Accessed 26th August 2024].</w:t>
      </w:r>
    </w:p>
    <w:p w14:paraId="114E8719">
      <w:pPr>
        <w:pStyle w:val="13"/>
        <w:widowControl/>
      </w:pPr>
      <w:r>
        <w:rPr>
          <w:rStyle w:val="19"/>
          <w:b w:val="0"/>
          <w:bCs w:val="0"/>
        </w:rPr>
        <w:t xml:space="preserve">Everything you need to know (2024)'Gas Stations in United States of America - ', [Online] Available: </w:t>
      </w:r>
      <w:r>
        <w:fldChar w:fldCharType="begin"/>
      </w:r>
      <w:r>
        <w:instrText xml:space="preserve"> HYPERLINK "https://www.xmap.ai/blog/gas-stations-in-united-states-of-america-everything-you-need-to-know" \t "/Users/luocaisheng/Documentsx/_new" </w:instrText>
      </w:r>
      <w:r>
        <w:fldChar w:fldCharType="separate"/>
      </w:r>
      <w:r>
        <w:rPr>
          <w:rStyle w:val="22"/>
        </w:rPr>
        <w:t>https://www.xmap.ai/blog/gas-stations-in-united-states-of-america-everything-you-need-to-know</w:t>
      </w:r>
      <w:r>
        <w:rPr>
          <w:rStyle w:val="22"/>
        </w:rPr>
        <w:fldChar w:fldCharType="end"/>
      </w:r>
      <w:r>
        <w:rPr>
          <w:rStyle w:val="19"/>
          <w:b w:val="0"/>
          <w:bCs w:val="0"/>
        </w:rPr>
        <w:t xml:space="preserve"> [Accessed 12th June 2024].</w:t>
      </w:r>
    </w:p>
    <w:p w14:paraId="0CA18414">
      <w:pPr>
        <w:pStyle w:val="13"/>
        <w:widowControl/>
      </w:pPr>
      <w:r>
        <w:rPr>
          <w:rStyle w:val="19"/>
          <w:rFonts w:hint="eastAsia"/>
          <w:b w:val="0"/>
          <w:bCs w:val="0"/>
        </w:rPr>
        <w:t>EV/Specs</w:t>
      </w:r>
      <w:r>
        <w:rPr>
          <w:rStyle w:val="19"/>
          <w:b w:val="0"/>
          <w:bCs w:val="0"/>
        </w:rPr>
        <w:t xml:space="preserve"> (</w:t>
      </w:r>
      <w:r>
        <w:rPr>
          <w:rStyle w:val="19"/>
          <w:rFonts w:hint="eastAsia"/>
          <w:b w:val="0"/>
          <w:bCs w:val="0"/>
        </w:rPr>
        <w:t>2024</w:t>
      </w:r>
      <w:r>
        <w:rPr>
          <w:rStyle w:val="19"/>
          <w:b w:val="0"/>
          <w:bCs w:val="0"/>
        </w:rPr>
        <w:t>), '</w:t>
      </w:r>
      <w:r>
        <w:rPr>
          <w:rStyle w:val="19"/>
          <w:b w:val="0"/>
          <w:bCs w:val="0"/>
          <w:i/>
          <w:iCs/>
        </w:rPr>
        <w:t xml:space="preserve">BYD SEAL - Consumption WLTP', </w:t>
      </w:r>
      <w:r>
        <w:rPr>
          <w:rStyle w:val="21"/>
        </w:rPr>
        <w:t>Steps2next</w:t>
      </w:r>
      <w:r>
        <w:rPr>
          <w:rStyle w:val="19"/>
          <w:b w:val="0"/>
          <w:bCs w:val="0"/>
        </w:rPr>
        <w:t xml:space="preserve">, [Online] Available: </w:t>
      </w:r>
      <w:r>
        <w:fldChar w:fldCharType="begin"/>
      </w:r>
      <w:r>
        <w:instrText xml:space="preserve"> HYPERLINK "https://www.evspecs.org/technical-data/byd/seal/consumption" \t "/Users/luocaisheng/Documentsx/_new" </w:instrText>
      </w:r>
      <w:r>
        <w:fldChar w:fldCharType="separate"/>
      </w:r>
      <w:r>
        <w:rPr>
          <w:rStyle w:val="22"/>
        </w:rPr>
        <w:t>https://www.evspecs.org/technical-data/byd/seal/consumption</w:t>
      </w:r>
      <w:r>
        <w:rPr>
          <w:rStyle w:val="22"/>
        </w:rPr>
        <w:fldChar w:fldCharType="end"/>
      </w:r>
      <w:r>
        <w:rPr>
          <w:rStyle w:val="19"/>
          <w:b w:val="0"/>
          <w:bCs w:val="0"/>
        </w:rPr>
        <w:t xml:space="preserve"> [Accessed 25th August 2024].</w:t>
      </w:r>
    </w:p>
    <w:p w14:paraId="2B54BD5F">
      <w:pPr>
        <w:pStyle w:val="13"/>
        <w:widowControl/>
      </w:pPr>
      <w:r>
        <w:rPr>
          <w:rStyle w:val="19"/>
          <w:b w:val="0"/>
          <w:bCs w:val="0"/>
        </w:rPr>
        <w:t xml:space="preserve">Farkas, T., Michelberger, P. &amp; Barta, G. (2014), 'Reliability engineering in the commercial road vehicle industry', [Online] Available: </w:t>
      </w:r>
      <w:r>
        <w:fldChar w:fldCharType="begin"/>
      </w:r>
      <w:r>
        <w:instrText xml:space="preserve"> HYPERLINK "https://www.inderscienceonline.com/doi/epdf/10.1504/IJVD.1986.061159" \t "/Users/luocaisheng/Documentsx/_new" </w:instrText>
      </w:r>
      <w:r>
        <w:fldChar w:fldCharType="separate"/>
      </w:r>
      <w:r>
        <w:rPr>
          <w:rStyle w:val="22"/>
        </w:rPr>
        <w:t>https://www.inderscienceonline.com/doi/epdf/10.1504/IJVD.1986.061159</w:t>
      </w:r>
      <w:r>
        <w:rPr>
          <w:rStyle w:val="22"/>
        </w:rPr>
        <w:fldChar w:fldCharType="end"/>
      </w:r>
      <w:r>
        <w:rPr>
          <w:rStyle w:val="19"/>
          <w:b w:val="0"/>
          <w:bCs w:val="0"/>
        </w:rPr>
        <w:t>[Accessed 27th July 2024].</w:t>
      </w:r>
    </w:p>
    <w:p w14:paraId="6CF1B1A3">
      <w:pPr>
        <w:pStyle w:val="13"/>
        <w:widowControl/>
        <w:rPr>
          <w:rStyle w:val="19"/>
          <w:b w:val="0"/>
          <w:bCs w:val="0"/>
        </w:rPr>
      </w:pPr>
      <w:r>
        <w:rPr>
          <w:rStyle w:val="19"/>
          <w:b w:val="0"/>
          <w:bCs w:val="0"/>
        </w:rPr>
        <w:t xml:space="preserve">Federal Trade Commission (2021), 'Truth in advertising', [Online] Available: </w:t>
      </w:r>
      <w:r>
        <w:fldChar w:fldCharType="begin"/>
      </w:r>
      <w:r>
        <w:instrText xml:space="preserve"> HYPERLINK "https://www.ftc.gov/news-events/topics/truth-advertising" \t "/Users/luocaisheng/Documentsx/_new" </w:instrText>
      </w:r>
      <w:r>
        <w:fldChar w:fldCharType="separate"/>
      </w:r>
      <w:r>
        <w:rPr>
          <w:rStyle w:val="22"/>
        </w:rPr>
        <w:t>https://www.ftc.gov/news-events/topics/truth-advertising</w:t>
      </w:r>
      <w:r>
        <w:rPr>
          <w:rStyle w:val="22"/>
        </w:rPr>
        <w:fldChar w:fldCharType="end"/>
      </w:r>
      <w:r>
        <w:rPr>
          <w:rStyle w:val="19"/>
          <w:b w:val="0"/>
          <w:bCs w:val="0"/>
        </w:rPr>
        <w:t xml:space="preserve"> [Accessed 26th August 2024].</w:t>
      </w:r>
    </w:p>
    <w:p w14:paraId="0F38A909">
      <w:pPr>
        <w:pStyle w:val="13"/>
        <w:widowControl/>
        <w:rPr>
          <w:rStyle w:val="19"/>
          <w:b w:val="0"/>
          <w:bCs w:val="0"/>
        </w:rPr>
      </w:pPr>
      <w:r>
        <w:rPr>
          <w:rStyle w:val="19"/>
          <w:b w:val="0"/>
          <w:bCs w:val="0"/>
        </w:rPr>
        <w:t xml:space="preserve">Flick, U. (2015), </w:t>
      </w:r>
      <w:r>
        <w:rPr>
          <w:rStyle w:val="21"/>
        </w:rPr>
        <w:t>Introducing Research Methodology: A Beginner's Guide to Doing a Research Project</w:t>
      </w:r>
      <w:r>
        <w:rPr>
          <w:rStyle w:val="19"/>
          <w:b w:val="0"/>
          <w:bCs w:val="0"/>
        </w:rPr>
        <w:t xml:space="preserve"> (Fourth Edition), Thousand Oaks, California: SAGE.</w:t>
      </w:r>
    </w:p>
    <w:p w14:paraId="0BB98AA0">
      <w:pPr>
        <w:pStyle w:val="13"/>
        <w:widowControl/>
      </w:pPr>
      <w:r>
        <w:rPr>
          <w:rStyle w:val="19"/>
          <w:b w:val="0"/>
          <w:bCs w:val="0"/>
        </w:rPr>
        <w:t>Flyvbjerg, B. (2006), '</w:t>
      </w:r>
      <w:r>
        <w:rPr>
          <w:rStyle w:val="19"/>
          <w:b w:val="0"/>
          <w:bCs w:val="0"/>
          <w:i/>
          <w:iCs/>
        </w:rPr>
        <w:t xml:space="preserve">Five Misunderstandings About Case-Study Research', </w:t>
      </w:r>
      <w:r>
        <w:rPr>
          <w:rStyle w:val="21"/>
        </w:rPr>
        <w:t>Qualitative Inquiry</w:t>
      </w:r>
      <w:r>
        <w:rPr>
          <w:rStyle w:val="19"/>
          <w:b w:val="0"/>
          <w:bCs w:val="0"/>
        </w:rPr>
        <w:t>, 12, pp. 219-245. Thousand Oaks, California: SAGE Publications Ltd.</w:t>
      </w:r>
    </w:p>
    <w:p w14:paraId="6807D31F">
      <w:pPr>
        <w:pStyle w:val="13"/>
        <w:widowControl/>
      </w:pPr>
      <w:r>
        <w:rPr>
          <w:rStyle w:val="21"/>
          <w:i w:val="0"/>
        </w:rPr>
        <w:t>Ford</w:t>
      </w:r>
      <w:r>
        <w:rPr>
          <w:rStyle w:val="21"/>
          <w:rFonts w:hint="eastAsia"/>
        </w:rPr>
        <w:t xml:space="preserve"> </w:t>
      </w:r>
      <w:r>
        <w:rPr>
          <w:rStyle w:val="19"/>
          <w:b w:val="0"/>
          <w:bCs w:val="0"/>
        </w:rPr>
        <w:t>(2024)</w:t>
      </w:r>
      <w:r>
        <w:rPr>
          <w:rStyle w:val="19"/>
          <w:rFonts w:hint="eastAsia"/>
          <w:b w:val="0"/>
          <w:bCs w:val="0"/>
        </w:rPr>
        <w:t xml:space="preserve"> ‘</w:t>
      </w:r>
      <w:r>
        <w:rPr>
          <w:rStyle w:val="19"/>
          <w:b w:val="0"/>
          <w:bCs w:val="0"/>
        </w:rPr>
        <w:t xml:space="preserve">Ford Puma' , [Online] Available: </w:t>
      </w:r>
      <w:r>
        <w:fldChar w:fldCharType="begin"/>
      </w:r>
      <w:r>
        <w:instrText xml:space="preserve"> HYPERLINK "https://www.ford.co.uk/shop/build-your-ford/ngc2/ice2/model?catalogId=WAEGB-CF7-2020-PumaGBR202375&amp;code=ACMAA_VS-DJ&amp;series=ACMAA_VS-DJ&amp;bodystyle=BS-HC" \t "/Users/luocaisheng/Documentsx/_new" </w:instrText>
      </w:r>
      <w:r>
        <w:fldChar w:fldCharType="separate"/>
      </w:r>
      <w:r>
        <w:rPr>
          <w:rStyle w:val="22"/>
        </w:rPr>
        <w:t>https://www.ford.co.uk/shop/build-your-ford/ngc2/ice2/model?catalogId=WAEGB-CF7-2020-PumaGBR202375&amp;code=ACMAA_VS-DJ&amp;series=ACMAA_VS-DJ&amp;bodystyle=BS-HC</w:t>
      </w:r>
      <w:r>
        <w:rPr>
          <w:rStyle w:val="22"/>
        </w:rPr>
        <w:fldChar w:fldCharType="end"/>
      </w:r>
      <w:r>
        <w:rPr>
          <w:rStyle w:val="19"/>
          <w:b w:val="0"/>
          <w:bCs w:val="0"/>
        </w:rPr>
        <w:t xml:space="preserve"> [Accessed 23rd June 2024].</w:t>
      </w:r>
    </w:p>
    <w:p w14:paraId="0F3B328B">
      <w:pPr>
        <w:pStyle w:val="13"/>
        <w:widowControl/>
      </w:pPr>
      <w:r>
        <w:rPr>
          <w:rStyle w:val="21"/>
          <w:i w:val="0"/>
        </w:rPr>
        <w:t>Ford</w:t>
      </w:r>
      <w:r>
        <w:rPr>
          <w:rStyle w:val="21"/>
          <w:rFonts w:hint="eastAsia"/>
          <w:i w:val="0"/>
        </w:rPr>
        <w:t xml:space="preserve"> </w:t>
      </w:r>
      <w:r>
        <w:rPr>
          <w:rStyle w:val="19"/>
          <w:b w:val="0"/>
          <w:bCs w:val="0"/>
        </w:rPr>
        <w:t xml:space="preserve">(2024)Ford ‘Escape Price' , , [Online] Available: </w:t>
      </w:r>
      <w:r>
        <w:fldChar w:fldCharType="begin"/>
      </w:r>
      <w:r>
        <w:instrText xml:space="preserve"> HYPERLINK "https://www.ford.com/suvs-crossovers/escape/models/escape-active/" \t "/Users/luocaisheng/Documentsx/_new" </w:instrText>
      </w:r>
      <w:r>
        <w:fldChar w:fldCharType="separate"/>
      </w:r>
      <w:r>
        <w:rPr>
          <w:rStyle w:val="22"/>
        </w:rPr>
        <w:t>https://www.ford.com/suvs-crossovers/escape/models/escape-active/</w:t>
      </w:r>
      <w:r>
        <w:rPr>
          <w:rStyle w:val="22"/>
        </w:rPr>
        <w:fldChar w:fldCharType="end"/>
      </w:r>
      <w:r>
        <w:rPr>
          <w:rStyle w:val="19"/>
          <w:b w:val="0"/>
          <w:bCs w:val="0"/>
        </w:rPr>
        <w:t xml:space="preserve"> [Accessed 23rd June 2024].</w:t>
      </w:r>
    </w:p>
    <w:p w14:paraId="6D0EAFA6">
      <w:pPr>
        <w:pStyle w:val="13"/>
        <w:widowControl/>
        <w:rPr>
          <w:rStyle w:val="19"/>
          <w:b w:val="0"/>
          <w:bCs w:val="0"/>
        </w:rPr>
      </w:pPr>
      <w:r>
        <w:rPr>
          <w:rStyle w:val="21"/>
          <w:i w:val="0"/>
        </w:rPr>
        <w:t>Ford</w:t>
      </w:r>
      <w:r>
        <w:rPr>
          <w:rStyle w:val="19"/>
          <w:b w:val="0"/>
          <w:bCs w:val="0"/>
        </w:rPr>
        <w:t xml:space="preserve">FUEL (2023),CONSUMPTION FIGURES - 1.0L ECOBOOSTTM'  , [Online] Available: </w:t>
      </w:r>
      <w:r>
        <w:fldChar w:fldCharType="begin"/>
      </w:r>
      <w:r>
        <w:instrText xml:space="preserve"> HYPERLINK "https://www.fordservicecontent.com/Ford_Content/vdirsnet/OwnerManual/Home/Content?variantid=8683&amp;languageCode=en&amp;countryCode=USA&amp;Uid=G2198676&amp;ProcUid=G2198678&amp;userMarket=gbr&amp;div=f&amp;vFilteringEnabled=False&amp;buildtype=web" \t "/Users/luocaisheng/Documentsx/_new" </w:instrText>
      </w:r>
      <w:r>
        <w:fldChar w:fldCharType="separate"/>
      </w:r>
      <w:r>
        <w:rPr>
          <w:rStyle w:val="22"/>
        </w:rPr>
        <w:t>https://www.fordservicecontent.com/Ford_Content/vdirsnet/OwnerManual/Home/Content?variantid=8683&amp;languageCode=en&amp;countryCode=USA&amp;Uid=G2198676&amp;ProcUid=G2198678&amp;userMarket=gbr&amp;div=f&amp;vFilteringEnabled=False&amp;buildtype=web</w:t>
      </w:r>
      <w:r>
        <w:rPr>
          <w:rStyle w:val="22"/>
        </w:rPr>
        <w:fldChar w:fldCharType="end"/>
      </w:r>
      <w:r>
        <w:rPr>
          <w:rStyle w:val="19"/>
          <w:b w:val="0"/>
          <w:bCs w:val="0"/>
        </w:rPr>
        <w:t xml:space="preserve"> [Accessed 16th May 2024].</w:t>
      </w:r>
    </w:p>
    <w:p w14:paraId="408E79B9">
      <w:pPr>
        <w:pStyle w:val="13"/>
        <w:widowControl/>
        <w:rPr>
          <w:rStyle w:val="19"/>
          <w:b w:val="0"/>
          <w:bCs w:val="0"/>
        </w:rPr>
      </w:pPr>
      <w:r>
        <w:rPr>
          <w:rStyle w:val="19"/>
          <w:b w:val="0"/>
          <w:bCs w:val="0"/>
        </w:rPr>
        <w:t xml:space="preserve">Ford: wholesale vehicle sales 2023 | Statista. (2024). Statista.  [Online] </w:t>
      </w:r>
      <w:r>
        <w:fldChar w:fldCharType="begin"/>
      </w:r>
      <w:r>
        <w:instrText xml:space="preserve"> HYPERLINK "https://www.statista.com/statistics/297315/ford-vehicle-sales/" </w:instrText>
      </w:r>
      <w:r>
        <w:fldChar w:fldCharType="separate"/>
      </w:r>
      <w:r>
        <w:rPr>
          <w:rStyle w:val="22"/>
        </w:rPr>
        <w:t>https://www.statista.com/statistics/297315/ford-vehicle-sales/</w:t>
      </w:r>
      <w:r>
        <w:rPr>
          <w:rStyle w:val="22"/>
        </w:rPr>
        <w:fldChar w:fldCharType="end"/>
      </w:r>
      <w:r>
        <w:rPr>
          <w:rStyle w:val="19"/>
          <w:rFonts w:hint="eastAsia"/>
          <w:b w:val="0"/>
          <w:bCs w:val="0"/>
        </w:rPr>
        <w:t xml:space="preserve"> </w:t>
      </w:r>
      <w:r>
        <w:rPr>
          <w:rStyle w:val="19"/>
          <w:b w:val="0"/>
          <w:bCs w:val="0"/>
        </w:rPr>
        <w:t>[Accessed 1</w:t>
      </w:r>
      <w:r>
        <w:rPr>
          <w:rStyle w:val="19"/>
          <w:rFonts w:hint="eastAsia"/>
          <w:b w:val="0"/>
          <w:bCs w:val="0"/>
        </w:rPr>
        <w:t>3</w:t>
      </w:r>
      <w:r>
        <w:rPr>
          <w:rStyle w:val="19"/>
          <w:b w:val="0"/>
          <w:bCs w:val="0"/>
        </w:rPr>
        <w:t xml:space="preserve">th </w:t>
      </w:r>
      <w:r>
        <w:rPr>
          <w:rStyle w:val="19"/>
          <w:rFonts w:hint="eastAsia"/>
          <w:b w:val="0"/>
          <w:bCs w:val="0"/>
        </w:rPr>
        <w:t>September</w:t>
      </w:r>
      <w:r>
        <w:rPr>
          <w:rStyle w:val="19"/>
          <w:b w:val="0"/>
          <w:bCs w:val="0"/>
        </w:rPr>
        <w:t xml:space="preserve"> 2024]</w:t>
      </w:r>
    </w:p>
    <w:p w14:paraId="67755323">
      <w:pPr>
        <w:pStyle w:val="13"/>
        <w:widowControl/>
        <w:rPr>
          <w:rStyle w:val="19"/>
          <w:b w:val="0"/>
          <w:bCs w:val="0"/>
        </w:rPr>
      </w:pPr>
      <w:r>
        <w:rPr>
          <w:rStyle w:val="19"/>
          <w:b w:val="0"/>
          <w:bCs w:val="0"/>
        </w:rPr>
        <w:t xml:space="preserve">General Data Protection Regulation (GDPR) (2024), 'General Data Protection Regulation (GDPR) – legal text', [Online] Available: </w:t>
      </w:r>
      <w:r>
        <w:fldChar w:fldCharType="begin"/>
      </w:r>
      <w:r>
        <w:instrText xml:space="preserve"> HYPERLINK "https://gdpr-info.eu/" \t "/Users/luocaisheng/Documentsx/_new" </w:instrText>
      </w:r>
      <w:r>
        <w:fldChar w:fldCharType="separate"/>
      </w:r>
      <w:r>
        <w:rPr>
          <w:rStyle w:val="22"/>
        </w:rPr>
        <w:t>https://gdpr-info.eu/</w:t>
      </w:r>
      <w:r>
        <w:rPr>
          <w:rStyle w:val="22"/>
        </w:rPr>
        <w:fldChar w:fldCharType="end"/>
      </w:r>
      <w:r>
        <w:rPr>
          <w:rStyle w:val="19"/>
          <w:b w:val="0"/>
          <w:bCs w:val="0"/>
        </w:rPr>
        <w:t xml:space="preserve"> [Accessed 22nd April 2024</w:t>
      </w:r>
    </w:p>
    <w:p w14:paraId="1B034BD8">
      <w:pPr>
        <w:pStyle w:val="13"/>
        <w:widowControl/>
      </w:pPr>
      <w:r>
        <w:rPr>
          <w:rStyle w:val="19"/>
          <w:b w:val="0"/>
          <w:bCs w:val="0"/>
        </w:rPr>
        <w:t xml:space="preserve">Ghosh, S. (2006), 'Do Productivity and Ownership Really Matter for Growth? Firm-Level Evidence', </w:t>
      </w:r>
      <w:r>
        <w:rPr>
          <w:rStyle w:val="21"/>
        </w:rPr>
        <w:t>Economic and Political Weekly</w:t>
      </w:r>
      <w:r>
        <w:rPr>
          <w:rStyle w:val="19"/>
          <w:b w:val="0"/>
          <w:bCs w:val="0"/>
        </w:rPr>
        <w:t>, Mumbai, 41(12), pp. 1203-1212.</w:t>
      </w:r>
    </w:p>
    <w:p w14:paraId="6881670C">
      <w:pPr>
        <w:pStyle w:val="13"/>
        <w:widowControl/>
      </w:pPr>
      <w:r>
        <w:rPr>
          <w:rStyle w:val="19"/>
          <w:b w:val="0"/>
          <w:bCs w:val="0"/>
        </w:rPr>
        <w:t>Global Car Sales Data</w:t>
      </w:r>
      <w:r>
        <w:rPr>
          <w:rStyle w:val="19"/>
          <w:rFonts w:hint="eastAsia"/>
          <w:b w:val="0"/>
          <w:bCs w:val="0"/>
        </w:rPr>
        <w:t xml:space="preserve"> </w:t>
      </w:r>
      <w:r>
        <w:rPr>
          <w:rStyle w:val="19"/>
          <w:b w:val="0"/>
          <w:bCs w:val="0"/>
        </w:rPr>
        <w:t>(2024)</w:t>
      </w:r>
      <w:r>
        <w:rPr>
          <w:rStyle w:val="19"/>
          <w:b w:val="0"/>
          <w:bCs w:val="0"/>
          <w:i/>
          <w:iCs/>
        </w:rPr>
        <w:t xml:space="preserve"> 'Car sales by country | | 1. China 2. US' , </w:t>
      </w:r>
      <w:r>
        <w:rPr>
          <w:rStyle w:val="21"/>
        </w:rPr>
        <w:t>F&amp;I Tools</w:t>
      </w:r>
      <w:r>
        <w:rPr>
          <w:rStyle w:val="19"/>
          <w:b w:val="0"/>
          <w:bCs w:val="0"/>
          <w:i/>
          <w:iCs/>
        </w:rPr>
        <w:t xml:space="preserve">, </w:t>
      </w:r>
      <w:r>
        <w:rPr>
          <w:rStyle w:val="19"/>
          <w:b w:val="0"/>
          <w:bCs w:val="0"/>
        </w:rPr>
        <w:t xml:space="preserve">[Online] Available: </w:t>
      </w:r>
      <w:r>
        <w:fldChar w:fldCharType="begin"/>
      </w:r>
      <w:r>
        <w:instrText xml:space="preserve"> HYPERLINK "https://www.factorywarrantylist.com/car-sales-by-country.html" \t "/Users/luocaisheng/Documentsx/_new" </w:instrText>
      </w:r>
      <w:r>
        <w:fldChar w:fldCharType="separate"/>
      </w:r>
      <w:r>
        <w:rPr>
          <w:rStyle w:val="22"/>
        </w:rPr>
        <w:t>https://www.factorywarrantylist.com/car-sales-by-country.html</w:t>
      </w:r>
      <w:r>
        <w:rPr>
          <w:rStyle w:val="22"/>
        </w:rPr>
        <w:fldChar w:fldCharType="end"/>
      </w:r>
      <w:r>
        <w:rPr>
          <w:rStyle w:val="19"/>
          <w:b w:val="0"/>
          <w:bCs w:val="0"/>
        </w:rPr>
        <w:t xml:space="preserve"> [Accessed 26th July 2024].</w:t>
      </w:r>
    </w:p>
    <w:p w14:paraId="475B1F6F">
      <w:pPr>
        <w:pStyle w:val="13"/>
        <w:widowControl/>
        <w:rPr>
          <w:rStyle w:val="19"/>
          <w:b w:val="0"/>
          <w:bCs w:val="0"/>
        </w:rPr>
      </w:pPr>
      <w:r>
        <w:rPr>
          <w:rStyle w:val="21"/>
          <w:i w:val="0"/>
        </w:rPr>
        <w:t>Good Job</w:t>
      </w:r>
      <w:r>
        <w:rPr>
          <w:rStyle w:val="21"/>
          <w:rFonts w:hint="eastAsia"/>
        </w:rPr>
        <w:t xml:space="preserve"> </w:t>
      </w:r>
      <w:r>
        <w:rPr>
          <w:rStyle w:val="21"/>
          <w:i w:val="0"/>
        </w:rPr>
        <w:t>First</w:t>
      </w:r>
      <w:r>
        <w:rPr>
          <w:rStyle w:val="21"/>
          <w:rFonts w:hint="eastAsia"/>
          <w:i w:val="0"/>
        </w:rPr>
        <w:t xml:space="preserve"> </w:t>
      </w:r>
      <w:r>
        <w:rPr>
          <w:rStyle w:val="19"/>
          <w:b w:val="0"/>
          <w:bCs w:val="0"/>
        </w:rPr>
        <w:t>(2023)</w:t>
      </w:r>
      <w:r>
        <w:rPr>
          <w:rStyle w:val="21"/>
        </w:rPr>
        <w:t xml:space="preserve"> </w:t>
      </w:r>
      <w:r>
        <w:rPr>
          <w:rStyle w:val="19"/>
          <w:b w:val="0"/>
          <w:bCs w:val="0"/>
          <w:i/>
          <w:iCs/>
        </w:rPr>
        <w:t xml:space="preserve">'Subsidy Tracker Parent Company Summary' </w:t>
      </w:r>
      <w:r>
        <w:rPr>
          <w:rStyle w:val="19"/>
          <w:b w:val="0"/>
          <w:bCs w:val="0"/>
        </w:rPr>
        <w:t xml:space="preserve">, , [Online] Available: </w:t>
      </w:r>
      <w:r>
        <w:fldChar w:fldCharType="begin"/>
      </w:r>
      <w:r>
        <w:instrText xml:space="preserve"> HYPERLINK "https://subsidytracker.goodjobsfirst.org/?parent=ford-motor&amp;order=sub_year&amp;sort=&amp;page=1" \t "/Users/luocaisheng/Documentsx/_new" </w:instrText>
      </w:r>
      <w:r>
        <w:fldChar w:fldCharType="separate"/>
      </w:r>
      <w:r>
        <w:rPr>
          <w:rStyle w:val="22"/>
        </w:rPr>
        <w:t>https://subsidytracker.goodjobsfirst.org/?parent=ford-motor&amp;order=sub_year&amp;sort=&amp;page=1</w:t>
      </w:r>
      <w:r>
        <w:rPr>
          <w:rStyle w:val="22"/>
        </w:rPr>
        <w:fldChar w:fldCharType="end"/>
      </w:r>
      <w:r>
        <w:rPr>
          <w:rStyle w:val="19"/>
          <w:b w:val="0"/>
          <w:bCs w:val="0"/>
        </w:rPr>
        <w:t xml:space="preserve"> [Accessed 31st May 2024].</w:t>
      </w:r>
    </w:p>
    <w:p w14:paraId="0DD1CAA1">
      <w:pPr>
        <w:pStyle w:val="13"/>
        <w:widowControl/>
        <w:rPr>
          <w:rStyle w:val="19"/>
          <w:b w:val="0"/>
          <w:bCs w:val="0"/>
        </w:rPr>
      </w:pPr>
      <w:r>
        <w:rPr>
          <w:rStyle w:val="19"/>
          <w:b w:val="0"/>
          <w:bCs w:val="0"/>
        </w:rPr>
        <w:t xml:space="preserve">Grafström, A. &amp; Schelin, L. (2014), </w:t>
      </w:r>
      <w:r>
        <w:rPr>
          <w:rStyle w:val="19"/>
          <w:b w:val="0"/>
          <w:bCs w:val="0"/>
          <w:i/>
          <w:iCs/>
        </w:rPr>
        <w:t>'How to Select Representative Samples',</w:t>
      </w:r>
      <w:r>
        <w:rPr>
          <w:rStyle w:val="19"/>
          <w:b w:val="0"/>
          <w:bCs w:val="0"/>
        </w:rPr>
        <w:t xml:space="preserve"> </w:t>
      </w:r>
      <w:r>
        <w:rPr>
          <w:rStyle w:val="21"/>
        </w:rPr>
        <w:t>Scandinavian Journal of Statistics</w:t>
      </w:r>
      <w:r>
        <w:rPr>
          <w:rStyle w:val="19"/>
          <w:b w:val="0"/>
          <w:bCs w:val="0"/>
        </w:rPr>
        <w:t>, Hoboken, New Jersey, pp. 41.</w:t>
      </w:r>
    </w:p>
    <w:p w14:paraId="44574C25">
      <w:pPr>
        <w:pStyle w:val="13"/>
        <w:widowControl/>
        <w:rPr>
          <w:rStyle w:val="19"/>
          <w:b w:val="0"/>
          <w:bCs w:val="0"/>
        </w:rPr>
      </w:pPr>
      <w:r>
        <w:rPr>
          <w:rStyle w:val="19"/>
          <w:b w:val="0"/>
          <w:bCs w:val="0"/>
        </w:rPr>
        <w:t xml:space="preserve">Greenbank, P. (2003), 'The role of values in educational research: the case for reflexivity', </w:t>
      </w:r>
      <w:r>
        <w:rPr>
          <w:rStyle w:val="21"/>
        </w:rPr>
        <w:t>British Educational Research Journal</w:t>
      </w:r>
      <w:r>
        <w:rPr>
          <w:rStyle w:val="19"/>
          <w:b w:val="0"/>
          <w:bCs w:val="0"/>
        </w:rPr>
        <w:t>, Hoboken, New Jersey, 29, pp. 791-801.</w:t>
      </w:r>
    </w:p>
    <w:p w14:paraId="6410F01F">
      <w:pPr>
        <w:pStyle w:val="13"/>
        <w:widowControl/>
      </w:pPr>
      <w:r>
        <w:rPr>
          <w:rStyle w:val="19"/>
          <w:b w:val="0"/>
          <w:bCs w:val="0"/>
        </w:rPr>
        <w:t xml:space="preserve">Gumpili, S. &amp; Das, A. (2022), 'Sample size and its evolution in research', </w:t>
      </w:r>
      <w:r>
        <w:rPr>
          <w:rStyle w:val="21"/>
        </w:rPr>
        <w:t>IHOPE Journal of Ophthalmology</w:t>
      </w:r>
      <w:r>
        <w:rPr>
          <w:rStyle w:val="19"/>
          <w:b w:val="0"/>
          <w:bCs w:val="0"/>
        </w:rPr>
        <w:t xml:space="preserve">, [Online] Available: </w:t>
      </w:r>
      <w:r>
        <w:fldChar w:fldCharType="begin"/>
      </w:r>
      <w:r>
        <w:instrText xml:space="preserve"> HYPERLINK "https://ihopejournalofophthalmology.com/sample-size-and-its-evolution-in-research/" \t "/Users/luocaisheng/Documentsx/_new" </w:instrText>
      </w:r>
      <w:r>
        <w:fldChar w:fldCharType="separate"/>
      </w:r>
      <w:r>
        <w:rPr>
          <w:rStyle w:val="22"/>
        </w:rPr>
        <w:t>https://ihopejournalofophthalmology.com/sample-size-and-its-evolution-in-research/</w:t>
      </w:r>
      <w:r>
        <w:rPr>
          <w:rStyle w:val="22"/>
        </w:rPr>
        <w:fldChar w:fldCharType="end"/>
      </w:r>
      <w:r>
        <w:rPr>
          <w:rStyle w:val="19"/>
          <w:b w:val="0"/>
          <w:bCs w:val="0"/>
        </w:rPr>
        <w:t xml:space="preserve"> [Accessed 27th August 2024].</w:t>
      </w:r>
    </w:p>
    <w:p w14:paraId="78D8B671">
      <w:pPr>
        <w:pStyle w:val="13"/>
        <w:widowControl/>
      </w:pPr>
      <w:r>
        <w:rPr>
          <w:rStyle w:val="19"/>
          <w:b w:val="0"/>
          <w:bCs w:val="0"/>
        </w:rPr>
        <w:t xml:space="preserve">Groves, R., Fowler, F. &amp; Lepkowski, J. (2009), </w:t>
      </w:r>
      <w:r>
        <w:rPr>
          <w:rStyle w:val="21"/>
        </w:rPr>
        <w:t>Survey Methodology</w:t>
      </w:r>
      <w:r>
        <w:rPr>
          <w:rStyle w:val="19"/>
          <w:b w:val="0"/>
          <w:bCs w:val="0"/>
        </w:rPr>
        <w:t xml:space="preserve"> (2nd Edition), Hoboken, New Jersey: Wiley.</w:t>
      </w:r>
    </w:p>
    <w:p w14:paraId="2CDBFD72">
      <w:pPr>
        <w:pStyle w:val="13"/>
        <w:widowControl/>
      </w:pPr>
      <w:r>
        <w:rPr>
          <w:rStyle w:val="19"/>
          <w:b w:val="0"/>
          <w:bCs w:val="0"/>
        </w:rPr>
        <w:t xml:space="preserve">SAGE Publications Inc. (2024), 'Encyclopedia of Survey Research Methods', [Online] Available: </w:t>
      </w:r>
      <w:r>
        <w:fldChar w:fldCharType="begin"/>
      </w:r>
      <w:r>
        <w:instrText xml:space="preserve"> HYPERLINK "https://us.sagepub.com/en-us/nam/encyclopedia-of-survey-research-methods/book227714" \t "/Users/luocaisheng/Documentsx/_new" </w:instrText>
      </w:r>
      <w:r>
        <w:fldChar w:fldCharType="separate"/>
      </w:r>
      <w:r>
        <w:rPr>
          <w:rStyle w:val="22"/>
        </w:rPr>
        <w:t>https://us.sagepub.com/en-us/nam/encyclopedia-of-survey-research-methods/book227714</w:t>
      </w:r>
      <w:r>
        <w:rPr>
          <w:rStyle w:val="22"/>
        </w:rPr>
        <w:fldChar w:fldCharType="end"/>
      </w:r>
      <w:r>
        <w:rPr>
          <w:rStyle w:val="19"/>
          <w:b w:val="0"/>
          <w:bCs w:val="0"/>
        </w:rPr>
        <w:t xml:space="preserve"> [Accessed 12th June 2024].</w:t>
      </w:r>
    </w:p>
    <w:p w14:paraId="0E96C394">
      <w:pPr>
        <w:pStyle w:val="13"/>
        <w:widowControl/>
      </w:pPr>
      <w:r>
        <w:rPr>
          <w:rStyle w:val="19"/>
          <w:b w:val="0"/>
          <w:bCs w:val="0"/>
        </w:rPr>
        <w:t>Han, J., Chen, Q., Yang, X., Long, T., Xing, J., Li, Q., Zhao, H., Shi, M. &amp; Pan, Z. (2023), '</w:t>
      </w:r>
      <w:r>
        <w:rPr>
          <w:rStyle w:val="19"/>
          <w:b w:val="0"/>
          <w:bCs w:val="0"/>
          <w:i/>
          <w:iCs/>
        </w:rPr>
        <w:t xml:space="preserve">Analysis of the current status of cobalt resources and supply and demand situation in the next 5-10 years', </w:t>
      </w:r>
      <w:r>
        <w:rPr>
          <w:rStyle w:val="21"/>
        </w:rPr>
        <w:t>China Geology</w:t>
      </w:r>
      <w:r>
        <w:rPr>
          <w:rStyle w:val="19"/>
          <w:b w:val="0"/>
          <w:bCs w:val="0"/>
        </w:rPr>
        <w:t xml:space="preserve">, [Online] Available: </w:t>
      </w:r>
      <w:r>
        <w:fldChar w:fldCharType="begin"/>
      </w:r>
      <w:r>
        <w:instrText xml:space="preserve"> HYPERLINK "http://geochina.cgs.gov.cn/en/article/doi/10.12029/gc20220918003" \t "/Users/luocaisheng/Documentsx/_new" </w:instrText>
      </w:r>
      <w:r>
        <w:fldChar w:fldCharType="separate"/>
      </w:r>
      <w:r>
        <w:rPr>
          <w:rStyle w:val="22"/>
        </w:rPr>
        <w:t>http://geochina.cgs.gov.cn/en/article/doi/10.12029/gc20220918003</w:t>
      </w:r>
      <w:r>
        <w:rPr>
          <w:rStyle w:val="22"/>
        </w:rPr>
        <w:fldChar w:fldCharType="end"/>
      </w:r>
      <w:r>
        <w:rPr>
          <w:rStyle w:val="19"/>
          <w:b w:val="0"/>
          <w:bCs w:val="0"/>
        </w:rPr>
        <w:t>[Accessed 30th May 2024].</w:t>
      </w:r>
    </w:p>
    <w:p w14:paraId="48D9AAFB">
      <w:pPr>
        <w:pStyle w:val="13"/>
        <w:widowControl/>
      </w:pPr>
      <w:r>
        <w:rPr>
          <w:rStyle w:val="19"/>
          <w:b w:val="0"/>
          <w:bCs w:val="0"/>
        </w:rPr>
        <w:t xml:space="preserve">Higgins, J.P.T. &amp; Green, S. (2011), </w:t>
      </w:r>
      <w:r>
        <w:rPr>
          <w:rStyle w:val="21"/>
        </w:rPr>
        <w:t>Cochrane Handbook for Systematic Reviews of Interventions</w:t>
      </w:r>
      <w:r>
        <w:rPr>
          <w:rStyle w:val="19"/>
          <w:b w:val="0"/>
          <w:bCs w:val="0"/>
        </w:rPr>
        <w:t xml:space="preserve"> (Fourth Edition), London: The Cochrane Collaboration.</w:t>
      </w:r>
    </w:p>
    <w:p w14:paraId="61812B16">
      <w:pPr>
        <w:pStyle w:val="13"/>
        <w:widowControl/>
      </w:pPr>
      <w:r>
        <w:rPr>
          <w:rStyle w:val="19"/>
          <w:b w:val="0"/>
          <w:bCs w:val="0"/>
        </w:rPr>
        <w:t>Howarth, J. (2023),</w:t>
      </w:r>
      <w:r>
        <w:rPr>
          <w:rStyle w:val="19"/>
          <w:b w:val="0"/>
          <w:bCs w:val="0"/>
          <w:i/>
          <w:iCs/>
        </w:rPr>
        <w:t xml:space="preserve"> 'How many electric vehicles are in the United States?'</w:t>
      </w:r>
      <w:r>
        <w:rPr>
          <w:rStyle w:val="19"/>
          <w:b w:val="0"/>
          <w:bCs w:val="0"/>
        </w:rPr>
        <w:t xml:space="preserve">, [Online] Available: </w:t>
      </w:r>
      <w:r>
        <w:fldChar w:fldCharType="begin"/>
      </w:r>
      <w:r>
        <w:instrText xml:space="preserve"> HYPERLINK "https://explodingtopics.com/blog/electric-vehicles-stats" \t "/Users/luocaisheng/Documentsx/_new" </w:instrText>
      </w:r>
      <w:r>
        <w:fldChar w:fldCharType="separate"/>
      </w:r>
      <w:r>
        <w:rPr>
          <w:rStyle w:val="22"/>
        </w:rPr>
        <w:t>https://explodingtopics.com/blog/electric-vehicles-stats</w:t>
      </w:r>
      <w:r>
        <w:rPr>
          <w:rStyle w:val="22"/>
        </w:rPr>
        <w:fldChar w:fldCharType="end"/>
      </w:r>
      <w:r>
        <w:rPr>
          <w:rStyle w:val="19"/>
          <w:b w:val="0"/>
          <w:bCs w:val="0"/>
        </w:rPr>
        <w:t xml:space="preserve"> [Accessed 23rd July 2024].</w:t>
      </w:r>
    </w:p>
    <w:p w14:paraId="335EC4E8">
      <w:pPr>
        <w:pStyle w:val="13"/>
        <w:widowControl/>
      </w:pPr>
      <w:r>
        <w:rPr>
          <w:rStyle w:val="19"/>
          <w:b w:val="0"/>
          <w:bCs w:val="0"/>
        </w:rPr>
        <w:t xml:space="preserve">IEA (2020), </w:t>
      </w:r>
      <w:r>
        <w:rPr>
          <w:rStyle w:val="19"/>
          <w:b w:val="0"/>
          <w:bCs w:val="0"/>
          <w:i/>
          <w:iCs/>
        </w:rPr>
        <w:t>'Global EV Outlook 2020',</w:t>
      </w:r>
      <w:r>
        <w:rPr>
          <w:rStyle w:val="19"/>
          <w:b w:val="0"/>
          <w:bCs w:val="0"/>
        </w:rPr>
        <w:t xml:space="preserve"> [Online] Available: </w:t>
      </w:r>
      <w:r>
        <w:fldChar w:fldCharType="begin"/>
      </w:r>
      <w:r>
        <w:instrText xml:space="preserve"> HYPERLINK "https://www.iea.org/reports/global-ev-outlook-2020" \t "/Users/luocaisheng/Documentsx/_new" </w:instrText>
      </w:r>
      <w:r>
        <w:fldChar w:fldCharType="separate"/>
      </w:r>
      <w:r>
        <w:rPr>
          <w:rStyle w:val="22"/>
        </w:rPr>
        <w:t>https://www.iea.org/reports/global-ev-outlook-2020</w:t>
      </w:r>
      <w:r>
        <w:rPr>
          <w:rStyle w:val="22"/>
        </w:rPr>
        <w:fldChar w:fldCharType="end"/>
      </w:r>
      <w:r>
        <w:rPr>
          <w:rStyle w:val="19"/>
          <w:b w:val="0"/>
          <w:bCs w:val="0"/>
        </w:rPr>
        <w:t xml:space="preserve"> [Accessed 20th August 2024].</w:t>
      </w:r>
    </w:p>
    <w:p w14:paraId="55B4D0EC">
      <w:pPr>
        <w:pStyle w:val="13"/>
        <w:widowControl/>
      </w:pPr>
      <w:r>
        <w:rPr>
          <w:rStyle w:val="19"/>
          <w:b w:val="0"/>
          <w:bCs w:val="0"/>
        </w:rPr>
        <w:t xml:space="preserve">IEA (2024), </w:t>
      </w:r>
      <w:r>
        <w:rPr>
          <w:rStyle w:val="19"/>
          <w:b w:val="0"/>
          <w:bCs w:val="0"/>
          <w:i/>
          <w:iCs/>
        </w:rPr>
        <w:t>'Trends in electric cars – Global EV Outlook 2024'</w:t>
      </w:r>
      <w:r>
        <w:rPr>
          <w:rStyle w:val="19"/>
          <w:b w:val="0"/>
          <w:bCs w:val="0"/>
        </w:rPr>
        <w:t xml:space="preserve">, [Online] Available: </w:t>
      </w:r>
      <w:r>
        <w:fldChar w:fldCharType="begin"/>
      </w:r>
      <w:r>
        <w:instrText xml:space="preserve"> HYPERLINK "https://www.iea.org/reports/global-ev-outlook-2024/trends-in-electric-cars" \t "/Users/luocaisheng/Documentsx/_new" </w:instrText>
      </w:r>
      <w:r>
        <w:fldChar w:fldCharType="separate"/>
      </w:r>
      <w:r>
        <w:rPr>
          <w:rStyle w:val="22"/>
        </w:rPr>
        <w:t>https://www.iea.org/reports/global-ev-outlook-2024/trends-in-electric-cars</w:t>
      </w:r>
      <w:r>
        <w:rPr>
          <w:rStyle w:val="22"/>
        </w:rPr>
        <w:fldChar w:fldCharType="end"/>
      </w:r>
      <w:r>
        <w:rPr>
          <w:rStyle w:val="19"/>
          <w:b w:val="0"/>
          <w:bCs w:val="0"/>
        </w:rPr>
        <w:t xml:space="preserve"> [Accessed 20th August 2024].</w:t>
      </w:r>
    </w:p>
    <w:p w14:paraId="14BFC301">
      <w:pPr>
        <w:pStyle w:val="13"/>
        <w:widowControl/>
        <w:rPr>
          <w:rStyle w:val="19"/>
          <w:b w:val="0"/>
          <w:bCs w:val="0"/>
        </w:rPr>
      </w:pPr>
      <w:r>
        <w:rPr>
          <w:rStyle w:val="19"/>
          <w:b w:val="0"/>
          <w:bCs w:val="0"/>
        </w:rPr>
        <w:t xml:space="preserve">IEA (2020), 'Global EV Outlook 2020 – Analysis', [Online] Available: </w:t>
      </w:r>
      <w:r>
        <w:fldChar w:fldCharType="begin"/>
      </w:r>
      <w:r>
        <w:instrText xml:space="preserve"> HYPERLINK "https://www.iea.org/reports/global-ev-outlook-2020" \t "/Users/luocaisheng/Documentsx/_new" </w:instrText>
      </w:r>
      <w:r>
        <w:fldChar w:fldCharType="separate"/>
      </w:r>
      <w:r>
        <w:rPr>
          <w:rStyle w:val="22"/>
        </w:rPr>
        <w:t>https://www.iea.org/reports/global-ev-outlook-2020</w:t>
      </w:r>
      <w:r>
        <w:rPr>
          <w:rStyle w:val="22"/>
        </w:rPr>
        <w:fldChar w:fldCharType="end"/>
      </w:r>
      <w:r>
        <w:rPr>
          <w:rStyle w:val="19"/>
          <w:b w:val="0"/>
          <w:bCs w:val="0"/>
        </w:rPr>
        <w:t xml:space="preserve"> [Accessed 26th August 2024].</w:t>
      </w:r>
    </w:p>
    <w:p w14:paraId="1BA8CBF7">
      <w:pPr>
        <w:pStyle w:val="13"/>
        <w:widowControl/>
        <w:rPr>
          <w:rStyle w:val="19"/>
          <w:b w:val="0"/>
          <w:bCs w:val="0"/>
        </w:rPr>
      </w:pPr>
      <w:r>
        <w:rPr>
          <w:rStyle w:val="19"/>
          <w:b w:val="0"/>
          <w:bCs w:val="0"/>
        </w:rPr>
        <w:t xml:space="preserve">IEA (2024), 'Global EV Data Explorer', [Online] Available: </w:t>
      </w:r>
      <w:r>
        <w:fldChar w:fldCharType="begin"/>
      </w:r>
      <w:r>
        <w:instrText xml:space="preserve"> HYPERLINK "https://www.iea.org/data-and-statistics/data-tools/global-ev-data-explorer" \t "/Users/luocaisheng/Documentsx/_new" </w:instrText>
      </w:r>
      <w:r>
        <w:fldChar w:fldCharType="separate"/>
      </w:r>
      <w:r>
        <w:rPr>
          <w:rStyle w:val="22"/>
        </w:rPr>
        <w:t>https://www.iea.org/data-and-statistics/data-tools/global-ev-data-explorer</w:t>
      </w:r>
      <w:r>
        <w:rPr>
          <w:rStyle w:val="22"/>
        </w:rPr>
        <w:fldChar w:fldCharType="end"/>
      </w:r>
      <w:r>
        <w:rPr>
          <w:rStyle w:val="19"/>
          <w:b w:val="0"/>
          <w:bCs w:val="0"/>
        </w:rPr>
        <w:t xml:space="preserve"> [Accessed 25th July 2024].</w:t>
      </w:r>
    </w:p>
    <w:p w14:paraId="35A58AF6">
      <w:pPr>
        <w:pStyle w:val="13"/>
        <w:widowControl/>
      </w:pPr>
      <w:r>
        <w:rPr>
          <w:rStyle w:val="21"/>
          <w:i w:val="0"/>
          <w:iCs w:val="0"/>
        </w:rPr>
        <w:t>IEEE Conference</w:t>
      </w:r>
      <w:r>
        <w:rPr>
          <w:rStyle w:val="21"/>
          <w:rFonts w:hint="eastAsia"/>
          <w:i w:val="0"/>
          <w:iCs w:val="0"/>
        </w:rPr>
        <w:t xml:space="preserve"> </w:t>
      </w:r>
      <w:r>
        <w:rPr>
          <w:rStyle w:val="19"/>
          <w:b w:val="0"/>
          <w:bCs w:val="0"/>
        </w:rPr>
        <w:t>(2012),</w:t>
      </w:r>
      <w:r>
        <w:rPr>
          <w:rStyle w:val="21"/>
          <w:i w:val="0"/>
          <w:iCs w:val="0"/>
        </w:rPr>
        <w:t xml:space="preserve"> Publication</w:t>
      </w:r>
      <w:r>
        <w:rPr>
          <w:rStyle w:val="19"/>
          <w:b w:val="0"/>
          <w:bCs w:val="0"/>
        </w:rPr>
        <w:t xml:space="preserve">'A study of the reliability of various types of the electric vehicles' , [Online] Available: </w:t>
      </w:r>
      <w:r>
        <w:fldChar w:fldCharType="begin"/>
      </w:r>
      <w:r>
        <w:instrText xml:space="preserve"> HYPERLINK "https://ieeexplore.ieee.org/abstract/document/6183250?casa_token=zdJfpOTnDm0AAAAA:4Cx6bneuHMlpLtTFdsV7fgmn65WGF3-lctxnAO6H_J21qj6ubqrTQpEgJmkYw2aNIJ7IdkJ_yOEc" \t "/Users/luocaisheng/Documentsx/_new" </w:instrText>
      </w:r>
      <w:r>
        <w:fldChar w:fldCharType="separate"/>
      </w:r>
      <w:r>
        <w:rPr>
          <w:rStyle w:val="22"/>
        </w:rPr>
        <w:t>https://ieeexplore.ieee.org/abstract/document/6183250?casa_token=zdJfpOTnDm0AAAAA:4Cx6bneuHMlpLtTFdsV7fgmn65WGF3-lctxnAO6H_J21qj6ubqrTQpEgJmkYw2aNIJ7IdkJ_yOEc</w:t>
      </w:r>
      <w:r>
        <w:rPr>
          <w:rStyle w:val="22"/>
        </w:rPr>
        <w:fldChar w:fldCharType="end"/>
      </w:r>
      <w:r>
        <w:rPr>
          <w:rStyle w:val="19"/>
          <w:b w:val="0"/>
          <w:bCs w:val="0"/>
        </w:rPr>
        <w:t xml:space="preserve"> [Accessed 7th August 2024].</w:t>
      </w:r>
    </w:p>
    <w:p w14:paraId="2AD0DD1B">
      <w:pPr>
        <w:pStyle w:val="13"/>
        <w:widowControl/>
      </w:pPr>
      <w:r>
        <w:rPr>
          <w:rStyle w:val="19"/>
          <w:b w:val="0"/>
          <w:bCs w:val="0"/>
        </w:rPr>
        <w:t xml:space="preserve">Indeed (2024), </w:t>
      </w:r>
      <w:r>
        <w:rPr>
          <w:rStyle w:val="19"/>
          <w:b w:val="0"/>
          <w:bCs w:val="0"/>
          <w:i/>
          <w:iCs/>
        </w:rPr>
        <w:t>'Business yearly salaries in the United Kingdom at BYD</w:t>
      </w:r>
      <w:r>
        <w:rPr>
          <w:rStyle w:val="19"/>
          <w:b w:val="0"/>
          <w:bCs w:val="0"/>
        </w:rPr>
        <w:t xml:space="preserve">', [Online] Available: </w:t>
      </w:r>
      <w:r>
        <w:fldChar w:fldCharType="begin"/>
      </w:r>
      <w:r>
        <w:instrText xml:space="preserve"> HYPERLINK "https://uk.indeed.com/cmp/Byd/salaries/Business" \t "/Users/luocaisheng/Documentsx/_new" </w:instrText>
      </w:r>
      <w:r>
        <w:fldChar w:fldCharType="separate"/>
      </w:r>
      <w:r>
        <w:rPr>
          <w:rStyle w:val="22"/>
        </w:rPr>
        <w:t>https://uk.indeed.com/cmp/Byd/salaries/Business</w:t>
      </w:r>
      <w:r>
        <w:rPr>
          <w:rStyle w:val="22"/>
        </w:rPr>
        <w:fldChar w:fldCharType="end"/>
      </w:r>
      <w:r>
        <w:rPr>
          <w:rStyle w:val="19"/>
          <w:b w:val="0"/>
          <w:bCs w:val="0"/>
        </w:rPr>
        <w:t xml:space="preserve"> [Accessed 31st May 2024].</w:t>
      </w:r>
    </w:p>
    <w:p w14:paraId="29BF1134">
      <w:pPr>
        <w:pStyle w:val="13"/>
        <w:widowControl/>
      </w:pPr>
      <w:r>
        <w:rPr>
          <w:rStyle w:val="21"/>
          <w:i w:val="0"/>
        </w:rPr>
        <w:t>Indeed</w:t>
      </w:r>
      <w:r>
        <w:rPr>
          <w:rStyle w:val="21"/>
          <w:rFonts w:hint="eastAsia"/>
          <w:i w:val="0"/>
        </w:rPr>
        <w:t xml:space="preserve"> </w:t>
      </w:r>
      <w:r>
        <w:rPr>
          <w:rStyle w:val="19"/>
          <w:b w:val="0"/>
          <w:bCs w:val="0"/>
        </w:rPr>
        <w:t>(2024),</w:t>
      </w:r>
      <w:r>
        <w:rPr>
          <w:rStyle w:val="19"/>
          <w:rFonts w:hint="eastAsia"/>
          <w:b w:val="0"/>
          <w:bCs w:val="0"/>
          <w:i/>
          <w:iCs/>
        </w:rPr>
        <w:t xml:space="preserve"> </w:t>
      </w:r>
      <w:r>
        <w:rPr>
          <w:rStyle w:val="19"/>
          <w:b w:val="0"/>
          <w:bCs w:val="0"/>
          <w:i/>
          <w:iCs/>
        </w:rPr>
        <w:t xml:space="preserve">Assembler hourly salaries in the United States at Tesla </w:t>
      </w:r>
      <w:r>
        <w:rPr>
          <w:rStyle w:val="19"/>
          <w:b w:val="0"/>
          <w:bCs w:val="0"/>
        </w:rPr>
        <w:t xml:space="preserve"> , [Online] Available: </w:t>
      </w:r>
      <w:r>
        <w:fldChar w:fldCharType="begin"/>
      </w:r>
      <w:r>
        <w:instrText xml:space="preserve"> HYPERLINK "https://www.indeed.com/cmp/Tesla/salaries/Assembler" \t "/Users/luocaisheng/Documentsx/_new" </w:instrText>
      </w:r>
      <w:r>
        <w:fldChar w:fldCharType="separate"/>
      </w:r>
      <w:r>
        <w:rPr>
          <w:rStyle w:val="22"/>
        </w:rPr>
        <w:t>https://www.indeed.com/cmp/Tesla/salaries/Assembler</w:t>
      </w:r>
      <w:r>
        <w:rPr>
          <w:rStyle w:val="22"/>
        </w:rPr>
        <w:fldChar w:fldCharType="end"/>
      </w:r>
      <w:r>
        <w:rPr>
          <w:rStyle w:val="19"/>
          <w:b w:val="0"/>
          <w:bCs w:val="0"/>
        </w:rPr>
        <w:t xml:space="preserve"> [Accessed 31st May 2024].</w:t>
      </w:r>
    </w:p>
    <w:p w14:paraId="2203BACE">
      <w:pPr>
        <w:pStyle w:val="13"/>
        <w:widowControl/>
      </w:pPr>
      <w:r>
        <w:rPr>
          <w:rStyle w:val="19"/>
          <w:b w:val="0"/>
          <w:bCs w:val="0"/>
        </w:rPr>
        <w:t xml:space="preserve">International Council on Clean Transportation (2021), 'Quantifying the electric vehicle charging infrastructure gap in the United Kingdom', [Online] Available: </w:t>
      </w:r>
      <w:r>
        <w:fldChar w:fldCharType="begin"/>
      </w:r>
      <w:r>
        <w:instrText xml:space="preserve"> HYPERLINK "https://theicct.org/publication/quantifying-the-electric-vehicle-charging-infrastructure-gap-in-the-united-kingdom/" \t "/Users/luocaisheng/Documentsx/_new" </w:instrText>
      </w:r>
      <w:r>
        <w:fldChar w:fldCharType="separate"/>
      </w:r>
      <w:r>
        <w:rPr>
          <w:rStyle w:val="22"/>
        </w:rPr>
        <w:t>https://theicct.org/publication/quantifying-the-electric-vehicle-charging-infrastructure-gap-in-the-united-kingdom/</w:t>
      </w:r>
      <w:r>
        <w:rPr>
          <w:rStyle w:val="22"/>
        </w:rPr>
        <w:fldChar w:fldCharType="end"/>
      </w:r>
      <w:r>
        <w:rPr>
          <w:rStyle w:val="19"/>
          <w:b w:val="0"/>
          <w:bCs w:val="0"/>
        </w:rPr>
        <w:t xml:space="preserve"> [Accessed 26th August 2024].</w:t>
      </w:r>
    </w:p>
    <w:p w14:paraId="04222C2F">
      <w:pPr>
        <w:pStyle w:val="13"/>
        <w:widowControl/>
      </w:pPr>
      <w:r>
        <w:rPr>
          <w:rStyle w:val="19"/>
          <w:b w:val="0"/>
          <w:bCs w:val="0"/>
        </w:rPr>
        <w:t xml:space="preserve">Investing News Network (2023), </w:t>
      </w:r>
      <w:r>
        <w:rPr>
          <w:rStyle w:val="19"/>
          <w:b w:val="0"/>
          <w:bCs w:val="0"/>
          <w:i/>
          <w:iCs/>
        </w:rPr>
        <w:t>'Lithium Market 2023 Year-End Review',</w:t>
      </w:r>
      <w:r>
        <w:rPr>
          <w:rStyle w:val="19"/>
          <w:b w:val="0"/>
          <w:bCs w:val="0"/>
        </w:rPr>
        <w:t xml:space="preserve"> </w:t>
      </w:r>
      <w:r>
        <w:rPr>
          <w:rStyle w:val="21"/>
        </w:rPr>
        <w:t>Nasdaq</w:t>
      </w:r>
      <w:r>
        <w:rPr>
          <w:rStyle w:val="19"/>
          <w:b w:val="0"/>
          <w:bCs w:val="0"/>
        </w:rPr>
        <w:t xml:space="preserve">, [Online] Available: </w:t>
      </w:r>
      <w:r>
        <w:fldChar w:fldCharType="begin"/>
      </w:r>
      <w:r>
        <w:instrText xml:space="preserve"> HYPERLINK "https://www.nasdaq.com/articles/lithium-market-2023-year-end-review" \t "/Users/luocaisheng/Documentsx/_new" </w:instrText>
      </w:r>
      <w:r>
        <w:fldChar w:fldCharType="separate"/>
      </w:r>
      <w:r>
        <w:rPr>
          <w:rStyle w:val="22"/>
        </w:rPr>
        <w:t>https://www.nasdaq.com/articles/lithium-market-2023-year-end-review</w:t>
      </w:r>
      <w:r>
        <w:rPr>
          <w:rStyle w:val="22"/>
        </w:rPr>
        <w:fldChar w:fldCharType="end"/>
      </w:r>
      <w:r>
        <w:rPr>
          <w:rStyle w:val="19"/>
          <w:b w:val="0"/>
          <w:bCs w:val="0"/>
        </w:rPr>
        <w:t xml:space="preserve"> [Accessed 17th August 2024].</w:t>
      </w:r>
    </w:p>
    <w:p w14:paraId="2E05B528">
      <w:pPr>
        <w:pStyle w:val="13"/>
        <w:widowControl/>
      </w:pPr>
      <w:r>
        <w:rPr>
          <w:rStyle w:val="19"/>
          <w:b w:val="0"/>
          <w:bCs w:val="0"/>
        </w:rPr>
        <w:t xml:space="preserve">Jaskula, B.W. Jr. (2020), 'LITHIUM', </w:t>
      </w:r>
      <w:r>
        <w:rPr>
          <w:rStyle w:val="21"/>
        </w:rPr>
        <w:t>U.S. Geological Survey, Mineral Commodity Summaries</w:t>
      </w:r>
      <w:r>
        <w:rPr>
          <w:rStyle w:val="19"/>
          <w:b w:val="0"/>
          <w:bCs w:val="0"/>
        </w:rPr>
        <w:t xml:space="preserve">, [Online] Available: </w:t>
      </w:r>
      <w:r>
        <w:fldChar w:fldCharType="begin"/>
      </w:r>
      <w:r>
        <w:instrText xml:space="preserve"> HYPERLINK "https://pubs.usgs.gov/periodicals/mcs2020/mcs2020-lithium.pdf" \t "/Users/luocaisheng/Documentsx/_new" </w:instrText>
      </w:r>
      <w:r>
        <w:fldChar w:fldCharType="separate"/>
      </w:r>
      <w:r>
        <w:rPr>
          <w:rStyle w:val="22"/>
        </w:rPr>
        <w:t>https://pubs.usgs.gov/periodicals/mcs2020/mcs2020-lithium.pdf</w:t>
      </w:r>
      <w:r>
        <w:rPr>
          <w:rStyle w:val="22"/>
        </w:rPr>
        <w:fldChar w:fldCharType="end"/>
      </w:r>
      <w:r>
        <w:rPr>
          <w:rStyle w:val="19"/>
          <w:b w:val="0"/>
          <w:bCs w:val="0"/>
        </w:rPr>
        <w:t xml:space="preserve"> [Accessed 17th August 2024].</w:t>
      </w:r>
    </w:p>
    <w:p w14:paraId="2C038E35">
      <w:pPr>
        <w:pStyle w:val="13"/>
        <w:widowControl/>
      </w:pPr>
      <w:r>
        <w:rPr>
          <w:rStyle w:val="19"/>
          <w:b w:val="0"/>
          <w:bCs w:val="0"/>
        </w:rPr>
        <w:t xml:space="preserve">Jevons, W.S. (1875), 'The positive philosophy of Auguste Comte', </w:t>
      </w:r>
      <w:r>
        <w:rPr>
          <w:rStyle w:val="21"/>
        </w:rPr>
        <w:t>Nature</w:t>
      </w:r>
      <w:r>
        <w:rPr>
          <w:rStyle w:val="19"/>
          <w:b w:val="0"/>
          <w:bCs w:val="0"/>
        </w:rPr>
        <w:t>, 12(310), pp. 491-492.</w:t>
      </w:r>
    </w:p>
    <w:p w14:paraId="1F735675">
      <w:pPr>
        <w:pStyle w:val="13"/>
        <w:widowControl/>
      </w:pPr>
      <w:r>
        <w:rPr>
          <w:rStyle w:val="19"/>
          <w:b w:val="0"/>
          <w:bCs w:val="0"/>
        </w:rPr>
        <w:t xml:space="preserve">Jones, T., Baxter, M. &amp; Khanduja, V. (2013), </w:t>
      </w:r>
      <w:r>
        <w:rPr>
          <w:rStyle w:val="19"/>
          <w:b w:val="0"/>
          <w:bCs w:val="0"/>
          <w:i/>
          <w:iCs/>
        </w:rPr>
        <w:t xml:space="preserve">'A quick guide to survey research', </w:t>
      </w:r>
      <w:r>
        <w:rPr>
          <w:rStyle w:val="21"/>
        </w:rPr>
        <w:t>Annals of The Royal College of Surgeons of England</w:t>
      </w:r>
      <w:r>
        <w:rPr>
          <w:rStyle w:val="19"/>
          <w:b w:val="0"/>
          <w:bCs w:val="0"/>
        </w:rPr>
        <w:t>, 95, pp. 5-7. London: Annals of The Royal College of Surgeons of England.</w:t>
      </w:r>
    </w:p>
    <w:p w14:paraId="26C879C2">
      <w:pPr>
        <w:pStyle w:val="13"/>
        <w:widowControl/>
      </w:pPr>
      <w:r>
        <w:rPr>
          <w:rStyle w:val="19"/>
          <w:b w:val="0"/>
          <w:bCs w:val="0"/>
        </w:rPr>
        <w:t xml:space="preserve">Jorgenson, A. (2014), 'Economic development and the carbon intensity of human well-being', </w:t>
      </w:r>
      <w:r>
        <w:rPr>
          <w:rStyle w:val="21"/>
        </w:rPr>
        <w:t>Nature Climate Change</w:t>
      </w:r>
      <w:r>
        <w:rPr>
          <w:rStyle w:val="19"/>
          <w:b w:val="0"/>
          <w:bCs w:val="0"/>
        </w:rPr>
        <w:t>, 4, pp. 186-189.</w:t>
      </w:r>
    </w:p>
    <w:p w14:paraId="73F3C43E">
      <w:pPr>
        <w:pStyle w:val="13"/>
        <w:widowControl/>
      </w:pPr>
      <w:r>
        <w:rPr>
          <w:rStyle w:val="19"/>
          <w:b w:val="0"/>
          <w:bCs w:val="0"/>
        </w:rPr>
        <w:t xml:space="preserve">Kaplan, B. &amp; Duchon, D. (1988), 'Combining Qualitative and Quantitative Methods in Information Systems Research: A Case Study', </w:t>
      </w:r>
      <w:r>
        <w:rPr>
          <w:rStyle w:val="21"/>
        </w:rPr>
        <w:t>Journal of Management Information Systems</w:t>
      </w:r>
      <w:r>
        <w:rPr>
          <w:rStyle w:val="19"/>
          <w:b w:val="0"/>
          <w:bCs w:val="0"/>
        </w:rPr>
        <w:t>, pp. 33.</w:t>
      </w:r>
    </w:p>
    <w:p w14:paraId="69BC6446">
      <w:pPr>
        <w:pStyle w:val="13"/>
        <w:widowControl/>
      </w:pPr>
      <w:r>
        <w:rPr>
          <w:rStyle w:val="19"/>
          <w:b w:val="0"/>
          <w:bCs w:val="0"/>
        </w:rPr>
        <w:t xml:space="preserve">Kang, H. (2013), </w:t>
      </w:r>
      <w:r>
        <w:rPr>
          <w:rStyle w:val="19"/>
          <w:b w:val="0"/>
          <w:bCs w:val="0"/>
          <w:i/>
          <w:iCs/>
        </w:rPr>
        <w:t>'The prevention and handling of the missing data',</w:t>
      </w:r>
      <w:r>
        <w:rPr>
          <w:rStyle w:val="19"/>
          <w:b w:val="0"/>
          <w:bCs w:val="0"/>
        </w:rPr>
        <w:t xml:space="preserve"> </w:t>
      </w:r>
      <w:r>
        <w:rPr>
          <w:rStyle w:val="21"/>
        </w:rPr>
        <w:t>Korean Journal of Anesthesiology</w:t>
      </w:r>
      <w:r>
        <w:rPr>
          <w:rStyle w:val="19"/>
          <w:b w:val="0"/>
          <w:bCs w:val="0"/>
        </w:rPr>
        <w:t>, Seoul, 64, pp. 402-406.</w:t>
      </w:r>
    </w:p>
    <w:p w14:paraId="7B5FC50A">
      <w:pPr>
        <w:pStyle w:val="13"/>
        <w:widowControl/>
      </w:pPr>
      <w:r>
        <w:rPr>
          <w:rStyle w:val="19"/>
          <w:b w:val="0"/>
          <w:bCs w:val="0"/>
        </w:rPr>
        <w:t xml:space="preserve">Karr, D. (2024), </w:t>
      </w:r>
      <w:r>
        <w:rPr>
          <w:rStyle w:val="19"/>
          <w:b w:val="0"/>
          <w:bCs w:val="0"/>
          <w:i/>
          <w:iCs/>
        </w:rPr>
        <w:t>'Survey Sample Size Calculator',</w:t>
      </w:r>
      <w:r>
        <w:rPr>
          <w:rStyle w:val="19"/>
          <w:b w:val="0"/>
          <w:bCs w:val="0"/>
        </w:rPr>
        <w:t xml:space="preserve"> </w:t>
      </w:r>
      <w:r>
        <w:rPr>
          <w:rStyle w:val="21"/>
        </w:rPr>
        <w:t>Martech Zone</w:t>
      </w:r>
      <w:r>
        <w:rPr>
          <w:rStyle w:val="19"/>
          <w:b w:val="0"/>
          <w:bCs w:val="0"/>
        </w:rPr>
        <w:t xml:space="preserve">, [Online] Available: </w:t>
      </w:r>
      <w:r>
        <w:fldChar w:fldCharType="begin"/>
      </w:r>
      <w:r>
        <w:instrText xml:space="preserve"> HYPERLINK "https://zh-cn.martech.zone/survey-sample-size-calculator/" \t "/Users/luocaisheng/Documentsx/_new" </w:instrText>
      </w:r>
      <w:r>
        <w:fldChar w:fldCharType="separate"/>
      </w:r>
      <w:r>
        <w:rPr>
          <w:rStyle w:val="22"/>
        </w:rPr>
        <w:t>https://zh-cn.martech.zone/survey-sample-size-calculator/</w:t>
      </w:r>
      <w:r>
        <w:rPr>
          <w:rStyle w:val="22"/>
        </w:rPr>
        <w:fldChar w:fldCharType="end"/>
      </w:r>
      <w:r>
        <w:rPr>
          <w:rStyle w:val="19"/>
          <w:b w:val="0"/>
          <w:bCs w:val="0"/>
        </w:rPr>
        <w:t xml:space="preserve"> [Accessed 2nd April 2024].</w:t>
      </w:r>
    </w:p>
    <w:p w14:paraId="24171B41">
      <w:pPr>
        <w:pStyle w:val="13"/>
        <w:widowControl/>
        <w:rPr>
          <w:rStyle w:val="19"/>
          <w:b w:val="0"/>
          <w:bCs w:val="0"/>
        </w:rPr>
      </w:pPr>
      <w:r>
        <w:rPr>
          <w:rStyle w:val="19"/>
          <w:b w:val="0"/>
          <w:bCs w:val="0"/>
        </w:rPr>
        <w:t xml:space="preserve">Klemensits, P. (2019), 'Economic Development or Environmental Protection? The Dilemmas of the Developing Countries through the Case of the Philippines', </w:t>
      </w:r>
      <w:r>
        <w:rPr>
          <w:rStyle w:val="21"/>
        </w:rPr>
        <w:t>European Journal of Sustainable Development</w:t>
      </w:r>
      <w:r>
        <w:rPr>
          <w:rStyle w:val="19"/>
          <w:b w:val="0"/>
          <w:bCs w:val="0"/>
        </w:rPr>
        <w:t xml:space="preserve">, [Online] Available: </w:t>
      </w:r>
      <w:r>
        <w:fldChar w:fldCharType="begin"/>
      </w:r>
      <w:r>
        <w:instrText xml:space="preserve"> HYPERLINK "https://ecsdev.org/ojs/index.php/ejsd/article/view/779" \t "/Users/luocaisheng/Documentsx/_new" </w:instrText>
      </w:r>
      <w:r>
        <w:fldChar w:fldCharType="separate"/>
      </w:r>
      <w:r>
        <w:rPr>
          <w:rStyle w:val="22"/>
        </w:rPr>
        <w:t>https://ecsdev.org/ojs/index.php/ejsd/article/view/779</w:t>
      </w:r>
      <w:r>
        <w:rPr>
          <w:rStyle w:val="22"/>
        </w:rPr>
        <w:fldChar w:fldCharType="end"/>
      </w:r>
      <w:r>
        <w:rPr>
          <w:rStyle w:val="19"/>
          <w:b w:val="0"/>
          <w:bCs w:val="0"/>
        </w:rPr>
        <w:t xml:space="preserve"> [Accessed 3rd September 2024].</w:t>
      </w:r>
    </w:p>
    <w:p w14:paraId="257D4197">
      <w:pPr>
        <w:pStyle w:val="13"/>
        <w:widowControl/>
        <w:rPr>
          <w:rStyle w:val="19"/>
          <w:b w:val="0"/>
          <w:bCs w:val="0"/>
        </w:rPr>
      </w:pPr>
      <w:r>
        <w:rPr>
          <w:rStyle w:val="19"/>
          <w:b w:val="0"/>
          <w:bCs w:val="0"/>
        </w:rPr>
        <w:t>Korkeila, K., Suominen, S., Ahvenainen, J., Ojanlatva, A., Rautava, P., Helenius, H. &amp; Koskenvuo, M. (2004), '</w:t>
      </w:r>
      <w:r>
        <w:rPr>
          <w:rStyle w:val="19"/>
          <w:b w:val="0"/>
          <w:bCs w:val="0"/>
          <w:i/>
          <w:iCs/>
        </w:rPr>
        <w:t>Non-response and related factors in a nation-wide health survey'</w:t>
      </w:r>
      <w:r>
        <w:rPr>
          <w:rStyle w:val="19"/>
          <w:b w:val="0"/>
          <w:bCs w:val="0"/>
        </w:rPr>
        <w:t xml:space="preserve">, </w:t>
      </w:r>
      <w:r>
        <w:rPr>
          <w:rStyle w:val="21"/>
        </w:rPr>
        <w:t>European Journal of Epidemiology</w:t>
      </w:r>
      <w:r>
        <w:rPr>
          <w:rStyle w:val="19"/>
          <w:b w:val="0"/>
          <w:bCs w:val="0"/>
        </w:rPr>
        <w:t>, 17, pp. 991-999. Heidelberg: European Journal of Epidemiology.</w:t>
      </w:r>
    </w:p>
    <w:p w14:paraId="514A0171">
      <w:pPr>
        <w:pStyle w:val="13"/>
        <w:widowControl/>
      </w:pPr>
      <w:r>
        <w:rPr>
          <w:rStyle w:val="19"/>
          <w:b w:val="0"/>
          <w:bCs w:val="0"/>
        </w:rPr>
        <w:t>Kumar, J., Neiber, R.R., Park, J., Soomro, R.A., Greene, G.W., Mazari, S.A., Seo, H.Y., Lee, J.H., Shon, M., Chang, D.W. &amp; Cho, K.Y. (2022), '</w:t>
      </w:r>
      <w:r>
        <w:rPr>
          <w:rStyle w:val="19"/>
          <w:b w:val="0"/>
          <w:bCs w:val="0"/>
          <w:i/>
          <w:iCs/>
        </w:rPr>
        <w:t>Recent progress in sustainable recycling of LiFePO4-type lithium-ion batteries: Strategies for highly selective lithium recovery'</w:t>
      </w:r>
      <w:r>
        <w:rPr>
          <w:rStyle w:val="19"/>
          <w:b w:val="0"/>
          <w:bCs w:val="0"/>
        </w:rPr>
        <w:t xml:space="preserve">, </w:t>
      </w:r>
      <w:r>
        <w:rPr>
          <w:rStyle w:val="21"/>
        </w:rPr>
        <w:t>Chemical Engineering Journal</w:t>
      </w:r>
      <w:r>
        <w:rPr>
          <w:rStyle w:val="19"/>
          <w:b w:val="0"/>
          <w:bCs w:val="0"/>
        </w:rPr>
        <w:t>, 431, p. 133993.</w:t>
      </w:r>
    </w:p>
    <w:p w14:paraId="1F261FBF">
      <w:pPr>
        <w:pStyle w:val="13"/>
        <w:widowControl/>
      </w:pPr>
      <w:r>
        <w:rPr>
          <w:rStyle w:val="19"/>
          <w:b w:val="0"/>
          <w:bCs w:val="0"/>
        </w:rPr>
        <w:t xml:space="preserve">Kumar, R., Gopal, R. &amp; Garfinkel, R. (2010), </w:t>
      </w:r>
      <w:r>
        <w:rPr>
          <w:rStyle w:val="19"/>
          <w:b w:val="0"/>
          <w:bCs w:val="0"/>
          <w:i/>
          <w:iCs/>
        </w:rPr>
        <w:t>'Freedom of Privacy: Anonymous Data Collection with Respondent-Defined Privacy Protection'</w:t>
      </w:r>
      <w:r>
        <w:rPr>
          <w:rStyle w:val="19"/>
          <w:b w:val="0"/>
          <w:bCs w:val="0"/>
        </w:rPr>
        <w:t xml:space="preserve">, </w:t>
      </w:r>
      <w:r>
        <w:rPr>
          <w:rStyle w:val="21"/>
        </w:rPr>
        <w:t>INFORMS Journal on Computing</w:t>
      </w:r>
      <w:r>
        <w:rPr>
          <w:rStyle w:val="19"/>
          <w:b w:val="0"/>
          <w:bCs w:val="0"/>
        </w:rPr>
        <w:t xml:space="preserve">, 22, pp. 471-481. [Online] Available: </w:t>
      </w:r>
      <w:r>
        <w:fldChar w:fldCharType="begin"/>
      </w:r>
      <w:r>
        <w:instrText xml:space="preserve"> HYPERLINK "https://www.informs.org/" \t "/Users/luocaisheng/Documentsx/_new" </w:instrText>
      </w:r>
      <w:r>
        <w:fldChar w:fldCharType="separate"/>
      </w:r>
      <w:r>
        <w:rPr>
          <w:rStyle w:val="22"/>
        </w:rPr>
        <w:t>https://www.informs.org/</w:t>
      </w:r>
      <w:r>
        <w:rPr>
          <w:rStyle w:val="22"/>
        </w:rPr>
        <w:fldChar w:fldCharType="end"/>
      </w:r>
      <w:r>
        <w:rPr>
          <w:rStyle w:val="19"/>
          <w:b w:val="0"/>
          <w:bCs w:val="0"/>
        </w:rPr>
        <w:t xml:space="preserve"> [Accessed 17th August 2024].</w:t>
      </w:r>
    </w:p>
    <w:p w14:paraId="149CB81C">
      <w:pPr>
        <w:pStyle w:val="13"/>
        <w:widowControl/>
        <w:rPr>
          <w:rStyle w:val="19"/>
          <w:b w:val="0"/>
          <w:bCs w:val="0"/>
        </w:rPr>
      </w:pPr>
      <w:r>
        <w:rPr>
          <w:rStyle w:val="19"/>
          <w:b w:val="0"/>
          <w:bCs w:val="0"/>
        </w:rPr>
        <w:t>Lakens, D. (2021), '</w:t>
      </w:r>
      <w:r>
        <w:rPr>
          <w:rStyle w:val="19"/>
          <w:b w:val="0"/>
          <w:bCs w:val="0"/>
          <w:i/>
          <w:iCs/>
        </w:rPr>
        <w:t>Sample Size Justification'</w:t>
      </w:r>
      <w:r>
        <w:rPr>
          <w:rStyle w:val="19"/>
          <w:b w:val="0"/>
          <w:bCs w:val="0"/>
        </w:rPr>
        <w:t xml:space="preserve">, </w:t>
      </w:r>
      <w:r>
        <w:rPr>
          <w:rStyle w:val="21"/>
        </w:rPr>
        <w:t>Collabra: Psychology</w:t>
      </w:r>
      <w:r>
        <w:rPr>
          <w:rStyle w:val="19"/>
          <w:b w:val="0"/>
          <w:bCs w:val="0"/>
        </w:rPr>
        <w:t>.</w:t>
      </w:r>
    </w:p>
    <w:p w14:paraId="5B4FB5DB">
      <w:pPr>
        <w:pStyle w:val="13"/>
        <w:widowControl/>
      </w:pPr>
      <w:r>
        <w:rPr>
          <w:rStyle w:val="19"/>
          <w:b w:val="0"/>
          <w:bCs w:val="0"/>
        </w:rPr>
        <w:t xml:space="preserve">Lavarda, R. &amp; Bellucci, C. (2022), 'Case Study as a Suitable Method to Research Strategy as Practice Perspective', </w:t>
      </w:r>
      <w:r>
        <w:rPr>
          <w:rStyle w:val="21"/>
        </w:rPr>
        <w:t>The Qualitative Report</w:t>
      </w:r>
      <w:r>
        <w:rPr>
          <w:rStyle w:val="19"/>
          <w:b w:val="0"/>
          <w:bCs w:val="0"/>
        </w:rPr>
        <w:t>.</w:t>
      </w:r>
    </w:p>
    <w:p w14:paraId="1C00686E">
      <w:pPr>
        <w:pStyle w:val="13"/>
        <w:widowControl/>
        <w:rPr>
          <w:rStyle w:val="19"/>
          <w:b w:val="0"/>
          <w:bCs w:val="0"/>
        </w:rPr>
      </w:pPr>
      <w:r>
        <w:rPr>
          <w:rStyle w:val="19"/>
          <w:b w:val="0"/>
          <w:bCs w:val="0"/>
        </w:rPr>
        <w:t xml:space="preserve">Leal, P., Marques, A. &amp; Shahbaz, M. (2020), 'The role of globalisation, de jure and de facto, on environmental performance: evidence from developing and developed countries', </w:t>
      </w:r>
      <w:r>
        <w:rPr>
          <w:rStyle w:val="21"/>
        </w:rPr>
        <w:t>Environment, Development and Sustainability</w:t>
      </w:r>
      <w:r>
        <w:rPr>
          <w:rStyle w:val="19"/>
          <w:b w:val="0"/>
          <w:bCs w:val="0"/>
        </w:rPr>
        <w:t>, 23, pp. 7412-7431.</w:t>
      </w:r>
    </w:p>
    <w:p w14:paraId="73AD66ED">
      <w:pPr>
        <w:pStyle w:val="13"/>
        <w:widowControl/>
        <w:rPr>
          <w:rStyle w:val="19"/>
          <w:b w:val="0"/>
          <w:bCs w:val="0"/>
        </w:rPr>
      </w:pPr>
      <w:r>
        <w:rPr>
          <w:rStyle w:val="19"/>
          <w:b w:val="0"/>
          <w:bCs w:val="0"/>
        </w:rPr>
        <w:t>Lesjak, Ž. (2024). BYD Sales by model and Country (Q2 2024 statistics). Tridens. [Online]</w:t>
      </w:r>
      <w:r>
        <w:rPr>
          <w:rStyle w:val="19"/>
          <w:rFonts w:hint="eastAsia"/>
          <w:b w:val="0"/>
          <w:bCs w:val="0"/>
        </w:rPr>
        <w:t xml:space="preserve"> </w:t>
      </w:r>
      <w:r>
        <w:fldChar w:fldCharType="begin"/>
      </w:r>
      <w:r>
        <w:instrText xml:space="preserve"> HYPERLINK "https://tridenstechnology.com/byd-sales-statistics/" </w:instrText>
      </w:r>
      <w:r>
        <w:fldChar w:fldCharType="separate"/>
      </w:r>
      <w:r>
        <w:rPr>
          <w:rStyle w:val="22"/>
        </w:rPr>
        <w:t>https://tridenstechnology.com/byd-sales-statistics/</w:t>
      </w:r>
      <w:r>
        <w:rPr>
          <w:rStyle w:val="22"/>
        </w:rPr>
        <w:fldChar w:fldCharType="end"/>
      </w:r>
      <w:r>
        <w:rPr>
          <w:rStyle w:val="19"/>
          <w:rFonts w:hint="eastAsia"/>
          <w:b w:val="0"/>
          <w:bCs w:val="0"/>
        </w:rPr>
        <w:t xml:space="preserve"> </w:t>
      </w:r>
      <w:r>
        <w:rPr>
          <w:rStyle w:val="19"/>
          <w:b w:val="0"/>
          <w:bCs w:val="0"/>
        </w:rPr>
        <w:t xml:space="preserve"> [Accessed 1</w:t>
      </w:r>
      <w:r>
        <w:rPr>
          <w:rStyle w:val="19"/>
          <w:rFonts w:hint="eastAsia"/>
          <w:b w:val="0"/>
          <w:bCs w:val="0"/>
        </w:rPr>
        <w:t>3</w:t>
      </w:r>
      <w:r>
        <w:rPr>
          <w:rStyle w:val="19"/>
          <w:b w:val="0"/>
          <w:bCs w:val="0"/>
        </w:rPr>
        <w:t xml:space="preserve">th </w:t>
      </w:r>
      <w:r>
        <w:rPr>
          <w:rStyle w:val="19"/>
          <w:rFonts w:hint="eastAsia"/>
          <w:b w:val="0"/>
          <w:bCs w:val="0"/>
        </w:rPr>
        <w:t>September</w:t>
      </w:r>
      <w:r>
        <w:rPr>
          <w:rStyle w:val="19"/>
          <w:b w:val="0"/>
          <w:bCs w:val="0"/>
        </w:rPr>
        <w:t xml:space="preserve"> 2024]</w:t>
      </w:r>
    </w:p>
    <w:p w14:paraId="56B2FD94">
      <w:pPr>
        <w:pStyle w:val="13"/>
        <w:widowControl/>
        <w:rPr>
          <w:rStyle w:val="19"/>
          <w:b w:val="0"/>
          <w:bCs w:val="0"/>
        </w:rPr>
      </w:pPr>
      <w:r>
        <w:rPr>
          <w:rStyle w:val="19"/>
          <w:b w:val="0"/>
          <w:bCs w:val="0"/>
        </w:rPr>
        <w:t xml:space="preserve">Levitt, T. (2024), </w:t>
      </w:r>
      <w:r>
        <w:rPr>
          <w:rStyle w:val="19"/>
          <w:b w:val="0"/>
          <w:bCs w:val="0"/>
          <w:i/>
          <w:iCs/>
        </w:rPr>
        <w:t>'Exploit the product life cycle'</w:t>
      </w:r>
      <w:r>
        <w:rPr>
          <w:rStyle w:val="19"/>
          <w:b w:val="0"/>
          <w:bCs w:val="0"/>
        </w:rPr>
        <w:t xml:space="preserve">, </w:t>
      </w:r>
      <w:r>
        <w:rPr>
          <w:rStyle w:val="21"/>
        </w:rPr>
        <w:t>Harvard Business Review</w:t>
      </w:r>
      <w:r>
        <w:rPr>
          <w:rStyle w:val="19"/>
          <w:b w:val="0"/>
          <w:bCs w:val="0"/>
        </w:rPr>
        <w:t xml:space="preserve">, Brighton, Massachusetts, [Online] Available: </w:t>
      </w:r>
      <w:r>
        <w:fldChar w:fldCharType="begin"/>
      </w:r>
      <w:r>
        <w:instrText xml:space="preserve"> HYPERLINK "https://hbr.org/1965/11/exploit-the-product-life-cycle" \t "/Users/luocaisheng/Documentsx/_new" </w:instrText>
      </w:r>
      <w:r>
        <w:fldChar w:fldCharType="separate"/>
      </w:r>
      <w:r>
        <w:rPr>
          <w:rStyle w:val="22"/>
        </w:rPr>
        <w:t>https://hbr.org/1965/11/exploit-the-product-life-cycle</w:t>
      </w:r>
      <w:r>
        <w:rPr>
          <w:rStyle w:val="22"/>
        </w:rPr>
        <w:fldChar w:fldCharType="end"/>
      </w:r>
      <w:r>
        <w:rPr>
          <w:rStyle w:val="19"/>
          <w:b w:val="0"/>
          <w:bCs w:val="0"/>
        </w:rPr>
        <w:t xml:space="preserve"> [Accessed 16th July 2024].</w:t>
      </w:r>
    </w:p>
    <w:p w14:paraId="2BB70AC2">
      <w:pPr>
        <w:pStyle w:val="13"/>
        <w:widowControl/>
        <w:rPr>
          <w:rStyle w:val="19"/>
          <w:b w:val="0"/>
          <w:bCs w:val="0"/>
        </w:rPr>
      </w:pPr>
      <w:r>
        <w:rPr>
          <w:rStyle w:val="19"/>
          <w:b w:val="0"/>
          <w:bCs w:val="0"/>
        </w:rPr>
        <w:t xml:space="preserve">Liao, F., Molin, E. &amp; Wee, B. (2017), 'Consumer preferences for electric vehicles: a literature review', </w:t>
      </w:r>
      <w:r>
        <w:rPr>
          <w:rStyle w:val="21"/>
        </w:rPr>
        <w:t>Transport Reviews</w:t>
      </w:r>
      <w:r>
        <w:rPr>
          <w:rStyle w:val="19"/>
          <w:b w:val="0"/>
          <w:bCs w:val="0"/>
        </w:rPr>
        <w:t>, 37, pp. 252-275.</w:t>
      </w:r>
    </w:p>
    <w:p w14:paraId="28246ED9">
      <w:pPr>
        <w:pStyle w:val="13"/>
        <w:widowControl/>
        <w:rPr>
          <w:rStyle w:val="19"/>
          <w:b w:val="0"/>
          <w:bCs w:val="0"/>
        </w:rPr>
      </w:pPr>
      <w:r>
        <w:rPr>
          <w:rStyle w:val="19"/>
          <w:b w:val="0"/>
          <w:bCs w:val="0"/>
        </w:rPr>
        <w:t xml:space="preserve">LocationsCloud (2024), 'Number of McDonald’s restaurants in the USA - 2024', [Online] Available: </w:t>
      </w:r>
      <w:r>
        <w:fldChar w:fldCharType="begin"/>
      </w:r>
      <w:r>
        <w:instrText xml:space="preserve"> HYPERLINK "https://www.locationscloud.com/intelligence-reports/mcdonalds-usa/" \t "/Users/luocaisheng/Documentsx/_new" </w:instrText>
      </w:r>
      <w:r>
        <w:fldChar w:fldCharType="separate"/>
      </w:r>
      <w:r>
        <w:rPr>
          <w:rStyle w:val="22"/>
        </w:rPr>
        <w:t>https://www.locationscloud.com/intelligence-reports/mcdonalds-usa/</w:t>
      </w:r>
      <w:r>
        <w:rPr>
          <w:rStyle w:val="22"/>
        </w:rPr>
        <w:fldChar w:fldCharType="end"/>
      </w:r>
      <w:r>
        <w:rPr>
          <w:rStyle w:val="19"/>
          <w:b w:val="0"/>
          <w:bCs w:val="0"/>
        </w:rPr>
        <w:t xml:space="preserve"> [Accessed 12th June 2024].</w:t>
      </w:r>
    </w:p>
    <w:p w14:paraId="18BD416B">
      <w:pPr>
        <w:pStyle w:val="13"/>
        <w:widowControl/>
        <w:rPr>
          <w:rStyle w:val="19"/>
          <w:b w:val="0"/>
          <w:bCs w:val="0"/>
        </w:rPr>
      </w:pPr>
      <w:r>
        <w:rPr>
          <w:rStyle w:val="19"/>
          <w:b w:val="0"/>
          <w:bCs w:val="0"/>
        </w:rPr>
        <w:t xml:space="preserve">Madu, C. (1999), 'A Decision Support Framework for Environmental Planning in Developing Countries', </w:t>
      </w:r>
      <w:r>
        <w:rPr>
          <w:rStyle w:val="21"/>
        </w:rPr>
        <w:t>Journal of Environmental Planning and Management</w:t>
      </w:r>
      <w:r>
        <w:rPr>
          <w:rStyle w:val="19"/>
          <w:b w:val="0"/>
          <w:bCs w:val="0"/>
        </w:rPr>
        <w:t>, 42, pp. 287-313.</w:t>
      </w:r>
    </w:p>
    <w:p w14:paraId="2F835D65">
      <w:pPr>
        <w:pStyle w:val="13"/>
        <w:widowControl/>
        <w:rPr>
          <w:rStyle w:val="19"/>
          <w:b w:val="0"/>
          <w:bCs w:val="0"/>
        </w:rPr>
      </w:pPr>
      <w:r>
        <w:rPr>
          <w:rStyle w:val="19"/>
          <w:b w:val="0"/>
          <w:bCs w:val="0"/>
        </w:rPr>
        <w:t xml:space="preserve">MAHB (2023), 'When fossil fuels run out, what then?', [Online] Available: </w:t>
      </w:r>
      <w:r>
        <w:fldChar w:fldCharType="begin"/>
      </w:r>
      <w:r>
        <w:instrText xml:space="preserve"> HYPERLINK "https://mahb.stanford.edu/library-item/fossil-fuels-run/" \t "/Users/luocaisheng/Documentsx/_new" </w:instrText>
      </w:r>
      <w:r>
        <w:fldChar w:fldCharType="separate"/>
      </w:r>
      <w:r>
        <w:rPr>
          <w:rStyle w:val="22"/>
        </w:rPr>
        <w:t>https://mahb.stanford.edu/library-item/fossil-fuels-run/</w:t>
      </w:r>
      <w:r>
        <w:rPr>
          <w:rStyle w:val="22"/>
        </w:rPr>
        <w:fldChar w:fldCharType="end"/>
      </w:r>
      <w:r>
        <w:rPr>
          <w:rStyle w:val="19"/>
          <w:b w:val="0"/>
          <w:bCs w:val="0"/>
        </w:rPr>
        <w:t xml:space="preserve"> [Accessed 25th August 2024].</w:t>
      </w:r>
    </w:p>
    <w:p w14:paraId="5DA2B605">
      <w:pPr>
        <w:pStyle w:val="13"/>
        <w:widowControl/>
        <w:rPr>
          <w:rStyle w:val="19"/>
          <w:b w:val="0"/>
          <w:bCs w:val="0"/>
        </w:rPr>
      </w:pPr>
      <w:r>
        <w:rPr>
          <w:rStyle w:val="19"/>
          <w:b w:val="0"/>
          <w:bCs w:val="0"/>
        </w:rPr>
        <w:t xml:space="preserve">Malachowski, A. (2011), 'Richard N. Manning, The New Pragmatism', </w:t>
      </w:r>
      <w:r>
        <w:rPr>
          <w:rStyle w:val="21"/>
        </w:rPr>
        <w:t>Analysis</w:t>
      </w:r>
      <w:r>
        <w:rPr>
          <w:rStyle w:val="19"/>
          <w:b w:val="0"/>
          <w:bCs w:val="0"/>
        </w:rPr>
        <w:t>, 71(4), pp. 776-778.</w:t>
      </w:r>
    </w:p>
    <w:p w14:paraId="462DBED9">
      <w:pPr>
        <w:pStyle w:val="13"/>
        <w:widowControl/>
        <w:rPr>
          <w:rStyle w:val="19"/>
          <w:b w:val="0"/>
          <w:bCs w:val="0"/>
        </w:rPr>
      </w:pPr>
      <w:r>
        <w:rPr>
          <w:rStyle w:val="19"/>
          <w:b w:val="0"/>
          <w:bCs w:val="0"/>
          <w:lang w:val="da-DK"/>
        </w:rPr>
        <w:t xml:space="preserve">Martins, L., Guimarães, L., Junior, A., et al. </w:t>
      </w:r>
      <w:r>
        <w:rPr>
          <w:rStyle w:val="19"/>
          <w:b w:val="0"/>
          <w:bCs w:val="0"/>
        </w:rPr>
        <w:t xml:space="preserve">(2021), 'Electric car battery: An overview on global demand, recycling and future approaches towards sustainability', </w:t>
      </w:r>
      <w:r>
        <w:rPr>
          <w:rStyle w:val="21"/>
        </w:rPr>
        <w:t>Journal of Environmental Management</w:t>
      </w:r>
      <w:r>
        <w:rPr>
          <w:rStyle w:val="19"/>
          <w:b w:val="0"/>
          <w:bCs w:val="0"/>
        </w:rPr>
        <w:t>, 295, pp. 113091.</w:t>
      </w:r>
    </w:p>
    <w:p w14:paraId="63FF6D49">
      <w:pPr>
        <w:pStyle w:val="13"/>
        <w:widowControl/>
        <w:rPr>
          <w:rStyle w:val="19"/>
          <w:b w:val="0"/>
          <w:bCs w:val="0"/>
        </w:rPr>
      </w:pPr>
      <w:r>
        <w:rPr>
          <w:rStyle w:val="19"/>
          <w:b w:val="0"/>
          <w:bCs w:val="0"/>
        </w:rPr>
        <w:t xml:space="preserve">Matheson, G. (2019), 'We need to talk about reliability: making better use of test-retest studies for study design and interpretation', [Online] Available: </w:t>
      </w:r>
      <w:r>
        <w:fldChar w:fldCharType="begin"/>
      </w:r>
      <w:r>
        <w:instrText xml:space="preserve"> HYPERLINK "https://www.ncbi.nlm.nih.gov/pmc/articles/PMC6536112/" \t "/Users/luocaisheng/Documentsx/_new" </w:instrText>
      </w:r>
      <w:r>
        <w:fldChar w:fldCharType="separate"/>
      </w:r>
      <w:r>
        <w:rPr>
          <w:rStyle w:val="22"/>
        </w:rPr>
        <w:t>https://www.ncbi.nlm.nih.gov/pmc/articles/PMC6536112/</w:t>
      </w:r>
      <w:r>
        <w:rPr>
          <w:rStyle w:val="22"/>
        </w:rPr>
        <w:fldChar w:fldCharType="end"/>
      </w:r>
      <w:r>
        <w:rPr>
          <w:rStyle w:val="19"/>
          <w:b w:val="0"/>
          <w:bCs w:val="0"/>
        </w:rPr>
        <w:t xml:space="preserve"> [Accessed 20th August 2024].</w:t>
      </w:r>
    </w:p>
    <w:p w14:paraId="59107D48">
      <w:pPr>
        <w:pStyle w:val="13"/>
        <w:widowControl/>
        <w:rPr>
          <w:rStyle w:val="19"/>
          <w:b w:val="0"/>
          <w:bCs w:val="0"/>
        </w:rPr>
      </w:pPr>
      <w:r>
        <w:rPr>
          <w:rStyle w:val="19"/>
          <w:b w:val="0"/>
          <w:bCs w:val="0"/>
        </w:rPr>
        <w:t xml:space="preserve">Maradin, D., Malnar, A. &amp; Kaštelan, A. (2022), 'Sustainable and Clean Energy: The Case of Tesla Company', </w:t>
      </w:r>
      <w:r>
        <w:rPr>
          <w:rStyle w:val="21"/>
        </w:rPr>
        <w:t>Journal of Economics, Finance and Management Studies</w:t>
      </w:r>
      <w:r>
        <w:rPr>
          <w:rStyle w:val="19"/>
          <w:b w:val="0"/>
          <w:bCs w:val="0"/>
        </w:rPr>
        <w:t xml:space="preserve">, [Online] Available: </w:t>
      </w:r>
      <w:r>
        <w:fldChar w:fldCharType="begin"/>
      </w:r>
      <w:r>
        <w:instrText xml:space="preserve"> HYPERLINK "https://ijefm.co.in/v5i12/Doc/10.pdf" \t "/Users/luocaisheng/Documentsx/_new" </w:instrText>
      </w:r>
      <w:r>
        <w:fldChar w:fldCharType="separate"/>
      </w:r>
      <w:r>
        <w:rPr>
          <w:rStyle w:val="22"/>
        </w:rPr>
        <w:t>https://ijefm.co.in/v5i12/Doc/10.pdf</w:t>
      </w:r>
      <w:r>
        <w:rPr>
          <w:rStyle w:val="22"/>
        </w:rPr>
        <w:fldChar w:fldCharType="end"/>
      </w:r>
      <w:r>
        <w:rPr>
          <w:rStyle w:val="19"/>
          <w:b w:val="0"/>
          <w:bCs w:val="0"/>
        </w:rPr>
        <w:t xml:space="preserve"> [Accessed 27th August 2024].</w:t>
      </w:r>
    </w:p>
    <w:p w14:paraId="68A32558">
      <w:pPr>
        <w:pStyle w:val="13"/>
        <w:widowControl/>
      </w:pPr>
      <w:r>
        <w:rPr>
          <w:rStyle w:val="19"/>
          <w:b w:val="0"/>
          <w:bCs w:val="0"/>
        </w:rPr>
        <w:t xml:space="preserve">McCombes, S. (2023), </w:t>
      </w:r>
      <w:r>
        <w:rPr>
          <w:rStyle w:val="19"/>
          <w:b w:val="0"/>
          <w:bCs w:val="0"/>
          <w:i/>
          <w:iCs/>
        </w:rPr>
        <w:t>'Research Design | Step-by-Step Guide with Examples',</w:t>
      </w:r>
      <w:r>
        <w:rPr>
          <w:rStyle w:val="19"/>
          <w:b w:val="0"/>
          <w:bCs w:val="0"/>
        </w:rPr>
        <w:t xml:space="preserve"> [Online] Available: </w:t>
      </w:r>
      <w:r>
        <w:fldChar w:fldCharType="begin"/>
      </w:r>
      <w:r>
        <w:instrText xml:space="preserve"> HYPERLINK "https://www.scribbr.co.uk/research-methods/research-design/" \t "/Users/luocaisheng/Documentsx/_new" </w:instrText>
      </w:r>
      <w:r>
        <w:fldChar w:fldCharType="separate"/>
      </w:r>
      <w:r>
        <w:rPr>
          <w:rStyle w:val="22"/>
        </w:rPr>
        <w:t>https://www.scribbr.co.uk/research-methods/research-design/</w:t>
      </w:r>
      <w:r>
        <w:rPr>
          <w:rStyle w:val="22"/>
        </w:rPr>
        <w:fldChar w:fldCharType="end"/>
      </w:r>
      <w:r>
        <w:rPr>
          <w:rStyle w:val="19"/>
          <w:b w:val="0"/>
          <w:bCs w:val="0"/>
        </w:rPr>
        <w:t xml:space="preserve"> [Accessed 20th March 2023].</w:t>
      </w:r>
    </w:p>
    <w:p w14:paraId="55DC9A47">
      <w:pPr>
        <w:pStyle w:val="13"/>
        <w:widowControl/>
      </w:pPr>
      <w:r>
        <w:rPr>
          <w:rStyle w:val="19"/>
          <w:b w:val="0"/>
          <w:bCs w:val="0"/>
        </w:rPr>
        <w:t xml:space="preserve">McKinsey &amp; Company (2021), 'Why the automotive future is electric', [Online] Available: </w:t>
      </w:r>
      <w:r>
        <w:fldChar w:fldCharType="begin"/>
      </w:r>
      <w:r>
        <w:instrText xml:space="preserve"> HYPERLINK "https://www.mckinsey.com/industries/automotive-and-assembly/our-insights/why-the-automotive-future-is-electric" \t "/Users/luocaisheng/Documentsx/_new" </w:instrText>
      </w:r>
      <w:r>
        <w:fldChar w:fldCharType="separate"/>
      </w:r>
      <w:r>
        <w:rPr>
          <w:rStyle w:val="22"/>
        </w:rPr>
        <w:t>https://www.mckinsey.com/industries/automotive-and-assembly/our-insights/why-the-automotive-future-is-electric</w:t>
      </w:r>
      <w:r>
        <w:rPr>
          <w:rStyle w:val="22"/>
        </w:rPr>
        <w:fldChar w:fldCharType="end"/>
      </w:r>
      <w:r>
        <w:rPr>
          <w:rStyle w:val="19"/>
          <w:b w:val="0"/>
          <w:bCs w:val="0"/>
        </w:rPr>
        <w:t xml:space="preserve"> [Accessed 26th August 2024].</w:t>
      </w:r>
    </w:p>
    <w:p w14:paraId="0B17728F">
      <w:pPr>
        <w:pStyle w:val="13"/>
        <w:widowControl/>
        <w:rPr>
          <w:rStyle w:val="19"/>
          <w:b w:val="0"/>
          <w:bCs w:val="0"/>
        </w:rPr>
      </w:pPr>
      <w:r>
        <w:rPr>
          <w:rStyle w:val="19"/>
          <w:b w:val="0"/>
          <w:bCs w:val="0"/>
        </w:rPr>
        <w:t xml:space="preserve">McLeod, D. &amp; Cobalt Institute (2024), </w:t>
      </w:r>
      <w:r>
        <w:rPr>
          <w:rStyle w:val="19"/>
          <w:b w:val="0"/>
          <w:bCs w:val="0"/>
          <w:i/>
          <w:iCs/>
        </w:rPr>
        <w:t>'Cobalt Market Report 2023'</w:t>
      </w:r>
      <w:r>
        <w:rPr>
          <w:rStyle w:val="19"/>
          <w:b w:val="0"/>
          <w:bCs w:val="0"/>
        </w:rPr>
        <w:t xml:space="preserve">, </w:t>
      </w:r>
      <w:r>
        <w:rPr>
          <w:rStyle w:val="21"/>
        </w:rPr>
        <w:t>Benchmark Mineral Intelligence, Cobalt Market Report 2023</w:t>
      </w:r>
      <w:r>
        <w:rPr>
          <w:rStyle w:val="19"/>
          <w:b w:val="0"/>
          <w:bCs w:val="0"/>
        </w:rPr>
        <w:t xml:space="preserve">, [Online] Available: </w:t>
      </w:r>
      <w:r>
        <w:fldChar w:fldCharType="begin"/>
      </w:r>
      <w:r>
        <w:instrText xml:space="preserve"> HYPERLINK "https://www.cobaltinstitute.org/wp-content/uploads/2024/05/Cobalt-Market-Report-2023_FINAL.pdf" \t "/Users/luocaisheng/Documentsx/_new" </w:instrText>
      </w:r>
      <w:r>
        <w:fldChar w:fldCharType="separate"/>
      </w:r>
      <w:r>
        <w:rPr>
          <w:rStyle w:val="22"/>
        </w:rPr>
        <w:t>https://www.cobaltinstitute.org/wp-content/uploads/2024/05/Cobalt-Market-Report-2023_FINAL.pdf</w:t>
      </w:r>
      <w:r>
        <w:rPr>
          <w:rStyle w:val="22"/>
        </w:rPr>
        <w:fldChar w:fldCharType="end"/>
      </w:r>
      <w:r>
        <w:rPr>
          <w:rStyle w:val="19"/>
          <w:b w:val="0"/>
          <w:bCs w:val="0"/>
        </w:rPr>
        <w:t xml:space="preserve"> [Accessed 15th May 2024].</w:t>
      </w:r>
    </w:p>
    <w:p w14:paraId="1D92867B">
      <w:pPr>
        <w:pStyle w:val="13"/>
        <w:widowControl/>
      </w:pPr>
      <w:r>
        <w:rPr>
          <w:rStyle w:val="19"/>
          <w:rFonts w:hint="eastAsia"/>
          <w:b w:val="0"/>
          <w:bCs w:val="0"/>
        </w:rPr>
        <w:t>Modor Intelligence (2024)</w:t>
      </w:r>
      <w:r>
        <w:rPr>
          <w:rStyle w:val="19"/>
          <w:rFonts w:hint="eastAsia"/>
          <w:b w:val="0"/>
          <w:bCs w:val="0"/>
          <w:i/>
          <w:iCs/>
        </w:rPr>
        <w:t xml:space="preserve"> </w:t>
      </w:r>
      <w:r>
        <w:rPr>
          <w:rStyle w:val="19"/>
          <w:b w:val="0"/>
          <w:bCs w:val="0"/>
          <w:i/>
          <w:iCs/>
        </w:rPr>
        <w:t>'Manganese Market Insights'</w:t>
      </w:r>
      <w:r>
        <w:rPr>
          <w:rStyle w:val="19"/>
          <w:b w:val="0"/>
          <w:bCs w:val="0"/>
        </w:rPr>
        <w:t xml:space="preserve"> , [Online] Available: </w:t>
      </w:r>
      <w:r>
        <w:fldChar w:fldCharType="begin"/>
      </w:r>
      <w:r>
        <w:instrText xml:space="preserve"> HYPERLINK "https://www.mordorintelligence.com/industry-reports/manganese-market" \t "/Users/luocaisheng/Documentsx/_new" </w:instrText>
      </w:r>
      <w:r>
        <w:fldChar w:fldCharType="separate"/>
      </w:r>
      <w:r>
        <w:rPr>
          <w:rStyle w:val="22"/>
        </w:rPr>
        <w:t>https://www.mordorintelligence.com/industry-reports/manganese-market</w:t>
      </w:r>
      <w:r>
        <w:rPr>
          <w:rStyle w:val="22"/>
        </w:rPr>
        <w:fldChar w:fldCharType="end"/>
      </w:r>
      <w:r>
        <w:rPr>
          <w:rStyle w:val="19"/>
          <w:b w:val="0"/>
          <w:bCs w:val="0"/>
        </w:rPr>
        <w:t xml:space="preserve"> [Accessed 20th July 2024].</w:t>
      </w:r>
    </w:p>
    <w:p w14:paraId="193DEECF">
      <w:pPr>
        <w:pStyle w:val="13"/>
        <w:widowControl/>
        <w:rPr>
          <w:rStyle w:val="19"/>
          <w:b w:val="0"/>
          <w:bCs w:val="0"/>
        </w:rPr>
      </w:pPr>
      <w:r>
        <w:rPr>
          <w:rStyle w:val="19"/>
          <w:b w:val="0"/>
          <w:bCs w:val="0"/>
        </w:rPr>
        <w:t xml:space="preserve">Montgomery, S. (2012), 'Quantitative vs. qualitative – do different research methods give us consistent information about our users and their library space needs?', </w:t>
      </w:r>
      <w:r>
        <w:rPr>
          <w:rStyle w:val="21"/>
        </w:rPr>
        <w:t>Library and Information Research</w:t>
      </w:r>
      <w:r>
        <w:rPr>
          <w:rStyle w:val="19"/>
          <w:b w:val="0"/>
          <w:bCs w:val="0"/>
        </w:rPr>
        <w:t>, 35, pp. 73-86.</w:t>
      </w:r>
    </w:p>
    <w:p w14:paraId="77FF31AB">
      <w:pPr>
        <w:pStyle w:val="13"/>
        <w:widowControl/>
        <w:rPr>
          <w:rStyle w:val="19"/>
          <w:b w:val="0"/>
          <w:bCs w:val="0"/>
        </w:rPr>
      </w:pPr>
      <w:r>
        <w:rPr>
          <w:rStyle w:val="19"/>
          <w:b w:val="0"/>
          <w:bCs w:val="0"/>
        </w:rPr>
        <w:t xml:space="preserve">Morgan, J. (2020), 'Electric vehicles: the future we made and the problem of unmaking it', </w:t>
      </w:r>
      <w:r>
        <w:rPr>
          <w:rStyle w:val="21"/>
        </w:rPr>
        <w:t>Cambridge Journal of Economics</w:t>
      </w:r>
      <w:r>
        <w:rPr>
          <w:rStyle w:val="19"/>
          <w:b w:val="0"/>
          <w:bCs w:val="0"/>
        </w:rPr>
        <w:t>, 44(4), pp. 953–977.</w:t>
      </w:r>
    </w:p>
    <w:p w14:paraId="14216F59">
      <w:pPr>
        <w:pStyle w:val="13"/>
        <w:widowControl/>
        <w:rPr>
          <w:rStyle w:val="19"/>
          <w:b w:val="0"/>
          <w:bCs w:val="0"/>
        </w:rPr>
      </w:pPr>
      <w:r>
        <w:rPr>
          <w:rStyle w:val="19"/>
          <w:b w:val="0"/>
          <w:bCs w:val="0"/>
        </w:rPr>
        <w:t xml:space="preserve">Mulach, J. (2024), 'Ford wishes it had fixed quality problems sooner', [Online] Available: </w:t>
      </w:r>
      <w:r>
        <w:fldChar w:fldCharType="begin"/>
      </w:r>
      <w:r>
        <w:instrText xml:space="preserve"> HYPERLINK "https://www.carexpert.com.au/car-news/ford-wishes-it-had-fixed-quality-problems-sooner" \t "/Users/luocaisheng/Documentsx/_new" </w:instrText>
      </w:r>
      <w:r>
        <w:fldChar w:fldCharType="separate"/>
      </w:r>
      <w:r>
        <w:rPr>
          <w:rStyle w:val="22"/>
        </w:rPr>
        <w:t>https://www.carexpert.com.au/car-news/ford-wishes-it-had-fixed-quality-problems-sooner</w:t>
      </w:r>
      <w:r>
        <w:rPr>
          <w:rStyle w:val="22"/>
        </w:rPr>
        <w:fldChar w:fldCharType="end"/>
      </w:r>
      <w:r>
        <w:rPr>
          <w:rStyle w:val="19"/>
          <w:b w:val="0"/>
          <w:bCs w:val="0"/>
        </w:rPr>
        <w:t xml:space="preserve"> [Accessed 20th August 2024].</w:t>
      </w:r>
    </w:p>
    <w:p w14:paraId="61B9777B">
      <w:pPr>
        <w:pStyle w:val="13"/>
        <w:widowControl/>
      </w:pPr>
      <w:r>
        <w:rPr>
          <w:rStyle w:val="19"/>
          <w:b w:val="0"/>
          <w:bCs w:val="0"/>
        </w:rPr>
        <w:t xml:space="preserve">Murthy, D. (1990), 'OPTIMAL RELIABILITY CHOICE IN PRODUCT DESIGN', </w:t>
      </w:r>
      <w:r>
        <w:rPr>
          <w:rStyle w:val="21"/>
        </w:rPr>
        <w:t>Engineering Optimization</w:t>
      </w:r>
      <w:r>
        <w:rPr>
          <w:rStyle w:val="19"/>
          <w:b w:val="0"/>
          <w:bCs w:val="0"/>
        </w:rPr>
        <w:t>, 15, pp. 281-294. Hoboken: Engineering Optimization.</w:t>
      </w:r>
    </w:p>
    <w:p w14:paraId="232994D5">
      <w:pPr>
        <w:pStyle w:val="13"/>
        <w:widowControl/>
      </w:pPr>
      <w:r>
        <w:rPr>
          <w:rStyle w:val="19"/>
          <w:b w:val="0"/>
          <w:bCs w:val="0"/>
        </w:rPr>
        <w:t xml:space="preserve">NHTSA (2020), 'Vehicle Safety', </w:t>
      </w:r>
      <w:r>
        <w:rPr>
          <w:rStyle w:val="21"/>
        </w:rPr>
        <w:t>NHTSA</w:t>
      </w:r>
      <w:r>
        <w:rPr>
          <w:rStyle w:val="19"/>
          <w:b w:val="0"/>
          <w:bCs w:val="0"/>
        </w:rPr>
        <w:t xml:space="preserve">, [Online] Available: </w:t>
      </w:r>
      <w:r>
        <w:fldChar w:fldCharType="begin"/>
      </w:r>
      <w:r>
        <w:instrText xml:space="preserve"> HYPERLINK "https://www.nhtsa.gov/vehicle-safety" \t "/Users/luocaisheng/Documentsx/_new" </w:instrText>
      </w:r>
      <w:r>
        <w:fldChar w:fldCharType="separate"/>
      </w:r>
      <w:r>
        <w:rPr>
          <w:rStyle w:val="22"/>
        </w:rPr>
        <w:t>https://www.nhtsa.gov/vehicle-safety</w:t>
      </w:r>
      <w:r>
        <w:rPr>
          <w:rStyle w:val="22"/>
        </w:rPr>
        <w:fldChar w:fldCharType="end"/>
      </w:r>
      <w:r>
        <w:rPr>
          <w:rStyle w:val="19"/>
          <w:b w:val="0"/>
          <w:bCs w:val="0"/>
        </w:rPr>
        <w:t xml:space="preserve"> [Accessed 26th August 2024].</w:t>
      </w:r>
    </w:p>
    <w:p w14:paraId="0D3F7F7B">
      <w:pPr>
        <w:pStyle w:val="13"/>
        <w:widowControl/>
        <w:rPr>
          <w:rStyle w:val="19"/>
          <w:b w:val="0"/>
          <w:bCs w:val="0"/>
        </w:rPr>
      </w:pPr>
      <w:r>
        <w:rPr>
          <w:rStyle w:val="19"/>
          <w:b w:val="0"/>
          <w:bCs w:val="0"/>
        </w:rPr>
        <w:t xml:space="preserve">Neuman, W.L. (2014), </w:t>
      </w:r>
      <w:r>
        <w:rPr>
          <w:rStyle w:val="21"/>
        </w:rPr>
        <w:t>Social Research Methods: Qualitative and Quantitative Approaches</w:t>
      </w:r>
      <w:r>
        <w:rPr>
          <w:rStyle w:val="19"/>
          <w:b w:val="0"/>
          <w:bCs w:val="0"/>
        </w:rPr>
        <w:t xml:space="preserve"> (Seventh Edition), Harlow: Pearson Education Limited.</w:t>
      </w:r>
    </w:p>
    <w:p w14:paraId="580A4BD4">
      <w:pPr>
        <w:pStyle w:val="13"/>
        <w:widowControl/>
        <w:rPr>
          <w:rStyle w:val="19"/>
          <w:b w:val="0"/>
          <w:bCs w:val="0"/>
        </w:rPr>
      </w:pPr>
      <w:r>
        <w:rPr>
          <w:rStyle w:val="19"/>
          <w:b w:val="0"/>
          <w:bCs w:val="0"/>
        </w:rPr>
        <w:t xml:space="preserve">Park, Y., Konge, L. &amp; Artino, A. (2019), 'The Positivism Paradigm of Research', </w:t>
      </w:r>
      <w:r>
        <w:rPr>
          <w:rStyle w:val="21"/>
        </w:rPr>
        <w:t>Academic Medicine</w:t>
      </w:r>
      <w:r>
        <w:rPr>
          <w:rStyle w:val="19"/>
          <w:b w:val="0"/>
          <w:bCs w:val="0"/>
        </w:rPr>
        <w:t>, Washington, D.C., 95, pp. 690-694.</w:t>
      </w:r>
    </w:p>
    <w:p w14:paraId="1E0BDC0F">
      <w:pPr>
        <w:pStyle w:val="13"/>
        <w:widowControl/>
        <w:rPr>
          <w:rStyle w:val="19"/>
          <w:b w:val="0"/>
          <w:bCs w:val="0"/>
        </w:rPr>
      </w:pPr>
      <w:r>
        <w:rPr>
          <w:rStyle w:val="19"/>
          <w:b w:val="0"/>
          <w:bCs w:val="0"/>
          <w:lang w:val="it-IT"/>
        </w:rPr>
        <w:t xml:space="preserve">Panzeri, S., Magri, C. &amp; Carraro, L. (2008), </w:t>
      </w:r>
      <w:r>
        <w:rPr>
          <w:rStyle w:val="19"/>
          <w:b w:val="0"/>
          <w:bCs w:val="0"/>
          <w:i/>
          <w:iCs/>
          <w:lang w:val="it-IT"/>
        </w:rPr>
        <w:t xml:space="preserve">'Sampling bias', </w:t>
      </w:r>
      <w:r>
        <w:rPr>
          <w:rStyle w:val="21"/>
          <w:lang w:val="it-IT"/>
        </w:rPr>
        <w:t>Scholarpedia</w:t>
      </w:r>
      <w:r>
        <w:rPr>
          <w:rStyle w:val="19"/>
          <w:b w:val="0"/>
          <w:bCs w:val="0"/>
          <w:i/>
          <w:iCs/>
          <w:lang w:val="it-IT"/>
        </w:rPr>
        <w:t>, 3</w:t>
      </w:r>
      <w:r>
        <w:rPr>
          <w:rStyle w:val="19"/>
          <w:b w:val="0"/>
          <w:bCs w:val="0"/>
          <w:lang w:val="it-IT"/>
        </w:rPr>
        <w:t xml:space="preserve">, pp. 4258. </w:t>
      </w:r>
      <w:r>
        <w:rPr>
          <w:rStyle w:val="19"/>
          <w:b w:val="0"/>
          <w:bCs w:val="0"/>
        </w:rPr>
        <w:t xml:space="preserve">[Online] Available: </w:t>
      </w:r>
      <w:r>
        <w:fldChar w:fldCharType="begin"/>
      </w:r>
      <w:r>
        <w:instrText xml:space="preserve"> HYPERLINK "http://www.scholarpedia.org/article/Sampling_bias" \t "/Users/luocaisheng/Documentsx/_new" </w:instrText>
      </w:r>
      <w:r>
        <w:fldChar w:fldCharType="separate"/>
      </w:r>
      <w:r>
        <w:rPr>
          <w:rStyle w:val="22"/>
        </w:rPr>
        <w:t>http://www.scholarpedia.org/article/Sampling_bias</w:t>
      </w:r>
      <w:r>
        <w:rPr>
          <w:rStyle w:val="22"/>
        </w:rPr>
        <w:fldChar w:fldCharType="end"/>
      </w:r>
      <w:r>
        <w:rPr>
          <w:rStyle w:val="19"/>
          <w:b w:val="0"/>
          <w:bCs w:val="0"/>
        </w:rPr>
        <w:t xml:space="preserve"> [Accessed 16th August 2024].</w:t>
      </w:r>
    </w:p>
    <w:p w14:paraId="189927A9">
      <w:pPr>
        <w:pStyle w:val="13"/>
        <w:widowControl/>
        <w:rPr>
          <w:rStyle w:val="19"/>
          <w:rFonts w:hint="eastAsia" w:eastAsiaTheme="minorEastAsia"/>
          <w:b w:val="0"/>
          <w:bCs w:val="0"/>
          <w:lang w:val="en-US" w:eastAsia="zh-CN"/>
        </w:rPr>
      </w:pPr>
      <w:r>
        <w:rPr>
          <w:rStyle w:val="19"/>
          <w:rFonts w:hint="default"/>
          <w:b w:val="0"/>
          <w:bCs w:val="0"/>
        </w:rPr>
        <w:t xml:space="preserve">Parera, N., &amp; Amor, O., 2021. Safety Protocols for Electric Vehicles Crash Tests. Journal of the Society of Automotive Engineers Malaysia. </w:t>
      </w:r>
      <w:r>
        <w:rPr>
          <w:rStyle w:val="19"/>
          <w:b w:val="0"/>
          <w:bCs w:val="0"/>
          <w:lang w:val="it-IT"/>
        </w:rPr>
        <w:t xml:space="preserve"> </w:t>
      </w:r>
      <w:r>
        <w:rPr>
          <w:rStyle w:val="19"/>
          <w:b w:val="0"/>
          <w:bCs w:val="0"/>
        </w:rPr>
        <w:t>[Online] Available:</w:t>
      </w:r>
      <w:r>
        <w:rPr>
          <w:rStyle w:val="19"/>
          <w:rFonts w:hint="eastAsia"/>
          <w:b w:val="0"/>
          <w:bCs w:val="0"/>
          <w:lang w:val="en-US" w:eastAsia="zh-CN"/>
        </w:rPr>
        <w:t xml:space="preserve"> </w:t>
      </w:r>
      <w:r>
        <w:rPr>
          <w:rStyle w:val="19"/>
          <w:rFonts w:hint="default"/>
          <w:b w:val="0"/>
          <w:bCs w:val="0"/>
        </w:rPr>
        <w:fldChar w:fldCharType="begin"/>
      </w:r>
      <w:r>
        <w:rPr>
          <w:rStyle w:val="19"/>
          <w:rFonts w:hint="default"/>
          <w:b w:val="0"/>
          <w:bCs w:val="0"/>
        </w:rPr>
        <w:instrText xml:space="preserve"> HYPERLINK "https://doi.org/10.56381/jsaem.v3i2.112." </w:instrText>
      </w:r>
      <w:r>
        <w:rPr>
          <w:rStyle w:val="19"/>
          <w:rFonts w:hint="default"/>
          <w:b w:val="0"/>
          <w:bCs w:val="0"/>
        </w:rPr>
        <w:fldChar w:fldCharType="separate"/>
      </w:r>
      <w:r>
        <w:rPr>
          <w:rStyle w:val="22"/>
          <w:rFonts w:hint="default"/>
          <w:b w:val="0"/>
          <w:bCs w:val="0"/>
        </w:rPr>
        <w:t>https://doi.org/10.56381/jsaem.v3i2.112.</w:t>
      </w:r>
      <w:r>
        <w:rPr>
          <w:rStyle w:val="19"/>
          <w:rFonts w:hint="default"/>
          <w:b w:val="0"/>
          <w:bCs w:val="0"/>
        </w:rPr>
        <w:fldChar w:fldCharType="end"/>
      </w:r>
      <w:r>
        <w:rPr>
          <w:rStyle w:val="19"/>
          <w:rFonts w:hint="eastAsia"/>
          <w:b w:val="0"/>
          <w:bCs w:val="0"/>
          <w:lang w:val="en-US" w:eastAsia="zh-CN"/>
        </w:rPr>
        <w:t xml:space="preserve"> </w:t>
      </w:r>
      <w:r>
        <w:rPr>
          <w:rStyle w:val="19"/>
          <w:b w:val="0"/>
          <w:bCs w:val="0"/>
        </w:rPr>
        <w:t>[Accessed 16</w:t>
      </w:r>
      <w:r>
        <w:rPr>
          <w:rStyle w:val="19"/>
          <w:b w:val="0"/>
          <w:bCs w:val="0"/>
          <w:vertAlign w:val="superscript"/>
        </w:rPr>
        <w:t>th</w:t>
      </w:r>
      <w:r>
        <w:rPr>
          <w:rStyle w:val="19"/>
          <w:b w:val="0"/>
          <w:bCs w:val="0"/>
        </w:rPr>
        <w:t xml:space="preserve"> </w:t>
      </w:r>
      <w:r>
        <w:rPr>
          <w:rStyle w:val="19"/>
          <w:rFonts w:hint="eastAsia"/>
          <w:b w:val="0"/>
          <w:bCs w:val="0"/>
          <w:lang w:val="en-US" w:eastAsia="zh-CN"/>
        </w:rPr>
        <w:t>September</w:t>
      </w:r>
      <w:r>
        <w:rPr>
          <w:rStyle w:val="19"/>
          <w:b w:val="0"/>
          <w:bCs w:val="0"/>
        </w:rPr>
        <w:t xml:space="preserve"> 2024].</w:t>
      </w:r>
    </w:p>
    <w:p w14:paraId="4805EF56">
      <w:pPr>
        <w:pStyle w:val="13"/>
        <w:widowControl/>
        <w:rPr>
          <w:lang w:val="es-ES"/>
        </w:rPr>
      </w:pPr>
      <w:r>
        <w:rPr>
          <w:rStyle w:val="19"/>
          <w:b w:val="0"/>
          <w:bCs w:val="0"/>
          <w:lang w:val="es-ES"/>
        </w:rPr>
        <w:t xml:space="preserve">Peña, C. (2018), 'Lógica práctica y lógica teórica en la sistematización de experiencias educativas', </w:t>
      </w:r>
      <w:r>
        <w:rPr>
          <w:rStyle w:val="21"/>
          <w:lang w:val="es-ES"/>
        </w:rPr>
        <w:t>Pedagogía y Saberes</w:t>
      </w:r>
      <w:r>
        <w:rPr>
          <w:rStyle w:val="19"/>
          <w:b w:val="0"/>
          <w:bCs w:val="0"/>
          <w:lang w:val="es-ES"/>
        </w:rPr>
        <w:t>, pp. 141-151.</w:t>
      </w:r>
    </w:p>
    <w:p w14:paraId="26BB7F73">
      <w:pPr>
        <w:pStyle w:val="13"/>
        <w:widowControl/>
        <w:rPr>
          <w:rStyle w:val="19"/>
          <w:b w:val="0"/>
          <w:bCs w:val="0"/>
        </w:rPr>
      </w:pPr>
      <w:r>
        <w:rPr>
          <w:rStyle w:val="19"/>
          <w:b w:val="0"/>
          <w:bCs w:val="0"/>
        </w:rPr>
        <w:t xml:space="preserve">Peña, M.A.S. &amp; De Aguirre Guantes, I.F. (2022), 'The Electric Car: Success, Downfall and Boom', </w:t>
      </w:r>
      <w:r>
        <w:rPr>
          <w:rStyle w:val="21"/>
        </w:rPr>
        <w:t>DYNA</w:t>
      </w:r>
      <w:r>
        <w:rPr>
          <w:rStyle w:val="19"/>
          <w:b w:val="0"/>
          <w:bCs w:val="0"/>
        </w:rPr>
        <w:t>, 97(4), pp. 339-340.</w:t>
      </w:r>
    </w:p>
    <w:p w14:paraId="02152404">
      <w:pPr>
        <w:pStyle w:val="13"/>
        <w:widowControl/>
        <w:rPr>
          <w:rStyle w:val="19"/>
          <w:b w:val="0"/>
          <w:bCs w:val="0"/>
        </w:rPr>
      </w:pPr>
      <w:r>
        <w:rPr>
          <w:rStyle w:val="19"/>
          <w:rFonts w:hint="eastAsia"/>
          <w:b w:val="0"/>
          <w:bCs w:val="0"/>
        </w:rPr>
        <w:t>People</w:t>
      </w:r>
      <w:r>
        <w:rPr>
          <w:rStyle w:val="19"/>
          <w:b w:val="0"/>
          <w:bCs w:val="0"/>
        </w:rPr>
        <w:t>’</w:t>
      </w:r>
      <w:r>
        <w:rPr>
          <w:rStyle w:val="19"/>
          <w:rFonts w:hint="eastAsia"/>
          <w:b w:val="0"/>
          <w:bCs w:val="0"/>
        </w:rPr>
        <w:t>s paper</w:t>
      </w:r>
      <w:r>
        <w:rPr>
          <w:rStyle w:val="19"/>
          <w:b w:val="0"/>
          <w:bCs w:val="0"/>
        </w:rPr>
        <w:t xml:space="preserve"> (2024), '</w:t>
      </w:r>
      <w:r>
        <w:rPr>
          <w:rStyle w:val="19"/>
          <w:b w:val="0"/>
          <w:bCs w:val="0"/>
          <w:i/>
          <w:iCs/>
        </w:rPr>
        <w:t xml:space="preserve">China’s new energy vehicle ownership reaches 20.41 million', </w:t>
      </w:r>
      <w:r>
        <w:rPr>
          <w:rStyle w:val="19"/>
          <w:b w:val="0"/>
          <w:bCs w:val="0"/>
        </w:rPr>
        <w:t xml:space="preserve">[Online] Available: </w:t>
      </w:r>
      <w:r>
        <w:fldChar w:fldCharType="begin"/>
      </w:r>
      <w:r>
        <w:instrText xml:space="preserve"> HYPERLINK "http://paper.people.com.cn/rmrbhwb/html/2024-01/12/content_26036610.htm" \t "/Users/luocaisheng/Documentsx/_new" </w:instrText>
      </w:r>
      <w:r>
        <w:fldChar w:fldCharType="separate"/>
      </w:r>
      <w:r>
        <w:rPr>
          <w:rStyle w:val="22"/>
        </w:rPr>
        <w:t>http://paper.people.com.cn/rmrbhwb/html/2024-01/12/content_26036610.htm</w:t>
      </w:r>
      <w:r>
        <w:rPr>
          <w:rStyle w:val="22"/>
        </w:rPr>
        <w:fldChar w:fldCharType="end"/>
      </w:r>
      <w:r>
        <w:rPr>
          <w:rStyle w:val="19"/>
          <w:b w:val="0"/>
          <w:bCs w:val="0"/>
        </w:rPr>
        <w:t xml:space="preserve"> [Accessed 21st July 2024].</w:t>
      </w:r>
    </w:p>
    <w:p w14:paraId="00135AA4">
      <w:pPr>
        <w:pStyle w:val="13"/>
        <w:widowControl/>
        <w:rPr>
          <w:rStyle w:val="19"/>
          <w:b w:val="0"/>
          <w:bCs w:val="0"/>
        </w:rPr>
      </w:pPr>
      <w:r>
        <w:rPr>
          <w:rStyle w:val="19"/>
          <w:b w:val="0"/>
          <w:bCs w:val="0"/>
        </w:rPr>
        <w:t xml:space="preserve">Perman, R., Ma, Y., McGilvray, J. &amp; Common, M. (2003), </w:t>
      </w:r>
      <w:r>
        <w:rPr>
          <w:rStyle w:val="21"/>
        </w:rPr>
        <w:t>Natural Resource and Environmental Economics</w:t>
      </w:r>
      <w:r>
        <w:rPr>
          <w:rStyle w:val="19"/>
          <w:b w:val="0"/>
          <w:bCs w:val="0"/>
        </w:rPr>
        <w:t xml:space="preserve"> (3rd edition), Harlow: Pearson Education Limited, pp. 270.</w:t>
      </w:r>
    </w:p>
    <w:p w14:paraId="0188E701">
      <w:pPr>
        <w:pStyle w:val="13"/>
        <w:widowControl/>
        <w:rPr>
          <w:rStyle w:val="19"/>
          <w:b w:val="0"/>
          <w:bCs w:val="0"/>
        </w:rPr>
      </w:pPr>
      <w:r>
        <w:rPr>
          <w:rStyle w:val="19"/>
          <w:b w:val="0"/>
          <w:bCs w:val="0"/>
        </w:rPr>
        <w:t xml:space="preserve">Plarge (2019), </w:t>
      </w:r>
      <w:r>
        <w:rPr>
          <w:rStyle w:val="19"/>
          <w:b w:val="0"/>
          <w:bCs w:val="0"/>
          <w:i/>
          <w:iCs/>
        </w:rPr>
        <w:t>'December – EV registrations',</w:t>
      </w:r>
      <w:r>
        <w:rPr>
          <w:rStyle w:val="19"/>
          <w:b w:val="0"/>
          <w:bCs w:val="0"/>
        </w:rPr>
        <w:t xml:space="preserve"> </w:t>
      </w:r>
      <w:r>
        <w:rPr>
          <w:rStyle w:val="21"/>
        </w:rPr>
        <w:t>SMMT</w:t>
      </w:r>
      <w:r>
        <w:rPr>
          <w:rStyle w:val="19"/>
          <w:b w:val="0"/>
          <w:bCs w:val="0"/>
        </w:rPr>
        <w:t xml:space="preserve">, [Online] Available: </w:t>
      </w:r>
      <w:r>
        <w:fldChar w:fldCharType="begin"/>
      </w:r>
      <w:r>
        <w:instrText xml:space="preserve"> HYPERLINK "https://www.smmt.co.uk/2019/01/december-ev-registrations-2/" \t "/Users/luocaisheng/Documentsx/_new" </w:instrText>
      </w:r>
      <w:r>
        <w:fldChar w:fldCharType="separate"/>
      </w:r>
      <w:r>
        <w:rPr>
          <w:rStyle w:val="22"/>
        </w:rPr>
        <w:t>https://www.smmt.co.uk/2019/01/december-ev-registrations-2/</w:t>
      </w:r>
      <w:r>
        <w:rPr>
          <w:rStyle w:val="22"/>
        </w:rPr>
        <w:fldChar w:fldCharType="end"/>
      </w:r>
      <w:r>
        <w:rPr>
          <w:rStyle w:val="19"/>
          <w:b w:val="0"/>
          <w:bCs w:val="0"/>
        </w:rPr>
        <w:t xml:space="preserve"> [Accessed 25th July 2024].</w:t>
      </w:r>
    </w:p>
    <w:p w14:paraId="7C12B5EB">
      <w:pPr>
        <w:pStyle w:val="13"/>
        <w:widowControl/>
      </w:pPr>
      <w:r>
        <w:rPr>
          <w:rStyle w:val="19"/>
          <w:b w:val="0"/>
          <w:bCs w:val="0"/>
        </w:rPr>
        <w:t xml:space="preserve">Pulla, V. &amp; Carter, E. (2018), 'Employing Interpretivism in Social Work Research', </w:t>
      </w:r>
      <w:r>
        <w:rPr>
          <w:rStyle w:val="21"/>
        </w:rPr>
        <w:t>International Journal of Social Work and Human Services Practice</w:t>
      </w:r>
      <w:r>
        <w:rPr>
          <w:rStyle w:val="19"/>
          <w:b w:val="0"/>
          <w:bCs w:val="0"/>
        </w:rPr>
        <w:t>, Alhambra, California, 6, pp. 9-14.</w:t>
      </w:r>
    </w:p>
    <w:p w14:paraId="74DA002D">
      <w:pPr>
        <w:pStyle w:val="13"/>
        <w:widowControl/>
      </w:pPr>
      <w:r>
        <w:rPr>
          <w:rStyle w:val="19"/>
          <w:b w:val="0"/>
          <w:bCs w:val="0"/>
        </w:rPr>
        <w:t xml:space="preserve">Reimers, P. (2021), 'The Subsidized Green Revolution: The Impact of Public Incentives on the Automotive Industry to Promote Alternative Fuel Vehicles (AFVs) in the Period from 2010 to 2018', </w:t>
      </w:r>
      <w:r>
        <w:rPr>
          <w:rStyle w:val="21"/>
        </w:rPr>
        <w:t>Energies</w:t>
      </w:r>
      <w:r>
        <w:rPr>
          <w:rStyle w:val="19"/>
          <w:b w:val="0"/>
          <w:bCs w:val="0"/>
        </w:rPr>
        <w:t xml:space="preserve">, [Online] Available: </w:t>
      </w:r>
      <w:r>
        <w:fldChar w:fldCharType="begin"/>
      </w:r>
      <w:r>
        <w:instrText xml:space="preserve"> HYPERLINK "https://www.mdpi.com/1996-1073/14/18/5765" \t "/Users/luocaisheng/Documentsx/_new" </w:instrText>
      </w:r>
      <w:r>
        <w:fldChar w:fldCharType="separate"/>
      </w:r>
      <w:r>
        <w:rPr>
          <w:rStyle w:val="22"/>
        </w:rPr>
        <w:t>https://www.mdpi.com/1996-1073/14/18/5765</w:t>
      </w:r>
      <w:r>
        <w:rPr>
          <w:rStyle w:val="22"/>
        </w:rPr>
        <w:fldChar w:fldCharType="end"/>
      </w:r>
      <w:r>
        <w:rPr>
          <w:rStyle w:val="19"/>
          <w:b w:val="0"/>
          <w:bCs w:val="0"/>
        </w:rPr>
        <w:t xml:space="preserve"> [Accessed 3rd September 2024].</w:t>
      </w:r>
    </w:p>
    <w:p w14:paraId="6A45BF72">
      <w:pPr>
        <w:pStyle w:val="13"/>
        <w:widowControl/>
      </w:pPr>
      <w:r>
        <w:rPr>
          <w:rStyle w:val="19"/>
          <w:b w:val="0"/>
          <w:bCs w:val="0"/>
        </w:rPr>
        <w:t xml:space="preserve">Reitz, R., Ogawa, H., Payri, R., et al. (2020), 'IJER editorial: The future of the internal combustion engine', </w:t>
      </w:r>
      <w:r>
        <w:rPr>
          <w:rStyle w:val="21"/>
        </w:rPr>
        <w:t>International Journal of Engine Research</w:t>
      </w:r>
      <w:r>
        <w:rPr>
          <w:rStyle w:val="19"/>
          <w:b w:val="0"/>
          <w:bCs w:val="0"/>
        </w:rPr>
        <w:t>, 21, pp. 10-3.</w:t>
      </w:r>
    </w:p>
    <w:p w14:paraId="10CE776C">
      <w:pPr>
        <w:pStyle w:val="13"/>
        <w:widowControl/>
      </w:pPr>
      <w:r>
        <w:rPr>
          <w:rStyle w:val="19"/>
          <w:b w:val="0"/>
          <w:bCs w:val="0"/>
        </w:rPr>
        <w:t xml:space="preserve">Resnik, D.B. (2015), 'What is Ethics in Research &amp; Why is it Important?', [Online] Available: </w:t>
      </w:r>
      <w:r>
        <w:fldChar w:fldCharType="begin"/>
      </w:r>
      <w:r>
        <w:instrText xml:space="preserve"> HYPERLINK "https://www.niehs.nih.gov/research/resources/bioethics/whatis/index.cfm" \t "/Users/luocaisheng/Documentsx/_new" </w:instrText>
      </w:r>
      <w:r>
        <w:fldChar w:fldCharType="separate"/>
      </w:r>
      <w:r>
        <w:rPr>
          <w:rStyle w:val="22"/>
        </w:rPr>
        <w:t>https://www.niehs.nih.gov/research/resources/bioethics/whatis/index.cfm</w:t>
      </w:r>
      <w:r>
        <w:rPr>
          <w:rStyle w:val="22"/>
        </w:rPr>
        <w:fldChar w:fldCharType="end"/>
      </w:r>
      <w:r>
        <w:rPr>
          <w:rStyle w:val="19"/>
          <w:b w:val="0"/>
          <w:bCs w:val="0"/>
        </w:rPr>
        <w:t xml:space="preserve"> [Accessed 20th August 2024].</w:t>
      </w:r>
    </w:p>
    <w:p w14:paraId="5BC81923">
      <w:pPr>
        <w:pStyle w:val="13"/>
        <w:widowControl/>
      </w:pPr>
      <w:r>
        <w:rPr>
          <w:rStyle w:val="19"/>
          <w:b w:val="0"/>
          <w:bCs w:val="0"/>
        </w:rPr>
        <w:t xml:space="preserve">Roberts, G. (2024), </w:t>
      </w:r>
      <w:r>
        <w:rPr>
          <w:rStyle w:val="19"/>
          <w:b w:val="0"/>
          <w:bCs w:val="0"/>
          <w:i/>
          <w:iCs/>
        </w:rPr>
        <w:t xml:space="preserve">'Electric vehicle manufacturers to face tariffs on imports', </w:t>
      </w:r>
      <w:r>
        <w:rPr>
          <w:rStyle w:val="21"/>
        </w:rPr>
        <w:t>Fleet News</w:t>
      </w:r>
      <w:r>
        <w:rPr>
          <w:rStyle w:val="19"/>
          <w:b w:val="0"/>
          <w:bCs w:val="0"/>
          <w:i/>
          <w:iCs/>
        </w:rPr>
        <w:t>,</w:t>
      </w:r>
      <w:r>
        <w:rPr>
          <w:rStyle w:val="19"/>
          <w:b w:val="0"/>
          <w:bCs w:val="0"/>
        </w:rPr>
        <w:t xml:space="preserve"> [Online] Available: </w:t>
      </w:r>
      <w:r>
        <w:fldChar w:fldCharType="begin"/>
      </w:r>
      <w:r>
        <w:instrText xml:space="preserve"> HYPERLINK "https://www.fleetnews.co.uk/news/electric-vehicle-manufacturers-to-face-tariffs-on-imports" \t "/Users/luocaisheng/Documentsx/_new" </w:instrText>
      </w:r>
      <w:r>
        <w:fldChar w:fldCharType="separate"/>
      </w:r>
      <w:r>
        <w:rPr>
          <w:rStyle w:val="22"/>
        </w:rPr>
        <w:t>https://www.fleetnews.co.uk/news/electric-vehicle-manufacturers-to-face-tariffs-on-imports</w:t>
      </w:r>
      <w:r>
        <w:rPr>
          <w:rStyle w:val="22"/>
        </w:rPr>
        <w:fldChar w:fldCharType="end"/>
      </w:r>
      <w:r>
        <w:rPr>
          <w:rStyle w:val="19"/>
          <w:b w:val="0"/>
          <w:bCs w:val="0"/>
        </w:rPr>
        <w:t xml:space="preserve"> [Accessed 12th June 2024].</w:t>
      </w:r>
    </w:p>
    <w:p w14:paraId="267948AE">
      <w:pPr>
        <w:pStyle w:val="13"/>
        <w:widowControl/>
      </w:pPr>
      <w:r>
        <w:rPr>
          <w:rStyle w:val="19"/>
          <w:b w:val="0"/>
          <w:bCs w:val="0"/>
        </w:rPr>
        <w:t xml:space="preserve">Rose, D.M., Berger, P.L. &amp; Luckmann, T. (1967), 'The social construction of reality', </w:t>
      </w:r>
      <w:r>
        <w:rPr>
          <w:rStyle w:val="21"/>
        </w:rPr>
        <w:t>Modern Language Journal</w:t>
      </w:r>
      <w:r>
        <w:rPr>
          <w:rStyle w:val="19"/>
          <w:b w:val="0"/>
          <w:bCs w:val="0"/>
        </w:rPr>
        <w:t>, Hoboken, New Jersey, 51(5), pp. 307.</w:t>
      </w:r>
    </w:p>
    <w:p w14:paraId="15E60372">
      <w:pPr>
        <w:pStyle w:val="13"/>
        <w:widowControl/>
      </w:pPr>
      <w:r>
        <w:rPr>
          <w:rStyle w:val="19"/>
          <w:b w:val="0"/>
          <w:bCs w:val="0"/>
        </w:rPr>
        <w:t xml:space="preserve">Rudschies, W. (2024), 'ADAC Pannenstatistik 2024: Gewinner und Verlierer', [Online] Available: </w:t>
      </w:r>
      <w:r>
        <w:fldChar w:fldCharType="begin"/>
      </w:r>
      <w:r>
        <w:instrText xml:space="preserve"> HYPERLINK "https://www.adac.de/rund-ums-fahrzeug/unfall-schaden-panne/adac-pannenstatistik/?fbclid=IwAR0lzVzqPmr3kFK7KxUfXRpMo6EzpZWp5q9aY8h_c1HfudgBmZs3PCJAOfU" \t "/Users/luocaisheng/Documentsx/_new" </w:instrText>
      </w:r>
      <w:r>
        <w:fldChar w:fldCharType="separate"/>
      </w:r>
      <w:r>
        <w:rPr>
          <w:rStyle w:val="22"/>
        </w:rPr>
        <w:t>https://www.adac.de/rund-ums-fahrzeug/unfall-schaden-panne/adac-pannenstatistik/?fbclid=IwAR0lzVzqPmr3kFK7KxUfXRpMo6EzpZWp5q9aY8h_c1HfudgBmZs3PCJAOfU</w:t>
      </w:r>
      <w:r>
        <w:rPr>
          <w:rStyle w:val="22"/>
        </w:rPr>
        <w:fldChar w:fldCharType="end"/>
      </w:r>
      <w:r>
        <w:rPr>
          <w:rStyle w:val="19"/>
          <w:b w:val="0"/>
          <w:bCs w:val="0"/>
        </w:rPr>
        <w:t xml:space="preserve"> [Accessed 16th August 2024].</w:t>
      </w:r>
    </w:p>
    <w:p w14:paraId="341EE3CA">
      <w:pPr>
        <w:pStyle w:val="13"/>
        <w:widowControl/>
      </w:pPr>
      <w:r>
        <w:rPr>
          <w:rStyle w:val="19"/>
          <w:b w:val="0"/>
          <w:bCs w:val="0"/>
        </w:rPr>
        <w:t xml:space="preserve">Ruddiman, W.F. (2013), 'The Anthropocene', </w:t>
      </w:r>
      <w:r>
        <w:rPr>
          <w:rStyle w:val="21"/>
        </w:rPr>
        <w:t>Annual Review of Earth and Planetary Sciences</w:t>
      </w:r>
      <w:r>
        <w:rPr>
          <w:rStyle w:val="19"/>
          <w:b w:val="0"/>
          <w:bCs w:val="0"/>
        </w:rPr>
        <w:t>, 41(1), pp. 45–68. San Mateo: Annual Review of Earth and Planetary Sciences.</w:t>
      </w:r>
    </w:p>
    <w:p w14:paraId="201578C7">
      <w:pPr>
        <w:pStyle w:val="13"/>
        <w:widowControl/>
      </w:pPr>
      <w:r>
        <w:rPr>
          <w:rStyle w:val="19"/>
          <w:b w:val="0"/>
          <w:bCs w:val="0"/>
        </w:rPr>
        <w:t xml:space="preserve">SCI (2024), </w:t>
      </w:r>
      <w:r>
        <w:rPr>
          <w:rStyle w:val="19"/>
          <w:b w:val="0"/>
          <w:bCs w:val="0"/>
          <w:i/>
          <w:iCs/>
        </w:rPr>
        <w:t>'EV batteries: From rarity to recycling boom?'</w:t>
      </w:r>
      <w:r>
        <w:rPr>
          <w:rStyle w:val="19"/>
          <w:b w:val="0"/>
          <w:bCs w:val="0"/>
        </w:rPr>
        <w:t xml:space="preserve">, </w:t>
      </w:r>
      <w:r>
        <w:rPr>
          <w:rStyle w:val="21"/>
        </w:rPr>
        <w:t>C&amp;I Issue 1 2024</w:t>
      </w:r>
      <w:r>
        <w:rPr>
          <w:rStyle w:val="19"/>
          <w:b w:val="0"/>
          <w:bCs w:val="0"/>
        </w:rPr>
        <w:t xml:space="preserve">, [Online] Available: </w:t>
      </w:r>
      <w:r>
        <w:fldChar w:fldCharType="begin"/>
      </w:r>
      <w:r>
        <w:instrText xml:space="preserve"> HYPERLINK "https://www.soci.org/chemistry-and-industry/cni-data/2024/1/ev-batteries-from-rarity-to-recycling-boom-in-20-years" \t "/Users/luocaisheng/Documentsx/_new" </w:instrText>
      </w:r>
      <w:r>
        <w:fldChar w:fldCharType="separate"/>
      </w:r>
      <w:r>
        <w:rPr>
          <w:rStyle w:val="22"/>
        </w:rPr>
        <w:t>https://www.soci.org/chemistry-and-industry/cni-data/2024/1/ev-batteries-from-rarity-to-recycling-boom-in-20-years</w:t>
      </w:r>
      <w:r>
        <w:rPr>
          <w:rStyle w:val="22"/>
        </w:rPr>
        <w:fldChar w:fldCharType="end"/>
      </w:r>
      <w:r>
        <w:rPr>
          <w:rStyle w:val="19"/>
          <w:b w:val="0"/>
          <w:bCs w:val="0"/>
        </w:rPr>
        <w:t xml:space="preserve"> [Accessed 18th August 2024].</w:t>
      </w:r>
    </w:p>
    <w:p w14:paraId="72C72D33">
      <w:pPr>
        <w:pStyle w:val="13"/>
        <w:widowControl/>
        <w:rPr>
          <w:rStyle w:val="19"/>
          <w:b w:val="0"/>
          <w:bCs w:val="0"/>
        </w:rPr>
      </w:pPr>
      <w:r>
        <w:rPr>
          <w:rStyle w:val="19"/>
          <w:b w:val="0"/>
          <w:bCs w:val="0"/>
        </w:rPr>
        <w:t xml:space="preserve">Senol, M., Bayram, I., Naderi, Y. &amp; Galloway, S. (2023), 'Electric Vehicles Under Low Temperatures: A Review on Battery Performance, Charging Needs, and Power Grid Impacts', </w:t>
      </w:r>
      <w:r>
        <w:rPr>
          <w:rStyle w:val="21"/>
        </w:rPr>
        <w:t>IEEE Access</w:t>
      </w:r>
      <w:r>
        <w:rPr>
          <w:rStyle w:val="19"/>
          <w:b w:val="0"/>
          <w:bCs w:val="0"/>
        </w:rPr>
        <w:t>, 11, pp. 39879-39912.</w:t>
      </w:r>
    </w:p>
    <w:p w14:paraId="5E1E0598">
      <w:pPr>
        <w:pStyle w:val="13"/>
        <w:widowControl/>
        <w:rPr>
          <w:rStyle w:val="19"/>
          <w:b w:val="0"/>
          <w:bCs w:val="0"/>
        </w:rPr>
      </w:pPr>
      <w:r>
        <w:rPr>
          <w:rStyle w:val="19"/>
          <w:b w:val="0"/>
          <w:bCs w:val="0"/>
        </w:rPr>
        <w:t xml:space="preserve">Seo, T. &amp; Seo, T. (2024), 'Ford 1.0 Ecoboost Engine Problems &amp; Effective Solutions', </w:t>
      </w:r>
      <w:r>
        <w:rPr>
          <w:rStyle w:val="21"/>
        </w:rPr>
        <w:t>KSB Autostyling</w:t>
      </w:r>
      <w:r>
        <w:rPr>
          <w:rStyle w:val="19"/>
          <w:b w:val="0"/>
          <w:bCs w:val="0"/>
        </w:rPr>
        <w:t xml:space="preserve">, [Online] Available: </w:t>
      </w:r>
      <w:r>
        <w:fldChar w:fldCharType="begin"/>
      </w:r>
      <w:r>
        <w:instrText xml:space="preserve"> HYPERLINK "https://ksbautostyling.co.uk/ford-1-0-ecoboost-engine-problems/" \t "/Users/luocaisheng/Documentsx/_new" </w:instrText>
      </w:r>
      <w:r>
        <w:fldChar w:fldCharType="separate"/>
      </w:r>
      <w:r>
        <w:rPr>
          <w:rStyle w:val="22"/>
        </w:rPr>
        <w:t>https://ksbautostyling.co.uk/ford-1-0-ecoboost-engine-problems/</w:t>
      </w:r>
      <w:r>
        <w:rPr>
          <w:rStyle w:val="22"/>
        </w:rPr>
        <w:fldChar w:fldCharType="end"/>
      </w:r>
      <w:r>
        <w:rPr>
          <w:rStyle w:val="19"/>
          <w:b w:val="0"/>
          <w:bCs w:val="0"/>
        </w:rPr>
        <w:t xml:space="preserve"> [Accessed 27th August 2024].</w:t>
      </w:r>
    </w:p>
    <w:p w14:paraId="40C99307">
      <w:pPr>
        <w:pStyle w:val="13"/>
        <w:widowControl/>
      </w:pPr>
      <w:r>
        <w:rPr>
          <w:rStyle w:val="19"/>
          <w:b w:val="0"/>
          <w:bCs w:val="0"/>
        </w:rPr>
        <w:t xml:space="preserve">Shorten, A. &amp; Moorley, C. (2014), </w:t>
      </w:r>
      <w:r>
        <w:rPr>
          <w:rStyle w:val="19"/>
          <w:b w:val="0"/>
          <w:bCs w:val="0"/>
          <w:i/>
          <w:iCs/>
        </w:rPr>
        <w:t>'Selecting the sample'</w:t>
      </w:r>
      <w:r>
        <w:rPr>
          <w:rStyle w:val="19"/>
          <w:b w:val="0"/>
          <w:bCs w:val="0"/>
        </w:rPr>
        <w:t xml:space="preserve">, </w:t>
      </w:r>
      <w:r>
        <w:rPr>
          <w:rStyle w:val="21"/>
        </w:rPr>
        <w:t>Evidence-Based Nursing</w:t>
      </w:r>
      <w:r>
        <w:rPr>
          <w:rStyle w:val="19"/>
          <w:b w:val="0"/>
          <w:bCs w:val="0"/>
        </w:rPr>
        <w:t>, London, 17, pp. 32-33.</w:t>
      </w:r>
    </w:p>
    <w:p w14:paraId="101A4239">
      <w:pPr>
        <w:pStyle w:val="13"/>
        <w:widowControl/>
        <w:rPr>
          <w:rStyle w:val="19"/>
          <w:b w:val="0"/>
          <w:bCs w:val="0"/>
        </w:rPr>
      </w:pPr>
      <w:r>
        <w:rPr>
          <w:rStyle w:val="19"/>
          <w:b w:val="0"/>
          <w:bCs w:val="0"/>
        </w:rPr>
        <w:t xml:space="preserve">Simpson, B. &amp; Hond, F. (2021), 'The Contemporary Resonances of Classical Pragmatism for Studying Organization and Organizing', </w:t>
      </w:r>
      <w:r>
        <w:rPr>
          <w:rStyle w:val="21"/>
        </w:rPr>
        <w:t>Organization Studies</w:t>
      </w:r>
      <w:r>
        <w:rPr>
          <w:rStyle w:val="19"/>
          <w:b w:val="0"/>
          <w:bCs w:val="0"/>
        </w:rPr>
        <w:t>, 43, pp. 127-146.</w:t>
      </w:r>
    </w:p>
    <w:p w14:paraId="5A6B2D8B">
      <w:pPr>
        <w:pStyle w:val="13"/>
        <w:widowControl/>
        <w:rPr>
          <w:rStyle w:val="19"/>
          <w:b w:val="0"/>
          <w:bCs w:val="0"/>
        </w:rPr>
      </w:pPr>
      <w:r>
        <w:rPr>
          <w:rStyle w:val="19"/>
          <w:b w:val="0"/>
          <w:bCs w:val="0"/>
        </w:rPr>
        <w:t xml:space="preserve">Sky &amp; Sky (2024), </w:t>
      </w:r>
      <w:r>
        <w:rPr>
          <w:rStyle w:val="19"/>
          <w:b w:val="0"/>
          <w:bCs w:val="0"/>
          <w:i/>
          <w:iCs/>
        </w:rPr>
        <w:t>'How to Ship a Car from China to the UK</w:t>
      </w:r>
      <w:r>
        <w:rPr>
          <w:rStyle w:val="19"/>
          <w:b w:val="0"/>
          <w:bCs w:val="0"/>
        </w:rPr>
        <w:t xml:space="preserve">', </w:t>
      </w:r>
      <w:r>
        <w:rPr>
          <w:rStyle w:val="21"/>
        </w:rPr>
        <w:t>Basenton - China Freight Forwarder | China Logistics Services – Basenton</w:t>
      </w:r>
      <w:r>
        <w:rPr>
          <w:rStyle w:val="19"/>
          <w:b w:val="0"/>
          <w:bCs w:val="0"/>
        </w:rPr>
        <w:t xml:space="preserve">, [Online] Available: </w:t>
      </w:r>
      <w:r>
        <w:fldChar w:fldCharType="begin"/>
      </w:r>
      <w:r>
        <w:instrText xml:space="preserve"> HYPERLINK "https://www.basenton.com/how-to-ship-a-car-from-china-to-the-uk/" \t "/Users/luocaisheng/Documentsx/_new" </w:instrText>
      </w:r>
      <w:r>
        <w:fldChar w:fldCharType="separate"/>
      </w:r>
      <w:r>
        <w:rPr>
          <w:rStyle w:val="22"/>
        </w:rPr>
        <w:t>https://www.basenton.com/how-to-ship-a-car-from-china-to-the-uk/</w:t>
      </w:r>
      <w:r>
        <w:rPr>
          <w:rStyle w:val="22"/>
        </w:rPr>
        <w:fldChar w:fldCharType="end"/>
      </w:r>
      <w:r>
        <w:rPr>
          <w:rStyle w:val="19"/>
          <w:b w:val="0"/>
          <w:bCs w:val="0"/>
        </w:rPr>
        <w:t xml:space="preserve"> [Accessed 6th June 2024].</w:t>
      </w:r>
    </w:p>
    <w:p w14:paraId="5CBF071C">
      <w:pPr>
        <w:pStyle w:val="13"/>
        <w:widowControl/>
        <w:rPr>
          <w:rStyle w:val="19"/>
          <w:b w:val="0"/>
          <w:bCs w:val="0"/>
        </w:rPr>
      </w:pPr>
      <w:r>
        <w:rPr>
          <w:rStyle w:val="19"/>
          <w:b w:val="0"/>
          <w:bCs w:val="0"/>
          <w:lang w:val="pt-PT"/>
        </w:rPr>
        <w:t xml:space="preserve">Soares, L., Reis, A., Vieira, P., et al. </w:t>
      </w:r>
      <w:r>
        <w:rPr>
          <w:rStyle w:val="19"/>
          <w:b w:val="0"/>
          <w:bCs w:val="0"/>
        </w:rPr>
        <w:t xml:space="preserve">(2023), 'Electric Vehicle Supply Chain Management: A Bibliometric and Systematic Review', </w:t>
      </w:r>
      <w:r>
        <w:rPr>
          <w:rStyle w:val="21"/>
        </w:rPr>
        <w:t>Energies</w:t>
      </w:r>
      <w:r>
        <w:rPr>
          <w:rStyle w:val="19"/>
          <w:b w:val="0"/>
          <w:bCs w:val="0"/>
        </w:rPr>
        <w:t xml:space="preserve">, [Online] Available: </w:t>
      </w:r>
      <w:r>
        <w:fldChar w:fldCharType="begin"/>
      </w:r>
      <w:r>
        <w:instrText xml:space="preserve"> HYPERLINK "https://www.mdpi.com/1996-1073/16/4/1563" \t "/Users/luocaisheng/Documentsx/_new" </w:instrText>
      </w:r>
      <w:r>
        <w:fldChar w:fldCharType="separate"/>
      </w:r>
      <w:r>
        <w:rPr>
          <w:rStyle w:val="22"/>
        </w:rPr>
        <w:t>https://www.mdpi.com/1996-1073/16/4/1563</w:t>
      </w:r>
      <w:r>
        <w:rPr>
          <w:rStyle w:val="22"/>
        </w:rPr>
        <w:fldChar w:fldCharType="end"/>
      </w:r>
      <w:r>
        <w:rPr>
          <w:rStyle w:val="19"/>
          <w:b w:val="0"/>
          <w:bCs w:val="0"/>
        </w:rPr>
        <w:t xml:space="preserve"> [Accessed 3rd September 2024].</w:t>
      </w:r>
    </w:p>
    <w:p w14:paraId="2780A04E">
      <w:pPr>
        <w:pStyle w:val="13"/>
        <w:widowControl/>
        <w:rPr>
          <w:rStyle w:val="19"/>
          <w:b w:val="0"/>
          <w:bCs w:val="0"/>
        </w:rPr>
      </w:pPr>
      <w:r>
        <w:rPr>
          <w:rStyle w:val="19"/>
          <w:b w:val="0"/>
          <w:bCs w:val="0"/>
        </w:rPr>
        <w:t xml:space="preserve">Song, Y., Li, G., Wang, Q., et al. (2020), 'Scenario analysis on subsidy policies for the uptake of electric vehicles industry in China', </w:t>
      </w:r>
      <w:r>
        <w:rPr>
          <w:rStyle w:val="21"/>
        </w:rPr>
        <w:t>Resources Conservation and Recycling</w:t>
      </w:r>
      <w:r>
        <w:rPr>
          <w:rStyle w:val="19"/>
          <w:b w:val="0"/>
          <w:bCs w:val="0"/>
        </w:rPr>
        <w:t>, 161, pp. 104927.</w:t>
      </w:r>
    </w:p>
    <w:p w14:paraId="0C928FBB">
      <w:pPr>
        <w:pStyle w:val="13"/>
        <w:widowControl/>
        <w:rPr>
          <w:rStyle w:val="19"/>
          <w:b w:val="0"/>
          <w:bCs w:val="0"/>
        </w:rPr>
      </w:pPr>
      <w:r>
        <w:rPr>
          <w:rStyle w:val="19"/>
          <w:b w:val="0"/>
          <w:bCs w:val="0"/>
        </w:rPr>
        <w:t xml:space="preserve">Spear, A. (2020), 'Knowledge and reality', </w:t>
      </w:r>
      <w:r>
        <w:rPr>
          <w:rStyle w:val="21"/>
        </w:rPr>
        <w:t>The Entrepreneurial Scholar</w:t>
      </w:r>
      <w:r>
        <w:rPr>
          <w:rStyle w:val="19"/>
          <w:b w:val="0"/>
          <w:bCs w:val="0"/>
        </w:rPr>
        <w:t xml:space="preserve">, [Online] Available: </w:t>
      </w:r>
      <w:r>
        <w:fldChar w:fldCharType="begin"/>
      </w:r>
      <w:r>
        <w:instrText xml:space="preserve"> HYPERLINK "https://www.elgaronline.com/monochap-oa/book/9781789906721/book-part-9781789906721-8.xml" \t "/Users/luocaisheng/Documentsx/_new" </w:instrText>
      </w:r>
      <w:r>
        <w:fldChar w:fldCharType="separate"/>
      </w:r>
      <w:r>
        <w:rPr>
          <w:rStyle w:val="22"/>
        </w:rPr>
        <w:t>https://www.elgaronline.com/monochap-oa/book/9781789906721/book-part-9781789906721-8.xml</w:t>
      </w:r>
      <w:r>
        <w:rPr>
          <w:rStyle w:val="22"/>
        </w:rPr>
        <w:fldChar w:fldCharType="end"/>
      </w:r>
      <w:r>
        <w:rPr>
          <w:rStyle w:val="19"/>
          <w:b w:val="0"/>
          <w:bCs w:val="0"/>
        </w:rPr>
        <w:t xml:space="preserve"> [Accessed 20th August 2024].</w:t>
      </w:r>
    </w:p>
    <w:p w14:paraId="6DA09FAB">
      <w:pPr>
        <w:pStyle w:val="13"/>
        <w:widowControl/>
      </w:pPr>
      <w:r>
        <w:rPr>
          <w:rStyle w:val="19"/>
          <w:b w:val="0"/>
          <w:bCs w:val="0"/>
        </w:rPr>
        <w:t xml:space="preserve">Staff of the Investment Adviser Regulation Office et al. (2013), </w:t>
      </w:r>
      <w:r>
        <w:rPr>
          <w:rStyle w:val="19"/>
          <w:b w:val="0"/>
          <w:bCs w:val="0"/>
          <w:i/>
          <w:iCs/>
        </w:rPr>
        <w:t>'Regulation of investment advisers by the U.S. Securities and Exchange Commission',</w:t>
      </w:r>
      <w:r>
        <w:rPr>
          <w:rStyle w:val="19"/>
          <w:b w:val="0"/>
          <w:bCs w:val="0"/>
        </w:rPr>
        <w:t xml:space="preserve"> [Online] Available: </w:t>
      </w:r>
      <w:r>
        <w:fldChar w:fldCharType="begin"/>
      </w:r>
      <w:r>
        <w:instrText xml:space="preserve"> HYPERLINK "https://www.sec.gov/about/offices/oia/oia_investman/rplaze-042012.pdf" \t "/Users/luocaisheng/Documentsx/_new" </w:instrText>
      </w:r>
      <w:r>
        <w:fldChar w:fldCharType="separate"/>
      </w:r>
      <w:r>
        <w:rPr>
          <w:rStyle w:val="22"/>
        </w:rPr>
        <w:t>https://www.sec.gov/about/offices/oia/oia_investman/rplaze-042012.pdf</w:t>
      </w:r>
      <w:r>
        <w:rPr>
          <w:rStyle w:val="22"/>
        </w:rPr>
        <w:fldChar w:fldCharType="end"/>
      </w:r>
      <w:r>
        <w:rPr>
          <w:rStyle w:val="19"/>
          <w:b w:val="0"/>
          <w:bCs w:val="0"/>
        </w:rPr>
        <w:t xml:space="preserve"> [Accessed 15th August 2024].</w:t>
      </w:r>
    </w:p>
    <w:p w14:paraId="461A5FCD">
      <w:pPr>
        <w:pStyle w:val="13"/>
        <w:widowControl/>
      </w:pPr>
      <w:r>
        <w:rPr>
          <w:rStyle w:val="19"/>
          <w:b w:val="0"/>
          <w:bCs w:val="0"/>
        </w:rPr>
        <w:t xml:space="preserve">Statista (2024), 'China: public electric vehicle charging pile number 2010-2022', [Online] Available: Statista (2024), </w:t>
      </w:r>
      <w:r>
        <w:rPr>
          <w:rStyle w:val="19"/>
          <w:b w:val="0"/>
          <w:bCs w:val="0"/>
          <w:i/>
          <w:iCs/>
        </w:rPr>
        <w:t>'U.S. public EV charging stations and charging outlets',</w:t>
      </w:r>
      <w:r>
        <w:rPr>
          <w:rStyle w:val="19"/>
          <w:b w:val="0"/>
          <w:bCs w:val="0"/>
        </w:rPr>
        <w:t xml:space="preserve"> [Online] Available: </w:t>
      </w:r>
      <w:r>
        <w:fldChar w:fldCharType="begin"/>
      </w:r>
      <w:r>
        <w:instrText xml:space="preserve"> HYPERLINK "https://www.statista.com/statistics/416750/number-of-electric-vehicle-charging-stations-outlets-united-states/" \t "/Users/luocaisheng/Documentsx/_new" </w:instrText>
      </w:r>
      <w:r>
        <w:fldChar w:fldCharType="separate"/>
      </w:r>
      <w:r>
        <w:rPr>
          <w:rStyle w:val="22"/>
        </w:rPr>
        <w:t>https://www.statista.com/statistics/416750/number-of-electric-vehicle-charging-stations-outlets-united-states/</w:t>
      </w:r>
      <w:r>
        <w:rPr>
          <w:rStyle w:val="22"/>
        </w:rPr>
        <w:fldChar w:fldCharType="end"/>
      </w:r>
      <w:r>
        <w:rPr>
          <w:rStyle w:val="19"/>
          <w:b w:val="0"/>
          <w:bCs w:val="0"/>
        </w:rPr>
        <w:t xml:space="preserve"> [Accessed 15th July 2024].</w:t>
      </w:r>
    </w:p>
    <w:p w14:paraId="7CDA1EE6">
      <w:pPr>
        <w:pStyle w:val="13"/>
        <w:widowControl/>
      </w:pPr>
      <w:r>
        <w:rPr>
          <w:rStyle w:val="19"/>
          <w:b w:val="0"/>
          <w:bCs w:val="0"/>
        </w:rPr>
        <w:t>Statista (2024),</w:t>
      </w:r>
      <w:r>
        <w:rPr>
          <w:rStyle w:val="19"/>
          <w:b w:val="0"/>
          <w:bCs w:val="0"/>
          <w:i/>
          <w:iCs/>
        </w:rPr>
        <w:t xml:space="preserve"> 'Ford: wholesale vehicle sales 2023'</w:t>
      </w:r>
      <w:r>
        <w:rPr>
          <w:rStyle w:val="19"/>
          <w:b w:val="0"/>
          <w:bCs w:val="0"/>
        </w:rPr>
        <w:t xml:space="preserve">, [Online] Available: </w:t>
      </w:r>
      <w:r>
        <w:fldChar w:fldCharType="begin"/>
      </w:r>
      <w:r>
        <w:instrText xml:space="preserve"> HYPERLINK "https://www.statista.com/statistics/297315/ford-vehicle-sales/" \t "/Users/luocaisheng/Documentsx/_new" </w:instrText>
      </w:r>
      <w:r>
        <w:fldChar w:fldCharType="separate"/>
      </w:r>
      <w:r>
        <w:rPr>
          <w:rStyle w:val="22"/>
        </w:rPr>
        <w:t>https://www.statista.com/statistics/297315/ford-vehicle-sales/</w:t>
      </w:r>
      <w:r>
        <w:rPr>
          <w:rStyle w:val="22"/>
        </w:rPr>
        <w:fldChar w:fldCharType="end"/>
      </w:r>
      <w:r>
        <w:rPr>
          <w:rStyle w:val="19"/>
          <w:b w:val="0"/>
          <w:bCs w:val="0"/>
        </w:rPr>
        <w:t xml:space="preserve"> [Accessed 29th July 2024].</w:t>
      </w:r>
    </w:p>
    <w:p w14:paraId="56E05F2E">
      <w:pPr>
        <w:pStyle w:val="13"/>
        <w:widowControl/>
      </w:pPr>
      <w:r>
        <w:rPr>
          <w:rStyle w:val="19"/>
          <w:b w:val="0"/>
          <w:bCs w:val="0"/>
        </w:rPr>
        <w:t xml:space="preserve">Statista (2024), 'Global lithium reserves 2010-2023', [Online] Available: </w:t>
      </w:r>
      <w:r>
        <w:fldChar w:fldCharType="begin"/>
      </w:r>
      <w:r>
        <w:instrText xml:space="preserve"> HYPERLINK "https://www.statista.com/statistics/1253739/lithium-reserves-worldwide/" \t "/Users/luocaisheng/Documentsx/_new" </w:instrText>
      </w:r>
      <w:r>
        <w:fldChar w:fldCharType="separate"/>
      </w:r>
      <w:r>
        <w:rPr>
          <w:rStyle w:val="22"/>
        </w:rPr>
        <w:t>https://www.statista.com/statistics/1253739/lithium-reserves-worldwide/</w:t>
      </w:r>
      <w:r>
        <w:rPr>
          <w:rStyle w:val="22"/>
        </w:rPr>
        <w:fldChar w:fldCharType="end"/>
      </w:r>
      <w:r>
        <w:rPr>
          <w:rStyle w:val="19"/>
          <w:b w:val="0"/>
          <w:bCs w:val="0"/>
        </w:rPr>
        <w:t xml:space="preserve"> [Accessed 25th April 2024].</w:t>
      </w:r>
    </w:p>
    <w:p w14:paraId="78B04AD7">
      <w:pPr>
        <w:pStyle w:val="13"/>
        <w:widowControl/>
      </w:pPr>
      <w:r>
        <w:rPr>
          <w:rStyle w:val="19"/>
          <w:b w:val="0"/>
          <w:bCs w:val="0"/>
        </w:rPr>
        <w:t xml:space="preserve">Statista (2024), </w:t>
      </w:r>
      <w:r>
        <w:rPr>
          <w:rStyle w:val="19"/>
          <w:b w:val="0"/>
          <w:bCs w:val="0"/>
          <w:i/>
          <w:iCs/>
        </w:rPr>
        <w:t>'Global car sales 2019-2023'</w:t>
      </w:r>
      <w:r>
        <w:rPr>
          <w:rStyle w:val="19"/>
          <w:b w:val="0"/>
          <w:bCs w:val="0"/>
        </w:rPr>
        <w:t xml:space="preserve">, [Online] Available: </w:t>
      </w:r>
      <w:r>
        <w:fldChar w:fldCharType="begin"/>
      </w:r>
      <w:r>
        <w:instrText xml:space="preserve"> HYPERLINK "https://www.statista.com/statistics/200002/international-car-sales-since-1990/" \t "/Users/luocaisheng/Documentsx/_new" </w:instrText>
      </w:r>
      <w:r>
        <w:fldChar w:fldCharType="separate"/>
      </w:r>
      <w:r>
        <w:rPr>
          <w:rStyle w:val="22"/>
        </w:rPr>
        <w:t>https://www.statista.com/statistics/200002/international-car-sales-since-1990/</w:t>
      </w:r>
      <w:r>
        <w:rPr>
          <w:rStyle w:val="22"/>
        </w:rPr>
        <w:fldChar w:fldCharType="end"/>
      </w:r>
      <w:r>
        <w:rPr>
          <w:rStyle w:val="19"/>
          <w:b w:val="0"/>
          <w:bCs w:val="0"/>
        </w:rPr>
        <w:t xml:space="preserve"> [Accessed 18th August 2024].</w:t>
      </w:r>
    </w:p>
    <w:p w14:paraId="1E33FFDC">
      <w:pPr>
        <w:pStyle w:val="13"/>
        <w:widowControl/>
      </w:pPr>
      <w:r>
        <w:rPr>
          <w:rStyle w:val="19"/>
          <w:b w:val="0"/>
          <w:bCs w:val="0"/>
        </w:rPr>
        <w:t>Statista (2024),</w:t>
      </w:r>
      <w:r>
        <w:rPr>
          <w:rStyle w:val="19"/>
          <w:b w:val="0"/>
          <w:bCs w:val="0"/>
          <w:i/>
          <w:iCs/>
        </w:rPr>
        <w:t xml:space="preserve"> 'Global cobalt reserves 2023',</w:t>
      </w:r>
      <w:r>
        <w:rPr>
          <w:rStyle w:val="19"/>
          <w:b w:val="0"/>
          <w:bCs w:val="0"/>
        </w:rPr>
        <w:t xml:space="preserve"> [Online] Available: </w:t>
      </w:r>
      <w:r>
        <w:fldChar w:fldCharType="begin"/>
      </w:r>
      <w:r>
        <w:instrText xml:space="preserve"> HYPERLINK "https://www.statista.com/statistics/1058647/global-cobalt-reserves/" \t "/Users/luocaisheng/Documentsx/_new" </w:instrText>
      </w:r>
      <w:r>
        <w:fldChar w:fldCharType="separate"/>
      </w:r>
      <w:r>
        <w:rPr>
          <w:rStyle w:val="22"/>
        </w:rPr>
        <w:t>https://www.statista.com/statistics/1058647/global-cobalt-reserves/</w:t>
      </w:r>
      <w:r>
        <w:rPr>
          <w:rStyle w:val="22"/>
        </w:rPr>
        <w:fldChar w:fldCharType="end"/>
      </w:r>
      <w:r>
        <w:rPr>
          <w:rStyle w:val="19"/>
          <w:b w:val="0"/>
          <w:bCs w:val="0"/>
        </w:rPr>
        <w:t xml:space="preserve"> [Accessed 30th April 2024].</w:t>
      </w:r>
    </w:p>
    <w:p w14:paraId="4BEB682C">
      <w:pPr>
        <w:pStyle w:val="13"/>
        <w:widowControl/>
      </w:pPr>
      <w:r>
        <w:rPr>
          <w:rStyle w:val="19"/>
          <w:b w:val="0"/>
          <w:bCs w:val="0"/>
        </w:rPr>
        <w:t xml:space="preserve">Statista (2024), </w:t>
      </w:r>
      <w:r>
        <w:rPr>
          <w:rStyle w:val="19"/>
          <w:b w:val="0"/>
          <w:bCs w:val="0"/>
          <w:i/>
          <w:iCs/>
        </w:rPr>
        <w:t>'Global manganese reserves 2010-2023'</w:t>
      </w:r>
      <w:r>
        <w:rPr>
          <w:rStyle w:val="19"/>
          <w:b w:val="0"/>
          <w:bCs w:val="0"/>
        </w:rPr>
        <w:t xml:space="preserve">, [Online] Available: </w:t>
      </w:r>
      <w:r>
        <w:fldChar w:fldCharType="begin"/>
      </w:r>
      <w:r>
        <w:instrText xml:space="preserve"> HYPERLINK "https://www.statista.com/statistics/247609/world-manganese-reserves/" \t "/Users/luocaisheng/Documentsx/_new" </w:instrText>
      </w:r>
      <w:r>
        <w:fldChar w:fldCharType="separate"/>
      </w:r>
      <w:r>
        <w:rPr>
          <w:rStyle w:val="22"/>
        </w:rPr>
        <w:t>https://www.statista.com/statistics/247609/world-manganese-reserves/</w:t>
      </w:r>
      <w:r>
        <w:rPr>
          <w:rStyle w:val="22"/>
        </w:rPr>
        <w:fldChar w:fldCharType="end"/>
      </w:r>
      <w:r>
        <w:rPr>
          <w:rStyle w:val="19"/>
          <w:b w:val="0"/>
          <w:bCs w:val="0"/>
        </w:rPr>
        <w:t xml:space="preserve"> [Accessed 2nd May 2024].</w:t>
      </w:r>
    </w:p>
    <w:p w14:paraId="2108443E">
      <w:pPr>
        <w:pStyle w:val="13"/>
        <w:widowControl/>
      </w:pPr>
      <w:r>
        <w:rPr>
          <w:rStyle w:val="19"/>
          <w:b w:val="0"/>
          <w:bCs w:val="0"/>
        </w:rPr>
        <w:t>Statista (2024),</w:t>
      </w:r>
      <w:r>
        <w:rPr>
          <w:rStyle w:val="19"/>
          <w:b w:val="0"/>
          <w:bCs w:val="0"/>
          <w:i/>
          <w:iCs/>
        </w:rPr>
        <w:t xml:space="preserve"> 'Global nickel reserves by country 2023'</w:t>
      </w:r>
      <w:r>
        <w:rPr>
          <w:rStyle w:val="19"/>
          <w:b w:val="0"/>
          <w:bCs w:val="0"/>
        </w:rPr>
        <w:t xml:space="preserve">, [Online] Available: </w:t>
      </w:r>
      <w:r>
        <w:fldChar w:fldCharType="begin"/>
      </w:r>
      <w:r>
        <w:instrText xml:space="preserve"> HYPERLINK "https://www.statista.com/statistics/273634/nickel-reserves-worldwide-by-country/" \t "/Users/luocaisheng/Documentsx/_new" </w:instrText>
      </w:r>
      <w:r>
        <w:fldChar w:fldCharType="separate"/>
      </w:r>
      <w:r>
        <w:rPr>
          <w:rStyle w:val="22"/>
        </w:rPr>
        <w:t>https://www.statista.com/statistics/273634/nickel-reserves-worldwide-by-country/</w:t>
      </w:r>
      <w:r>
        <w:rPr>
          <w:rStyle w:val="22"/>
        </w:rPr>
        <w:fldChar w:fldCharType="end"/>
      </w:r>
      <w:r>
        <w:rPr>
          <w:rStyle w:val="19"/>
          <w:b w:val="0"/>
          <w:bCs w:val="0"/>
        </w:rPr>
        <w:t xml:space="preserve"> [Accessed 21st May 2024].</w:t>
      </w:r>
    </w:p>
    <w:p w14:paraId="552EB359">
      <w:pPr>
        <w:pStyle w:val="13"/>
        <w:widowControl/>
        <w:rPr>
          <w:rStyle w:val="19"/>
          <w:b w:val="0"/>
          <w:bCs w:val="0"/>
        </w:rPr>
      </w:pPr>
      <w:r>
        <w:rPr>
          <w:rStyle w:val="19"/>
          <w:b w:val="0"/>
          <w:bCs w:val="0"/>
        </w:rPr>
        <w:t>Statista (2024),</w:t>
      </w:r>
      <w:r>
        <w:rPr>
          <w:rStyle w:val="19"/>
          <w:b w:val="0"/>
          <w:bCs w:val="0"/>
          <w:i/>
          <w:iCs/>
        </w:rPr>
        <w:t xml:space="preserve"> 'Global demand for nickel 2019-2023'</w:t>
      </w:r>
      <w:r>
        <w:rPr>
          <w:rStyle w:val="19"/>
          <w:b w:val="0"/>
          <w:bCs w:val="0"/>
        </w:rPr>
        <w:t xml:space="preserve">, [Online] Available: </w:t>
      </w:r>
      <w:r>
        <w:fldChar w:fldCharType="begin"/>
      </w:r>
      <w:r>
        <w:instrText xml:space="preserve"> HYPERLINK "https://www.statista.com/statistics/273653/global-nickel-demand/" \t "/Users/luocaisheng/Documentsx/_new" </w:instrText>
      </w:r>
      <w:r>
        <w:fldChar w:fldCharType="separate"/>
      </w:r>
      <w:r>
        <w:rPr>
          <w:rStyle w:val="22"/>
        </w:rPr>
        <w:t>https://www.statista.com/statistics/273653/global-nickel-demand/</w:t>
      </w:r>
      <w:r>
        <w:rPr>
          <w:rStyle w:val="22"/>
        </w:rPr>
        <w:fldChar w:fldCharType="end"/>
      </w:r>
      <w:r>
        <w:rPr>
          <w:rStyle w:val="19"/>
          <w:b w:val="0"/>
          <w:bCs w:val="0"/>
        </w:rPr>
        <w:t xml:space="preserve"> [Accessed 30th April 2024].</w:t>
      </w:r>
    </w:p>
    <w:p w14:paraId="7BA33957">
      <w:pPr>
        <w:pStyle w:val="13"/>
        <w:widowControl/>
        <w:rPr>
          <w:rStyle w:val="19"/>
          <w:b w:val="0"/>
          <w:bCs w:val="0"/>
        </w:rPr>
      </w:pPr>
      <w:r>
        <w:rPr>
          <w:rStyle w:val="19"/>
          <w:b w:val="0"/>
          <w:bCs w:val="0"/>
        </w:rPr>
        <w:t xml:space="preserve">Stone, C. (2024), 'BYD Reliability: how reliable are BYD Cars?', [Online] Available: </w:t>
      </w:r>
      <w:r>
        <w:fldChar w:fldCharType="begin"/>
      </w:r>
      <w:r>
        <w:instrText xml:space="preserve"> HYPERLINK "https://www.osv.ltd.uk/byd-reliability-how-reliable-are-byd-cars/" \t "/Users/luocaisheng/Documentsx/_new" </w:instrText>
      </w:r>
      <w:r>
        <w:fldChar w:fldCharType="separate"/>
      </w:r>
      <w:r>
        <w:rPr>
          <w:rStyle w:val="22"/>
        </w:rPr>
        <w:t>https://www.osv.ltd.uk/byd-reliability-how-reliable-are-byd-cars/</w:t>
      </w:r>
      <w:r>
        <w:rPr>
          <w:rStyle w:val="22"/>
        </w:rPr>
        <w:fldChar w:fldCharType="end"/>
      </w:r>
      <w:r>
        <w:rPr>
          <w:rStyle w:val="19"/>
          <w:b w:val="0"/>
          <w:bCs w:val="0"/>
        </w:rPr>
        <w:t xml:space="preserve"> [Accessed 30th July 2024].</w:t>
      </w:r>
    </w:p>
    <w:p w14:paraId="3FDBC0E8">
      <w:pPr>
        <w:pStyle w:val="13"/>
        <w:widowControl/>
        <w:rPr>
          <w:rStyle w:val="19"/>
          <w:b w:val="0"/>
          <w:bCs w:val="0"/>
        </w:rPr>
      </w:pPr>
      <w:r>
        <w:rPr>
          <w:rStyle w:val="21"/>
          <w:i w:val="0"/>
        </w:rPr>
        <w:t>Sust-it - Simply Efficient Shopping</w:t>
      </w:r>
      <w:r>
        <w:rPr>
          <w:rStyle w:val="19"/>
          <w:b w:val="0"/>
          <w:bCs w:val="0"/>
          <w:iCs/>
        </w:rPr>
        <w:t>,</w:t>
      </w:r>
      <w:r>
        <w:rPr>
          <w:rStyle w:val="19"/>
          <w:rFonts w:hint="eastAsia"/>
          <w:b w:val="0"/>
          <w:bCs w:val="0"/>
          <w:iCs/>
        </w:rPr>
        <w:t xml:space="preserve"> </w:t>
      </w:r>
      <w:r>
        <w:rPr>
          <w:rStyle w:val="19"/>
          <w:b w:val="0"/>
          <w:bCs w:val="0"/>
        </w:rPr>
        <w:t>(2024)</w:t>
      </w:r>
      <w:r>
        <w:rPr>
          <w:rStyle w:val="19"/>
          <w:rFonts w:hint="eastAsia"/>
          <w:b w:val="0"/>
          <w:bCs w:val="0"/>
        </w:rPr>
        <w:t xml:space="preserve"> </w:t>
      </w:r>
      <w:r>
        <w:rPr>
          <w:rStyle w:val="19"/>
          <w:b w:val="0"/>
          <w:bCs w:val="0"/>
          <w:i/>
          <w:iCs/>
        </w:rPr>
        <w:t>'Electricity cost calculator'</w:t>
      </w:r>
      <w:r>
        <w:rPr>
          <w:rStyle w:val="19"/>
          <w:b w:val="0"/>
          <w:bCs w:val="0"/>
        </w:rPr>
        <w:t xml:space="preserve"> ,  [Online] Available: </w:t>
      </w:r>
      <w:r>
        <w:fldChar w:fldCharType="begin"/>
      </w:r>
      <w:r>
        <w:instrText xml:space="preserve"> HYPERLINK "https://www.sust-it.net/energy-calculator.php" \t "/Users/luocaisheng/Documentsx/_new" </w:instrText>
      </w:r>
      <w:r>
        <w:fldChar w:fldCharType="separate"/>
      </w:r>
      <w:r>
        <w:rPr>
          <w:rStyle w:val="22"/>
        </w:rPr>
        <w:t>https://www.sust-it.net/energy-calculator.php</w:t>
      </w:r>
      <w:r>
        <w:rPr>
          <w:rStyle w:val="22"/>
        </w:rPr>
        <w:fldChar w:fldCharType="end"/>
      </w:r>
      <w:r>
        <w:rPr>
          <w:rStyle w:val="19"/>
          <w:b w:val="0"/>
          <w:bCs w:val="0"/>
        </w:rPr>
        <w:t xml:space="preserve"> [Accessed 17th August 2024].</w:t>
      </w:r>
    </w:p>
    <w:p w14:paraId="6C845953">
      <w:pPr>
        <w:pStyle w:val="13"/>
        <w:widowControl/>
        <w:rPr>
          <w:rStyle w:val="19"/>
          <w:b w:val="0"/>
          <w:bCs w:val="0"/>
        </w:rPr>
      </w:pPr>
      <w:r>
        <w:rPr>
          <w:rStyle w:val="19"/>
          <w:b w:val="0"/>
          <w:bCs w:val="0"/>
        </w:rPr>
        <w:t xml:space="preserve">Sun, H., Wan, Y., &amp; Lv, H., </w:t>
      </w:r>
      <w:r>
        <w:rPr>
          <w:rStyle w:val="19"/>
          <w:rFonts w:hint="eastAsia"/>
          <w:b w:val="0"/>
          <w:bCs w:val="0"/>
        </w:rPr>
        <w:t>(</w:t>
      </w:r>
      <w:r>
        <w:rPr>
          <w:rStyle w:val="19"/>
          <w:b w:val="0"/>
          <w:bCs w:val="0"/>
        </w:rPr>
        <w:t>2020</w:t>
      </w:r>
      <w:r>
        <w:rPr>
          <w:rStyle w:val="19"/>
          <w:rFonts w:hint="eastAsia"/>
          <w:b w:val="0"/>
          <w:bCs w:val="0"/>
        </w:rPr>
        <w:t>)</w:t>
      </w:r>
      <w:r>
        <w:rPr>
          <w:rStyle w:val="19"/>
          <w:b w:val="0"/>
          <w:bCs w:val="0"/>
          <w:i/>
          <w:iCs/>
        </w:rPr>
        <w:t>. System Dynamics Model for the Evolutionary Behaviour of Government Enterprises and Consumers in China’s New Energy Vehicle Market.</w:t>
      </w:r>
      <w:r>
        <w:rPr>
          <w:rStyle w:val="19"/>
          <w:b w:val="0"/>
          <w:bCs w:val="0"/>
        </w:rPr>
        <w:t xml:space="preserve"> Sustainability. </w:t>
      </w:r>
      <w:r>
        <w:rPr>
          <w:rStyle w:val="19"/>
          <w:rFonts w:hint="eastAsia"/>
          <w:b w:val="0"/>
          <w:bCs w:val="0"/>
        </w:rPr>
        <w:t xml:space="preserve"> </w:t>
      </w:r>
      <w:r>
        <w:rPr>
          <w:rStyle w:val="19"/>
          <w:b w:val="0"/>
          <w:bCs w:val="0"/>
        </w:rPr>
        <w:t xml:space="preserve">[Online] Available: </w:t>
      </w:r>
      <w:r>
        <w:fldChar w:fldCharType="begin"/>
      </w:r>
      <w:r>
        <w:instrText xml:space="preserve"> HYPERLINK "https://www.semanticscholar.org/paper/System-Dynamics-Model-for-the-Evolutionary-of-and-Sun-Wan/1c71e2334b201b21dfc5513f6e7013883c37923c" </w:instrText>
      </w:r>
      <w:r>
        <w:fldChar w:fldCharType="separate"/>
      </w:r>
      <w:r>
        <w:rPr>
          <w:rStyle w:val="22"/>
        </w:rPr>
        <w:t>https://www.semanticscholar.org/paper/System-Dynamics-Model-for-the-Evolutionary-of-and-Sun-Wan/1c71e2334b201b21dfc5513f6e7013883c37923c</w:t>
      </w:r>
      <w:r>
        <w:rPr>
          <w:rStyle w:val="22"/>
        </w:rPr>
        <w:fldChar w:fldCharType="end"/>
      </w:r>
      <w:r>
        <w:rPr>
          <w:rStyle w:val="19"/>
          <w:rFonts w:hint="eastAsia"/>
          <w:b w:val="0"/>
          <w:bCs w:val="0"/>
        </w:rPr>
        <w:t xml:space="preserve"> </w:t>
      </w:r>
      <w:r>
        <w:rPr>
          <w:rStyle w:val="19"/>
          <w:b w:val="0"/>
          <w:bCs w:val="0"/>
        </w:rPr>
        <w:t xml:space="preserve">[Accessed </w:t>
      </w:r>
      <w:r>
        <w:rPr>
          <w:rStyle w:val="19"/>
          <w:rFonts w:hint="eastAsia"/>
          <w:b w:val="0"/>
          <w:bCs w:val="0"/>
        </w:rPr>
        <w:t>4</w:t>
      </w:r>
      <w:r>
        <w:rPr>
          <w:rStyle w:val="19"/>
          <w:b w:val="0"/>
          <w:bCs w:val="0"/>
        </w:rPr>
        <w:t xml:space="preserve">th </w:t>
      </w:r>
      <w:r>
        <w:rPr>
          <w:rStyle w:val="19"/>
          <w:rFonts w:hint="eastAsia"/>
          <w:b w:val="0"/>
          <w:bCs w:val="0"/>
        </w:rPr>
        <w:t>September</w:t>
      </w:r>
      <w:r>
        <w:rPr>
          <w:rStyle w:val="19"/>
          <w:b w:val="0"/>
          <w:bCs w:val="0"/>
        </w:rPr>
        <w:t xml:space="preserve"> 2024]</w:t>
      </w:r>
    </w:p>
    <w:p w14:paraId="2C63A536">
      <w:pPr>
        <w:pStyle w:val="13"/>
        <w:widowControl/>
        <w:rPr>
          <w:rStyle w:val="19"/>
          <w:b w:val="0"/>
          <w:bCs w:val="0"/>
        </w:rPr>
      </w:pPr>
      <w:r>
        <w:rPr>
          <w:rStyle w:val="19"/>
          <w:b w:val="0"/>
          <w:bCs w:val="0"/>
        </w:rPr>
        <w:t>Su, Y. (2022), '</w:t>
      </w:r>
      <w:r>
        <w:rPr>
          <w:rStyle w:val="19"/>
          <w:b w:val="0"/>
          <w:bCs w:val="0"/>
          <w:i/>
          <w:iCs/>
        </w:rPr>
        <w:t>Comparative analysis of lithium iron phosphate battery and ternary lithium battery'</w:t>
      </w:r>
      <w:r>
        <w:rPr>
          <w:rStyle w:val="19"/>
          <w:b w:val="0"/>
          <w:bCs w:val="0"/>
        </w:rPr>
        <w:t xml:space="preserve">, </w:t>
      </w:r>
      <w:r>
        <w:rPr>
          <w:rStyle w:val="21"/>
        </w:rPr>
        <w:t>Journal of Physics: Conference Series</w:t>
      </w:r>
      <w:r>
        <w:rPr>
          <w:rStyle w:val="19"/>
          <w:b w:val="0"/>
          <w:bCs w:val="0"/>
        </w:rPr>
        <w:t>, 2152(1), p. 012056.</w:t>
      </w:r>
    </w:p>
    <w:p w14:paraId="05C5DD5D">
      <w:pPr>
        <w:pStyle w:val="13"/>
        <w:widowControl/>
        <w:rPr>
          <w:rStyle w:val="19"/>
          <w:b w:val="0"/>
          <w:bCs w:val="0"/>
        </w:rPr>
      </w:pPr>
      <w:r>
        <w:rPr>
          <w:rStyle w:val="19"/>
          <w:b w:val="0"/>
          <w:bCs w:val="0"/>
        </w:rPr>
        <w:t xml:space="preserve">Tilton, J.E. (2003), </w:t>
      </w:r>
      <w:r>
        <w:rPr>
          <w:rStyle w:val="21"/>
        </w:rPr>
        <w:t>On Borrowed Time? Assessing the Threat of Mineral Depletion</w:t>
      </w:r>
      <w:r>
        <w:rPr>
          <w:rStyle w:val="19"/>
          <w:b w:val="0"/>
          <w:bCs w:val="0"/>
        </w:rPr>
        <w:t xml:space="preserve">, [Online] International Research Center for Energy and Economic Development (ICEED), Available: </w:t>
      </w:r>
      <w:r>
        <w:fldChar w:fldCharType="begin"/>
      </w:r>
      <w:r>
        <w:instrText xml:space="preserve"> HYPERLINK "https://www.jstor.org/stable/24809264" \t "/Users/luocaisheng/Documentsx/_new" </w:instrText>
      </w:r>
      <w:r>
        <w:fldChar w:fldCharType="separate"/>
      </w:r>
      <w:r>
        <w:rPr>
          <w:rStyle w:val="22"/>
        </w:rPr>
        <w:t>https://www.jstor.org/stable/24809264</w:t>
      </w:r>
      <w:r>
        <w:rPr>
          <w:rStyle w:val="22"/>
        </w:rPr>
        <w:fldChar w:fldCharType="end"/>
      </w:r>
      <w:r>
        <w:rPr>
          <w:rStyle w:val="19"/>
          <w:b w:val="0"/>
          <w:bCs w:val="0"/>
        </w:rPr>
        <w:t xml:space="preserve"> [Accessed 18th August 2024].</w:t>
      </w:r>
    </w:p>
    <w:p w14:paraId="12C9FCF9">
      <w:pPr>
        <w:pStyle w:val="13"/>
        <w:widowControl/>
        <w:rPr>
          <w:rStyle w:val="19"/>
          <w:b w:val="0"/>
          <w:bCs w:val="0"/>
        </w:rPr>
      </w:pPr>
      <w:r>
        <w:rPr>
          <w:rStyle w:val="19"/>
          <w:b w:val="0"/>
          <w:bCs w:val="0"/>
        </w:rPr>
        <w:t xml:space="preserve">Thomas, G. (2022), </w:t>
      </w:r>
      <w:r>
        <w:rPr>
          <w:rStyle w:val="21"/>
        </w:rPr>
        <w:t>How to Do Your Research Project: A Guide for Students</w:t>
      </w:r>
      <w:r>
        <w:rPr>
          <w:rStyle w:val="19"/>
          <w:b w:val="0"/>
          <w:bCs w:val="0"/>
        </w:rPr>
        <w:t xml:space="preserve"> (Fourth Edition), Thousand Oaks, California: SAGE Publications Ltd.</w:t>
      </w:r>
    </w:p>
    <w:p w14:paraId="69FA9B2B">
      <w:pPr>
        <w:pStyle w:val="13"/>
        <w:widowControl/>
        <w:rPr>
          <w:rStyle w:val="19"/>
          <w:b w:val="0"/>
          <w:bCs w:val="0"/>
        </w:rPr>
      </w:pPr>
      <w:r>
        <w:rPr>
          <w:rStyle w:val="19"/>
          <w:b w:val="0"/>
          <w:bCs w:val="0"/>
        </w:rPr>
        <w:t xml:space="preserve">Thomas, G. (2023), </w:t>
      </w:r>
      <w:r>
        <w:rPr>
          <w:rStyle w:val="21"/>
        </w:rPr>
        <w:t>How to Do Your Research Project: A Guide for Students in Education and Applied Social Sciences</w:t>
      </w:r>
      <w:r>
        <w:rPr>
          <w:rStyle w:val="19"/>
          <w:b w:val="0"/>
          <w:bCs w:val="0"/>
        </w:rPr>
        <w:t xml:space="preserve"> (4th edition), London: SAGE Publications Ltd.</w:t>
      </w:r>
    </w:p>
    <w:p w14:paraId="4E1FC219">
      <w:pPr>
        <w:pStyle w:val="13"/>
        <w:widowControl/>
        <w:rPr>
          <w:rStyle w:val="19"/>
          <w:b w:val="0"/>
          <w:bCs w:val="0"/>
        </w:rPr>
      </w:pPr>
      <w:r>
        <w:rPr>
          <w:rStyle w:val="19"/>
          <w:b w:val="0"/>
          <w:bCs w:val="0"/>
        </w:rPr>
        <w:t xml:space="preserve">Trochim, W.M. (2007), </w:t>
      </w:r>
      <w:r>
        <w:rPr>
          <w:rStyle w:val="21"/>
        </w:rPr>
        <w:t>The Research Methods Knowledge Base</w:t>
      </w:r>
      <w:r>
        <w:rPr>
          <w:rStyle w:val="19"/>
          <w:b w:val="0"/>
          <w:bCs w:val="0"/>
        </w:rPr>
        <w:t xml:space="preserve">, Berlin: ResearchGate, [Online] Available: </w:t>
      </w:r>
      <w:r>
        <w:fldChar w:fldCharType="begin"/>
      </w:r>
      <w:r>
        <w:instrText xml:space="preserve"> HYPERLINK "https://www.researchgate.net/publication/243783609_The_Research_Methods_Knowledge_Base" \t "/Users/luocaisheng/Documentsx/_new" </w:instrText>
      </w:r>
      <w:r>
        <w:fldChar w:fldCharType="separate"/>
      </w:r>
      <w:r>
        <w:rPr>
          <w:rStyle w:val="22"/>
        </w:rPr>
        <w:t>https://www.researchgate.net/publication/243783609_The_Research_Methods_Knowledge_Base</w:t>
      </w:r>
      <w:r>
        <w:rPr>
          <w:rStyle w:val="22"/>
        </w:rPr>
        <w:fldChar w:fldCharType="end"/>
      </w:r>
      <w:r>
        <w:rPr>
          <w:rStyle w:val="19"/>
          <w:b w:val="0"/>
          <w:bCs w:val="0"/>
        </w:rPr>
        <w:t xml:space="preserve"> [Accessed 14th August 2024].</w:t>
      </w:r>
    </w:p>
    <w:p w14:paraId="33660E20">
      <w:pPr>
        <w:pStyle w:val="13"/>
        <w:widowControl/>
        <w:rPr>
          <w:rStyle w:val="19"/>
          <w:b w:val="0"/>
          <w:bCs w:val="0"/>
        </w:rPr>
      </w:pPr>
      <w:r>
        <w:rPr>
          <w:rStyle w:val="19"/>
          <w:b w:val="0"/>
          <w:bCs w:val="0"/>
        </w:rPr>
        <w:t xml:space="preserve">University of Wales Trinity Saint David (2024), 'Research Integrity and Ethics', [Online] Available: </w:t>
      </w:r>
      <w:r>
        <w:fldChar w:fldCharType="begin"/>
      </w:r>
      <w:r>
        <w:instrText xml:space="preserve"> HYPERLINK "https://www.uwtsd.ac.uk/research/research-integrity-and-ethics" \t "/Users/luocaisheng/Documentsx/_new" </w:instrText>
      </w:r>
      <w:r>
        <w:fldChar w:fldCharType="separate"/>
      </w:r>
      <w:r>
        <w:rPr>
          <w:rStyle w:val="22"/>
        </w:rPr>
        <w:t>https://www.uwtsd.ac.uk/research/research-integrity-and-ethics</w:t>
      </w:r>
      <w:r>
        <w:rPr>
          <w:rStyle w:val="22"/>
        </w:rPr>
        <w:fldChar w:fldCharType="end"/>
      </w:r>
      <w:r>
        <w:rPr>
          <w:rStyle w:val="19"/>
          <w:b w:val="0"/>
          <w:bCs w:val="0"/>
        </w:rPr>
        <w:t xml:space="preserve"> [Accessed 16th August 2024].</w:t>
      </w:r>
    </w:p>
    <w:p w14:paraId="6D38C1AE">
      <w:pPr>
        <w:pStyle w:val="13"/>
        <w:widowControl/>
        <w:rPr>
          <w:rStyle w:val="19"/>
          <w:b w:val="0"/>
          <w:bCs w:val="0"/>
        </w:rPr>
      </w:pPr>
      <w:r>
        <w:rPr>
          <w:rStyle w:val="19"/>
          <w:b w:val="0"/>
          <w:bCs w:val="0"/>
        </w:rPr>
        <w:t xml:space="preserve">United Nations (2015), 'The Paris Agreement', [Online] Available: </w:t>
      </w:r>
      <w:r>
        <w:fldChar w:fldCharType="begin"/>
      </w:r>
      <w:r>
        <w:instrText xml:space="preserve"> HYPERLINK "https://treaties.un.org/Pages/ViewDetails.aspx?src=TREATY&amp;mtdsg_no=XXVII-7-d&amp;chapter=27&amp;clang=_en" \t "/Users/luocaisheng/Documentsx/_new" </w:instrText>
      </w:r>
      <w:r>
        <w:fldChar w:fldCharType="separate"/>
      </w:r>
      <w:r>
        <w:rPr>
          <w:rStyle w:val="22"/>
        </w:rPr>
        <w:t>https://treaties.un.org/Pages/ViewDetails.aspx?src=TREATY&amp;mtdsg_no=XXVII-7-d&amp;chapter=27&amp;clang=_en</w:t>
      </w:r>
      <w:r>
        <w:rPr>
          <w:rStyle w:val="22"/>
        </w:rPr>
        <w:fldChar w:fldCharType="end"/>
      </w:r>
      <w:r>
        <w:rPr>
          <w:rStyle w:val="19"/>
          <w:b w:val="0"/>
          <w:bCs w:val="0"/>
        </w:rPr>
        <w:t xml:space="preserve"> [Accessed 26th August 2024].</w:t>
      </w:r>
    </w:p>
    <w:p w14:paraId="356B2B2B">
      <w:pPr>
        <w:pStyle w:val="13"/>
        <w:widowControl/>
        <w:rPr>
          <w:rStyle w:val="19"/>
          <w:b w:val="0"/>
          <w:bCs w:val="0"/>
        </w:rPr>
      </w:pPr>
      <w:r>
        <w:rPr>
          <w:rStyle w:val="19"/>
          <w:b w:val="0"/>
          <w:bCs w:val="0"/>
        </w:rPr>
        <w:t xml:space="preserve">UNITED STATES SECURITIES AND EXCHANGE COMMISSION (2023), 'FORM 10-K', </w:t>
      </w:r>
      <w:r>
        <w:rPr>
          <w:rStyle w:val="21"/>
        </w:rPr>
        <w:t>Annual Report on Form 10-K</w:t>
      </w:r>
      <w:r>
        <w:rPr>
          <w:rStyle w:val="19"/>
          <w:b w:val="0"/>
          <w:bCs w:val="0"/>
        </w:rPr>
        <w:t xml:space="preserve">, [Online] Available: </w:t>
      </w:r>
      <w:r>
        <w:fldChar w:fldCharType="begin"/>
      </w:r>
      <w:r>
        <w:instrText xml:space="preserve"> HYPERLINK "https://d18rn0p25nwr6d.cloudfront.net/CIK-0000037996/18354c35-a340-4f1d-9b1a-e8ff0bae917e.pdf" \t "/Users/luocaisheng/Documentsx/_new" </w:instrText>
      </w:r>
      <w:r>
        <w:fldChar w:fldCharType="separate"/>
      </w:r>
      <w:r>
        <w:rPr>
          <w:rStyle w:val="22"/>
        </w:rPr>
        <w:t>https://d18rn0p25nwr6d.cloudfront.net/CIK-0000037996/18354c35-a340-4f1d-9b1a-e8ff0bae917e.pdf</w:t>
      </w:r>
      <w:r>
        <w:rPr>
          <w:rStyle w:val="22"/>
        </w:rPr>
        <w:fldChar w:fldCharType="end"/>
      </w:r>
      <w:r>
        <w:rPr>
          <w:rStyle w:val="19"/>
          <w:b w:val="0"/>
          <w:bCs w:val="0"/>
        </w:rPr>
        <w:t xml:space="preserve"> [Accessed 27th August 2024].</w:t>
      </w:r>
    </w:p>
    <w:p w14:paraId="6B63ED4E">
      <w:pPr>
        <w:pStyle w:val="13"/>
        <w:widowControl/>
        <w:rPr>
          <w:rStyle w:val="19"/>
          <w:b w:val="0"/>
          <w:bCs w:val="0"/>
        </w:rPr>
      </w:pPr>
      <w:r>
        <w:rPr>
          <w:rStyle w:val="19"/>
          <w:b w:val="0"/>
          <w:bCs w:val="0"/>
        </w:rPr>
        <w:t xml:space="preserve">Un-Noor, F., Padmanaban, S., Mihet-Popa, L., et al. (2017), 'A Comprehensive Study of Key Electric Vehicle (EV) Components, Technologies, Challenges, Impacts, and Future Direction of Development', </w:t>
      </w:r>
      <w:r>
        <w:rPr>
          <w:rStyle w:val="21"/>
        </w:rPr>
        <w:t>Energies</w:t>
      </w:r>
      <w:r>
        <w:rPr>
          <w:rStyle w:val="19"/>
          <w:b w:val="0"/>
          <w:bCs w:val="0"/>
        </w:rPr>
        <w:t>, 10, pp. 1217.</w:t>
      </w:r>
    </w:p>
    <w:p w14:paraId="7393BD9F">
      <w:pPr>
        <w:pStyle w:val="13"/>
        <w:widowControl/>
        <w:rPr>
          <w:rStyle w:val="19"/>
          <w:b w:val="0"/>
          <w:bCs w:val="0"/>
        </w:rPr>
      </w:pPr>
      <w:r>
        <w:rPr>
          <w:rStyle w:val="19"/>
          <w:b w:val="0"/>
          <w:bCs w:val="0"/>
        </w:rPr>
        <w:t xml:space="preserve">UN News (2023), 'IEA: Global CO2 emissions in 2022 lower than expected, thanks to clean energy growth', [Online] Available: </w:t>
      </w:r>
      <w:r>
        <w:fldChar w:fldCharType="begin"/>
      </w:r>
      <w:r>
        <w:instrText xml:space="preserve"> HYPERLINK "https://news.un.org/zh/story/2023/03/1115747" \t "/Users/luocaisheng/Documentsx/_new" </w:instrText>
      </w:r>
      <w:r>
        <w:fldChar w:fldCharType="separate"/>
      </w:r>
      <w:r>
        <w:rPr>
          <w:rStyle w:val="22"/>
        </w:rPr>
        <w:t>https://news.un.org/zh/story/2023/03/1115747</w:t>
      </w:r>
      <w:r>
        <w:rPr>
          <w:rStyle w:val="22"/>
        </w:rPr>
        <w:fldChar w:fldCharType="end"/>
      </w:r>
      <w:r>
        <w:rPr>
          <w:rStyle w:val="19"/>
          <w:b w:val="0"/>
          <w:bCs w:val="0"/>
        </w:rPr>
        <w:t xml:space="preserve"> [Accessed 17th August 2024].</w:t>
      </w:r>
    </w:p>
    <w:p w14:paraId="05DE795F">
      <w:pPr>
        <w:pStyle w:val="13"/>
        <w:widowControl/>
      </w:pPr>
      <w:r>
        <w:rPr>
          <w:rStyle w:val="19"/>
          <w:b w:val="0"/>
          <w:bCs w:val="0"/>
        </w:rPr>
        <w:t>U.S. Department of Energy (2022), 'Federal tax credits for all-electric and plug-in hybrid electric vehicles'.</w:t>
      </w:r>
    </w:p>
    <w:p w14:paraId="42E2E7AF">
      <w:pPr>
        <w:pStyle w:val="13"/>
        <w:widowControl/>
        <w:rPr>
          <w:rStyle w:val="19"/>
          <w:b w:val="0"/>
          <w:bCs w:val="0"/>
        </w:rPr>
      </w:pPr>
      <w:r>
        <w:rPr>
          <w:rStyle w:val="19"/>
          <w:b w:val="0"/>
          <w:bCs w:val="0"/>
        </w:rPr>
        <w:t>U.S. Department of Energy (2023), 'Charging infrastructure trends from the Alternative Fuel Data Center'.</w:t>
      </w:r>
    </w:p>
    <w:p w14:paraId="15DF0AEE">
      <w:pPr>
        <w:pStyle w:val="13"/>
        <w:widowControl/>
        <w:rPr>
          <w:rStyle w:val="19"/>
          <w:b w:val="0"/>
          <w:bCs w:val="0"/>
        </w:rPr>
      </w:pPr>
      <w:r>
        <w:t>U.S. Energy Information Administration</w:t>
      </w:r>
      <w:r>
        <w:rPr>
          <w:rStyle w:val="19"/>
          <w:b w:val="0"/>
          <w:bCs w:val="0"/>
        </w:rPr>
        <w:t xml:space="preserve"> (2024), 'Short-Term Energy Outlook', [Online] Available: </w:t>
      </w:r>
      <w:r>
        <w:fldChar w:fldCharType="begin"/>
      </w:r>
      <w:r>
        <w:instrText xml:space="preserve"> HYPERLINK "https://www.eia.gov/outlooks/steo/" \t "/Users/luocaisheng/Documentsx/_new" </w:instrText>
      </w:r>
      <w:r>
        <w:fldChar w:fldCharType="separate"/>
      </w:r>
      <w:r>
        <w:rPr>
          <w:rStyle w:val="22"/>
        </w:rPr>
        <w:t>https://www.eia.gov/outlooks/steo/</w:t>
      </w:r>
      <w:r>
        <w:rPr>
          <w:rStyle w:val="22"/>
        </w:rPr>
        <w:fldChar w:fldCharType="end"/>
      </w:r>
      <w:r>
        <w:rPr>
          <w:rStyle w:val="19"/>
          <w:b w:val="0"/>
          <w:bCs w:val="0"/>
        </w:rPr>
        <w:t xml:space="preserve"> [Accessed 27th August 2024].</w:t>
      </w:r>
    </w:p>
    <w:p w14:paraId="28B30495">
      <w:pPr>
        <w:pStyle w:val="13"/>
        <w:widowControl/>
        <w:rPr>
          <w:rStyle w:val="19"/>
          <w:b w:val="0"/>
          <w:bCs w:val="0"/>
        </w:rPr>
      </w:pPr>
      <w:r>
        <w:rPr>
          <w:rStyle w:val="19"/>
          <w:b w:val="0"/>
          <w:bCs w:val="0"/>
        </w:rPr>
        <w:t>U.S. Environmental Protection Agency (2022), 'EPA proposes new standards to reduce pollution from cars and trucks'.</w:t>
      </w:r>
    </w:p>
    <w:p w14:paraId="76C3A3D7">
      <w:pPr>
        <w:pStyle w:val="13"/>
        <w:widowControl/>
        <w:rPr>
          <w:rStyle w:val="19"/>
          <w:b w:val="0"/>
          <w:bCs w:val="0"/>
        </w:rPr>
      </w:pPr>
      <w:r>
        <w:rPr>
          <w:rStyle w:val="19"/>
          <w:b w:val="0"/>
          <w:bCs w:val="0"/>
        </w:rPr>
        <w:t xml:space="preserve">US EPA (2024), 'Smog, Soot, and Other Air Pollution from Transportation', </w:t>
      </w:r>
      <w:r>
        <w:rPr>
          <w:rStyle w:val="21"/>
        </w:rPr>
        <w:t>US EPA</w:t>
      </w:r>
      <w:r>
        <w:rPr>
          <w:rStyle w:val="19"/>
          <w:b w:val="0"/>
          <w:bCs w:val="0"/>
        </w:rPr>
        <w:t xml:space="preserve">, [Online] Available: </w:t>
      </w:r>
      <w:r>
        <w:fldChar w:fldCharType="begin"/>
      </w:r>
      <w:r>
        <w:instrText xml:space="preserve"> HYPERLINK "https://www.epa.gov/transportation-air-pollution-and-climate-change/smog-soot-and-other-air-pollution-transportation" \t "/Users/luocaisheng/Documentsx/_new" </w:instrText>
      </w:r>
      <w:r>
        <w:fldChar w:fldCharType="separate"/>
      </w:r>
      <w:r>
        <w:rPr>
          <w:rStyle w:val="22"/>
        </w:rPr>
        <w:t>https://www.epa.gov/transportation-air-pollution-and-climate-change/smog-soot-and-other-air-pollution-transportation</w:t>
      </w:r>
      <w:r>
        <w:rPr>
          <w:rStyle w:val="22"/>
        </w:rPr>
        <w:fldChar w:fldCharType="end"/>
      </w:r>
      <w:r>
        <w:rPr>
          <w:rStyle w:val="19"/>
          <w:b w:val="0"/>
          <w:bCs w:val="0"/>
        </w:rPr>
        <w:t xml:space="preserve"> [Accessed 27th August 2024].</w:t>
      </w:r>
    </w:p>
    <w:p w14:paraId="4A715588">
      <w:pPr>
        <w:pStyle w:val="13"/>
        <w:widowControl/>
        <w:rPr>
          <w:rStyle w:val="19"/>
          <w:b w:val="0"/>
          <w:bCs w:val="0"/>
        </w:rPr>
      </w:pPr>
      <w:r>
        <w:rPr>
          <w:rStyle w:val="19"/>
          <w:b w:val="0"/>
          <w:bCs w:val="0"/>
        </w:rPr>
        <w:t>Valdes Dapena, P. (2023),</w:t>
      </w:r>
      <w:r>
        <w:rPr>
          <w:rStyle w:val="19"/>
          <w:b w:val="0"/>
          <w:bCs w:val="0"/>
          <w:i/>
          <w:iCs/>
        </w:rPr>
        <w:t xml:space="preserve"> 'Ford agrees to $9.2 billion US government loan'</w:t>
      </w:r>
      <w:r>
        <w:rPr>
          <w:rStyle w:val="19"/>
          <w:b w:val="0"/>
          <w:bCs w:val="0"/>
        </w:rPr>
        <w:t xml:space="preserve">, </w:t>
      </w:r>
      <w:r>
        <w:rPr>
          <w:rStyle w:val="21"/>
        </w:rPr>
        <w:t>CNN</w:t>
      </w:r>
      <w:r>
        <w:rPr>
          <w:rStyle w:val="19"/>
          <w:b w:val="0"/>
          <w:bCs w:val="0"/>
        </w:rPr>
        <w:t xml:space="preserve">, [Online] Available: </w:t>
      </w:r>
      <w:r>
        <w:fldChar w:fldCharType="begin"/>
      </w:r>
      <w:r>
        <w:instrText xml:space="preserve"> HYPERLINK "https://edition.cnn.com/2023/06/22/business/ford-department-of-energy-loan/index.html" \t "/Users/luocaisheng/Documentsx/_new" </w:instrText>
      </w:r>
      <w:r>
        <w:fldChar w:fldCharType="separate"/>
      </w:r>
      <w:r>
        <w:rPr>
          <w:rStyle w:val="22"/>
        </w:rPr>
        <w:t>https://edition.cnn.com/2023/06/22/business/ford-department-of-energy-loan/index.html</w:t>
      </w:r>
      <w:r>
        <w:rPr>
          <w:rStyle w:val="22"/>
        </w:rPr>
        <w:fldChar w:fldCharType="end"/>
      </w:r>
      <w:r>
        <w:rPr>
          <w:rStyle w:val="19"/>
          <w:b w:val="0"/>
          <w:bCs w:val="0"/>
        </w:rPr>
        <w:t xml:space="preserve"> [Accessed 31st May 2024].</w:t>
      </w:r>
    </w:p>
    <w:p w14:paraId="78EB27EE">
      <w:pPr>
        <w:pStyle w:val="13"/>
        <w:widowControl/>
        <w:rPr>
          <w:rStyle w:val="19"/>
          <w:b w:val="0"/>
          <w:bCs w:val="0"/>
        </w:rPr>
      </w:pPr>
      <w:r>
        <w:rPr>
          <w:rStyle w:val="19"/>
          <w:b w:val="0"/>
          <w:bCs w:val="0"/>
        </w:rPr>
        <w:t xml:space="preserve">Vasileiou, K., Barnett, J., Thorpe, S. &amp; Young, T. (2018), </w:t>
      </w:r>
      <w:r>
        <w:rPr>
          <w:rStyle w:val="19"/>
          <w:b w:val="0"/>
          <w:bCs w:val="0"/>
          <w:i/>
          <w:iCs/>
        </w:rPr>
        <w:t>'Characterising and justifying sample size sufficiency in interview-based studies: systematic analysis of qualitative health research over a 15-year period</w:t>
      </w:r>
      <w:r>
        <w:rPr>
          <w:rStyle w:val="19"/>
          <w:b w:val="0"/>
          <w:bCs w:val="0"/>
        </w:rPr>
        <w:t xml:space="preserve">', </w:t>
      </w:r>
      <w:r>
        <w:rPr>
          <w:rStyle w:val="21"/>
        </w:rPr>
        <w:t>BMC Medical Research Methodology</w:t>
      </w:r>
      <w:r>
        <w:rPr>
          <w:rStyle w:val="19"/>
          <w:b w:val="0"/>
          <w:bCs w:val="0"/>
        </w:rPr>
        <w:t>, London, pp. 18.</w:t>
      </w:r>
    </w:p>
    <w:p w14:paraId="7067DA62">
      <w:pPr>
        <w:pStyle w:val="13"/>
        <w:widowControl/>
        <w:rPr>
          <w:rStyle w:val="19"/>
          <w:b w:val="0"/>
          <w:bCs w:val="0"/>
        </w:rPr>
      </w:pPr>
      <w:r>
        <w:rPr>
          <w:rStyle w:val="19"/>
          <w:b w:val="0"/>
          <w:bCs w:val="0"/>
        </w:rPr>
        <w:t xml:space="preserve">Vidhi, R. &amp; Shrivastava, P. (2018), 'A Review of Electric Vehicle Lifecycle Emissions and Policy Recommendations to Increase EV Penetration in India', </w:t>
      </w:r>
      <w:r>
        <w:rPr>
          <w:rStyle w:val="21"/>
        </w:rPr>
        <w:t>Energies</w:t>
      </w:r>
      <w:r>
        <w:rPr>
          <w:rStyle w:val="19"/>
          <w:b w:val="0"/>
          <w:bCs w:val="0"/>
        </w:rPr>
        <w:t>, 11, pp. 483.</w:t>
      </w:r>
    </w:p>
    <w:p w14:paraId="5B31C46E">
      <w:pPr>
        <w:pStyle w:val="13"/>
        <w:widowControl/>
        <w:rPr>
          <w:rStyle w:val="19"/>
          <w:b w:val="0"/>
          <w:bCs w:val="0"/>
        </w:rPr>
      </w:pPr>
      <w:r>
        <w:rPr>
          <w:rStyle w:val="19"/>
          <w:b w:val="0"/>
          <w:bCs w:val="0"/>
        </w:rPr>
        <w:t>Volkswagen (2021), 'Volkswagen's investment in EV production and battery technology'.</w:t>
      </w:r>
    </w:p>
    <w:p w14:paraId="1F49A048">
      <w:pPr>
        <w:pStyle w:val="13"/>
        <w:widowControl/>
        <w:rPr>
          <w:rStyle w:val="19"/>
          <w:b w:val="0"/>
          <w:bCs w:val="0"/>
        </w:rPr>
      </w:pPr>
      <w:r>
        <w:rPr>
          <w:rStyle w:val="19"/>
          <w:b w:val="0"/>
          <w:bCs w:val="0"/>
        </w:rPr>
        <w:t xml:space="preserve">Wang, B. &amp; Cheng, Z. (2017), 'Environmental Perceptions, Happiness and Pro-environmental Actions in China', </w:t>
      </w:r>
      <w:r>
        <w:rPr>
          <w:rStyle w:val="21"/>
        </w:rPr>
        <w:t>Social Indicators Research</w:t>
      </w:r>
      <w:r>
        <w:rPr>
          <w:rStyle w:val="19"/>
          <w:b w:val="0"/>
          <w:bCs w:val="0"/>
        </w:rPr>
        <w:t>, Berlin, 132, pp. 357-375.</w:t>
      </w:r>
    </w:p>
    <w:p w14:paraId="6696A858">
      <w:pPr>
        <w:pStyle w:val="13"/>
        <w:widowControl/>
        <w:rPr>
          <w:rStyle w:val="19"/>
          <w:b w:val="0"/>
          <w:bCs w:val="0"/>
        </w:rPr>
      </w:pPr>
      <w:r>
        <w:rPr>
          <w:rStyle w:val="19"/>
          <w:b w:val="0"/>
          <w:bCs w:val="0"/>
        </w:rPr>
        <w:t xml:space="preserve">Walter, I. &amp; Ugelow, J. (1979), 'Environmental policies in developing countries', </w:t>
      </w:r>
      <w:r>
        <w:rPr>
          <w:rStyle w:val="21"/>
        </w:rPr>
        <w:t>AMBIO: A Journal of the Human Environment</w:t>
      </w:r>
      <w:r>
        <w:rPr>
          <w:rStyle w:val="19"/>
          <w:b w:val="0"/>
          <w:bCs w:val="0"/>
        </w:rPr>
        <w:t>, 8.</w:t>
      </w:r>
    </w:p>
    <w:p w14:paraId="3CC52F08">
      <w:pPr>
        <w:pStyle w:val="13"/>
        <w:widowControl/>
        <w:rPr>
          <w:rStyle w:val="19"/>
          <w:b w:val="0"/>
          <w:bCs w:val="0"/>
        </w:rPr>
      </w:pPr>
      <w:r>
        <w:rPr>
          <w:rStyle w:val="19"/>
          <w:b w:val="0"/>
          <w:bCs w:val="0"/>
        </w:rPr>
        <w:t xml:space="preserve">Wilken, D., Oswald, M., Draheim, P., Pade, C., Brand, U. &amp; Vogt, T. (2020), 'Multidimensional assessment of passenger cars: Comparison of electric vehicles with internal combustion engine vehicles', </w:t>
      </w:r>
      <w:r>
        <w:rPr>
          <w:rStyle w:val="21"/>
        </w:rPr>
        <w:t>Procedia CIRP</w:t>
      </w:r>
      <w:r>
        <w:rPr>
          <w:rStyle w:val="19"/>
          <w:b w:val="0"/>
          <w:bCs w:val="0"/>
        </w:rPr>
        <w:t>, 90, pp. 291-296. Amsterdam: Procedia CIRP.</w:t>
      </w:r>
    </w:p>
    <w:p w14:paraId="73AA116E">
      <w:pPr>
        <w:pStyle w:val="13"/>
        <w:widowControl/>
        <w:rPr>
          <w:rStyle w:val="19"/>
          <w:b w:val="0"/>
          <w:bCs w:val="0"/>
        </w:rPr>
      </w:pPr>
      <w:r>
        <w:rPr>
          <w:rStyle w:val="19"/>
          <w:b w:val="0"/>
          <w:bCs w:val="0"/>
        </w:rPr>
        <w:t>World Health Organization (2021), 'Air pollution'.</w:t>
      </w:r>
    </w:p>
    <w:p w14:paraId="5E6BACC2">
      <w:pPr>
        <w:pStyle w:val="13"/>
        <w:widowControl/>
        <w:rPr>
          <w:rStyle w:val="19"/>
          <w:b w:val="0"/>
          <w:bCs w:val="0"/>
        </w:rPr>
      </w:pPr>
      <w:r>
        <w:rPr>
          <w:rStyle w:val="19"/>
          <w:b w:val="0"/>
          <w:bCs w:val="0"/>
        </w:rPr>
        <w:t xml:space="preserve">Wykoff, F. (1973), 'A User Cost Approach to New Automobile Purchases', </w:t>
      </w:r>
      <w:r>
        <w:rPr>
          <w:rStyle w:val="21"/>
        </w:rPr>
        <w:t>The Review of Economic Studies</w:t>
      </w:r>
      <w:r>
        <w:rPr>
          <w:rStyle w:val="19"/>
          <w:b w:val="0"/>
          <w:bCs w:val="0"/>
        </w:rPr>
        <w:t>, 40, pp. 377-390.</w:t>
      </w:r>
    </w:p>
    <w:p w14:paraId="63CF7BCC">
      <w:pPr>
        <w:pStyle w:val="13"/>
        <w:widowControl/>
        <w:rPr>
          <w:rStyle w:val="19"/>
          <w:b w:val="0"/>
          <w:bCs w:val="0"/>
        </w:rPr>
      </w:pPr>
      <w:r>
        <w:rPr>
          <w:rStyle w:val="19"/>
          <w:b w:val="0"/>
          <w:bCs w:val="0"/>
        </w:rPr>
        <w:t xml:space="preserve">Xueqiu (2024), </w:t>
      </w:r>
      <w:r>
        <w:rPr>
          <w:rStyle w:val="19"/>
          <w:b w:val="0"/>
          <w:bCs w:val="0"/>
          <w:i/>
          <w:iCs/>
        </w:rPr>
        <w:t>'According to the Ministry of Finance of China, the total amount of subsidies for new energy vehicles from the Chinese government in 2023 is RMB 139 billion, of which BYD will receive about RMB 29 billion',</w:t>
      </w:r>
      <w:r>
        <w:rPr>
          <w:rStyle w:val="19"/>
          <w:b w:val="0"/>
          <w:bCs w:val="0"/>
        </w:rPr>
        <w:t xml:space="preserve"> [Online] Available: </w:t>
      </w:r>
      <w:r>
        <w:fldChar w:fldCharType="begin"/>
      </w:r>
      <w:r>
        <w:instrText xml:space="preserve"> HYPERLINK "https://xueqiu.com/6916781846/285614848" \t "/Users/luocaisheng/Documentsx/_new" </w:instrText>
      </w:r>
      <w:r>
        <w:fldChar w:fldCharType="separate"/>
      </w:r>
      <w:r>
        <w:rPr>
          <w:rStyle w:val="22"/>
        </w:rPr>
        <w:t>https://xueqiu.com/6916781846/285614848</w:t>
      </w:r>
      <w:r>
        <w:rPr>
          <w:rStyle w:val="22"/>
        </w:rPr>
        <w:fldChar w:fldCharType="end"/>
      </w:r>
      <w:r>
        <w:rPr>
          <w:rStyle w:val="19"/>
          <w:b w:val="0"/>
          <w:bCs w:val="0"/>
        </w:rPr>
        <w:t xml:space="preserve"> [Accessed 24th July 2024].</w:t>
      </w:r>
    </w:p>
    <w:p w14:paraId="29CD1B79">
      <w:pPr>
        <w:pStyle w:val="13"/>
        <w:widowControl/>
        <w:rPr>
          <w:rStyle w:val="19"/>
          <w:b w:val="0"/>
          <w:bCs w:val="0"/>
        </w:rPr>
      </w:pPr>
      <w:r>
        <w:rPr>
          <w:rStyle w:val="19"/>
          <w:b w:val="0"/>
          <w:bCs w:val="0"/>
        </w:rPr>
        <w:t xml:space="preserve">Xu, H. (2023), 'Global Energy Crisis: Inflation and Recession', </w:t>
      </w:r>
      <w:r>
        <w:rPr>
          <w:rStyle w:val="21"/>
        </w:rPr>
        <w:t>BCP Business &amp; Management</w:t>
      </w:r>
      <w:r>
        <w:rPr>
          <w:rStyle w:val="19"/>
          <w:b w:val="0"/>
          <w:bCs w:val="0"/>
        </w:rPr>
        <w:t xml:space="preserve">, [Online] Available: </w:t>
      </w:r>
      <w:r>
        <w:fldChar w:fldCharType="begin"/>
      </w:r>
      <w:r>
        <w:instrText xml:space="preserve"> HYPERLINK "https://bcpublication.org/index.php/BM/article/view/4788" \t "/Users/luocaisheng/Documentsx/_new" </w:instrText>
      </w:r>
      <w:r>
        <w:fldChar w:fldCharType="separate"/>
      </w:r>
      <w:r>
        <w:rPr>
          <w:rStyle w:val="22"/>
        </w:rPr>
        <w:t>https://bcpublication.org/index.php/BM/article/view/4788</w:t>
      </w:r>
      <w:r>
        <w:rPr>
          <w:rStyle w:val="22"/>
        </w:rPr>
        <w:fldChar w:fldCharType="end"/>
      </w:r>
      <w:r>
        <w:rPr>
          <w:rStyle w:val="19"/>
          <w:b w:val="0"/>
          <w:bCs w:val="0"/>
        </w:rPr>
        <w:t xml:space="preserve"> [Accessed 27th August 2024].</w:t>
      </w:r>
    </w:p>
    <w:p w14:paraId="3CA3CD0B">
      <w:pPr>
        <w:pStyle w:val="13"/>
        <w:widowControl/>
        <w:rPr>
          <w:rStyle w:val="19"/>
          <w:b w:val="0"/>
          <w:bCs w:val="0"/>
        </w:rPr>
      </w:pPr>
      <w:r>
        <w:rPr>
          <w:rStyle w:val="19"/>
          <w:b w:val="0"/>
          <w:bCs w:val="0"/>
        </w:rPr>
        <w:t xml:space="preserve">Yin, R. (2023), 'Current situation and looking-forward advancement of internal combustion engine', </w:t>
      </w:r>
      <w:r>
        <w:rPr>
          <w:rStyle w:val="21"/>
        </w:rPr>
        <w:t>Applied and Computational Engineering</w:t>
      </w:r>
      <w:r>
        <w:rPr>
          <w:rStyle w:val="19"/>
          <w:b w:val="0"/>
          <w:bCs w:val="0"/>
        </w:rPr>
        <w:t xml:space="preserve">, [Online] Available: </w:t>
      </w:r>
      <w:r>
        <w:fldChar w:fldCharType="begin"/>
      </w:r>
      <w:r>
        <w:instrText xml:space="preserve"> HYPERLINK "https://www.ewadirect.com/proceedings/ace/article/view/5625" \t "/Users/luocaisheng/Documentsx/_new" </w:instrText>
      </w:r>
      <w:r>
        <w:fldChar w:fldCharType="separate"/>
      </w:r>
      <w:r>
        <w:rPr>
          <w:rStyle w:val="22"/>
        </w:rPr>
        <w:t>https://www.ewadirect.com/proceedings/ace/article/view/5625</w:t>
      </w:r>
      <w:r>
        <w:rPr>
          <w:rStyle w:val="22"/>
        </w:rPr>
        <w:fldChar w:fldCharType="end"/>
      </w:r>
      <w:r>
        <w:rPr>
          <w:rStyle w:val="19"/>
          <w:b w:val="0"/>
          <w:bCs w:val="0"/>
        </w:rPr>
        <w:t xml:space="preserve"> [Accessed 27th August 2024].</w:t>
      </w:r>
    </w:p>
    <w:p w14:paraId="72FE01E6">
      <w:pPr>
        <w:pStyle w:val="13"/>
        <w:widowControl/>
        <w:rPr>
          <w:rStyle w:val="19"/>
          <w:b w:val="0"/>
          <w:bCs w:val="0"/>
        </w:rPr>
      </w:pPr>
      <w:r>
        <w:rPr>
          <w:rStyle w:val="19"/>
          <w:b w:val="0"/>
          <w:bCs w:val="0"/>
        </w:rPr>
        <w:t>You, F.U.T.D.P.I.O.P. &amp; D.P.N. (2024), '</w:t>
      </w:r>
      <w:r>
        <w:rPr>
          <w:rStyle w:val="19"/>
          <w:b w:val="0"/>
          <w:bCs w:val="0"/>
          <w:i/>
          <w:iCs/>
        </w:rPr>
        <w:t>Latest petrol and diesel prices around the UK</w:t>
      </w:r>
      <w:r>
        <w:rPr>
          <w:rStyle w:val="19"/>
          <w:b w:val="0"/>
          <w:bCs w:val="0"/>
        </w:rPr>
        <w:t xml:space="preserve">', [Online] Available: </w:t>
      </w:r>
      <w:r>
        <w:fldChar w:fldCharType="begin"/>
      </w:r>
      <w:r>
        <w:instrText xml:space="preserve"> HYPERLINK "https://www.rac.co.uk/drive/advice/fuel-watch/" \t "/Users/luocaisheng/Documentsx/_new" </w:instrText>
      </w:r>
      <w:r>
        <w:fldChar w:fldCharType="separate"/>
      </w:r>
      <w:r>
        <w:rPr>
          <w:rStyle w:val="22"/>
        </w:rPr>
        <w:t>https://www.rac.co.uk/drive/advice/fuel-watch/</w:t>
      </w:r>
      <w:r>
        <w:rPr>
          <w:rStyle w:val="22"/>
        </w:rPr>
        <w:fldChar w:fldCharType="end"/>
      </w:r>
      <w:r>
        <w:rPr>
          <w:rStyle w:val="19"/>
          <w:b w:val="0"/>
          <w:bCs w:val="0"/>
        </w:rPr>
        <w:t xml:space="preserve"> [Accessed 20th June 2024].</w:t>
      </w:r>
    </w:p>
    <w:p w14:paraId="159BCBC5">
      <w:pPr>
        <w:pStyle w:val="13"/>
        <w:widowControl/>
        <w:rPr>
          <w:rStyle w:val="19"/>
          <w:b w:val="0"/>
          <w:bCs w:val="0"/>
        </w:rPr>
      </w:pPr>
      <w:r>
        <w:rPr>
          <w:rStyle w:val="19"/>
          <w:rFonts w:hint="eastAsia"/>
          <w:b w:val="0"/>
          <w:bCs w:val="0"/>
        </w:rPr>
        <w:t>Y</w:t>
      </w:r>
      <w:r>
        <w:rPr>
          <w:rStyle w:val="19"/>
          <w:b w:val="0"/>
          <w:bCs w:val="0"/>
        </w:rPr>
        <w:t>ou Jia</w:t>
      </w:r>
      <w:r>
        <w:rPr>
          <w:rStyle w:val="19"/>
          <w:rFonts w:hint="eastAsia"/>
          <w:b w:val="0"/>
          <w:bCs w:val="0"/>
        </w:rPr>
        <w:t xml:space="preserve"> </w:t>
      </w:r>
      <w:r>
        <w:rPr>
          <w:rStyle w:val="19"/>
          <w:b w:val="0"/>
          <w:bCs w:val="0"/>
        </w:rPr>
        <w:t>(2024),</w:t>
      </w:r>
      <w:r>
        <w:rPr>
          <w:rStyle w:val="19"/>
          <w:rFonts w:hint="eastAsia"/>
          <w:b w:val="0"/>
          <w:bCs w:val="0"/>
        </w:rPr>
        <w:t xml:space="preserve"> </w:t>
      </w:r>
      <w:r>
        <w:rPr>
          <w:rStyle w:val="19"/>
          <w:b w:val="0"/>
          <w:bCs w:val="0"/>
          <w:i/>
          <w:iCs/>
        </w:rPr>
        <w:t>Qing New Energy</w:t>
      </w:r>
      <w:r>
        <w:rPr>
          <w:rStyle w:val="19"/>
          <w:b w:val="0"/>
          <w:bCs w:val="0"/>
        </w:rPr>
        <w:t xml:space="preserve">  , [Online] Available: </w:t>
      </w:r>
      <w:r>
        <w:fldChar w:fldCharType="begin"/>
      </w:r>
      <w:r>
        <w:instrText xml:space="preserve"> HYPERLINK "https://www.yoojia.com/m-101512?from_src=aladdin_4526_ser" \t "/Users/luocaisheng/Documentsx/_new" </w:instrText>
      </w:r>
      <w:r>
        <w:fldChar w:fldCharType="separate"/>
      </w:r>
      <w:r>
        <w:rPr>
          <w:rStyle w:val="22"/>
        </w:rPr>
        <w:t>https://www.yoojia.com/m-101512?from_src=aladdin_4526_ser</w:t>
      </w:r>
      <w:r>
        <w:rPr>
          <w:rStyle w:val="22"/>
        </w:rPr>
        <w:fldChar w:fldCharType="end"/>
      </w:r>
      <w:r>
        <w:rPr>
          <w:rStyle w:val="19"/>
          <w:b w:val="0"/>
          <w:bCs w:val="0"/>
        </w:rPr>
        <w:t xml:space="preserve"> [Accessed 23rd May 2024].</w:t>
      </w:r>
    </w:p>
    <w:p w14:paraId="14E4F7BF">
      <w:pPr>
        <w:pStyle w:val="13"/>
        <w:widowControl/>
        <w:rPr>
          <w:rStyle w:val="19"/>
          <w:b w:val="0"/>
          <w:bCs w:val="0"/>
        </w:rPr>
      </w:pPr>
      <w:r>
        <w:rPr>
          <w:rStyle w:val="19"/>
          <w:b w:val="0"/>
          <w:bCs w:val="0"/>
        </w:rPr>
        <w:t>Yu, S. (2021),</w:t>
      </w:r>
      <w:r>
        <w:rPr>
          <w:rStyle w:val="19"/>
          <w:b w:val="0"/>
          <w:bCs w:val="0"/>
          <w:i/>
          <w:iCs/>
        </w:rPr>
        <w:t xml:space="preserve"> 'Notice on the fiscal subsidy policy for the promotion and application of new energy vehicles in 2022'</w:t>
      </w:r>
      <w:r>
        <w:rPr>
          <w:rStyle w:val="19"/>
          <w:b w:val="0"/>
          <w:bCs w:val="0"/>
        </w:rPr>
        <w:t xml:space="preserve">, </w:t>
      </w:r>
      <w:r>
        <w:rPr>
          <w:rStyle w:val="21"/>
        </w:rPr>
        <w:t>State Council department documents, Chinese government website</w:t>
      </w:r>
      <w:r>
        <w:rPr>
          <w:rStyle w:val="19"/>
          <w:b w:val="0"/>
          <w:bCs w:val="0"/>
        </w:rPr>
        <w:t xml:space="preserve">, [Online] Available: </w:t>
      </w:r>
      <w:r>
        <w:fldChar w:fldCharType="begin"/>
      </w:r>
      <w:r>
        <w:instrText xml:space="preserve"> HYPERLINK "https://www.gov.cn/zhengce/zhengceku/2021-12/31/content_5665857.htm" \t "/Users/luocaisheng/Documentsx/_new" </w:instrText>
      </w:r>
      <w:r>
        <w:fldChar w:fldCharType="separate"/>
      </w:r>
      <w:r>
        <w:rPr>
          <w:rStyle w:val="22"/>
        </w:rPr>
        <w:t>https://www.gov.cn/zhengce/zhengceku/2021-12/31/content_5665857.htm</w:t>
      </w:r>
      <w:r>
        <w:rPr>
          <w:rStyle w:val="22"/>
        </w:rPr>
        <w:fldChar w:fldCharType="end"/>
      </w:r>
      <w:r>
        <w:rPr>
          <w:rStyle w:val="19"/>
          <w:b w:val="0"/>
          <w:bCs w:val="0"/>
        </w:rPr>
        <w:t xml:space="preserve"> [Accessed 25th June 2024].</w:t>
      </w:r>
    </w:p>
    <w:p w14:paraId="2F011030">
      <w:pPr>
        <w:pStyle w:val="13"/>
        <w:widowControl/>
        <w:rPr>
          <w:rStyle w:val="19"/>
          <w:b w:val="0"/>
          <w:bCs w:val="0"/>
        </w:rPr>
      </w:pPr>
      <w:r>
        <w:rPr>
          <w:rStyle w:val="19"/>
          <w:b w:val="0"/>
          <w:bCs w:val="0"/>
        </w:rPr>
        <w:t xml:space="preserve">Zapmap (2024), </w:t>
      </w:r>
      <w:r>
        <w:rPr>
          <w:rStyle w:val="19"/>
          <w:b w:val="0"/>
          <w:bCs w:val="0"/>
          <w:i/>
          <w:iCs/>
        </w:rPr>
        <w:t>'How many EVs are there in the UK - EV market statistics 2023'</w:t>
      </w:r>
      <w:r>
        <w:rPr>
          <w:rStyle w:val="19"/>
          <w:b w:val="0"/>
          <w:bCs w:val="0"/>
        </w:rPr>
        <w:t xml:space="preserve">, </w:t>
      </w:r>
      <w:r>
        <w:rPr>
          <w:rStyle w:val="21"/>
        </w:rPr>
        <w:t>Zapmap</w:t>
      </w:r>
      <w:r>
        <w:rPr>
          <w:rStyle w:val="19"/>
          <w:b w:val="0"/>
          <w:bCs w:val="0"/>
        </w:rPr>
        <w:t xml:space="preserve">, [Online] Available: </w:t>
      </w:r>
      <w:r>
        <w:fldChar w:fldCharType="begin"/>
      </w:r>
      <w:r>
        <w:instrText xml:space="preserve"> HYPERLINK "https://www.zap-map.com/ev-stats/ev-market" \t "/Users/luocaisheng/Documentsx/_new" </w:instrText>
      </w:r>
      <w:r>
        <w:fldChar w:fldCharType="separate"/>
      </w:r>
      <w:r>
        <w:rPr>
          <w:rStyle w:val="22"/>
        </w:rPr>
        <w:t>https://www.zap-map.com/ev-stats/ev-market</w:t>
      </w:r>
      <w:r>
        <w:rPr>
          <w:rStyle w:val="22"/>
        </w:rPr>
        <w:fldChar w:fldCharType="end"/>
      </w:r>
      <w:r>
        <w:rPr>
          <w:rStyle w:val="19"/>
          <w:b w:val="0"/>
          <w:bCs w:val="0"/>
        </w:rPr>
        <w:t xml:space="preserve"> [Accessed 17th July 2024].</w:t>
      </w:r>
    </w:p>
    <w:p w14:paraId="56D6C4F2">
      <w:pPr>
        <w:pStyle w:val="13"/>
        <w:widowControl/>
        <w:rPr>
          <w:rStyle w:val="19"/>
          <w:b w:val="0"/>
          <w:bCs w:val="0"/>
        </w:rPr>
      </w:pPr>
      <w:r>
        <w:rPr>
          <w:rStyle w:val="19"/>
          <w:b w:val="0"/>
          <w:bCs w:val="0"/>
        </w:rPr>
        <w:t xml:space="preserve">Zapmap (2024), </w:t>
      </w:r>
      <w:r>
        <w:rPr>
          <w:rStyle w:val="19"/>
          <w:b w:val="0"/>
          <w:bCs w:val="0"/>
          <w:i/>
          <w:iCs/>
        </w:rPr>
        <w:t>'EV charging statistics 2024'</w:t>
      </w:r>
      <w:r>
        <w:rPr>
          <w:rStyle w:val="19"/>
          <w:b w:val="0"/>
          <w:bCs w:val="0"/>
        </w:rPr>
        <w:t xml:space="preserve">, </w:t>
      </w:r>
      <w:r>
        <w:rPr>
          <w:rStyle w:val="21"/>
        </w:rPr>
        <w:t>Zapmap</w:t>
      </w:r>
      <w:r>
        <w:rPr>
          <w:rStyle w:val="19"/>
          <w:b w:val="0"/>
          <w:bCs w:val="0"/>
        </w:rPr>
        <w:t xml:space="preserve">, [Online] Available: </w:t>
      </w:r>
      <w:r>
        <w:fldChar w:fldCharType="begin"/>
      </w:r>
      <w:r>
        <w:instrText xml:space="preserve"> HYPERLINK "https://www.zap-map.com/ev-stats/how-many-charging-points/" \t "/Users/luocaisheng/Documentsx/_new" </w:instrText>
      </w:r>
      <w:r>
        <w:fldChar w:fldCharType="separate"/>
      </w:r>
      <w:r>
        <w:rPr>
          <w:rStyle w:val="22"/>
        </w:rPr>
        <w:t>https://www.zap-map.com/ev-stats/how-many-charging-points/</w:t>
      </w:r>
      <w:r>
        <w:rPr>
          <w:rStyle w:val="22"/>
        </w:rPr>
        <w:fldChar w:fldCharType="end"/>
      </w:r>
      <w:r>
        <w:rPr>
          <w:rStyle w:val="19"/>
          <w:b w:val="0"/>
          <w:bCs w:val="0"/>
        </w:rPr>
        <w:t xml:space="preserve"> [Accessed 25th July 2024].</w:t>
      </w:r>
    </w:p>
    <w:p w14:paraId="084E6B02">
      <w:pPr>
        <w:pStyle w:val="13"/>
        <w:widowControl/>
        <w:rPr>
          <w:rStyle w:val="19"/>
          <w:b w:val="0"/>
          <w:bCs w:val="0"/>
        </w:rPr>
      </w:pPr>
      <w:r>
        <w:rPr>
          <w:rStyle w:val="19"/>
          <w:b w:val="0"/>
          <w:bCs w:val="0"/>
        </w:rPr>
        <w:t>Zippia (2024), '</w:t>
      </w:r>
      <w:r>
        <w:rPr>
          <w:rStyle w:val="19"/>
          <w:b w:val="0"/>
          <w:bCs w:val="0"/>
          <w:i/>
          <w:iCs/>
        </w:rPr>
        <w:t>Ford Motor salaries: How much does Ford Motor pay in 2024?</w:t>
      </w:r>
      <w:r>
        <w:rPr>
          <w:rStyle w:val="19"/>
          <w:b w:val="0"/>
          <w:bCs w:val="0"/>
        </w:rPr>
        <w:t xml:space="preserve"> - , [Online] Available: </w:t>
      </w:r>
      <w:r>
        <w:fldChar w:fldCharType="begin"/>
      </w:r>
      <w:r>
        <w:instrText xml:space="preserve"> HYPERLINK "https://www.zippia.com/ford-motor-company-careers-4626/salary/" \t "/Users/luocaisheng/Documentsx/_new" </w:instrText>
      </w:r>
      <w:r>
        <w:fldChar w:fldCharType="separate"/>
      </w:r>
      <w:r>
        <w:rPr>
          <w:rStyle w:val="22"/>
        </w:rPr>
        <w:t>https://www.zippia.com/ford-motor-company-careers-4626/salary/</w:t>
      </w:r>
      <w:r>
        <w:rPr>
          <w:rStyle w:val="22"/>
        </w:rPr>
        <w:fldChar w:fldCharType="end"/>
      </w:r>
      <w:r>
        <w:rPr>
          <w:rStyle w:val="19"/>
          <w:b w:val="0"/>
          <w:bCs w:val="0"/>
        </w:rPr>
        <w:t xml:space="preserve"> [Accessed 25th July 2024].</w:t>
      </w:r>
    </w:p>
    <w:p w14:paraId="436BDF34">
      <w:pPr>
        <w:pStyle w:val="13"/>
        <w:widowControl/>
        <w:rPr>
          <w:rStyle w:val="19"/>
          <w:b w:val="0"/>
          <w:bCs w:val="0"/>
        </w:rPr>
      </w:pPr>
    </w:p>
    <w:p w14:paraId="1C5E9F91">
      <w:pPr>
        <w:pStyle w:val="13"/>
        <w:widowControl/>
        <w:rPr>
          <w:rStyle w:val="19"/>
          <w:b w:val="0"/>
          <w:bCs w:val="0"/>
        </w:rPr>
      </w:pPr>
    </w:p>
    <w:p w14:paraId="751C30B3">
      <w:pPr>
        <w:pStyle w:val="13"/>
        <w:widowControl/>
        <w:rPr>
          <w:rStyle w:val="19"/>
          <w:b w:val="0"/>
          <w:bCs w:val="0"/>
        </w:rPr>
      </w:pPr>
    </w:p>
    <w:p w14:paraId="5585379D">
      <w:pPr>
        <w:pStyle w:val="13"/>
        <w:widowControl/>
        <w:rPr>
          <w:rStyle w:val="19"/>
          <w:b w:val="0"/>
          <w:bCs w:val="0"/>
        </w:rPr>
      </w:pPr>
    </w:p>
    <w:p w14:paraId="72B37426">
      <w:pPr>
        <w:pStyle w:val="13"/>
        <w:widowControl/>
        <w:rPr>
          <w:rStyle w:val="19"/>
          <w:b w:val="0"/>
          <w:bCs w:val="0"/>
        </w:rPr>
      </w:pPr>
    </w:p>
    <w:p w14:paraId="697BC825">
      <w:pPr>
        <w:pStyle w:val="13"/>
        <w:widowControl/>
        <w:rPr>
          <w:rStyle w:val="19"/>
          <w:b w:val="0"/>
          <w:bCs w:val="0"/>
        </w:rPr>
      </w:pPr>
    </w:p>
    <w:p w14:paraId="4CBA1479">
      <w:pPr>
        <w:pStyle w:val="13"/>
        <w:widowControl/>
        <w:rPr>
          <w:rStyle w:val="19"/>
          <w:b w:val="0"/>
          <w:bCs w:val="0"/>
        </w:rPr>
      </w:pPr>
    </w:p>
    <w:p w14:paraId="19B0486A">
      <w:pPr>
        <w:pStyle w:val="13"/>
        <w:widowControl/>
        <w:rPr>
          <w:rStyle w:val="19"/>
          <w:b w:val="0"/>
          <w:bCs w:val="0"/>
        </w:rPr>
      </w:pPr>
    </w:p>
    <w:p w14:paraId="1AD6D7E9">
      <w:pPr>
        <w:pStyle w:val="13"/>
        <w:widowControl/>
        <w:rPr>
          <w:rStyle w:val="19"/>
          <w:b w:val="0"/>
          <w:bCs w:val="0"/>
        </w:rPr>
      </w:pPr>
    </w:p>
    <w:p w14:paraId="3F25D179">
      <w:pPr>
        <w:pStyle w:val="13"/>
        <w:widowControl/>
        <w:rPr>
          <w:rStyle w:val="19"/>
          <w:b w:val="0"/>
          <w:bCs w:val="0"/>
        </w:rPr>
      </w:pPr>
    </w:p>
    <w:p w14:paraId="28E1E1E8">
      <w:pPr>
        <w:pStyle w:val="13"/>
        <w:widowControl/>
        <w:rPr>
          <w:rStyle w:val="19"/>
          <w:b w:val="0"/>
          <w:bCs w:val="0"/>
        </w:rPr>
      </w:pPr>
    </w:p>
    <w:p w14:paraId="7CA437AD">
      <w:pPr>
        <w:pStyle w:val="13"/>
        <w:widowControl/>
        <w:rPr>
          <w:rStyle w:val="19"/>
          <w:b w:val="0"/>
          <w:bCs w:val="0"/>
        </w:rPr>
      </w:pPr>
    </w:p>
    <w:p w14:paraId="42F8E31B">
      <w:pPr>
        <w:pStyle w:val="13"/>
        <w:widowControl/>
        <w:rPr>
          <w:rStyle w:val="19"/>
          <w:b w:val="0"/>
          <w:bCs w:val="0"/>
        </w:rPr>
      </w:pPr>
    </w:p>
    <w:p w14:paraId="612D5501">
      <w:pPr>
        <w:pStyle w:val="13"/>
        <w:widowControl/>
        <w:rPr>
          <w:rStyle w:val="19"/>
          <w:b w:val="0"/>
          <w:bCs w:val="0"/>
        </w:rPr>
      </w:pPr>
    </w:p>
    <w:p w14:paraId="2322EB2B">
      <w:pPr>
        <w:pStyle w:val="2"/>
        <w:spacing w:line="360" w:lineRule="auto"/>
        <w:ind w:left="425" w:hanging="425"/>
        <w:rPr>
          <w:rFonts w:cs="Times New Roman"/>
        </w:rPr>
      </w:pPr>
      <w:bookmarkStart w:id="99" w:name="_Toc2510"/>
      <w:r>
        <w:rPr>
          <w:rFonts w:hint="eastAsia" w:cs="Times New Roman"/>
        </w:rPr>
        <w:t>Chapter 7</w:t>
      </w:r>
      <w:r>
        <w:rPr>
          <w:rFonts w:cs="Times New Roman"/>
        </w:rPr>
        <w:t>.</w:t>
      </w:r>
      <w:r>
        <w:rPr>
          <w:rFonts w:hint="eastAsia" w:cs="Times New Roman"/>
        </w:rPr>
        <w:t xml:space="preserve"> </w:t>
      </w:r>
      <w:r>
        <w:rPr>
          <w:rFonts w:cs="Times New Roman"/>
        </w:rPr>
        <w:t>Appendix</w:t>
      </w:r>
      <w:bookmarkEnd w:id="97"/>
      <w:bookmarkEnd w:id="98"/>
      <w:bookmarkEnd w:id="99"/>
    </w:p>
    <w:p w14:paraId="0DA4A85E"/>
    <w:p w14:paraId="00DBC62A">
      <w:pPr>
        <w:outlineLvl w:val="3"/>
        <w:rPr>
          <w:rFonts w:cs="Times New Roman"/>
        </w:rPr>
      </w:pPr>
      <w:bookmarkStart w:id="100" w:name="_Toc28007"/>
      <w:bookmarkStart w:id="101" w:name="_Toc7765"/>
      <w:r>
        <w:rPr>
          <w:rFonts w:cs="Times New Roman"/>
        </w:rPr>
        <w:t>(1)Gross profit rate</w:t>
      </w:r>
      <w:bookmarkEnd w:id="100"/>
      <w:bookmarkEnd w:id="101"/>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8"/>
        <w:gridCol w:w="765"/>
        <w:gridCol w:w="765"/>
        <w:gridCol w:w="765"/>
        <w:gridCol w:w="765"/>
        <w:gridCol w:w="765"/>
        <w:gridCol w:w="765"/>
        <w:gridCol w:w="758"/>
        <w:gridCol w:w="765"/>
        <w:gridCol w:w="765"/>
        <w:gridCol w:w="766"/>
      </w:tblGrid>
      <w:tr w14:paraId="7BFAA9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0A4DEC96">
            <w:pPr>
              <w:rPr>
                <w:rFonts w:cs="Times New Roman"/>
              </w:rPr>
            </w:pPr>
          </w:p>
        </w:tc>
        <w:tc>
          <w:tcPr>
            <w:tcW w:w="774" w:type="dxa"/>
          </w:tcPr>
          <w:p w14:paraId="6A79FA3A">
            <w:pPr>
              <w:rPr>
                <w:rFonts w:cs="Times New Roman"/>
              </w:rPr>
            </w:pPr>
            <w:r>
              <w:rPr>
                <w:rFonts w:cs="Times New Roman"/>
              </w:rPr>
              <w:t>2014</w:t>
            </w:r>
          </w:p>
        </w:tc>
        <w:tc>
          <w:tcPr>
            <w:tcW w:w="774" w:type="dxa"/>
          </w:tcPr>
          <w:p w14:paraId="64817034">
            <w:pPr>
              <w:rPr>
                <w:rFonts w:cs="Times New Roman"/>
              </w:rPr>
            </w:pPr>
            <w:r>
              <w:rPr>
                <w:rFonts w:cs="Times New Roman"/>
              </w:rPr>
              <w:t>2015</w:t>
            </w:r>
          </w:p>
        </w:tc>
        <w:tc>
          <w:tcPr>
            <w:tcW w:w="775" w:type="dxa"/>
          </w:tcPr>
          <w:p w14:paraId="54BA570D">
            <w:pPr>
              <w:rPr>
                <w:rFonts w:cs="Times New Roman"/>
              </w:rPr>
            </w:pPr>
            <w:r>
              <w:rPr>
                <w:rFonts w:cs="Times New Roman"/>
              </w:rPr>
              <w:t>2016</w:t>
            </w:r>
          </w:p>
        </w:tc>
        <w:tc>
          <w:tcPr>
            <w:tcW w:w="775" w:type="dxa"/>
          </w:tcPr>
          <w:p w14:paraId="0BAA779A">
            <w:pPr>
              <w:rPr>
                <w:rFonts w:cs="Times New Roman"/>
              </w:rPr>
            </w:pPr>
            <w:r>
              <w:rPr>
                <w:rFonts w:cs="Times New Roman"/>
              </w:rPr>
              <w:t>2017</w:t>
            </w:r>
          </w:p>
        </w:tc>
        <w:tc>
          <w:tcPr>
            <w:tcW w:w="775" w:type="dxa"/>
          </w:tcPr>
          <w:p w14:paraId="25BAF54F">
            <w:pPr>
              <w:rPr>
                <w:rFonts w:cs="Times New Roman"/>
              </w:rPr>
            </w:pPr>
            <w:r>
              <w:rPr>
                <w:rFonts w:cs="Times New Roman"/>
              </w:rPr>
              <w:t>2018</w:t>
            </w:r>
          </w:p>
        </w:tc>
        <w:tc>
          <w:tcPr>
            <w:tcW w:w="775" w:type="dxa"/>
          </w:tcPr>
          <w:p w14:paraId="1061B18B">
            <w:pPr>
              <w:rPr>
                <w:rFonts w:cs="Times New Roman"/>
              </w:rPr>
            </w:pPr>
            <w:r>
              <w:rPr>
                <w:rFonts w:cs="Times New Roman"/>
              </w:rPr>
              <w:t>2019</w:t>
            </w:r>
          </w:p>
        </w:tc>
        <w:tc>
          <w:tcPr>
            <w:tcW w:w="775" w:type="dxa"/>
          </w:tcPr>
          <w:p w14:paraId="0EE4CCCF">
            <w:pPr>
              <w:rPr>
                <w:rFonts w:cs="Times New Roman"/>
              </w:rPr>
            </w:pPr>
            <w:r>
              <w:rPr>
                <w:rFonts w:cs="Times New Roman"/>
              </w:rPr>
              <w:t>2020</w:t>
            </w:r>
          </w:p>
        </w:tc>
        <w:tc>
          <w:tcPr>
            <w:tcW w:w="775" w:type="dxa"/>
          </w:tcPr>
          <w:p w14:paraId="7A91D439">
            <w:pPr>
              <w:rPr>
                <w:rFonts w:cs="Times New Roman"/>
              </w:rPr>
            </w:pPr>
            <w:r>
              <w:rPr>
                <w:rFonts w:cs="Times New Roman"/>
              </w:rPr>
              <w:t>2021</w:t>
            </w:r>
          </w:p>
        </w:tc>
        <w:tc>
          <w:tcPr>
            <w:tcW w:w="775" w:type="dxa"/>
          </w:tcPr>
          <w:p w14:paraId="4787834C">
            <w:pPr>
              <w:rPr>
                <w:rFonts w:cs="Times New Roman"/>
              </w:rPr>
            </w:pPr>
            <w:r>
              <w:rPr>
                <w:rFonts w:cs="Times New Roman"/>
              </w:rPr>
              <w:t>2022</w:t>
            </w:r>
          </w:p>
        </w:tc>
        <w:tc>
          <w:tcPr>
            <w:tcW w:w="775" w:type="dxa"/>
          </w:tcPr>
          <w:p w14:paraId="34C4C65D">
            <w:pPr>
              <w:rPr>
                <w:rFonts w:cs="Times New Roman"/>
              </w:rPr>
            </w:pPr>
            <w:r>
              <w:rPr>
                <w:rFonts w:cs="Times New Roman"/>
              </w:rPr>
              <w:t>2023</w:t>
            </w:r>
          </w:p>
        </w:tc>
      </w:tr>
      <w:tr w14:paraId="46E8DE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5A4F7EB9">
            <w:pPr>
              <w:rPr>
                <w:rFonts w:cs="Times New Roman"/>
              </w:rPr>
            </w:pPr>
            <w:r>
              <w:rPr>
                <w:rFonts w:cs="Times New Roman"/>
              </w:rPr>
              <w:t>BYD</w:t>
            </w:r>
          </w:p>
        </w:tc>
        <w:tc>
          <w:tcPr>
            <w:tcW w:w="774" w:type="dxa"/>
          </w:tcPr>
          <w:p w14:paraId="36BD53CD">
            <w:pPr>
              <w:rPr>
                <w:rFonts w:cs="Times New Roman"/>
              </w:rPr>
            </w:pPr>
            <w:r>
              <w:rPr>
                <w:rFonts w:cs="Times New Roman"/>
              </w:rPr>
              <w:t>14%</w:t>
            </w:r>
          </w:p>
        </w:tc>
        <w:tc>
          <w:tcPr>
            <w:tcW w:w="774" w:type="dxa"/>
          </w:tcPr>
          <w:p w14:paraId="1844BC16">
            <w:pPr>
              <w:rPr>
                <w:rFonts w:cs="Times New Roman"/>
              </w:rPr>
            </w:pPr>
            <w:r>
              <w:rPr>
                <w:rFonts w:cs="Times New Roman"/>
              </w:rPr>
              <w:t>15%</w:t>
            </w:r>
          </w:p>
        </w:tc>
        <w:tc>
          <w:tcPr>
            <w:tcW w:w="775" w:type="dxa"/>
          </w:tcPr>
          <w:p w14:paraId="1FF05EF4">
            <w:pPr>
              <w:rPr>
                <w:rFonts w:cs="Times New Roman"/>
              </w:rPr>
            </w:pPr>
            <w:r>
              <w:rPr>
                <w:rFonts w:cs="Times New Roman"/>
              </w:rPr>
              <w:t>19%</w:t>
            </w:r>
          </w:p>
        </w:tc>
        <w:tc>
          <w:tcPr>
            <w:tcW w:w="775" w:type="dxa"/>
          </w:tcPr>
          <w:p w14:paraId="63776AA4">
            <w:pPr>
              <w:rPr>
                <w:rFonts w:cs="Times New Roman"/>
              </w:rPr>
            </w:pPr>
            <w:r>
              <w:rPr>
                <w:rFonts w:cs="Times New Roman"/>
              </w:rPr>
              <w:t>17%</w:t>
            </w:r>
          </w:p>
        </w:tc>
        <w:tc>
          <w:tcPr>
            <w:tcW w:w="775" w:type="dxa"/>
          </w:tcPr>
          <w:p w14:paraId="7742F1A9">
            <w:pPr>
              <w:rPr>
                <w:rFonts w:cs="Times New Roman"/>
              </w:rPr>
            </w:pPr>
            <w:r>
              <w:rPr>
                <w:rFonts w:cs="Times New Roman"/>
              </w:rPr>
              <w:t>16%</w:t>
            </w:r>
          </w:p>
        </w:tc>
        <w:tc>
          <w:tcPr>
            <w:tcW w:w="775" w:type="dxa"/>
          </w:tcPr>
          <w:p w14:paraId="5E3DE9A9">
            <w:pPr>
              <w:rPr>
                <w:rFonts w:cs="Times New Roman"/>
              </w:rPr>
            </w:pPr>
            <w:r>
              <w:rPr>
                <w:rFonts w:cs="Times New Roman"/>
              </w:rPr>
              <w:t>16%</w:t>
            </w:r>
          </w:p>
        </w:tc>
        <w:tc>
          <w:tcPr>
            <w:tcW w:w="775" w:type="dxa"/>
          </w:tcPr>
          <w:p w14:paraId="0839EF9C">
            <w:pPr>
              <w:rPr>
                <w:rFonts w:cs="Times New Roman"/>
              </w:rPr>
            </w:pPr>
            <w:r>
              <w:rPr>
                <w:rFonts w:cs="Times New Roman"/>
              </w:rPr>
              <w:t>19%</w:t>
            </w:r>
          </w:p>
        </w:tc>
        <w:tc>
          <w:tcPr>
            <w:tcW w:w="775" w:type="dxa"/>
          </w:tcPr>
          <w:p w14:paraId="31A9E6C6">
            <w:pPr>
              <w:rPr>
                <w:rFonts w:cs="Times New Roman"/>
              </w:rPr>
            </w:pPr>
            <w:r>
              <w:rPr>
                <w:rFonts w:cs="Times New Roman"/>
              </w:rPr>
              <w:t>13%</w:t>
            </w:r>
          </w:p>
        </w:tc>
        <w:tc>
          <w:tcPr>
            <w:tcW w:w="775" w:type="dxa"/>
          </w:tcPr>
          <w:p w14:paraId="5E070F1F">
            <w:pPr>
              <w:rPr>
                <w:rFonts w:cs="Times New Roman"/>
              </w:rPr>
            </w:pPr>
            <w:r>
              <w:rPr>
                <w:rFonts w:cs="Times New Roman"/>
              </w:rPr>
              <w:t>17%</w:t>
            </w:r>
          </w:p>
        </w:tc>
        <w:tc>
          <w:tcPr>
            <w:tcW w:w="775" w:type="dxa"/>
          </w:tcPr>
          <w:p w14:paraId="4FDC0641">
            <w:pPr>
              <w:rPr>
                <w:rFonts w:cs="Times New Roman"/>
              </w:rPr>
            </w:pPr>
            <w:r>
              <w:rPr>
                <w:rFonts w:cs="Times New Roman"/>
              </w:rPr>
              <w:t>20%</w:t>
            </w:r>
          </w:p>
        </w:tc>
      </w:tr>
      <w:tr w14:paraId="4E51C2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6" w:hRule="atLeast"/>
        </w:trPr>
        <w:tc>
          <w:tcPr>
            <w:tcW w:w="774" w:type="dxa"/>
          </w:tcPr>
          <w:p w14:paraId="6EA619E0">
            <w:pPr>
              <w:rPr>
                <w:rFonts w:cs="Times New Roman"/>
              </w:rPr>
            </w:pPr>
            <w:r>
              <w:rPr>
                <w:rFonts w:cs="Times New Roman"/>
              </w:rPr>
              <w:t>Ford</w:t>
            </w:r>
          </w:p>
        </w:tc>
        <w:tc>
          <w:tcPr>
            <w:tcW w:w="774" w:type="dxa"/>
          </w:tcPr>
          <w:p w14:paraId="753B8CA6">
            <w:pPr>
              <w:rPr>
                <w:rFonts w:cs="Times New Roman"/>
              </w:rPr>
            </w:pPr>
            <w:r>
              <w:rPr>
                <w:rFonts w:cs="Times New Roman"/>
              </w:rPr>
              <w:t>13.2%</w:t>
            </w:r>
          </w:p>
        </w:tc>
        <w:tc>
          <w:tcPr>
            <w:tcW w:w="774" w:type="dxa"/>
          </w:tcPr>
          <w:p w14:paraId="088FBA43">
            <w:pPr>
              <w:rPr>
                <w:rFonts w:cs="Times New Roman"/>
              </w:rPr>
            </w:pPr>
            <w:r>
              <w:rPr>
                <w:rFonts w:cs="Times New Roman"/>
              </w:rPr>
              <w:t>16.8%</w:t>
            </w:r>
          </w:p>
        </w:tc>
        <w:tc>
          <w:tcPr>
            <w:tcW w:w="775" w:type="dxa"/>
          </w:tcPr>
          <w:p w14:paraId="0CE95CDB">
            <w:pPr>
              <w:rPr>
                <w:rFonts w:cs="Times New Roman"/>
              </w:rPr>
            </w:pPr>
            <w:r>
              <w:rPr>
                <w:rFonts w:cs="Times New Roman"/>
              </w:rPr>
              <w:t>16.9%</w:t>
            </w:r>
          </w:p>
        </w:tc>
        <w:tc>
          <w:tcPr>
            <w:tcW w:w="775" w:type="dxa"/>
          </w:tcPr>
          <w:p w14:paraId="6F9C0018">
            <w:pPr>
              <w:rPr>
                <w:rFonts w:cs="Times New Roman"/>
              </w:rPr>
            </w:pPr>
            <w:r>
              <w:rPr>
                <w:rFonts w:cs="Times New Roman"/>
              </w:rPr>
              <w:t>16.2%</w:t>
            </w:r>
          </w:p>
        </w:tc>
        <w:tc>
          <w:tcPr>
            <w:tcW w:w="775" w:type="dxa"/>
          </w:tcPr>
          <w:p w14:paraId="4EBC7DF2">
            <w:pPr>
              <w:rPr>
                <w:rFonts w:cs="Times New Roman"/>
              </w:rPr>
            </w:pPr>
            <w:r>
              <w:rPr>
                <w:rFonts w:cs="Times New Roman"/>
              </w:rPr>
              <w:t>15%</w:t>
            </w:r>
          </w:p>
        </w:tc>
        <w:tc>
          <w:tcPr>
            <w:tcW w:w="775" w:type="dxa"/>
          </w:tcPr>
          <w:p w14:paraId="3038960A">
            <w:pPr>
              <w:rPr>
                <w:rFonts w:cs="Times New Roman"/>
              </w:rPr>
            </w:pPr>
            <w:r>
              <w:rPr>
                <w:rFonts w:cs="Times New Roman"/>
              </w:rPr>
              <w:t>13.6%</w:t>
            </w:r>
          </w:p>
        </w:tc>
        <w:tc>
          <w:tcPr>
            <w:tcW w:w="775" w:type="dxa"/>
          </w:tcPr>
          <w:p w14:paraId="05E0D168">
            <w:pPr>
              <w:rPr>
                <w:rFonts w:cs="Times New Roman"/>
              </w:rPr>
            </w:pPr>
            <w:r>
              <w:rPr>
                <w:rFonts w:cs="Times New Roman"/>
              </w:rPr>
              <w:t>11.3%</w:t>
            </w:r>
          </w:p>
        </w:tc>
        <w:tc>
          <w:tcPr>
            <w:tcW w:w="775" w:type="dxa"/>
          </w:tcPr>
          <w:p w14:paraId="1CCE391B">
            <w:pPr>
              <w:rPr>
                <w:rFonts w:cs="Times New Roman"/>
              </w:rPr>
            </w:pPr>
            <w:r>
              <w:rPr>
                <w:rFonts w:cs="Times New Roman"/>
              </w:rPr>
              <w:t>15.9%</w:t>
            </w:r>
          </w:p>
        </w:tc>
        <w:tc>
          <w:tcPr>
            <w:tcW w:w="775" w:type="dxa"/>
          </w:tcPr>
          <w:p w14:paraId="2E718EBC">
            <w:pPr>
              <w:rPr>
                <w:rFonts w:cs="Times New Roman"/>
              </w:rPr>
            </w:pPr>
            <w:r>
              <w:rPr>
                <w:rFonts w:cs="Times New Roman"/>
              </w:rPr>
              <w:t>15.0%</w:t>
            </w:r>
          </w:p>
        </w:tc>
        <w:tc>
          <w:tcPr>
            <w:tcW w:w="775" w:type="dxa"/>
          </w:tcPr>
          <w:p w14:paraId="557D988A">
            <w:pPr>
              <w:rPr>
                <w:rFonts w:cs="Times New Roman"/>
              </w:rPr>
            </w:pPr>
            <w:r>
              <w:rPr>
                <w:rFonts w:cs="Times New Roman"/>
              </w:rPr>
              <w:t>14.6%</w:t>
            </w:r>
          </w:p>
        </w:tc>
      </w:tr>
      <w:tr w14:paraId="2ABB31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31A3209B">
            <w:pPr>
              <w:rPr>
                <w:rFonts w:cs="Times New Roman"/>
              </w:rPr>
            </w:pPr>
            <w:r>
              <w:rPr>
                <w:rFonts w:cs="Times New Roman"/>
              </w:rPr>
              <w:t>TESLA</w:t>
            </w:r>
          </w:p>
        </w:tc>
        <w:tc>
          <w:tcPr>
            <w:tcW w:w="774" w:type="dxa"/>
          </w:tcPr>
          <w:p w14:paraId="5A26968D">
            <w:pPr>
              <w:rPr>
                <w:rFonts w:cs="Times New Roman"/>
              </w:rPr>
            </w:pPr>
            <w:r>
              <w:rPr>
                <w:rFonts w:cs="Times New Roman"/>
              </w:rPr>
              <w:t>27.6%</w:t>
            </w:r>
          </w:p>
        </w:tc>
        <w:tc>
          <w:tcPr>
            <w:tcW w:w="774" w:type="dxa"/>
          </w:tcPr>
          <w:p w14:paraId="156A7A90">
            <w:pPr>
              <w:rPr>
                <w:rFonts w:cs="Times New Roman"/>
              </w:rPr>
            </w:pPr>
            <w:r>
              <w:rPr>
                <w:rFonts w:cs="Times New Roman"/>
              </w:rPr>
              <w:t>22.8%</w:t>
            </w:r>
          </w:p>
        </w:tc>
        <w:tc>
          <w:tcPr>
            <w:tcW w:w="775" w:type="dxa"/>
          </w:tcPr>
          <w:p w14:paraId="30ECA9E6">
            <w:pPr>
              <w:rPr>
                <w:rFonts w:cs="Times New Roman"/>
              </w:rPr>
            </w:pPr>
            <w:r>
              <w:rPr>
                <w:rFonts w:cs="Times New Roman"/>
              </w:rPr>
              <w:t>22.8%</w:t>
            </w:r>
          </w:p>
        </w:tc>
        <w:tc>
          <w:tcPr>
            <w:tcW w:w="775" w:type="dxa"/>
          </w:tcPr>
          <w:p w14:paraId="023EB041">
            <w:pPr>
              <w:rPr>
                <w:rFonts w:cs="Times New Roman"/>
              </w:rPr>
            </w:pPr>
            <w:r>
              <w:rPr>
                <w:rFonts w:cs="Times New Roman"/>
              </w:rPr>
              <w:t>18.9%</w:t>
            </w:r>
          </w:p>
        </w:tc>
        <w:tc>
          <w:tcPr>
            <w:tcW w:w="775" w:type="dxa"/>
          </w:tcPr>
          <w:p w14:paraId="39FC5CF8">
            <w:pPr>
              <w:rPr>
                <w:rFonts w:cs="Times New Roman"/>
              </w:rPr>
            </w:pPr>
            <w:r>
              <w:rPr>
                <w:rFonts w:cs="Times New Roman"/>
              </w:rPr>
              <w:t>18.8%</w:t>
            </w:r>
          </w:p>
        </w:tc>
        <w:tc>
          <w:tcPr>
            <w:tcW w:w="775" w:type="dxa"/>
          </w:tcPr>
          <w:p w14:paraId="21876825">
            <w:pPr>
              <w:rPr>
                <w:rFonts w:cs="Times New Roman"/>
              </w:rPr>
            </w:pPr>
            <w:r>
              <w:rPr>
                <w:rFonts w:cs="Times New Roman"/>
              </w:rPr>
              <w:t>16.6%</w:t>
            </w:r>
          </w:p>
        </w:tc>
        <w:tc>
          <w:tcPr>
            <w:tcW w:w="775" w:type="dxa"/>
          </w:tcPr>
          <w:p w14:paraId="62B319F2">
            <w:pPr>
              <w:rPr>
                <w:rFonts w:cs="Times New Roman"/>
              </w:rPr>
            </w:pPr>
            <w:r>
              <w:rPr>
                <w:rFonts w:cs="Times New Roman"/>
              </w:rPr>
              <w:t>21%</w:t>
            </w:r>
          </w:p>
        </w:tc>
        <w:tc>
          <w:tcPr>
            <w:tcW w:w="775" w:type="dxa"/>
          </w:tcPr>
          <w:p w14:paraId="0BF75633">
            <w:pPr>
              <w:rPr>
                <w:rFonts w:cs="Times New Roman"/>
              </w:rPr>
            </w:pPr>
            <w:r>
              <w:rPr>
                <w:rFonts w:cs="Times New Roman"/>
              </w:rPr>
              <w:t>25.3%</w:t>
            </w:r>
          </w:p>
        </w:tc>
        <w:tc>
          <w:tcPr>
            <w:tcW w:w="775" w:type="dxa"/>
          </w:tcPr>
          <w:p w14:paraId="2AB28A9E">
            <w:pPr>
              <w:rPr>
                <w:rFonts w:cs="Times New Roman"/>
              </w:rPr>
            </w:pPr>
            <w:r>
              <w:rPr>
                <w:rFonts w:cs="Times New Roman"/>
              </w:rPr>
              <w:t>25.6%</w:t>
            </w:r>
          </w:p>
        </w:tc>
        <w:tc>
          <w:tcPr>
            <w:tcW w:w="775" w:type="dxa"/>
          </w:tcPr>
          <w:p w14:paraId="1E7C89B2">
            <w:pPr>
              <w:rPr>
                <w:rFonts w:cs="Times New Roman"/>
              </w:rPr>
            </w:pPr>
            <w:r>
              <w:rPr>
                <w:rFonts w:cs="Times New Roman"/>
              </w:rPr>
              <w:t>18.2%</w:t>
            </w:r>
          </w:p>
        </w:tc>
      </w:tr>
    </w:tbl>
    <w:p w14:paraId="6A5E52CC">
      <w:pPr>
        <w:rPr>
          <w:rFonts w:cs="Times New Roman"/>
        </w:rPr>
      </w:pPr>
    </w:p>
    <w:p w14:paraId="3F9B4C6D">
      <w:pPr>
        <w:rPr>
          <w:rFonts w:cs="Times New Roman"/>
        </w:rPr>
      </w:pPr>
    </w:p>
    <w:p w14:paraId="43CFD627">
      <w:pPr>
        <w:rPr>
          <w:rFonts w:cs="Times New Roman"/>
        </w:rPr>
      </w:pPr>
    </w:p>
    <w:p w14:paraId="175766DE">
      <w:pPr>
        <w:rPr>
          <w:rFonts w:cs="Times New Roman"/>
        </w:rPr>
      </w:pPr>
      <w:r>
        <w:rPr>
          <w:rFonts w:cs="Times New Roman"/>
        </w:rPr>
        <w:t>(2)Proportion of taxes to its revenue</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45"/>
        <w:gridCol w:w="956"/>
        <w:gridCol w:w="836"/>
        <w:gridCol w:w="741"/>
        <w:gridCol w:w="741"/>
        <w:gridCol w:w="741"/>
        <w:gridCol w:w="796"/>
        <w:gridCol w:w="741"/>
        <w:gridCol w:w="741"/>
        <w:gridCol w:w="742"/>
        <w:gridCol w:w="742"/>
      </w:tblGrid>
      <w:tr w14:paraId="109163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0F121E2E">
            <w:pPr>
              <w:rPr>
                <w:rFonts w:cs="Times New Roman"/>
              </w:rPr>
            </w:pPr>
          </w:p>
        </w:tc>
        <w:tc>
          <w:tcPr>
            <w:tcW w:w="774" w:type="dxa"/>
          </w:tcPr>
          <w:p w14:paraId="451C81C9">
            <w:pPr>
              <w:rPr>
                <w:rFonts w:cs="Times New Roman"/>
              </w:rPr>
            </w:pPr>
            <w:r>
              <w:rPr>
                <w:rFonts w:cs="Times New Roman"/>
              </w:rPr>
              <w:t>2014</w:t>
            </w:r>
          </w:p>
        </w:tc>
        <w:tc>
          <w:tcPr>
            <w:tcW w:w="774" w:type="dxa"/>
          </w:tcPr>
          <w:p w14:paraId="71ABC2E6">
            <w:pPr>
              <w:rPr>
                <w:rFonts w:cs="Times New Roman"/>
              </w:rPr>
            </w:pPr>
            <w:r>
              <w:rPr>
                <w:rFonts w:cs="Times New Roman"/>
              </w:rPr>
              <w:t>2015</w:t>
            </w:r>
          </w:p>
        </w:tc>
        <w:tc>
          <w:tcPr>
            <w:tcW w:w="775" w:type="dxa"/>
          </w:tcPr>
          <w:p w14:paraId="6560EB50">
            <w:pPr>
              <w:rPr>
                <w:rFonts w:cs="Times New Roman"/>
              </w:rPr>
            </w:pPr>
            <w:r>
              <w:rPr>
                <w:rFonts w:cs="Times New Roman"/>
              </w:rPr>
              <w:t>2016</w:t>
            </w:r>
          </w:p>
        </w:tc>
        <w:tc>
          <w:tcPr>
            <w:tcW w:w="775" w:type="dxa"/>
          </w:tcPr>
          <w:p w14:paraId="52303C58">
            <w:pPr>
              <w:rPr>
                <w:rFonts w:cs="Times New Roman"/>
              </w:rPr>
            </w:pPr>
            <w:r>
              <w:rPr>
                <w:rFonts w:cs="Times New Roman"/>
              </w:rPr>
              <w:t>2017</w:t>
            </w:r>
          </w:p>
        </w:tc>
        <w:tc>
          <w:tcPr>
            <w:tcW w:w="775" w:type="dxa"/>
          </w:tcPr>
          <w:p w14:paraId="1F87E578">
            <w:pPr>
              <w:rPr>
                <w:rFonts w:cs="Times New Roman"/>
              </w:rPr>
            </w:pPr>
            <w:r>
              <w:rPr>
                <w:rFonts w:cs="Times New Roman"/>
              </w:rPr>
              <w:t>2018</w:t>
            </w:r>
          </w:p>
        </w:tc>
        <w:tc>
          <w:tcPr>
            <w:tcW w:w="775" w:type="dxa"/>
          </w:tcPr>
          <w:p w14:paraId="3B7AFCD8">
            <w:pPr>
              <w:rPr>
                <w:rFonts w:cs="Times New Roman"/>
              </w:rPr>
            </w:pPr>
            <w:r>
              <w:rPr>
                <w:rFonts w:cs="Times New Roman"/>
              </w:rPr>
              <w:t>2019</w:t>
            </w:r>
          </w:p>
        </w:tc>
        <w:tc>
          <w:tcPr>
            <w:tcW w:w="775" w:type="dxa"/>
          </w:tcPr>
          <w:p w14:paraId="7842B28C">
            <w:pPr>
              <w:rPr>
                <w:rFonts w:cs="Times New Roman"/>
              </w:rPr>
            </w:pPr>
            <w:r>
              <w:rPr>
                <w:rFonts w:cs="Times New Roman"/>
              </w:rPr>
              <w:t>2020</w:t>
            </w:r>
          </w:p>
        </w:tc>
        <w:tc>
          <w:tcPr>
            <w:tcW w:w="775" w:type="dxa"/>
          </w:tcPr>
          <w:p w14:paraId="31C89B06">
            <w:pPr>
              <w:rPr>
                <w:rFonts w:cs="Times New Roman"/>
              </w:rPr>
            </w:pPr>
            <w:r>
              <w:rPr>
                <w:rFonts w:cs="Times New Roman"/>
              </w:rPr>
              <w:t>2021</w:t>
            </w:r>
          </w:p>
        </w:tc>
        <w:tc>
          <w:tcPr>
            <w:tcW w:w="775" w:type="dxa"/>
          </w:tcPr>
          <w:p w14:paraId="77EFF9E3">
            <w:pPr>
              <w:rPr>
                <w:rFonts w:cs="Times New Roman"/>
              </w:rPr>
            </w:pPr>
            <w:r>
              <w:rPr>
                <w:rFonts w:cs="Times New Roman"/>
              </w:rPr>
              <w:t>2022</w:t>
            </w:r>
          </w:p>
        </w:tc>
        <w:tc>
          <w:tcPr>
            <w:tcW w:w="775" w:type="dxa"/>
          </w:tcPr>
          <w:p w14:paraId="4C5268F5">
            <w:pPr>
              <w:rPr>
                <w:rFonts w:cs="Times New Roman"/>
              </w:rPr>
            </w:pPr>
            <w:r>
              <w:rPr>
                <w:rFonts w:cs="Times New Roman"/>
              </w:rPr>
              <w:t>2023</w:t>
            </w:r>
          </w:p>
        </w:tc>
      </w:tr>
      <w:tr w14:paraId="591589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34A81585">
            <w:pPr>
              <w:rPr>
                <w:rFonts w:cs="Times New Roman"/>
              </w:rPr>
            </w:pPr>
            <w:r>
              <w:rPr>
                <w:rFonts w:cs="Times New Roman"/>
              </w:rPr>
              <w:t>BYD</w:t>
            </w:r>
          </w:p>
        </w:tc>
        <w:tc>
          <w:tcPr>
            <w:tcW w:w="774" w:type="dxa"/>
          </w:tcPr>
          <w:p w14:paraId="2F4E56B9">
            <w:pPr>
              <w:rPr>
                <w:rFonts w:cs="Times New Roman"/>
              </w:rPr>
            </w:pPr>
            <w:r>
              <w:rPr>
                <w:rFonts w:cs="Times New Roman"/>
              </w:rPr>
              <w:t>0.2%</w:t>
            </w:r>
          </w:p>
        </w:tc>
        <w:tc>
          <w:tcPr>
            <w:tcW w:w="774" w:type="dxa"/>
          </w:tcPr>
          <w:p w14:paraId="6B61D504">
            <w:pPr>
              <w:rPr>
                <w:rFonts w:cs="Times New Roman"/>
              </w:rPr>
            </w:pPr>
            <w:r>
              <w:rPr>
                <w:rFonts w:cs="Times New Roman"/>
              </w:rPr>
              <w:t>0.85%</w:t>
            </w:r>
          </w:p>
        </w:tc>
        <w:tc>
          <w:tcPr>
            <w:tcW w:w="775" w:type="dxa"/>
          </w:tcPr>
          <w:p w14:paraId="2335E42E">
            <w:pPr>
              <w:rPr>
                <w:rFonts w:cs="Times New Roman"/>
              </w:rPr>
            </w:pPr>
            <w:r>
              <w:rPr>
                <w:rFonts w:cs="Times New Roman"/>
              </w:rPr>
              <w:t>1.1%</w:t>
            </w:r>
          </w:p>
        </w:tc>
        <w:tc>
          <w:tcPr>
            <w:tcW w:w="775" w:type="dxa"/>
          </w:tcPr>
          <w:p w14:paraId="657F7793">
            <w:pPr>
              <w:rPr>
                <w:rFonts w:cs="Times New Roman"/>
              </w:rPr>
            </w:pPr>
            <w:r>
              <w:rPr>
                <w:rFonts w:cs="Times New Roman"/>
              </w:rPr>
              <w:t>1.3%</w:t>
            </w:r>
          </w:p>
        </w:tc>
        <w:tc>
          <w:tcPr>
            <w:tcW w:w="775" w:type="dxa"/>
          </w:tcPr>
          <w:p w14:paraId="661B2B73">
            <w:pPr>
              <w:rPr>
                <w:rFonts w:cs="Times New Roman"/>
              </w:rPr>
            </w:pPr>
            <w:r>
              <w:rPr>
                <w:rFonts w:cs="Times New Roman"/>
              </w:rPr>
              <w:t>1.8%</w:t>
            </w:r>
          </w:p>
        </w:tc>
        <w:tc>
          <w:tcPr>
            <w:tcW w:w="775" w:type="dxa"/>
          </w:tcPr>
          <w:p w14:paraId="3B5ECDF1">
            <w:pPr>
              <w:rPr>
                <w:rFonts w:cs="Times New Roman"/>
              </w:rPr>
            </w:pPr>
            <w:r>
              <w:rPr>
                <w:rFonts w:cs="Times New Roman"/>
              </w:rPr>
              <w:t>1.2%</w:t>
            </w:r>
          </w:p>
        </w:tc>
        <w:tc>
          <w:tcPr>
            <w:tcW w:w="775" w:type="dxa"/>
          </w:tcPr>
          <w:p w14:paraId="3F0F775C">
            <w:pPr>
              <w:rPr>
                <w:rFonts w:cs="Times New Roman"/>
              </w:rPr>
            </w:pPr>
            <w:r>
              <w:rPr>
                <w:rFonts w:cs="Times New Roman"/>
              </w:rPr>
              <w:t>1.4%</w:t>
            </w:r>
          </w:p>
        </w:tc>
        <w:tc>
          <w:tcPr>
            <w:tcW w:w="775" w:type="dxa"/>
          </w:tcPr>
          <w:p w14:paraId="4F62D1F9">
            <w:pPr>
              <w:rPr>
                <w:rFonts w:cs="Times New Roman"/>
              </w:rPr>
            </w:pPr>
            <w:r>
              <w:rPr>
                <w:rFonts w:cs="Times New Roman"/>
              </w:rPr>
              <w:t>1.4%</w:t>
            </w:r>
          </w:p>
        </w:tc>
        <w:tc>
          <w:tcPr>
            <w:tcW w:w="775" w:type="dxa"/>
          </w:tcPr>
          <w:p w14:paraId="1D1E1739">
            <w:pPr>
              <w:rPr>
                <w:rFonts w:cs="Times New Roman"/>
              </w:rPr>
            </w:pPr>
            <w:r>
              <w:rPr>
                <w:rFonts w:cs="Times New Roman"/>
              </w:rPr>
              <w:t>1.7%</w:t>
            </w:r>
          </w:p>
        </w:tc>
        <w:tc>
          <w:tcPr>
            <w:tcW w:w="775" w:type="dxa"/>
          </w:tcPr>
          <w:p w14:paraId="266DB06A">
            <w:pPr>
              <w:rPr>
                <w:rFonts w:cs="Times New Roman"/>
              </w:rPr>
            </w:pPr>
            <w:r>
              <w:rPr>
                <w:rFonts w:cs="Times New Roman"/>
              </w:rPr>
              <w:t>1.7%</w:t>
            </w:r>
          </w:p>
        </w:tc>
      </w:tr>
      <w:tr w14:paraId="19D514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74" w:type="dxa"/>
          </w:tcPr>
          <w:p w14:paraId="2A4EBFE2">
            <w:pPr>
              <w:rPr>
                <w:rFonts w:cs="Times New Roman"/>
              </w:rPr>
            </w:pPr>
            <w:r>
              <w:rPr>
                <w:rFonts w:cs="Times New Roman"/>
              </w:rPr>
              <w:t>Ford</w:t>
            </w:r>
          </w:p>
        </w:tc>
        <w:tc>
          <w:tcPr>
            <w:tcW w:w="774" w:type="dxa"/>
          </w:tcPr>
          <w:p w14:paraId="2A241061">
            <w:pPr>
              <w:rPr>
                <w:rFonts w:cs="Times New Roman"/>
              </w:rPr>
            </w:pPr>
            <w:r>
              <w:rPr>
                <w:rFonts w:cs="Times New Roman"/>
              </w:rPr>
              <w:t>0.002%</w:t>
            </w:r>
          </w:p>
        </w:tc>
        <w:tc>
          <w:tcPr>
            <w:tcW w:w="774" w:type="dxa"/>
          </w:tcPr>
          <w:p w14:paraId="44951375">
            <w:pPr>
              <w:rPr>
                <w:rFonts w:cs="Times New Roman"/>
              </w:rPr>
            </w:pPr>
            <w:r>
              <w:rPr>
                <w:rFonts w:cs="Times New Roman"/>
              </w:rPr>
              <w:t>1.9%</w:t>
            </w:r>
          </w:p>
        </w:tc>
        <w:tc>
          <w:tcPr>
            <w:tcW w:w="775" w:type="dxa"/>
          </w:tcPr>
          <w:p w14:paraId="26184E84">
            <w:pPr>
              <w:rPr>
                <w:rFonts w:cs="Times New Roman"/>
              </w:rPr>
            </w:pPr>
            <w:r>
              <w:rPr>
                <w:rFonts w:cs="Times New Roman"/>
              </w:rPr>
              <w:t>1.4%</w:t>
            </w:r>
          </w:p>
        </w:tc>
        <w:tc>
          <w:tcPr>
            <w:tcW w:w="775" w:type="dxa"/>
          </w:tcPr>
          <w:p w14:paraId="0D88DDB8">
            <w:pPr>
              <w:rPr>
                <w:rFonts w:cs="Times New Roman"/>
              </w:rPr>
            </w:pPr>
            <w:r>
              <w:rPr>
                <w:rFonts w:cs="Times New Roman"/>
              </w:rPr>
              <w:t>0.3%</w:t>
            </w:r>
          </w:p>
        </w:tc>
        <w:tc>
          <w:tcPr>
            <w:tcW w:w="775" w:type="dxa"/>
          </w:tcPr>
          <w:p w14:paraId="56AEA56C">
            <w:pPr>
              <w:rPr>
                <w:rFonts w:cs="Times New Roman"/>
              </w:rPr>
            </w:pPr>
            <w:r>
              <w:rPr>
                <w:rFonts w:cs="Times New Roman"/>
              </w:rPr>
              <w:t>0.4%</w:t>
            </w:r>
          </w:p>
        </w:tc>
        <w:tc>
          <w:tcPr>
            <w:tcW w:w="775" w:type="dxa"/>
          </w:tcPr>
          <w:p w14:paraId="050D0850">
            <w:pPr>
              <w:rPr>
                <w:rFonts w:cs="Times New Roman"/>
              </w:rPr>
            </w:pPr>
            <w:r>
              <w:rPr>
                <w:rFonts w:cs="Times New Roman"/>
              </w:rPr>
              <w:t>-0.5%</w:t>
            </w:r>
          </w:p>
        </w:tc>
        <w:tc>
          <w:tcPr>
            <w:tcW w:w="775" w:type="dxa"/>
          </w:tcPr>
          <w:p w14:paraId="6004A400">
            <w:pPr>
              <w:rPr>
                <w:rFonts w:cs="Times New Roman"/>
              </w:rPr>
            </w:pPr>
            <w:r>
              <w:rPr>
                <w:rFonts w:cs="Times New Roman"/>
              </w:rPr>
              <w:t>0.1%</w:t>
            </w:r>
          </w:p>
        </w:tc>
        <w:tc>
          <w:tcPr>
            <w:tcW w:w="775" w:type="dxa"/>
          </w:tcPr>
          <w:p w14:paraId="2D148405">
            <w:pPr>
              <w:rPr>
                <w:rFonts w:cs="Times New Roman"/>
              </w:rPr>
            </w:pPr>
            <w:r>
              <w:rPr>
                <w:rFonts w:cs="Times New Roman"/>
              </w:rPr>
              <w:t>0.2%</w:t>
            </w:r>
          </w:p>
        </w:tc>
        <w:tc>
          <w:tcPr>
            <w:tcW w:w="775" w:type="dxa"/>
          </w:tcPr>
          <w:p w14:paraId="07197C80">
            <w:pPr>
              <w:rPr>
                <w:rFonts w:cs="Times New Roman"/>
              </w:rPr>
            </w:pPr>
            <w:r>
              <w:rPr>
                <w:rFonts w:cs="Times New Roman"/>
              </w:rPr>
              <w:t>0.5%</w:t>
            </w:r>
          </w:p>
        </w:tc>
        <w:tc>
          <w:tcPr>
            <w:tcW w:w="775" w:type="dxa"/>
          </w:tcPr>
          <w:p w14:paraId="77C9F551">
            <w:pPr>
              <w:rPr>
                <w:rFonts w:cs="Times New Roman"/>
              </w:rPr>
            </w:pPr>
            <w:r>
              <w:rPr>
                <w:rFonts w:cs="Times New Roman"/>
              </w:rPr>
              <w:t>0.1%</w:t>
            </w:r>
          </w:p>
        </w:tc>
      </w:tr>
    </w:tbl>
    <w:p w14:paraId="1E8C8173">
      <w:pPr>
        <w:rPr>
          <w:rFonts w:cs="Times New Roman"/>
        </w:rPr>
      </w:pPr>
    </w:p>
    <w:p w14:paraId="0F4EE55B">
      <w:pPr>
        <w:numPr>
          <w:ilvl w:val="0"/>
          <w:numId w:val="3"/>
        </w:numPr>
        <w:rPr>
          <w:rFonts w:cs="Times New Roman"/>
        </w:rPr>
      </w:pPr>
      <w:r>
        <w:rPr>
          <w:rFonts w:hint="eastAsia" w:cs="Times New Roman"/>
        </w:rPr>
        <w:t>Ford and BYD sales over the years(all in thousands of unit)</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52"/>
        <w:gridCol w:w="852"/>
        <w:gridCol w:w="852"/>
        <w:gridCol w:w="852"/>
        <w:gridCol w:w="852"/>
        <w:gridCol w:w="852"/>
        <w:gridCol w:w="852"/>
        <w:gridCol w:w="852"/>
        <w:gridCol w:w="853"/>
        <w:gridCol w:w="853"/>
      </w:tblGrid>
      <w:tr w14:paraId="6516C9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 w:type="dxa"/>
          </w:tcPr>
          <w:p w14:paraId="60C19FF6">
            <w:pPr>
              <w:rPr>
                <w:rFonts w:cs="Times New Roman"/>
              </w:rPr>
            </w:pPr>
          </w:p>
        </w:tc>
        <w:tc>
          <w:tcPr>
            <w:tcW w:w="852" w:type="dxa"/>
          </w:tcPr>
          <w:p w14:paraId="7F227A47">
            <w:pPr>
              <w:rPr>
                <w:rFonts w:cs="Times New Roman"/>
              </w:rPr>
            </w:pPr>
            <w:r>
              <w:rPr>
                <w:rFonts w:hint="eastAsia" w:cs="Times New Roman"/>
              </w:rPr>
              <w:t>2023</w:t>
            </w:r>
          </w:p>
        </w:tc>
        <w:tc>
          <w:tcPr>
            <w:tcW w:w="852" w:type="dxa"/>
          </w:tcPr>
          <w:p w14:paraId="68B9F4CB">
            <w:pPr>
              <w:rPr>
                <w:rFonts w:cs="Times New Roman"/>
              </w:rPr>
            </w:pPr>
            <w:r>
              <w:rPr>
                <w:rFonts w:hint="eastAsia" w:cs="Times New Roman"/>
              </w:rPr>
              <w:t>2022</w:t>
            </w:r>
          </w:p>
        </w:tc>
        <w:tc>
          <w:tcPr>
            <w:tcW w:w="852" w:type="dxa"/>
          </w:tcPr>
          <w:p w14:paraId="40F10B74">
            <w:pPr>
              <w:rPr>
                <w:rFonts w:cs="Times New Roman"/>
              </w:rPr>
            </w:pPr>
            <w:r>
              <w:rPr>
                <w:rFonts w:hint="eastAsia" w:cs="Times New Roman"/>
              </w:rPr>
              <w:t>2021</w:t>
            </w:r>
          </w:p>
        </w:tc>
        <w:tc>
          <w:tcPr>
            <w:tcW w:w="852" w:type="dxa"/>
          </w:tcPr>
          <w:p w14:paraId="7A5136B5">
            <w:pPr>
              <w:rPr>
                <w:rFonts w:cs="Times New Roman"/>
              </w:rPr>
            </w:pPr>
            <w:r>
              <w:rPr>
                <w:rFonts w:hint="eastAsia" w:cs="Times New Roman"/>
              </w:rPr>
              <w:t>2020</w:t>
            </w:r>
          </w:p>
        </w:tc>
        <w:tc>
          <w:tcPr>
            <w:tcW w:w="852" w:type="dxa"/>
          </w:tcPr>
          <w:p w14:paraId="18ACA83B">
            <w:pPr>
              <w:rPr>
                <w:rFonts w:cs="Times New Roman"/>
              </w:rPr>
            </w:pPr>
            <w:r>
              <w:rPr>
                <w:rFonts w:hint="eastAsia" w:cs="Times New Roman"/>
              </w:rPr>
              <w:t>2019</w:t>
            </w:r>
          </w:p>
        </w:tc>
        <w:tc>
          <w:tcPr>
            <w:tcW w:w="852" w:type="dxa"/>
          </w:tcPr>
          <w:p w14:paraId="32BE9742">
            <w:pPr>
              <w:rPr>
                <w:rFonts w:cs="Times New Roman"/>
              </w:rPr>
            </w:pPr>
            <w:r>
              <w:rPr>
                <w:rFonts w:hint="eastAsia" w:cs="Times New Roman"/>
              </w:rPr>
              <w:t>2018</w:t>
            </w:r>
          </w:p>
        </w:tc>
        <w:tc>
          <w:tcPr>
            <w:tcW w:w="852" w:type="dxa"/>
          </w:tcPr>
          <w:p w14:paraId="54BD7ED1">
            <w:pPr>
              <w:rPr>
                <w:rFonts w:cs="Times New Roman"/>
              </w:rPr>
            </w:pPr>
            <w:r>
              <w:rPr>
                <w:rFonts w:hint="eastAsia" w:cs="Times New Roman"/>
              </w:rPr>
              <w:t>2017</w:t>
            </w:r>
          </w:p>
        </w:tc>
        <w:tc>
          <w:tcPr>
            <w:tcW w:w="853" w:type="dxa"/>
          </w:tcPr>
          <w:p w14:paraId="04B6E87A">
            <w:pPr>
              <w:rPr>
                <w:rFonts w:cs="Times New Roman"/>
              </w:rPr>
            </w:pPr>
            <w:r>
              <w:rPr>
                <w:rFonts w:hint="eastAsia" w:cs="Times New Roman"/>
              </w:rPr>
              <w:t>2016</w:t>
            </w:r>
          </w:p>
        </w:tc>
        <w:tc>
          <w:tcPr>
            <w:tcW w:w="853" w:type="dxa"/>
          </w:tcPr>
          <w:p w14:paraId="78014DE9">
            <w:pPr>
              <w:rPr>
                <w:rFonts w:cs="Times New Roman"/>
              </w:rPr>
            </w:pPr>
            <w:r>
              <w:rPr>
                <w:rFonts w:hint="eastAsia" w:cs="Times New Roman"/>
              </w:rPr>
              <w:t>2015</w:t>
            </w:r>
          </w:p>
        </w:tc>
      </w:tr>
      <w:tr w14:paraId="488DF6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 w:type="dxa"/>
          </w:tcPr>
          <w:p w14:paraId="36363B5C">
            <w:pPr>
              <w:rPr>
                <w:rFonts w:cs="Times New Roman"/>
              </w:rPr>
            </w:pPr>
            <w:r>
              <w:rPr>
                <w:rFonts w:hint="eastAsia" w:cs="Times New Roman"/>
              </w:rPr>
              <w:t>Ford</w:t>
            </w:r>
          </w:p>
        </w:tc>
        <w:tc>
          <w:tcPr>
            <w:tcW w:w="852" w:type="dxa"/>
          </w:tcPr>
          <w:p w14:paraId="599019D4">
            <w:pPr>
              <w:rPr>
                <w:rFonts w:cs="Times New Roman"/>
              </w:rPr>
            </w:pPr>
            <w:r>
              <w:rPr>
                <w:rFonts w:hint="eastAsia" w:cs="Times New Roman"/>
              </w:rPr>
              <w:t>4413</w:t>
            </w:r>
          </w:p>
        </w:tc>
        <w:tc>
          <w:tcPr>
            <w:tcW w:w="852" w:type="dxa"/>
          </w:tcPr>
          <w:p w14:paraId="083BB8F4">
            <w:pPr>
              <w:rPr>
                <w:rFonts w:cs="Times New Roman"/>
              </w:rPr>
            </w:pPr>
            <w:r>
              <w:rPr>
                <w:rFonts w:hint="eastAsia" w:cs="Times New Roman"/>
              </w:rPr>
              <w:t>4231</w:t>
            </w:r>
          </w:p>
        </w:tc>
        <w:tc>
          <w:tcPr>
            <w:tcW w:w="852" w:type="dxa"/>
          </w:tcPr>
          <w:p w14:paraId="7633216F">
            <w:pPr>
              <w:rPr>
                <w:rFonts w:cs="Times New Roman"/>
              </w:rPr>
            </w:pPr>
            <w:r>
              <w:rPr>
                <w:rFonts w:hint="eastAsia" w:cs="Times New Roman"/>
              </w:rPr>
              <w:t>3942</w:t>
            </w:r>
          </w:p>
        </w:tc>
        <w:tc>
          <w:tcPr>
            <w:tcW w:w="852" w:type="dxa"/>
          </w:tcPr>
          <w:p w14:paraId="22969364">
            <w:pPr>
              <w:rPr>
                <w:rFonts w:cs="Times New Roman"/>
              </w:rPr>
            </w:pPr>
            <w:r>
              <w:rPr>
                <w:rFonts w:hint="eastAsia" w:cs="Times New Roman"/>
              </w:rPr>
              <w:t>4187</w:t>
            </w:r>
          </w:p>
        </w:tc>
        <w:tc>
          <w:tcPr>
            <w:tcW w:w="852" w:type="dxa"/>
          </w:tcPr>
          <w:p w14:paraId="05A124BF">
            <w:pPr>
              <w:rPr>
                <w:rFonts w:cs="Times New Roman"/>
              </w:rPr>
            </w:pPr>
            <w:r>
              <w:rPr>
                <w:rFonts w:hint="eastAsia" w:cs="Times New Roman"/>
              </w:rPr>
              <w:t>5386</w:t>
            </w:r>
          </w:p>
        </w:tc>
        <w:tc>
          <w:tcPr>
            <w:tcW w:w="852" w:type="dxa"/>
          </w:tcPr>
          <w:p w14:paraId="120B5675">
            <w:pPr>
              <w:rPr>
                <w:rFonts w:cs="Times New Roman"/>
              </w:rPr>
            </w:pPr>
            <w:r>
              <w:rPr>
                <w:rFonts w:hint="eastAsia" w:cs="Times New Roman"/>
              </w:rPr>
              <w:t>5982</w:t>
            </w:r>
          </w:p>
        </w:tc>
        <w:tc>
          <w:tcPr>
            <w:tcW w:w="852" w:type="dxa"/>
          </w:tcPr>
          <w:p w14:paraId="58007A47">
            <w:pPr>
              <w:rPr>
                <w:rFonts w:cs="Times New Roman"/>
              </w:rPr>
            </w:pPr>
            <w:r>
              <w:rPr>
                <w:rFonts w:hint="eastAsia" w:cs="Times New Roman"/>
              </w:rPr>
              <w:t>6607</w:t>
            </w:r>
          </w:p>
        </w:tc>
        <w:tc>
          <w:tcPr>
            <w:tcW w:w="853" w:type="dxa"/>
          </w:tcPr>
          <w:p w14:paraId="255FE357">
            <w:pPr>
              <w:rPr>
                <w:rFonts w:cs="Times New Roman"/>
              </w:rPr>
            </w:pPr>
            <w:r>
              <w:rPr>
                <w:rFonts w:hint="eastAsia" w:cs="Times New Roman"/>
              </w:rPr>
              <w:t>6651</w:t>
            </w:r>
          </w:p>
        </w:tc>
        <w:tc>
          <w:tcPr>
            <w:tcW w:w="853" w:type="dxa"/>
          </w:tcPr>
          <w:p w14:paraId="6AA14982">
            <w:pPr>
              <w:rPr>
                <w:rFonts w:cs="Times New Roman"/>
              </w:rPr>
            </w:pPr>
            <w:r>
              <w:rPr>
                <w:rFonts w:hint="eastAsia" w:cs="Times New Roman"/>
              </w:rPr>
              <w:t>6635</w:t>
            </w:r>
          </w:p>
        </w:tc>
      </w:tr>
      <w:tr w14:paraId="13CAF8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 w:type="dxa"/>
          </w:tcPr>
          <w:p w14:paraId="092F3F18">
            <w:pPr>
              <w:rPr>
                <w:rFonts w:cs="Times New Roman"/>
              </w:rPr>
            </w:pPr>
            <w:r>
              <w:rPr>
                <w:rFonts w:hint="eastAsia" w:cs="Times New Roman"/>
              </w:rPr>
              <w:t>BYD</w:t>
            </w:r>
          </w:p>
        </w:tc>
        <w:tc>
          <w:tcPr>
            <w:tcW w:w="852" w:type="dxa"/>
          </w:tcPr>
          <w:p w14:paraId="74944200">
            <w:pPr>
              <w:rPr>
                <w:rFonts w:cs="Times New Roman"/>
              </w:rPr>
            </w:pPr>
            <w:r>
              <w:rPr>
                <w:rFonts w:hint="eastAsia" w:cs="Times New Roman"/>
              </w:rPr>
              <w:t>3020</w:t>
            </w:r>
          </w:p>
        </w:tc>
        <w:tc>
          <w:tcPr>
            <w:tcW w:w="852" w:type="dxa"/>
          </w:tcPr>
          <w:p w14:paraId="76B4E25F">
            <w:pPr>
              <w:rPr>
                <w:rFonts w:cs="Times New Roman"/>
              </w:rPr>
            </w:pPr>
            <w:r>
              <w:rPr>
                <w:rFonts w:hint="eastAsia" w:cs="Times New Roman"/>
              </w:rPr>
              <w:t>1860</w:t>
            </w:r>
          </w:p>
        </w:tc>
        <w:tc>
          <w:tcPr>
            <w:tcW w:w="852" w:type="dxa"/>
          </w:tcPr>
          <w:p w14:paraId="145D57C4">
            <w:pPr>
              <w:rPr>
                <w:rFonts w:cs="Times New Roman"/>
              </w:rPr>
            </w:pPr>
            <w:r>
              <w:rPr>
                <w:rFonts w:hint="eastAsia" w:cs="Times New Roman"/>
              </w:rPr>
              <w:t>740</w:t>
            </w:r>
          </w:p>
        </w:tc>
        <w:tc>
          <w:tcPr>
            <w:tcW w:w="852" w:type="dxa"/>
          </w:tcPr>
          <w:p w14:paraId="5BFCBA6A">
            <w:pPr>
              <w:rPr>
                <w:rFonts w:cs="Times New Roman"/>
              </w:rPr>
            </w:pPr>
            <w:r>
              <w:rPr>
                <w:rFonts w:hint="eastAsia" w:cs="Times New Roman"/>
              </w:rPr>
              <w:t>420</w:t>
            </w:r>
          </w:p>
        </w:tc>
        <w:tc>
          <w:tcPr>
            <w:tcW w:w="852" w:type="dxa"/>
          </w:tcPr>
          <w:p w14:paraId="098867E7">
            <w:pPr>
              <w:rPr>
                <w:rFonts w:cs="Times New Roman"/>
              </w:rPr>
            </w:pPr>
            <w:r>
              <w:rPr>
                <w:rFonts w:hint="eastAsia" w:cs="Times New Roman"/>
              </w:rPr>
              <w:t>451</w:t>
            </w:r>
          </w:p>
        </w:tc>
        <w:tc>
          <w:tcPr>
            <w:tcW w:w="852" w:type="dxa"/>
          </w:tcPr>
          <w:p w14:paraId="5106B1E7">
            <w:pPr>
              <w:rPr>
                <w:rFonts w:cs="Times New Roman"/>
              </w:rPr>
            </w:pPr>
            <w:r>
              <w:rPr>
                <w:rFonts w:hint="eastAsia" w:cs="Times New Roman"/>
              </w:rPr>
              <w:t>521</w:t>
            </w:r>
          </w:p>
        </w:tc>
        <w:tc>
          <w:tcPr>
            <w:tcW w:w="852" w:type="dxa"/>
          </w:tcPr>
          <w:p w14:paraId="08E3D279">
            <w:pPr>
              <w:rPr>
                <w:rFonts w:cs="Times New Roman"/>
              </w:rPr>
            </w:pPr>
            <w:r>
              <w:rPr>
                <w:rFonts w:hint="eastAsia" w:cs="Times New Roman"/>
              </w:rPr>
              <w:t>409</w:t>
            </w:r>
          </w:p>
        </w:tc>
        <w:tc>
          <w:tcPr>
            <w:tcW w:w="853" w:type="dxa"/>
          </w:tcPr>
          <w:p w14:paraId="270E207C">
            <w:pPr>
              <w:rPr>
                <w:rFonts w:cs="Times New Roman"/>
              </w:rPr>
            </w:pPr>
            <w:r>
              <w:rPr>
                <w:rFonts w:hint="eastAsia" w:cs="Times New Roman"/>
              </w:rPr>
              <w:t>489</w:t>
            </w:r>
          </w:p>
        </w:tc>
        <w:tc>
          <w:tcPr>
            <w:tcW w:w="853" w:type="dxa"/>
          </w:tcPr>
          <w:p w14:paraId="6400F52F">
            <w:pPr>
              <w:rPr>
                <w:rFonts w:cs="Times New Roman"/>
              </w:rPr>
            </w:pPr>
            <w:r>
              <w:rPr>
                <w:rFonts w:hint="eastAsia" w:cs="Times New Roman"/>
              </w:rPr>
              <w:t>441</w:t>
            </w:r>
          </w:p>
        </w:tc>
      </w:tr>
    </w:tbl>
    <w:p w14:paraId="6CABF39B">
      <w:pPr>
        <w:rPr>
          <w:rFonts w:cs="Times New Roman"/>
        </w:rPr>
      </w:pPr>
      <w:r>
        <w:rPr>
          <w:rFonts w:hint="eastAsia" w:cs="Times New Roman"/>
        </w:rPr>
        <w:t xml:space="preserve"> </w:t>
      </w:r>
    </w:p>
    <w:p w14:paraId="1BAD687D">
      <w:pPr>
        <w:rPr>
          <w:rFonts w:cs="Times New Roman"/>
        </w:rPr>
      </w:pPr>
    </w:p>
    <w:p w14:paraId="668E3B88">
      <w:pPr>
        <w:numPr>
          <w:ilvl w:val="0"/>
          <w:numId w:val="3"/>
        </w:numPr>
        <w:rPr>
          <w:rFonts w:cs="Times New Roman"/>
        </w:rPr>
      </w:pPr>
      <w:r>
        <w:rPr>
          <w:rFonts w:hint="eastAsia" w:cs="Times New Roman"/>
        </w:rPr>
        <w:t>Operating profit rate of Ford, BYD and TESLA</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81"/>
        <w:gridCol w:w="804"/>
        <w:gridCol w:w="789"/>
        <w:gridCol w:w="789"/>
        <w:gridCol w:w="752"/>
        <w:gridCol w:w="752"/>
        <w:gridCol w:w="752"/>
        <w:gridCol w:w="863"/>
        <w:gridCol w:w="697"/>
        <w:gridCol w:w="738"/>
        <w:gridCol w:w="805"/>
      </w:tblGrid>
      <w:tr w14:paraId="04C20E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81" w:type="dxa"/>
          </w:tcPr>
          <w:p w14:paraId="798EAC1E">
            <w:pPr>
              <w:rPr>
                <w:rFonts w:cs="Times New Roman"/>
              </w:rPr>
            </w:pPr>
          </w:p>
        </w:tc>
        <w:tc>
          <w:tcPr>
            <w:tcW w:w="804" w:type="dxa"/>
          </w:tcPr>
          <w:p w14:paraId="716DE153">
            <w:pPr>
              <w:rPr>
                <w:rFonts w:cs="Times New Roman"/>
              </w:rPr>
            </w:pPr>
            <w:r>
              <w:rPr>
                <w:rFonts w:hint="eastAsia" w:cs="Times New Roman"/>
              </w:rPr>
              <w:t>2023</w:t>
            </w:r>
          </w:p>
        </w:tc>
        <w:tc>
          <w:tcPr>
            <w:tcW w:w="789" w:type="dxa"/>
          </w:tcPr>
          <w:p w14:paraId="1F6A12AF">
            <w:pPr>
              <w:rPr>
                <w:rFonts w:cs="Times New Roman"/>
              </w:rPr>
            </w:pPr>
            <w:r>
              <w:rPr>
                <w:rFonts w:hint="eastAsia" w:cs="Times New Roman"/>
              </w:rPr>
              <w:t>2022</w:t>
            </w:r>
          </w:p>
        </w:tc>
        <w:tc>
          <w:tcPr>
            <w:tcW w:w="789" w:type="dxa"/>
          </w:tcPr>
          <w:p w14:paraId="435B7BD8">
            <w:pPr>
              <w:rPr>
                <w:rFonts w:cs="Times New Roman"/>
              </w:rPr>
            </w:pPr>
            <w:r>
              <w:rPr>
                <w:rFonts w:hint="eastAsia" w:cs="Times New Roman"/>
              </w:rPr>
              <w:t>2021</w:t>
            </w:r>
          </w:p>
        </w:tc>
        <w:tc>
          <w:tcPr>
            <w:tcW w:w="752" w:type="dxa"/>
          </w:tcPr>
          <w:p w14:paraId="27AAF71F">
            <w:pPr>
              <w:rPr>
                <w:rFonts w:cs="Times New Roman"/>
              </w:rPr>
            </w:pPr>
            <w:r>
              <w:rPr>
                <w:rFonts w:hint="eastAsia" w:cs="Times New Roman"/>
              </w:rPr>
              <w:t>2020</w:t>
            </w:r>
          </w:p>
        </w:tc>
        <w:tc>
          <w:tcPr>
            <w:tcW w:w="752" w:type="dxa"/>
          </w:tcPr>
          <w:p w14:paraId="64D71815">
            <w:pPr>
              <w:rPr>
                <w:rFonts w:cs="Times New Roman"/>
              </w:rPr>
            </w:pPr>
            <w:r>
              <w:rPr>
                <w:rFonts w:hint="eastAsia" w:cs="Times New Roman"/>
              </w:rPr>
              <w:t>2019</w:t>
            </w:r>
          </w:p>
        </w:tc>
        <w:tc>
          <w:tcPr>
            <w:tcW w:w="752" w:type="dxa"/>
          </w:tcPr>
          <w:p w14:paraId="2AC3C3D5">
            <w:pPr>
              <w:rPr>
                <w:rFonts w:cs="Times New Roman"/>
              </w:rPr>
            </w:pPr>
            <w:r>
              <w:rPr>
                <w:rFonts w:hint="eastAsia" w:cs="Times New Roman"/>
              </w:rPr>
              <w:t>2018</w:t>
            </w:r>
          </w:p>
        </w:tc>
        <w:tc>
          <w:tcPr>
            <w:tcW w:w="863" w:type="dxa"/>
          </w:tcPr>
          <w:p w14:paraId="333C92EE">
            <w:pPr>
              <w:rPr>
                <w:rFonts w:cs="Times New Roman"/>
              </w:rPr>
            </w:pPr>
            <w:r>
              <w:rPr>
                <w:rFonts w:hint="eastAsia" w:cs="Times New Roman"/>
              </w:rPr>
              <w:t>2017</w:t>
            </w:r>
          </w:p>
        </w:tc>
        <w:tc>
          <w:tcPr>
            <w:tcW w:w="697" w:type="dxa"/>
          </w:tcPr>
          <w:p w14:paraId="35DD720E">
            <w:pPr>
              <w:rPr>
                <w:rFonts w:cs="Times New Roman"/>
              </w:rPr>
            </w:pPr>
            <w:r>
              <w:rPr>
                <w:rFonts w:hint="eastAsia" w:cs="Times New Roman"/>
              </w:rPr>
              <w:t>2016</w:t>
            </w:r>
          </w:p>
        </w:tc>
        <w:tc>
          <w:tcPr>
            <w:tcW w:w="738" w:type="dxa"/>
          </w:tcPr>
          <w:p w14:paraId="0B6D4267">
            <w:pPr>
              <w:rPr>
                <w:rFonts w:cs="Times New Roman"/>
              </w:rPr>
            </w:pPr>
            <w:r>
              <w:rPr>
                <w:rFonts w:hint="eastAsia" w:cs="Times New Roman"/>
              </w:rPr>
              <w:t>2015</w:t>
            </w:r>
          </w:p>
        </w:tc>
        <w:tc>
          <w:tcPr>
            <w:tcW w:w="805" w:type="dxa"/>
          </w:tcPr>
          <w:p w14:paraId="79992F8C">
            <w:pPr>
              <w:rPr>
                <w:rFonts w:cs="Times New Roman"/>
              </w:rPr>
            </w:pPr>
            <w:r>
              <w:rPr>
                <w:rFonts w:hint="eastAsia" w:cs="Times New Roman"/>
              </w:rPr>
              <w:t>2014</w:t>
            </w:r>
          </w:p>
        </w:tc>
      </w:tr>
      <w:tr w14:paraId="7EB679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81" w:type="dxa"/>
          </w:tcPr>
          <w:p w14:paraId="23B94C87">
            <w:pPr>
              <w:rPr>
                <w:rFonts w:cs="Times New Roman"/>
              </w:rPr>
            </w:pPr>
            <w:r>
              <w:rPr>
                <w:rFonts w:hint="eastAsia" w:cs="Times New Roman"/>
              </w:rPr>
              <w:t>Ford</w:t>
            </w:r>
          </w:p>
        </w:tc>
        <w:tc>
          <w:tcPr>
            <w:tcW w:w="804" w:type="dxa"/>
          </w:tcPr>
          <w:p w14:paraId="16B9966F">
            <w:pPr>
              <w:rPr>
                <w:rFonts w:cs="Times New Roman"/>
                <w:sz w:val="22"/>
                <w:szCs w:val="21"/>
              </w:rPr>
            </w:pPr>
            <w:r>
              <w:rPr>
                <w:rFonts w:hint="eastAsia" w:cs="Times New Roman"/>
                <w:sz w:val="22"/>
                <w:szCs w:val="21"/>
              </w:rPr>
              <w:t>2.5</w:t>
            </w:r>
            <w:r>
              <w:rPr>
                <w:rFonts w:cs="Times New Roman"/>
                <w:sz w:val="22"/>
                <w:szCs w:val="21"/>
              </w:rPr>
              <w:t>%</w:t>
            </w:r>
          </w:p>
        </w:tc>
        <w:tc>
          <w:tcPr>
            <w:tcW w:w="789" w:type="dxa"/>
          </w:tcPr>
          <w:p w14:paraId="68CCED6C">
            <w:pPr>
              <w:rPr>
                <w:rFonts w:cs="Times New Roman"/>
                <w:sz w:val="22"/>
                <w:szCs w:val="21"/>
              </w:rPr>
            </w:pPr>
            <w:r>
              <w:rPr>
                <w:rFonts w:hint="eastAsia" w:cs="Times New Roman"/>
                <w:sz w:val="22"/>
                <w:szCs w:val="21"/>
              </w:rPr>
              <w:t>-1.4</w:t>
            </w:r>
            <w:r>
              <w:rPr>
                <w:rFonts w:cs="Times New Roman"/>
                <w:sz w:val="22"/>
                <w:szCs w:val="21"/>
              </w:rPr>
              <w:t>%</w:t>
            </w:r>
          </w:p>
        </w:tc>
        <w:tc>
          <w:tcPr>
            <w:tcW w:w="789" w:type="dxa"/>
          </w:tcPr>
          <w:p w14:paraId="18BD44EB">
            <w:pPr>
              <w:rPr>
                <w:rFonts w:cs="Times New Roman"/>
                <w:sz w:val="22"/>
                <w:szCs w:val="21"/>
              </w:rPr>
            </w:pPr>
            <w:r>
              <w:rPr>
                <w:rFonts w:hint="eastAsia" w:cs="Times New Roman"/>
                <w:sz w:val="22"/>
                <w:szCs w:val="21"/>
              </w:rPr>
              <w:t>13.1</w:t>
            </w:r>
            <w:r>
              <w:rPr>
                <w:rFonts w:cs="Times New Roman"/>
                <w:sz w:val="22"/>
                <w:szCs w:val="21"/>
              </w:rPr>
              <w:t>%</w:t>
            </w:r>
          </w:p>
        </w:tc>
        <w:tc>
          <w:tcPr>
            <w:tcW w:w="752" w:type="dxa"/>
          </w:tcPr>
          <w:p w14:paraId="3009A870">
            <w:pPr>
              <w:rPr>
                <w:rFonts w:cs="Times New Roman"/>
                <w:sz w:val="22"/>
                <w:szCs w:val="21"/>
              </w:rPr>
            </w:pPr>
            <w:r>
              <w:rPr>
                <w:rFonts w:hint="eastAsia" w:cs="Times New Roman"/>
                <w:sz w:val="22"/>
                <w:szCs w:val="21"/>
              </w:rPr>
              <w:t>-0.9</w:t>
            </w:r>
            <w:r>
              <w:rPr>
                <w:rFonts w:cs="Times New Roman"/>
                <w:sz w:val="22"/>
                <w:szCs w:val="21"/>
              </w:rPr>
              <w:t>%</w:t>
            </w:r>
          </w:p>
        </w:tc>
        <w:tc>
          <w:tcPr>
            <w:tcW w:w="752" w:type="dxa"/>
          </w:tcPr>
          <w:p w14:paraId="7D8FABF2">
            <w:pPr>
              <w:rPr>
                <w:rFonts w:cs="Times New Roman"/>
                <w:sz w:val="22"/>
                <w:szCs w:val="21"/>
              </w:rPr>
            </w:pPr>
            <w:r>
              <w:rPr>
                <w:rFonts w:hint="eastAsia" w:cs="Times New Roman"/>
                <w:sz w:val="22"/>
                <w:szCs w:val="21"/>
              </w:rPr>
              <w:t>-0.4</w:t>
            </w:r>
            <w:r>
              <w:rPr>
                <w:rFonts w:cs="Times New Roman"/>
                <w:sz w:val="22"/>
                <w:szCs w:val="21"/>
              </w:rPr>
              <w:t>%</w:t>
            </w:r>
          </w:p>
        </w:tc>
        <w:tc>
          <w:tcPr>
            <w:tcW w:w="752" w:type="dxa"/>
          </w:tcPr>
          <w:p w14:paraId="0BC46C43">
            <w:pPr>
              <w:rPr>
                <w:rFonts w:cs="Times New Roman"/>
                <w:sz w:val="22"/>
                <w:szCs w:val="21"/>
              </w:rPr>
            </w:pPr>
            <w:r>
              <w:rPr>
                <w:rFonts w:hint="eastAsia" w:cs="Times New Roman"/>
                <w:sz w:val="22"/>
                <w:szCs w:val="21"/>
              </w:rPr>
              <w:t>2.7</w:t>
            </w:r>
            <w:r>
              <w:rPr>
                <w:rFonts w:cs="Times New Roman"/>
                <w:sz w:val="22"/>
                <w:szCs w:val="21"/>
              </w:rPr>
              <w:t>%</w:t>
            </w:r>
          </w:p>
        </w:tc>
        <w:tc>
          <w:tcPr>
            <w:tcW w:w="863" w:type="dxa"/>
          </w:tcPr>
          <w:p w14:paraId="0979F7DF">
            <w:pPr>
              <w:rPr>
                <w:rFonts w:cs="Times New Roman"/>
                <w:sz w:val="22"/>
                <w:szCs w:val="21"/>
              </w:rPr>
            </w:pPr>
            <w:r>
              <w:rPr>
                <w:rFonts w:hint="eastAsia" w:cs="Times New Roman"/>
                <w:sz w:val="22"/>
                <w:szCs w:val="21"/>
              </w:rPr>
              <w:t>5.2</w:t>
            </w:r>
            <w:r>
              <w:rPr>
                <w:rFonts w:cs="Times New Roman"/>
                <w:sz w:val="22"/>
                <w:szCs w:val="21"/>
              </w:rPr>
              <w:t>%</w:t>
            </w:r>
          </w:p>
        </w:tc>
        <w:tc>
          <w:tcPr>
            <w:tcW w:w="697" w:type="dxa"/>
          </w:tcPr>
          <w:p w14:paraId="2726DBF6">
            <w:pPr>
              <w:rPr>
                <w:rFonts w:cs="Times New Roman"/>
                <w:sz w:val="22"/>
                <w:szCs w:val="21"/>
              </w:rPr>
            </w:pPr>
            <w:r>
              <w:rPr>
                <w:rFonts w:hint="eastAsia" w:cs="Times New Roman"/>
                <w:sz w:val="22"/>
                <w:szCs w:val="21"/>
              </w:rPr>
              <w:t>4.8</w:t>
            </w:r>
            <w:r>
              <w:rPr>
                <w:rFonts w:cs="Times New Roman"/>
                <w:sz w:val="22"/>
                <w:szCs w:val="21"/>
              </w:rPr>
              <w:t>%</w:t>
            </w:r>
          </w:p>
        </w:tc>
        <w:tc>
          <w:tcPr>
            <w:tcW w:w="738" w:type="dxa"/>
          </w:tcPr>
          <w:p w14:paraId="18D13DD1">
            <w:pPr>
              <w:rPr>
                <w:rFonts w:cs="Times New Roman"/>
                <w:sz w:val="22"/>
                <w:szCs w:val="21"/>
              </w:rPr>
            </w:pPr>
            <w:r>
              <w:rPr>
                <w:rFonts w:hint="eastAsia" w:cs="Times New Roman"/>
                <w:sz w:val="22"/>
                <w:szCs w:val="21"/>
              </w:rPr>
              <w:t>6.9</w:t>
            </w:r>
            <w:r>
              <w:rPr>
                <w:rFonts w:cs="Times New Roman"/>
                <w:sz w:val="22"/>
                <w:szCs w:val="21"/>
              </w:rPr>
              <w:t>%</w:t>
            </w:r>
          </w:p>
        </w:tc>
        <w:tc>
          <w:tcPr>
            <w:tcW w:w="805" w:type="dxa"/>
          </w:tcPr>
          <w:p w14:paraId="2E3D3F69">
            <w:pPr>
              <w:rPr>
                <w:rFonts w:cs="Times New Roman"/>
                <w:sz w:val="22"/>
                <w:szCs w:val="21"/>
              </w:rPr>
            </w:pPr>
            <w:r>
              <w:rPr>
                <w:rFonts w:hint="eastAsia" w:cs="Times New Roman"/>
                <w:sz w:val="22"/>
                <w:szCs w:val="21"/>
              </w:rPr>
              <w:t>0.8</w:t>
            </w:r>
            <w:r>
              <w:rPr>
                <w:rFonts w:cs="Times New Roman"/>
                <w:sz w:val="22"/>
                <w:szCs w:val="21"/>
              </w:rPr>
              <w:t>%</w:t>
            </w:r>
          </w:p>
        </w:tc>
      </w:tr>
      <w:tr w14:paraId="733C4D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81" w:type="dxa"/>
          </w:tcPr>
          <w:p w14:paraId="3968EBED">
            <w:pPr>
              <w:rPr>
                <w:rFonts w:cs="Times New Roman"/>
              </w:rPr>
            </w:pPr>
            <w:r>
              <w:rPr>
                <w:rFonts w:hint="eastAsia" w:cs="Times New Roman"/>
              </w:rPr>
              <w:t>BYD</w:t>
            </w:r>
          </w:p>
        </w:tc>
        <w:tc>
          <w:tcPr>
            <w:tcW w:w="804" w:type="dxa"/>
          </w:tcPr>
          <w:p w14:paraId="092FB9A5">
            <w:pPr>
              <w:rPr>
                <w:rFonts w:cs="Times New Roman"/>
                <w:sz w:val="22"/>
                <w:szCs w:val="21"/>
              </w:rPr>
            </w:pPr>
            <w:r>
              <w:rPr>
                <w:rFonts w:hint="eastAsia" w:cs="Times New Roman"/>
                <w:sz w:val="22"/>
                <w:szCs w:val="21"/>
              </w:rPr>
              <w:t>5.0</w:t>
            </w:r>
            <w:r>
              <w:rPr>
                <w:rFonts w:cs="Times New Roman"/>
                <w:sz w:val="22"/>
                <w:szCs w:val="21"/>
              </w:rPr>
              <w:t>%</w:t>
            </w:r>
          </w:p>
        </w:tc>
        <w:tc>
          <w:tcPr>
            <w:tcW w:w="789" w:type="dxa"/>
          </w:tcPr>
          <w:p w14:paraId="06F19A8E">
            <w:pPr>
              <w:rPr>
                <w:rFonts w:cs="Times New Roman"/>
                <w:sz w:val="22"/>
                <w:szCs w:val="21"/>
              </w:rPr>
            </w:pPr>
            <w:r>
              <w:rPr>
                <w:rFonts w:hint="eastAsia" w:cs="Times New Roman"/>
                <w:sz w:val="22"/>
                <w:szCs w:val="21"/>
              </w:rPr>
              <w:t>3.9</w:t>
            </w:r>
            <w:r>
              <w:rPr>
                <w:rFonts w:cs="Times New Roman"/>
                <w:sz w:val="22"/>
                <w:szCs w:val="21"/>
              </w:rPr>
              <w:t>%</w:t>
            </w:r>
          </w:p>
        </w:tc>
        <w:tc>
          <w:tcPr>
            <w:tcW w:w="789" w:type="dxa"/>
          </w:tcPr>
          <w:p w14:paraId="7DC2E21E">
            <w:pPr>
              <w:rPr>
                <w:rFonts w:cs="Times New Roman"/>
                <w:sz w:val="22"/>
                <w:szCs w:val="21"/>
              </w:rPr>
            </w:pPr>
            <w:r>
              <w:rPr>
                <w:rFonts w:hint="eastAsia" w:cs="Times New Roman"/>
                <w:sz w:val="22"/>
                <w:szCs w:val="21"/>
              </w:rPr>
              <w:t>1.4</w:t>
            </w:r>
            <w:r>
              <w:rPr>
                <w:rFonts w:cs="Times New Roman"/>
                <w:sz w:val="22"/>
                <w:szCs w:val="21"/>
              </w:rPr>
              <w:t>%</w:t>
            </w:r>
          </w:p>
        </w:tc>
        <w:tc>
          <w:tcPr>
            <w:tcW w:w="752" w:type="dxa"/>
          </w:tcPr>
          <w:p w14:paraId="3869A35E">
            <w:pPr>
              <w:rPr>
                <w:rFonts w:cs="Times New Roman"/>
                <w:sz w:val="22"/>
                <w:szCs w:val="21"/>
              </w:rPr>
            </w:pPr>
            <w:r>
              <w:rPr>
                <w:rFonts w:hint="eastAsia" w:cs="Times New Roman"/>
                <w:sz w:val="22"/>
                <w:szCs w:val="21"/>
              </w:rPr>
              <w:t>2.7</w:t>
            </w:r>
            <w:r>
              <w:rPr>
                <w:rFonts w:cs="Times New Roman"/>
                <w:sz w:val="22"/>
                <w:szCs w:val="21"/>
              </w:rPr>
              <w:t>%</w:t>
            </w:r>
          </w:p>
        </w:tc>
        <w:tc>
          <w:tcPr>
            <w:tcW w:w="752" w:type="dxa"/>
          </w:tcPr>
          <w:p w14:paraId="47AD1A66">
            <w:pPr>
              <w:rPr>
                <w:rFonts w:cs="Times New Roman"/>
                <w:sz w:val="22"/>
                <w:szCs w:val="21"/>
              </w:rPr>
            </w:pPr>
            <w:r>
              <w:rPr>
                <w:rFonts w:hint="eastAsia" w:cs="Times New Roman"/>
                <w:sz w:val="22"/>
                <w:szCs w:val="21"/>
              </w:rPr>
              <w:t>1.3</w:t>
            </w:r>
            <w:r>
              <w:rPr>
                <w:rFonts w:cs="Times New Roman"/>
                <w:sz w:val="22"/>
                <w:szCs w:val="21"/>
              </w:rPr>
              <w:t>%</w:t>
            </w:r>
          </w:p>
        </w:tc>
        <w:tc>
          <w:tcPr>
            <w:tcW w:w="752" w:type="dxa"/>
          </w:tcPr>
          <w:p w14:paraId="56DA9F4F">
            <w:pPr>
              <w:rPr>
                <w:rFonts w:cs="Times New Roman"/>
                <w:sz w:val="22"/>
                <w:szCs w:val="21"/>
              </w:rPr>
            </w:pPr>
            <w:r>
              <w:rPr>
                <w:rFonts w:hint="eastAsia" w:cs="Times New Roman"/>
                <w:sz w:val="22"/>
                <w:szCs w:val="21"/>
              </w:rPr>
              <w:t>2.1</w:t>
            </w:r>
            <w:r>
              <w:rPr>
                <w:rFonts w:cs="Times New Roman"/>
                <w:sz w:val="22"/>
                <w:szCs w:val="21"/>
              </w:rPr>
              <w:t>%</w:t>
            </w:r>
          </w:p>
        </w:tc>
        <w:tc>
          <w:tcPr>
            <w:tcW w:w="863" w:type="dxa"/>
          </w:tcPr>
          <w:p w14:paraId="1C1E74E4">
            <w:pPr>
              <w:rPr>
                <w:rFonts w:cs="Times New Roman"/>
                <w:sz w:val="22"/>
                <w:szCs w:val="21"/>
              </w:rPr>
            </w:pPr>
            <w:r>
              <w:rPr>
                <w:rFonts w:hint="eastAsia" w:cs="Times New Roman"/>
                <w:sz w:val="22"/>
                <w:szCs w:val="21"/>
              </w:rPr>
              <w:t>4.0</w:t>
            </w:r>
            <w:r>
              <w:rPr>
                <w:rFonts w:cs="Times New Roman"/>
                <w:sz w:val="22"/>
                <w:szCs w:val="21"/>
              </w:rPr>
              <w:t>%</w:t>
            </w:r>
          </w:p>
        </w:tc>
        <w:tc>
          <w:tcPr>
            <w:tcW w:w="697" w:type="dxa"/>
          </w:tcPr>
          <w:p w14:paraId="5777047A">
            <w:pPr>
              <w:rPr>
                <w:rFonts w:cs="Times New Roman"/>
                <w:sz w:val="22"/>
                <w:szCs w:val="21"/>
              </w:rPr>
            </w:pPr>
            <w:r>
              <w:rPr>
                <w:rFonts w:hint="eastAsia" w:cs="Times New Roman"/>
                <w:sz w:val="22"/>
                <w:szCs w:val="21"/>
              </w:rPr>
              <w:t>5.0</w:t>
            </w:r>
            <w:r>
              <w:rPr>
                <w:rFonts w:cs="Times New Roman"/>
                <w:sz w:val="22"/>
                <w:szCs w:val="21"/>
              </w:rPr>
              <w:t>%</w:t>
            </w:r>
          </w:p>
        </w:tc>
        <w:tc>
          <w:tcPr>
            <w:tcW w:w="738" w:type="dxa"/>
          </w:tcPr>
          <w:p w14:paraId="0BF39843">
            <w:pPr>
              <w:rPr>
                <w:rFonts w:cs="Times New Roman"/>
                <w:sz w:val="22"/>
                <w:szCs w:val="21"/>
              </w:rPr>
            </w:pPr>
            <w:r>
              <w:rPr>
                <w:rFonts w:hint="eastAsia" w:cs="Times New Roman"/>
                <w:sz w:val="22"/>
                <w:szCs w:val="21"/>
              </w:rPr>
              <w:t>3.6</w:t>
            </w:r>
            <w:r>
              <w:rPr>
                <w:rFonts w:cs="Times New Roman"/>
                <w:sz w:val="22"/>
                <w:szCs w:val="21"/>
              </w:rPr>
              <w:t>%</w:t>
            </w:r>
          </w:p>
        </w:tc>
        <w:tc>
          <w:tcPr>
            <w:tcW w:w="805" w:type="dxa"/>
          </w:tcPr>
          <w:p w14:paraId="1B24F0F3">
            <w:pPr>
              <w:rPr>
                <w:rFonts w:cs="Times New Roman"/>
                <w:sz w:val="22"/>
                <w:szCs w:val="21"/>
              </w:rPr>
            </w:pPr>
            <w:r>
              <w:rPr>
                <w:rFonts w:hint="eastAsia" w:cs="Times New Roman"/>
                <w:sz w:val="22"/>
                <w:szCs w:val="21"/>
              </w:rPr>
              <w:t>0.8</w:t>
            </w:r>
            <w:r>
              <w:rPr>
                <w:rFonts w:cs="Times New Roman"/>
                <w:sz w:val="22"/>
                <w:szCs w:val="21"/>
              </w:rPr>
              <w:t>%</w:t>
            </w:r>
          </w:p>
        </w:tc>
      </w:tr>
      <w:tr w14:paraId="5EBCBC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81" w:type="dxa"/>
          </w:tcPr>
          <w:p w14:paraId="6B62F813">
            <w:pPr>
              <w:rPr>
                <w:rFonts w:cs="Times New Roman"/>
              </w:rPr>
            </w:pPr>
            <w:r>
              <w:rPr>
                <w:rFonts w:hint="eastAsia" w:cs="Times New Roman"/>
              </w:rPr>
              <w:t>TESLA</w:t>
            </w:r>
          </w:p>
        </w:tc>
        <w:tc>
          <w:tcPr>
            <w:tcW w:w="804" w:type="dxa"/>
          </w:tcPr>
          <w:p w14:paraId="4ED3F380">
            <w:pPr>
              <w:rPr>
                <w:rFonts w:cs="Times New Roman"/>
                <w:sz w:val="22"/>
                <w:szCs w:val="21"/>
              </w:rPr>
            </w:pPr>
            <w:r>
              <w:rPr>
                <w:rFonts w:hint="eastAsia" w:cs="Times New Roman"/>
                <w:sz w:val="22"/>
                <w:szCs w:val="21"/>
              </w:rPr>
              <w:t>9.2</w:t>
            </w:r>
            <w:r>
              <w:rPr>
                <w:rFonts w:cs="Times New Roman"/>
                <w:sz w:val="22"/>
                <w:szCs w:val="21"/>
              </w:rPr>
              <w:t>%</w:t>
            </w:r>
          </w:p>
        </w:tc>
        <w:tc>
          <w:tcPr>
            <w:tcW w:w="789" w:type="dxa"/>
          </w:tcPr>
          <w:p w14:paraId="3431666B">
            <w:pPr>
              <w:rPr>
                <w:rFonts w:cs="Times New Roman"/>
                <w:sz w:val="22"/>
                <w:szCs w:val="21"/>
              </w:rPr>
            </w:pPr>
            <w:r>
              <w:rPr>
                <w:rFonts w:hint="eastAsia" w:cs="Times New Roman"/>
                <w:sz w:val="22"/>
                <w:szCs w:val="21"/>
              </w:rPr>
              <w:t>16.8</w:t>
            </w:r>
            <w:r>
              <w:rPr>
                <w:rFonts w:cs="Times New Roman"/>
                <w:sz w:val="22"/>
                <w:szCs w:val="21"/>
              </w:rPr>
              <w:t>%</w:t>
            </w:r>
          </w:p>
        </w:tc>
        <w:tc>
          <w:tcPr>
            <w:tcW w:w="789" w:type="dxa"/>
          </w:tcPr>
          <w:p w14:paraId="6632E671">
            <w:pPr>
              <w:rPr>
                <w:rFonts w:cs="Times New Roman"/>
                <w:sz w:val="22"/>
                <w:szCs w:val="21"/>
              </w:rPr>
            </w:pPr>
            <w:r>
              <w:rPr>
                <w:rFonts w:hint="eastAsia" w:cs="Times New Roman"/>
                <w:sz w:val="22"/>
                <w:szCs w:val="21"/>
              </w:rPr>
              <w:t>12.1</w:t>
            </w:r>
            <w:r>
              <w:rPr>
                <w:rFonts w:cs="Times New Roman"/>
                <w:sz w:val="22"/>
                <w:szCs w:val="21"/>
              </w:rPr>
              <w:t>%</w:t>
            </w:r>
          </w:p>
        </w:tc>
        <w:tc>
          <w:tcPr>
            <w:tcW w:w="752" w:type="dxa"/>
          </w:tcPr>
          <w:p w14:paraId="49BF7982">
            <w:pPr>
              <w:rPr>
                <w:rFonts w:cs="Times New Roman"/>
                <w:sz w:val="22"/>
                <w:szCs w:val="21"/>
              </w:rPr>
            </w:pPr>
            <w:r>
              <w:rPr>
                <w:rFonts w:hint="eastAsia" w:cs="Times New Roman"/>
                <w:sz w:val="22"/>
                <w:szCs w:val="21"/>
              </w:rPr>
              <w:t>6.3</w:t>
            </w:r>
            <w:r>
              <w:rPr>
                <w:rFonts w:cs="Times New Roman"/>
                <w:sz w:val="22"/>
                <w:szCs w:val="21"/>
              </w:rPr>
              <w:t>%</w:t>
            </w:r>
          </w:p>
        </w:tc>
        <w:tc>
          <w:tcPr>
            <w:tcW w:w="752" w:type="dxa"/>
          </w:tcPr>
          <w:p w14:paraId="51A53EC0">
            <w:pPr>
              <w:rPr>
                <w:rFonts w:cs="Times New Roman"/>
                <w:sz w:val="22"/>
                <w:szCs w:val="21"/>
              </w:rPr>
            </w:pPr>
            <w:r>
              <w:rPr>
                <w:rFonts w:hint="eastAsia" w:cs="Times New Roman"/>
                <w:sz w:val="22"/>
                <w:szCs w:val="21"/>
              </w:rPr>
              <w:t>0.3</w:t>
            </w:r>
            <w:r>
              <w:rPr>
                <w:rFonts w:cs="Times New Roman"/>
                <w:sz w:val="22"/>
                <w:szCs w:val="21"/>
              </w:rPr>
              <w:t>%</w:t>
            </w:r>
          </w:p>
        </w:tc>
        <w:tc>
          <w:tcPr>
            <w:tcW w:w="752" w:type="dxa"/>
          </w:tcPr>
          <w:p w14:paraId="4B653360">
            <w:pPr>
              <w:rPr>
                <w:rFonts w:cs="Times New Roman"/>
                <w:sz w:val="22"/>
                <w:szCs w:val="21"/>
              </w:rPr>
            </w:pPr>
            <w:r>
              <w:rPr>
                <w:rFonts w:hint="eastAsia" w:cs="Times New Roman"/>
                <w:sz w:val="22"/>
                <w:szCs w:val="21"/>
              </w:rPr>
              <w:t>-1.8</w:t>
            </w:r>
            <w:r>
              <w:rPr>
                <w:rFonts w:cs="Times New Roman"/>
                <w:sz w:val="22"/>
                <w:szCs w:val="21"/>
              </w:rPr>
              <w:t>%</w:t>
            </w:r>
          </w:p>
        </w:tc>
        <w:tc>
          <w:tcPr>
            <w:tcW w:w="863" w:type="dxa"/>
          </w:tcPr>
          <w:p w14:paraId="0470CBBC">
            <w:pPr>
              <w:rPr>
                <w:rFonts w:cs="Times New Roman"/>
                <w:sz w:val="22"/>
                <w:szCs w:val="21"/>
              </w:rPr>
            </w:pPr>
            <w:r>
              <w:rPr>
                <w:rFonts w:hint="eastAsia" w:cs="Times New Roman"/>
                <w:sz w:val="22"/>
                <w:szCs w:val="21"/>
              </w:rPr>
              <w:t>-13.9</w:t>
            </w:r>
            <w:r>
              <w:rPr>
                <w:rFonts w:cs="Times New Roman"/>
                <w:sz w:val="22"/>
                <w:szCs w:val="21"/>
              </w:rPr>
              <w:t>%</w:t>
            </w:r>
          </w:p>
        </w:tc>
        <w:tc>
          <w:tcPr>
            <w:tcW w:w="697" w:type="dxa"/>
          </w:tcPr>
          <w:p w14:paraId="7644A750">
            <w:pPr>
              <w:rPr>
                <w:rFonts w:cs="Times New Roman"/>
                <w:sz w:val="22"/>
                <w:szCs w:val="21"/>
              </w:rPr>
            </w:pPr>
            <w:r>
              <w:rPr>
                <w:rFonts w:hint="eastAsia" w:cs="Times New Roman"/>
                <w:sz w:val="22"/>
                <w:szCs w:val="21"/>
              </w:rPr>
              <w:t>-10</w:t>
            </w:r>
            <w:r>
              <w:rPr>
                <w:rFonts w:cs="Times New Roman"/>
                <w:sz w:val="22"/>
                <w:szCs w:val="21"/>
              </w:rPr>
              <w:t>%</w:t>
            </w:r>
          </w:p>
        </w:tc>
        <w:tc>
          <w:tcPr>
            <w:tcW w:w="738" w:type="dxa"/>
          </w:tcPr>
          <w:p w14:paraId="42D394DC">
            <w:pPr>
              <w:rPr>
                <w:rFonts w:cs="Times New Roman"/>
                <w:sz w:val="22"/>
                <w:szCs w:val="21"/>
              </w:rPr>
            </w:pPr>
            <w:r>
              <w:rPr>
                <w:rFonts w:hint="eastAsia" w:cs="Times New Roman"/>
                <w:sz w:val="22"/>
                <w:szCs w:val="21"/>
              </w:rPr>
              <w:t>-17.7</w:t>
            </w:r>
            <w:r>
              <w:rPr>
                <w:rFonts w:cs="Times New Roman"/>
                <w:sz w:val="22"/>
                <w:szCs w:val="21"/>
              </w:rPr>
              <w:t>%</w:t>
            </w:r>
          </w:p>
        </w:tc>
        <w:tc>
          <w:tcPr>
            <w:tcW w:w="805" w:type="dxa"/>
          </w:tcPr>
          <w:p w14:paraId="4A028BDF">
            <w:pPr>
              <w:rPr>
                <w:rFonts w:cs="Times New Roman"/>
                <w:sz w:val="22"/>
                <w:szCs w:val="21"/>
              </w:rPr>
            </w:pPr>
            <w:r>
              <w:rPr>
                <w:rFonts w:hint="eastAsia" w:cs="Times New Roman"/>
                <w:sz w:val="22"/>
                <w:szCs w:val="21"/>
              </w:rPr>
              <w:t>-6</w:t>
            </w:r>
            <w:r>
              <w:rPr>
                <w:rFonts w:cs="Times New Roman"/>
                <w:sz w:val="22"/>
                <w:szCs w:val="21"/>
              </w:rPr>
              <w:t>%</w:t>
            </w:r>
          </w:p>
        </w:tc>
      </w:tr>
    </w:tbl>
    <w:p w14:paraId="099B806A">
      <w:pPr>
        <w:jc w:val="left"/>
        <w:rPr>
          <w:rFonts w:cs="Times New Roman"/>
        </w:rPr>
      </w:pPr>
    </w:p>
    <w:p w14:paraId="2D9A25A5">
      <w:pPr>
        <w:jc w:val="left"/>
        <w:rPr>
          <w:rFonts w:cs="Times New Roman"/>
        </w:rPr>
      </w:pPr>
    </w:p>
    <w:p w14:paraId="0DA2FB31">
      <w:pPr>
        <w:jc w:val="left"/>
        <w:rPr>
          <w:rFonts w:cs="Times New Roman"/>
        </w:rPr>
      </w:pPr>
    </w:p>
    <w:p w14:paraId="408B4EE2">
      <w:pPr>
        <w:jc w:val="left"/>
        <w:rPr>
          <w:rFonts w:cs="Times New Roman"/>
        </w:rPr>
      </w:pPr>
    </w:p>
    <w:p w14:paraId="3B5E03E7">
      <w:pPr>
        <w:jc w:val="left"/>
        <w:rPr>
          <w:rFonts w:cs="Times New Roman"/>
        </w:rPr>
      </w:pPr>
    </w:p>
    <w:p w14:paraId="20C8798E">
      <w:pPr>
        <w:jc w:val="left"/>
        <w:rPr>
          <w:rFonts w:cs="Times New Roman"/>
        </w:rPr>
      </w:pPr>
    </w:p>
    <w:p w14:paraId="45EBFEBF">
      <w:pPr>
        <w:jc w:val="left"/>
        <w:rPr>
          <w:rFonts w:cs="Times New Roman"/>
        </w:rPr>
      </w:pPr>
    </w:p>
    <w:p w14:paraId="0998CE24">
      <w:pPr>
        <w:jc w:val="left"/>
        <w:rPr>
          <w:rFonts w:cs="Times New Roman"/>
        </w:rPr>
      </w:pPr>
    </w:p>
    <w:p w14:paraId="4628EC02">
      <w:pPr>
        <w:jc w:val="left"/>
        <w:rPr>
          <w:rFonts w:cs="Times New Roman"/>
        </w:rPr>
      </w:pPr>
    </w:p>
    <w:p w14:paraId="2AF2D3A8">
      <w:pPr>
        <w:jc w:val="left"/>
        <w:rPr>
          <w:rFonts w:cs="Times New Roman"/>
        </w:rPr>
      </w:pPr>
    </w:p>
    <w:p w14:paraId="40AEA015">
      <w:pPr>
        <w:jc w:val="left"/>
        <w:rPr>
          <w:rFonts w:cs="Times New Roman"/>
        </w:rPr>
      </w:pPr>
    </w:p>
    <w:p w14:paraId="06402D7C">
      <w:pPr>
        <w:jc w:val="left"/>
        <w:rPr>
          <w:rFonts w:cs="Times New Roman"/>
        </w:rPr>
      </w:pPr>
    </w:p>
    <w:p w14:paraId="671D9814">
      <w:pPr>
        <w:numPr>
          <w:ilvl w:val="0"/>
          <w:numId w:val="4"/>
        </w:numPr>
        <w:jc w:val="left"/>
        <w:outlineLvl w:val="3"/>
        <w:rPr>
          <w:rFonts w:cs="Times New Roman"/>
        </w:rPr>
      </w:pPr>
      <w:r>
        <w:rPr>
          <w:rFonts w:hint="eastAsia" w:cs="Times New Roman"/>
        </w:rPr>
        <w:t>Questionnaire</w:t>
      </w:r>
    </w:p>
    <w:p w14:paraId="756033A5">
      <w:pPr>
        <w:jc w:val="left"/>
        <w:rPr>
          <w:rFonts w:cs="Times New Roman"/>
        </w:rPr>
      </w:pPr>
    </w:p>
    <w:p w14:paraId="06AA2EDD">
      <w:pPr>
        <w:jc w:val="left"/>
        <w:rPr>
          <w:rFonts w:cs="Times New Roman"/>
        </w:rPr>
      </w:pPr>
    </w:p>
    <w:p w14:paraId="49D499BE">
      <w:pPr>
        <w:jc w:val="center"/>
        <w:rPr>
          <w:rFonts w:cs="Times New Roman"/>
        </w:rPr>
      </w:pPr>
      <w:r>
        <w:rPr>
          <w:rFonts w:eastAsia="Times New Roman" w:cs="Times New Roman"/>
          <w:kern w:val="0"/>
          <w:szCs w:val="24"/>
          <w:lang w:val="en-GB" w:eastAsia="en-GB"/>
        </w:rPr>
        <w:drawing>
          <wp:inline distT="0" distB="0" distL="0" distR="0">
            <wp:extent cx="3482340" cy="1219200"/>
            <wp:effectExtent l="0" t="0" r="7620" b="0"/>
            <wp:docPr id="1" name="Picture 1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1" descr="Description: :::::::Desktop:In progress desktop:TRINITY SAINT DAVID:logo:TSD_logo2010.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3482340" cy="1219200"/>
                    </a:xfrm>
                    <a:prstGeom prst="rect">
                      <a:avLst/>
                    </a:prstGeom>
                    <a:noFill/>
                    <a:ln>
                      <a:noFill/>
                    </a:ln>
                  </pic:spPr>
                </pic:pic>
              </a:graphicData>
            </a:graphic>
          </wp:inline>
        </w:drawing>
      </w:r>
    </w:p>
    <w:p w14:paraId="7C1AF678">
      <w:pPr>
        <w:jc w:val="left"/>
        <w:rPr>
          <w:rFonts w:cs="Times New Roman"/>
        </w:rPr>
      </w:pPr>
    </w:p>
    <w:p w14:paraId="316E61BD">
      <w:pPr>
        <w:jc w:val="center"/>
        <w:rPr>
          <w:rFonts w:eastAsia="Times New Roman" w:cs="Times New Roman"/>
          <w:kern w:val="0"/>
          <w:szCs w:val="24"/>
          <w:lang w:val="en-GB" w:eastAsia="en-GB"/>
        </w:rPr>
      </w:pPr>
    </w:p>
    <w:p w14:paraId="72A86B25">
      <w:pPr>
        <w:jc w:val="center"/>
        <w:rPr>
          <w:rFonts w:eastAsia="Times New Roman" w:cs="Times New Roman"/>
          <w:kern w:val="0"/>
          <w:szCs w:val="24"/>
          <w:lang w:val="en-GB" w:eastAsia="en-GB"/>
        </w:rPr>
      </w:pPr>
    </w:p>
    <w:p w14:paraId="42236254">
      <w:pPr>
        <w:jc w:val="center"/>
        <w:rPr>
          <w:rFonts w:eastAsia="Times New Roman" w:cs="Times New Roman"/>
          <w:b/>
          <w:kern w:val="0"/>
          <w:sz w:val="36"/>
          <w:szCs w:val="36"/>
          <w:lang w:val="en-GB" w:eastAsia="en-GB"/>
        </w:rPr>
      </w:pPr>
      <w:r>
        <w:rPr>
          <w:rFonts w:eastAsia="Times New Roman" w:cs="Times New Roman"/>
          <w:b/>
          <w:kern w:val="0"/>
          <w:sz w:val="36"/>
          <w:szCs w:val="36"/>
          <w:lang w:val="en-GB" w:eastAsia="en-GB"/>
        </w:rPr>
        <w:t xml:space="preserve">Survey on the cost of using electric cars and internal combustion engine </w:t>
      </w:r>
      <w:r>
        <w:rPr>
          <w:rFonts w:hint="eastAsia" w:eastAsia="SimSun" w:cs="Times New Roman"/>
          <w:b/>
          <w:kern w:val="0"/>
          <w:sz w:val="36"/>
          <w:szCs w:val="36"/>
          <w:lang w:val="en-GB"/>
        </w:rPr>
        <w:t>car</w:t>
      </w:r>
      <w:r>
        <w:rPr>
          <w:rFonts w:eastAsia="Times New Roman" w:cs="Times New Roman"/>
          <w:b/>
          <w:kern w:val="0"/>
          <w:sz w:val="36"/>
          <w:szCs w:val="36"/>
          <w:lang w:val="en-GB" w:eastAsia="en-GB"/>
        </w:rPr>
        <w:t>s</w:t>
      </w:r>
    </w:p>
    <w:p w14:paraId="627FFBF7">
      <w:pPr>
        <w:jc w:val="left"/>
        <w:rPr>
          <w:rFonts w:cs="Times New Roman"/>
        </w:rPr>
      </w:pPr>
    </w:p>
    <w:p w14:paraId="62F22F8F">
      <w:pPr>
        <w:jc w:val="left"/>
        <w:rPr>
          <w:rFonts w:cs="Times New Roman"/>
        </w:rPr>
      </w:pPr>
    </w:p>
    <w:p w14:paraId="00177252">
      <w:pPr>
        <w:jc w:val="left"/>
        <w:rPr>
          <w:rFonts w:cs="Times New Roman"/>
        </w:rPr>
      </w:pPr>
      <w:r>
        <w:rPr>
          <w:rFonts w:cs="Times New Roman"/>
        </w:rPr>
        <w:t>This questionnaire is designed to compare the cost difference between using electric vehicles and traditional fuel vehicles in Nanjing. This survey is an anonymous survey, not mandatory, not required to answer all questions, and respondents can withdraw from the respondent sequence at any time.</w:t>
      </w:r>
    </w:p>
    <w:p w14:paraId="1E896073">
      <w:pPr>
        <w:jc w:val="left"/>
        <w:rPr>
          <w:rFonts w:cs="Times New Roman"/>
        </w:rPr>
      </w:pPr>
    </w:p>
    <w:p w14:paraId="1745D926">
      <w:pPr>
        <w:jc w:val="left"/>
        <w:rPr>
          <w:rFonts w:cs="Times New Roman"/>
        </w:rPr>
      </w:pPr>
    </w:p>
    <w:p w14:paraId="6DA83ED9">
      <w:pPr>
        <w:jc w:val="left"/>
        <w:rPr>
          <w:rFonts w:cs="Times New Roman"/>
        </w:rPr>
      </w:pPr>
    </w:p>
    <w:p w14:paraId="6A8005F0">
      <w:pPr>
        <w:jc w:val="left"/>
        <w:rPr>
          <w:rFonts w:cs="Times New Roman"/>
        </w:rPr>
      </w:pPr>
    </w:p>
    <w:p w14:paraId="4C70B2CF">
      <w:pPr>
        <w:jc w:val="left"/>
        <w:rPr>
          <w:rFonts w:cs="Times New Roman"/>
        </w:rPr>
      </w:pPr>
    </w:p>
    <w:p w14:paraId="1A889B40">
      <w:pPr>
        <w:jc w:val="left"/>
        <w:rPr>
          <w:rFonts w:cs="Times New Roman"/>
        </w:rPr>
      </w:pPr>
    </w:p>
    <w:p w14:paraId="05B896E2">
      <w:pPr>
        <w:jc w:val="left"/>
        <w:rPr>
          <w:rFonts w:cs="Times New Roman"/>
        </w:rPr>
      </w:pPr>
    </w:p>
    <w:p w14:paraId="15810B29">
      <w:pPr>
        <w:jc w:val="left"/>
        <w:rPr>
          <w:rFonts w:cs="Times New Roman"/>
        </w:rPr>
      </w:pPr>
    </w:p>
    <w:p w14:paraId="1295DA12">
      <w:pPr>
        <w:jc w:val="left"/>
        <w:rPr>
          <w:rFonts w:cs="Times New Roman"/>
        </w:rPr>
      </w:pPr>
    </w:p>
    <w:p w14:paraId="19DBA488">
      <w:pPr>
        <w:jc w:val="left"/>
        <w:rPr>
          <w:rFonts w:cs="Times New Roman"/>
        </w:rPr>
      </w:pPr>
    </w:p>
    <w:p w14:paraId="1A43AD88">
      <w:pPr>
        <w:jc w:val="left"/>
        <w:rPr>
          <w:rFonts w:cs="Times New Roman"/>
        </w:rPr>
      </w:pPr>
      <w:r>
        <w:rPr>
          <w:rFonts w:cs="Times New Roman"/>
        </w:rPr>
        <w:t>Section 1: General Information</w:t>
      </w:r>
    </w:p>
    <w:p w14:paraId="3164EFC2">
      <w:pPr>
        <w:jc w:val="left"/>
        <w:rPr>
          <w:rFonts w:cs="Times New Roman"/>
        </w:rPr>
      </w:pPr>
      <w:r>
        <w:rPr>
          <w:rFonts w:cs="Times New Roman"/>
        </w:rPr>
        <w:t>1.Which car brand do you currently own?</w:t>
      </w:r>
    </w:p>
    <w:p w14:paraId="084EA58B">
      <w:pPr>
        <w:jc w:val="left"/>
        <w:rPr>
          <w:rFonts w:cs="Times New Roman"/>
        </w:rPr>
      </w:pPr>
    </w:p>
    <w:p w14:paraId="4C318496">
      <w:pPr>
        <w:jc w:val="left"/>
        <w:rPr>
          <w:rFonts w:cs="Times New Roman"/>
        </w:rPr>
      </w:pPr>
      <w:r>
        <w:rPr>
          <w:rFonts w:cs="Times New Roman"/>
        </w:rPr>
        <w:t>BYD</w:t>
      </w:r>
    </w:p>
    <w:p w14:paraId="22B84616">
      <w:pPr>
        <w:jc w:val="left"/>
        <w:rPr>
          <w:rFonts w:cs="Times New Roman"/>
        </w:rPr>
      </w:pPr>
      <w:r>
        <w:rPr>
          <w:rFonts w:cs="Times New Roman"/>
        </w:rPr>
        <w:t>Ford</w:t>
      </w:r>
    </w:p>
    <w:p w14:paraId="12657A6F">
      <w:pPr>
        <w:jc w:val="left"/>
        <w:rPr>
          <w:rFonts w:cs="Times New Roman"/>
        </w:rPr>
      </w:pPr>
    </w:p>
    <w:p w14:paraId="5A16AFE4">
      <w:pPr>
        <w:jc w:val="left"/>
        <w:outlineLvl w:val="0"/>
        <w:rPr>
          <w:rFonts w:cs="Times New Roman"/>
        </w:rPr>
      </w:pPr>
      <w:bookmarkStart w:id="102" w:name="_Toc9665"/>
      <w:r>
        <w:rPr>
          <w:rFonts w:cs="Times New Roman"/>
        </w:rPr>
        <w:t>2.What type of car is it?</w:t>
      </w:r>
      <w:bookmarkEnd w:id="102"/>
    </w:p>
    <w:p w14:paraId="3366A72E">
      <w:pPr>
        <w:jc w:val="left"/>
        <w:rPr>
          <w:rFonts w:cs="Times New Roman"/>
        </w:rPr>
      </w:pPr>
    </w:p>
    <w:p w14:paraId="04285207">
      <w:pPr>
        <w:jc w:val="left"/>
        <w:rPr>
          <w:rFonts w:cs="Times New Roman"/>
        </w:rPr>
      </w:pPr>
      <w:r>
        <w:rPr>
          <w:rFonts w:cs="Times New Roman"/>
        </w:rPr>
        <w:t>Electric</w:t>
      </w:r>
    </w:p>
    <w:p w14:paraId="19DF8081">
      <w:pPr>
        <w:jc w:val="left"/>
        <w:rPr>
          <w:rFonts w:cs="Times New Roman"/>
        </w:rPr>
      </w:pPr>
      <w:r>
        <w:rPr>
          <w:rFonts w:cs="Times New Roman"/>
        </w:rPr>
        <w:t>Hybrid</w:t>
      </w:r>
    </w:p>
    <w:p w14:paraId="2E51A3EA">
      <w:pPr>
        <w:jc w:val="left"/>
        <w:rPr>
          <w:rFonts w:cs="Times New Roman"/>
        </w:rPr>
      </w:pPr>
      <w:r>
        <w:rPr>
          <w:rFonts w:cs="Times New Roman"/>
        </w:rPr>
        <w:t>Gasoline/Diesel</w:t>
      </w:r>
    </w:p>
    <w:p w14:paraId="0D0A13B0">
      <w:pPr>
        <w:jc w:val="left"/>
        <w:rPr>
          <w:rFonts w:cs="Times New Roman"/>
        </w:rPr>
      </w:pPr>
    </w:p>
    <w:p w14:paraId="56A20BF2">
      <w:pPr>
        <w:jc w:val="left"/>
        <w:rPr>
          <w:rFonts w:cs="Times New Roman"/>
        </w:rPr>
      </w:pPr>
      <w:r>
        <w:rPr>
          <w:rFonts w:cs="Times New Roman"/>
        </w:rPr>
        <w:t>3.Which model of the car do you own?</w:t>
      </w:r>
    </w:p>
    <w:p w14:paraId="21B127EB">
      <w:pPr>
        <w:jc w:val="left"/>
        <w:rPr>
          <w:rFonts w:cs="Times New Roman"/>
        </w:rPr>
      </w:pPr>
    </w:p>
    <w:p w14:paraId="24553685">
      <w:pPr>
        <w:jc w:val="left"/>
        <w:rPr>
          <w:rFonts w:cs="Times New Roman"/>
        </w:rPr>
      </w:pPr>
      <w:r>
        <w:rPr>
          <w:rFonts w:cs="Times New Roman"/>
        </w:rPr>
        <w:t>4.What was the purchase price of your car? (including taxes and fees)</w:t>
      </w:r>
    </w:p>
    <w:p w14:paraId="74193F1D">
      <w:pPr>
        <w:jc w:val="left"/>
        <w:rPr>
          <w:rFonts w:cs="Times New Roman"/>
        </w:rPr>
      </w:pPr>
    </w:p>
    <w:p w14:paraId="07974196">
      <w:pPr>
        <w:jc w:val="left"/>
        <w:rPr>
          <w:rFonts w:cs="Times New Roman"/>
        </w:rPr>
      </w:pPr>
      <w:r>
        <w:rPr>
          <w:rFonts w:cs="Times New Roman"/>
        </w:rPr>
        <w:t>5.Did you receive any government incentives or rebates for purchasing this car?</w:t>
      </w:r>
    </w:p>
    <w:p w14:paraId="50BBC952">
      <w:pPr>
        <w:jc w:val="left"/>
        <w:rPr>
          <w:rFonts w:cs="Times New Roman"/>
        </w:rPr>
      </w:pPr>
    </w:p>
    <w:p w14:paraId="4F27209C">
      <w:pPr>
        <w:jc w:val="left"/>
        <w:rPr>
          <w:rFonts w:cs="Times New Roman"/>
        </w:rPr>
      </w:pPr>
      <w:r>
        <w:rPr>
          <w:rFonts w:cs="Times New Roman"/>
        </w:rPr>
        <w:t>Yes</w:t>
      </w:r>
    </w:p>
    <w:p w14:paraId="2B1AE800">
      <w:pPr>
        <w:jc w:val="left"/>
        <w:rPr>
          <w:rFonts w:cs="Times New Roman"/>
        </w:rPr>
      </w:pPr>
      <w:r>
        <w:rPr>
          <w:rFonts w:cs="Times New Roman"/>
        </w:rPr>
        <w:t>No</w:t>
      </w:r>
    </w:p>
    <w:p w14:paraId="42430DFC">
      <w:pPr>
        <w:jc w:val="left"/>
        <w:rPr>
          <w:rFonts w:cs="Times New Roman"/>
        </w:rPr>
      </w:pPr>
    </w:p>
    <w:p w14:paraId="217C490D">
      <w:pPr>
        <w:jc w:val="left"/>
        <w:rPr>
          <w:rFonts w:cs="Times New Roman"/>
        </w:rPr>
      </w:pPr>
      <w:r>
        <w:rPr>
          <w:rFonts w:cs="Times New Roman"/>
        </w:rPr>
        <w:t>6.If yes, what kind of incentives do you receive? For example, purchase tax exemption or price subsidy?</w:t>
      </w:r>
    </w:p>
    <w:p w14:paraId="380B3CA8">
      <w:pPr>
        <w:jc w:val="left"/>
        <w:rPr>
          <w:rFonts w:cs="Times New Roman"/>
        </w:rPr>
      </w:pPr>
    </w:p>
    <w:p w14:paraId="2222D712">
      <w:pPr>
        <w:jc w:val="left"/>
        <w:rPr>
          <w:rFonts w:cs="Times New Roman"/>
        </w:rPr>
      </w:pPr>
      <w:r>
        <w:rPr>
          <w:rFonts w:cs="Times New Roman"/>
        </w:rPr>
        <w:t>7.If yes, how much was the incentive/rebate?</w:t>
      </w:r>
    </w:p>
    <w:p w14:paraId="2DA17F71">
      <w:pPr>
        <w:jc w:val="left"/>
        <w:rPr>
          <w:rFonts w:cs="Times New Roman"/>
        </w:rPr>
      </w:pPr>
      <w:r>
        <w:rPr>
          <w:rFonts w:cs="Times New Roman"/>
        </w:rPr>
        <w:t>Less than ¥1000</w:t>
      </w:r>
    </w:p>
    <w:p w14:paraId="27A2EAD8">
      <w:pPr>
        <w:jc w:val="left"/>
        <w:rPr>
          <w:rFonts w:cs="Times New Roman"/>
        </w:rPr>
      </w:pPr>
      <w:r>
        <w:rPr>
          <w:rFonts w:cs="Times New Roman"/>
        </w:rPr>
        <w:t>¥1001-¥5000</w:t>
      </w:r>
    </w:p>
    <w:p w14:paraId="30181D50">
      <w:pPr>
        <w:jc w:val="left"/>
        <w:rPr>
          <w:rFonts w:cs="Times New Roman"/>
        </w:rPr>
      </w:pPr>
      <w:r>
        <w:rPr>
          <w:rFonts w:cs="Times New Roman"/>
        </w:rPr>
        <w:t>¥5001-¥10000</w:t>
      </w:r>
    </w:p>
    <w:p w14:paraId="28294C6C">
      <w:pPr>
        <w:jc w:val="left"/>
        <w:rPr>
          <w:rFonts w:cs="Times New Roman"/>
        </w:rPr>
      </w:pPr>
      <w:r>
        <w:rPr>
          <w:rFonts w:cs="Times New Roman"/>
        </w:rPr>
        <w:t>¥10001-¥50000</w:t>
      </w:r>
    </w:p>
    <w:p w14:paraId="53659437">
      <w:pPr>
        <w:jc w:val="left"/>
        <w:rPr>
          <w:rFonts w:cs="Times New Roman"/>
        </w:rPr>
      </w:pPr>
      <w:r>
        <w:rPr>
          <w:rFonts w:cs="Times New Roman"/>
        </w:rPr>
        <w:t>More than ¥50001</w:t>
      </w:r>
    </w:p>
    <w:p w14:paraId="7AF3D8AB">
      <w:pPr>
        <w:jc w:val="left"/>
        <w:rPr>
          <w:rFonts w:cs="Times New Roman"/>
        </w:rPr>
      </w:pPr>
      <w:r>
        <w:rPr>
          <w:rFonts w:cs="Times New Roman"/>
        </w:rPr>
        <w:t>8.Year of manufacture:（If possible）</w:t>
      </w:r>
    </w:p>
    <w:p w14:paraId="77CC1E64">
      <w:pPr>
        <w:jc w:val="left"/>
        <w:rPr>
          <w:rFonts w:cs="Times New Roman"/>
        </w:rPr>
      </w:pPr>
    </w:p>
    <w:p w14:paraId="6CB6CF59">
      <w:pPr>
        <w:jc w:val="left"/>
        <w:rPr>
          <w:rFonts w:cs="Times New Roman"/>
        </w:rPr>
      </w:pPr>
    </w:p>
    <w:p w14:paraId="3C3D6E43">
      <w:pPr>
        <w:jc w:val="left"/>
        <w:rPr>
          <w:rFonts w:cs="Times New Roman"/>
        </w:rPr>
      </w:pPr>
      <w:r>
        <w:rPr>
          <w:rFonts w:cs="Times New Roman"/>
        </w:rPr>
        <w:t>9.How long have you owned this car?</w:t>
      </w:r>
    </w:p>
    <w:p w14:paraId="1BBBCD98">
      <w:pPr>
        <w:jc w:val="left"/>
        <w:rPr>
          <w:rFonts w:cs="Times New Roman"/>
        </w:rPr>
      </w:pPr>
    </w:p>
    <w:p w14:paraId="0ECAFE1D">
      <w:pPr>
        <w:jc w:val="left"/>
        <w:rPr>
          <w:rFonts w:cs="Times New Roman"/>
        </w:rPr>
      </w:pPr>
      <w:r>
        <w:rPr>
          <w:rFonts w:cs="Times New Roman"/>
        </w:rPr>
        <w:t>Less than 1 year</w:t>
      </w:r>
    </w:p>
    <w:p w14:paraId="1C83535D">
      <w:pPr>
        <w:jc w:val="left"/>
        <w:outlineLvl w:val="1"/>
        <w:rPr>
          <w:rFonts w:cs="Times New Roman"/>
        </w:rPr>
      </w:pPr>
      <w:bookmarkStart w:id="103" w:name="_Toc31154"/>
      <w:r>
        <w:rPr>
          <w:rFonts w:cs="Times New Roman"/>
        </w:rPr>
        <w:t>1-2 years</w:t>
      </w:r>
      <w:bookmarkEnd w:id="103"/>
    </w:p>
    <w:p w14:paraId="7521CC6E">
      <w:pPr>
        <w:jc w:val="left"/>
        <w:rPr>
          <w:rFonts w:cs="Times New Roman"/>
        </w:rPr>
      </w:pPr>
      <w:r>
        <w:rPr>
          <w:rFonts w:cs="Times New Roman"/>
        </w:rPr>
        <w:t>3-5 years</w:t>
      </w:r>
    </w:p>
    <w:p w14:paraId="2CAC9A43">
      <w:pPr>
        <w:jc w:val="left"/>
        <w:rPr>
          <w:rFonts w:cs="Times New Roman"/>
        </w:rPr>
      </w:pPr>
      <w:r>
        <w:rPr>
          <w:rFonts w:cs="Times New Roman"/>
        </w:rPr>
        <w:t>More than 5 years</w:t>
      </w:r>
    </w:p>
    <w:p w14:paraId="74A6D161">
      <w:pPr>
        <w:jc w:val="left"/>
        <w:rPr>
          <w:rFonts w:cs="Times New Roman"/>
        </w:rPr>
      </w:pPr>
    </w:p>
    <w:p w14:paraId="3EBB7CA9">
      <w:pPr>
        <w:jc w:val="left"/>
        <w:rPr>
          <w:rFonts w:cs="Times New Roman"/>
        </w:rPr>
      </w:pPr>
    </w:p>
    <w:p w14:paraId="39AA3424">
      <w:pPr>
        <w:jc w:val="left"/>
        <w:rPr>
          <w:rFonts w:cs="Times New Roman"/>
        </w:rPr>
      </w:pPr>
      <w:r>
        <w:rPr>
          <w:rFonts w:cs="Times New Roman"/>
        </w:rPr>
        <w:t>10.How do you feel about your current vehicle?</w:t>
      </w:r>
    </w:p>
    <w:p w14:paraId="519F0D43">
      <w:pPr>
        <w:jc w:val="left"/>
        <w:rPr>
          <w:rFonts w:cs="Times New Roman"/>
        </w:rPr>
      </w:pPr>
      <w:r>
        <w:rPr>
          <w:rFonts w:cs="Times New Roman"/>
        </w:rPr>
        <w:t>Very well</w:t>
      </w:r>
    </w:p>
    <w:p w14:paraId="5DCCA86B">
      <w:pPr>
        <w:jc w:val="left"/>
        <w:rPr>
          <w:rFonts w:cs="Times New Roman"/>
        </w:rPr>
      </w:pPr>
      <w:r>
        <w:rPr>
          <w:rFonts w:cs="Times New Roman"/>
        </w:rPr>
        <w:t>Satisfied</w:t>
      </w:r>
    </w:p>
    <w:p w14:paraId="0F65EBFD">
      <w:pPr>
        <w:jc w:val="left"/>
        <w:rPr>
          <w:rFonts w:cs="Times New Roman"/>
        </w:rPr>
      </w:pPr>
      <w:r>
        <w:rPr>
          <w:rFonts w:cs="Times New Roman"/>
        </w:rPr>
        <w:t>Good enough</w:t>
      </w:r>
    </w:p>
    <w:p w14:paraId="541AF797">
      <w:pPr>
        <w:jc w:val="left"/>
        <w:rPr>
          <w:rFonts w:cs="Times New Roman"/>
        </w:rPr>
      </w:pPr>
      <w:r>
        <w:rPr>
          <w:rFonts w:cs="Times New Roman"/>
        </w:rPr>
        <w:t>Unsatisfied</w:t>
      </w:r>
    </w:p>
    <w:p w14:paraId="29993BEA">
      <w:pPr>
        <w:jc w:val="left"/>
        <w:rPr>
          <w:rFonts w:cs="Times New Roman"/>
        </w:rPr>
      </w:pPr>
      <w:r>
        <w:rPr>
          <w:rFonts w:cs="Times New Roman"/>
        </w:rPr>
        <w:t>Horrible, want to replace it as soon as possible</w:t>
      </w:r>
    </w:p>
    <w:p w14:paraId="769C5499">
      <w:pPr>
        <w:jc w:val="left"/>
        <w:rPr>
          <w:rFonts w:cs="Times New Roman"/>
        </w:rPr>
      </w:pPr>
    </w:p>
    <w:p w14:paraId="6666748E">
      <w:pPr>
        <w:jc w:val="left"/>
        <w:rPr>
          <w:rFonts w:cs="Times New Roman"/>
        </w:rPr>
      </w:pPr>
    </w:p>
    <w:p w14:paraId="039258E9">
      <w:pPr>
        <w:jc w:val="left"/>
        <w:rPr>
          <w:rFonts w:cs="Times New Roman"/>
        </w:rPr>
      </w:pPr>
      <w:r>
        <w:rPr>
          <w:rFonts w:cs="Times New Roman"/>
        </w:rPr>
        <w:t>Section 3: Fuel/Energy Costs</w:t>
      </w:r>
    </w:p>
    <w:p w14:paraId="206996A6">
      <w:pPr>
        <w:jc w:val="left"/>
        <w:rPr>
          <w:rFonts w:cs="Times New Roman"/>
        </w:rPr>
      </w:pPr>
    </w:p>
    <w:p w14:paraId="0DC51408">
      <w:pPr>
        <w:jc w:val="left"/>
        <w:rPr>
          <w:rFonts w:cs="Times New Roman"/>
        </w:rPr>
      </w:pPr>
      <w:r>
        <w:rPr>
          <w:rFonts w:cs="Times New Roman"/>
        </w:rPr>
        <w:t>11.On average, how much do you spend on fuel/energy per month?</w:t>
      </w:r>
    </w:p>
    <w:p w14:paraId="5C9E3372">
      <w:pPr>
        <w:jc w:val="left"/>
        <w:rPr>
          <w:rFonts w:cs="Times New Roman"/>
        </w:rPr>
      </w:pPr>
    </w:p>
    <w:p w14:paraId="3C2893A0">
      <w:pPr>
        <w:jc w:val="left"/>
        <w:rPr>
          <w:rFonts w:cs="Times New Roman"/>
        </w:rPr>
      </w:pPr>
      <w:r>
        <w:rPr>
          <w:rFonts w:cs="Times New Roman"/>
        </w:rPr>
        <w:t>Less than ¥500</w:t>
      </w:r>
    </w:p>
    <w:p w14:paraId="7BB43A96">
      <w:pPr>
        <w:jc w:val="left"/>
        <w:rPr>
          <w:rFonts w:cs="Times New Roman"/>
        </w:rPr>
      </w:pPr>
      <w:r>
        <w:rPr>
          <w:rFonts w:cs="Times New Roman"/>
        </w:rPr>
        <w:t>¥500-¥1000</w:t>
      </w:r>
    </w:p>
    <w:p w14:paraId="4C38880C">
      <w:pPr>
        <w:jc w:val="left"/>
        <w:rPr>
          <w:rFonts w:cs="Times New Roman"/>
        </w:rPr>
      </w:pPr>
      <w:r>
        <w:rPr>
          <w:rFonts w:cs="Times New Roman"/>
        </w:rPr>
        <w:t>¥1001-¥2000</w:t>
      </w:r>
    </w:p>
    <w:p w14:paraId="2FC8226E">
      <w:pPr>
        <w:jc w:val="left"/>
        <w:rPr>
          <w:rFonts w:cs="Times New Roman"/>
        </w:rPr>
      </w:pPr>
      <w:r>
        <w:rPr>
          <w:rFonts w:cs="Times New Roman"/>
        </w:rPr>
        <w:t>¥2001-¥3000</w:t>
      </w:r>
    </w:p>
    <w:p w14:paraId="2BDDA948">
      <w:pPr>
        <w:jc w:val="left"/>
        <w:rPr>
          <w:rFonts w:cs="Times New Roman"/>
        </w:rPr>
      </w:pPr>
      <w:r>
        <w:rPr>
          <w:rFonts w:cs="Times New Roman"/>
        </w:rPr>
        <w:t>More than ¥3000</w:t>
      </w:r>
    </w:p>
    <w:p w14:paraId="71B40865">
      <w:pPr>
        <w:jc w:val="left"/>
        <w:rPr>
          <w:rFonts w:cs="Times New Roman"/>
        </w:rPr>
      </w:pPr>
    </w:p>
    <w:p w14:paraId="22B2F158">
      <w:pPr>
        <w:jc w:val="left"/>
        <w:rPr>
          <w:rFonts w:cs="Times New Roman"/>
        </w:rPr>
      </w:pPr>
      <w:r>
        <w:rPr>
          <w:rFonts w:cs="Times New Roman"/>
        </w:rPr>
        <w:t>12.What is the average cost per unit of fuel/energy (please include the type of energy e.g., per gallon of petrol, per kWh)?</w:t>
      </w:r>
    </w:p>
    <w:p w14:paraId="45E1911D">
      <w:pPr>
        <w:jc w:val="left"/>
        <w:rPr>
          <w:rFonts w:cs="Times New Roman"/>
        </w:rPr>
      </w:pPr>
    </w:p>
    <w:p w14:paraId="7988DEB2">
      <w:pPr>
        <w:jc w:val="left"/>
        <w:rPr>
          <w:rFonts w:cs="Times New Roman"/>
        </w:rPr>
      </w:pPr>
    </w:p>
    <w:p w14:paraId="12D458B7">
      <w:pPr>
        <w:jc w:val="left"/>
        <w:rPr>
          <w:rFonts w:cs="Times New Roman"/>
        </w:rPr>
      </w:pPr>
      <w:r>
        <w:rPr>
          <w:rFonts w:cs="Times New Roman"/>
        </w:rPr>
        <w:t>Section 4: Maintenance and Repairs</w:t>
      </w:r>
    </w:p>
    <w:p w14:paraId="775C164E">
      <w:pPr>
        <w:jc w:val="left"/>
        <w:rPr>
          <w:rFonts w:cs="Times New Roman"/>
        </w:rPr>
      </w:pPr>
    </w:p>
    <w:p w14:paraId="22D0A686">
      <w:pPr>
        <w:jc w:val="left"/>
        <w:rPr>
          <w:rFonts w:cs="Times New Roman"/>
        </w:rPr>
      </w:pPr>
      <w:r>
        <w:rPr>
          <w:rFonts w:cs="Times New Roman"/>
        </w:rPr>
        <w:t>13.How often do you service your car?</w:t>
      </w:r>
    </w:p>
    <w:p w14:paraId="399123A5">
      <w:pPr>
        <w:jc w:val="left"/>
        <w:rPr>
          <w:rFonts w:cs="Times New Roman"/>
        </w:rPr>
      </w:pPr>
    </w:p>
    <w:p w14:paraId="101136ED">
      <w:pPr>
        <w:jc w:val="left"/>
        <w:rPr>
          <w:rFonts w:cs="Times New Roman"/>
        </w:rPr>
      </w:pPr>
      <w:r>
        <w:rPr>
          <w:rFonts w:cs="Times New Roman"/>
        </w:rPr>
        <w:t>Never</w:t>
      </w:r>
    </w:p>
    <w:p w14:paraId="7F74EE99">
      <w:pPr>
        <w:jc w:val="left"/>
        <w:rPr>
          <w:rFonts w:cs="Times New Roman"/>
        </w:rPr>
      </w:pPr>
      <w:r>
        <w:rPr>
          <w:rFonts w:cs="Times New Roman"/>
        </w:rPr>
        <w:t>Monthly</w:t>
      </w:r>
    </w:p>
    <w:p w14:paraId="43F24EE1">
      <w:pPr>
        <w:jc w:val="left"/>
        <w:rPr>
          <w:rFonts w:cs="Times New Roman"/>
        </w:rPr>
      </w:pPr>
      <w:r>
        <w:rPr>
          <w:rFonts w:cs="Times New Roman"/>
        </w:rPr>
        <w:t>Quarterly</w:t>
      </w:r>
    </w:p>
    <w:p w14:paraId="41C8EBC6">
      <w:pPr>
        <w:jc w:val="left"/>
        <w:rPr>
          <w:rFonts w:cs="Times New Roman"/>
        </w:rPr>
      </w:pPr>
      <w:r>
        <w:rPr>
          <w:rFonts w:cs="Times New Roman"/>
        </w:rPr>
        <w:t>Biannually</w:t>
      </w:r>
    </w:p>
    <w:p w14:paraId="5409E332">
      <w:pPr>
        <w:jc w:val="left"/>
        <w:rPr>
          <w:rFonts w:cs="Times New Roman"/>
        </w:rPr>
      </w:pPr>
      <w:r>
        <w:rPr>
          <w:rFonts w:cs="Times New Roman"/>
        </w:rPr>
        <w:t>Annually</w:t>
      </w:r>
    </w:p>
    <w:p w14:paraId="1A5DCDF5">
      <w:pPr>
        <w:jc w:val="left"/>
        <w:rPr>
          <w:rFonts w:cs="Times New Roman"/>
        </w:rPr>
      </w:pPr>
      <w:r>
        <w:rPr>
          <w:rFonts w:cs="Times New Roman"/>
        </w:rPr>
        <w:t>As needed</w:t>
      </w:r>
    </w:p>
    <w:p w14:paraId="1BB2ECD9">
      <w:pPr>
        <w:jc w:val="left"/>
        <w:rPr>
          <w:rFonts w:cs="Times New Roman"/>
        </w:rPr>
      </w:pPr>
    </w:p>
    <w:p w14:paraId="3A350731">
      <w:pPr>
        <w:jc w:val="left"/>
        <w:rPr>
          <w:rFonts w:cs="Times New Roman"/>
        </w:rPr>
      </w:pPr>
      <w:r>
        <w:rPr>
          <w:rFonts w:cs="Times New Roman"/>
        </w:rPr>
        <w:t>14.What is your average annual maintenance cost?</w:t>
      </w:r>
    </w:p>
    <w:p w14:paraId="1F61ABC9">
      <w:pPr>
        <w:jc w:val="left"/>
        <w:rPr>
          <w:rFonts w:cs="Times New Roman"/>
        </w:rPr>
      </w:pPr>
    </w:p>
    <w:p w14:paraId="0107EE5A">
      <w:pPr>
        <w:jc w:val="left"/>
        <w:rPr>
          <w:rFonts w:cs="Times New Roman"/>
        </w:rPr>
      </w:pPr>
      <w:r>
        <w:rPr>
          <w:rFonts w:cs="Times New Roman"/>
        </w:rPr>
        <w:t>Less than ¥2000</w:t>
      </w:r>
    </w:p>
    <w:p w14:paraId="284FAC3E">
      <w:pPr>
        <w:jc w:val="left"/>
        <w:rPr>
          <w:rFonts w:cs="Times New Roman"/>
        </w:rPr>
      </w:pPr>
      <w:r>
        <w:rPr>
          <w:rFonts w:cs="Times New Roman"/>
        </w:rPr>
        <w:t>¥2001-¥5001</w:t>
      </w:r>
    </w:p>
    <w:p w14:paraId="138F8D2F">
      <w:pPr>
        <w:jc w:val="left"/>
        <w:rPr>
          <w:rFonts w:cs="Times New Roman"/>
        </w:rPr>
      </w:pPr>
      <w:r>
        <w:rPr>
          <w:rFonts w:cs="Times New Roman"/>
        </w:rPr>
        <w:t>¥5001-¥10000</w:t>
      </w:r>
    </w:p>
    <w:p w14:paraId="05280E12">
      <w:pPr>
        <w:jc w:val="left"/>
        <w:rPr>
          <w:rFonts w:cs="Times New Roman"/>
        </w:rPr>
      </w:pPr>
      <w:r>
        <w:rPr>
          <w:rFonts w:cs="Times New Roman"/>
        </w:rPr>
        <w:t>¥10001-¥15001</w:t>
      </w:r>
    </w:p>
    <w:p w14:paraId="6CB07708">
      <w:pPr>
        <w:jc w:val="left"/>
        <w:rPr>
          <w:rFonts w:cs="Times New Roman"/>
        </w:rPr>
      </w:pPr>
      <w:r>
        <w:rPr>
          <w:rFonts w:cs="Times New Roman"/>
        </w:rPr>
        <w:t>More than¥15001</w:t>
      </w:r>
    </w:p>
    <w:p w14:paraId="48D34FBA">
      <w:pPr>
        <w:jc w:val="left"/>
        <w:rPr>
          <w:rFonts w:cs="Times New Roman"/>
        </w:rPr>
      </w:pPr>
    </w:p>
    <w:p w14:paraId="6DA65E52">
      <w:pPr>
        <w:jc w:val="left"/>
        <w:rPr>
          <w:rFonts w:cs="Times New Roman"/>
        </w:rPr>
      </w:pPr>
      <w:r>
        <w:rPr>
          <w:rFonts w:cs="Times New Roman"/>
        </w:rPr>
        <w:t>15.Have you had any major repairs done?</w:t>
      </w:r>
    </w:p>
    <w:p w14:paraId="227D6222">
      <w:pPr>
        <w:jc w:val="left"/>
        <w:rPr>
          <w:rFonts w:cs="Times New Roman"/>
        </w:rPr>
      </w:pPr>
    </w:p>
    <w:p w14:paraId="3F2A6D05">
      <w:pPr>
        <w:jc w:val="left"/>
        <w:rPr>
          <w:rFonts w:cs="Times New Roman"/>
        </w:rPr>
      </w:pPr>
      <w:r>
        <w:rPr>
          <w:rFonts w:cs="Times New Roman"/>
        </w:rPr>
        <w:t>Yes</w:t>
      </w:r>
    </w:p>
    <w:p w14:paraId="59A53B45">
      <w:pPr>
        <w:jc w:val="left"/>
        <w:rPr>
          <w:rFonts w:cs="Times New Roman"/>
        </w:rPr>
      </w:pPr>
      <w:r>
        <w:rPr>
          <w:rFonts w:cs="Times New Roman"/>
        </w:rPr>
        <w:t>No</w:t>
      </w:r>
    </w:p>
    <w:p w14:paraId="32DFB9D5">
      <w:pPr>
        <w:jc w:val="left"/>
        <w:rPr>
          <w:rFonts w:cs="Times New Roman"/>
        </w:rPr>
      </w:pPr>
    </w:p>
    <w:p w14:paraId="4BE8EC35">
      <w:pPr>
        <w:jc w:val="left"/>
        <w:rPr>
          <w:rFonts w:cs="Times New Roman"/>
        </w:rPr>
      </w:pPr>
      <w:r>
        <w:rPr>
          <w:rFonts w:cs="Times New Roman"/>
        </w:rPr>
        <w:t>16.If yes, please specify the nature and cost of the repairs:</w:t>
      </w:r>
    </w:p>
    <w:p w14:paraId="41BA8033">
      <w:pPr>
        <w:jc w:val="left"/>
        <w:rPr>
          <w:rFonts w:cs="Times New Roman"/>
        </w:rPr>
      </w:pPr>
    </w:p>
    <w:p w14:paraId="2AD5014A">
      <w:pPr>
        <w:jc w:val="left"/>
        <w:rPr>
          <w:rFonts w:cs="Times New Roman"/>
        </w:rPr>
      </w:pPr>
      <w:r>
        <w:rPr>
          <w:rFonts w:cs="Times New Roman"/>
        </w:rPr>
        <w:t>Section 5: Insurance Costs</w:t>
      </w:r>
    </w:p>
    <w:p w14:paraId="489F48C7">
      <w:pPr>
        <w:jc w:val="left"/>
        <w:outlineLvl w:val="0"/>
        <w:rPr>
          <w:rFonts w:cs="Times New Roman"/>
        </w:rPr>
      </w:pPr>
      <w:bookmarkStart w:id="104" w:name="_Toc23282"/>
      <w:r>
        <w:rPr>
          <w:rFonts w:cs="Times New Roman"/>
        </w:rPr>
        <w:t>17.Type of car?</w:t>
      </w:r>
      <w:bookmarkEnd w:id="104"/>
    </w:p>
    <w:p w14:paraId="21B7CC6B">
      <w:pPr>
        <w:jc w:val="left"/>
        <w:rPr>
          <w:rFonts w:cs="Times New Roman"/>
        </w:rPr>
      </w:pPr>
    </w:p>
    <w:p w14:paraId="2329DB59">
      <w:pPr>
        <w:jc w:val="left"/>
        <w:rPr>
          <w:rFonts w:cs="Times New Roman"/>
        </w:rPr>
      </w:pPr>
    </w:p>
    <w:p w14:paraId="17D09AD5">
      <w:pPr>
        <w:jc w:val="left"/>
        <w:rPr>
          <w:rFonts w:cs="Times New Roman"/>
        </w:rPr>
      </w:pPr>
      <w:r>
        <w:rPr>
          <w:rFonts w:cs="Times New Roman"/>
        </w:rPr>
        <w:t>18.What type of insurance coverage do you have?</w:t>
      </w:r>
    </w:p>
    <w:p w14:paraId="38D0AB61">
      <w:pPr>
        <w:jc w:val="left"/>
        <w:rPr>
          <w:rFonts w:cs="Times New Roman"/>
        </w:rPr>
      </w:pPr>
    </w:p>
    <w:p w14:paraId="384B8573">
      <w:pPr>
        <w:jc w:val="left"/>
        <w:rPr>
          <w:rFonts w:cs="Times New Roman"/>
        </w:rPr>
      </w:pPr>
      <w:r>
        <w:rPr>
          <w:rFonts w:cs="Times New Roman"/>
        </w:rPr>
        <w:t>Liability</w:t>
      </w:r>
    </w:p>
    <w:p w14:paraId="444B651E">
      <w:pPr>
        <w:jc w:val="left"/>
        <w:rPr>
          <w:rFonts w:cs="Times New Roman"/>
        </w:rPr>
      </w:pPr>
      <w:r>
        <w:rPr>
          <w:rFonts w:cs="Times New Roman"/>
        </w:rPr>
        <w:t>Comprehensive</w:t>
      </w:r>
    </w:p>
    <w:p w14:paraId="1B730FA9">
      <w:pPr>
        <w:jc w:val="left"/>
        <w:rPr>
          <w:rFonts w:cs="Times New Roman"/>
        </w:rPr>
      </w:pPr>
      <w:r>
        <w:rPr>
          <w:rFonts w:cs="Times New Roman"/>
        </w:rPr>
        <w:t>Collision</w:t>
      </w:r>
    </w:p>
    <w:p w14:paraId="282C7F1E">
      <w:pPr>
        <w:jc w:val="left"/>
        <w:rPr>
          <w:rFonts w:cs="Times New Roman"/>
        </w:rPr>
      </w:pPr>
      <w:r>
        <w:rPr>
          <w:rFonts w:cs="Times New Roman"/>
        </w:rPr>
        <w:t>Full Coverage</w:t>
      </w:r>
    </w:p>
    <w:p w14:paraId="4E1568A1">
      <w:pPr>
        <w:jc w:val="left"/>
        <w:rPr>
          <w:rFonts w:cs="Times New Roman"/>
        </w:rPr>
      </w:pPr>
    </w:p>
    <w:p w14:paraId="265BD450">
      <w:pPr>
        <w:jc w:val="left"/>
        <w:rPr>
          <w:rFonts w:cs="Times New Roman"/>
        </w:rPr>
      </w:pPr>
      <w:r>
        <w:rPr>
          <w:rFonts w:cs="Times New Roman"/>
        </w:rPr>
        <w:t>19.What is your average annual insurance cost?</w:t>
      </w:r>
    </w:p>
    <w:p w14:paraId="2BECC327">
      <w:pPr>
        <w:jc w:val="left"/>
        <w:rPr>
          <w:rFonts w:cs="Times New Roman"/>
        </w:rPr>
      </w:pPr>
    </w:p>
    <w:p w14:paraId="35076A96">
      <w:pPr>
        <w:jc w:val="left"/>
        <w:rPr>
          <w:rFonts w:cs="Times New Roman"/>
        </w:rPr>
      </w:pPr>
      <w:r>
        <w:rPr>
          <w:rFonts w:cs="Times New Roman"/>
        </w:rPr>
        <w:t>Less than ¥500</w:t>
      </w:r>
    </w:p>
    <w:p w14:paraId="7890D7E7">
      <w:pPr>
        <w:jc w:val="left"/>
        <w:rPr>
          <w:rFonts w:cs="Times New Roman"/>
        </w:rPr>
      </w:pPr>
      <w:r>
        <w:rPr>
          <w:rFonts w:cs="Times New Roman"/>
        </w:rPr>
        <w:t>¥501-¥1001</w:t>
      </w:r>
    </w:p>
    <w:p w14:paraId="67B7A9D5">
      <w:pPr>
        <w:jc w:val="left"/>
        <w:rPr>
          <w:rFonts w:cs="Times New Roman"/>
        </w:rPr>
      </w:pPr>
      <w:r>
        <w:rPr>
          <w:rFonts w:cs="Times New Roman"/>
        </w:rPr>
        <w:t>¥1001-¥1500</w:t>
      </w:r>
    </w:p>
    <w:p w14:paraId="0BFB4665">
      <w:pPr>
        <w:jc w:val="left"/>
        <w:rPr>
          <w:rFonts w:cs="Times New Roman"/>
        </w:rPr>
      </w:pPr>
      <w:r>
        <w:rPr>
          <w:rFonts w:cs="Times New Roman"/>
        </w:rPr>
        <w:t>¥1501-¥2000</w:t>
      </w:r>
    </w:p>
    <w:p w14:paraId="41C84764">
      <w:pPr>
        <w:jc w:val="left"/>
        <w:rPr>
          <w:rFonts w:cs="Times New Roman"/>
        </w:rPr>
      </w:pPr>
      <w:r>
        <w:rPr>
          <w:rFonts w:cs="Times New Roman"/>
        </w:rPr>
        <w:t>More than ¥2000</w:t>
      </w:r>
    </w:p>
    <w:p w14:paraId="3B6791BC">
      <w:pPr>
        <w:jc w:val="left"/>
        <w:rPr>
          <w:rFonts w:cs="Times New Roman"/>
        </w:rPr>
      </w:pPr>
    </w:p>
    <w:p w14:paraId="0F4E9AF0">
      <w:pPr>
        <w:jc w:val="left"/>
        <w:rPr>
          <w:rFonts w:cs="Times New Roman"/>
        </w:rPr>
      </w:pPr>
    </w:p>
    <w:p w14:paraId="559AA128">
      <w:pPr>
        <w:jc w:val="left"/>
        <w:rPr>
          <w:rFonts w:cs="Times New Roman"/>
        </w:rPr>
      </w:pPr>
      <w:r>
        <w:rPr>
          <w:rFonts w:cs="Times New Roman"/>
        </w:rPr>
        <w:t>Section 6: Other Costs</w:t>
      </w:r>
    </w:p>
    <w:p w14:paraId="28256FAC">
      <w:pPr>
        <w:jc w:val="left"/>
        <w:rPr>
          <w:rFonts w:cs="Times New Roman"/>
        </w:rPr>
      </w:pPr>
      <w:r>
        <w:rPr>
          <w:rFonts w:cs="Times New Roman"/>
        </w:rPr>
        <w:t>20.Do you pay for any additional services (e.g., roadside assistance, extended warranty)?</w:t>
      </w:r>
    </w:p>
    <w:p w14:paraId="3F39E1CA">
      <w:pPr>
        <w:jc w:val="left"/>
        <w:rPr>
          <w:rFonts w:cs="Times New Roman"/>
        </w:rPr>
      </w:pPr>
    </w:p>
    <w:p w14:paraId="2A97E717">
      <w:pPr>
        <w:jc w:val="left"/>
        <w:rPr>
          <w:rFonts w:cs="Times New Roman"/>
        </w:rPr>
      </w:pPr>
      <w:r>
        <w:rPr>
          <w:rFonts w:cs="Times New Roman"/>
        </w:rPr>
        <w:t>Yes</w:t>
      </w:r>
    </w:p>
    <w:p w14:paraId="208915A1">
      <w:pPr>
        <w:jc w:val="left"/>
        <w:rPr>
          <w:rFonts w:cs="Times New Roman"/>
        </w:rPr>
      </w:pPr>
      <w:r>
        <w:rPr>
          <w:rFonts w:cs="Times New Roman"/>
        </w:rPr>
        <w:t>No</w:t>
      </w:r>
    </w:p>
    <w:p w14:paraId="460F84C6">
      <w:pPr>
        <w:jc w:val="left"/>
        <w:rPr>
          <w:rFonts w:cs="Times New Roman"/>
        </w:rPr>
      </w:pPr>
    </w:p>
    <w:p w14:paraId="5C657E1D">
      <w:pPr>
        <w:jc w:val="left"/>
        <w:rPr>
          <w:rFonts w:cs="Times New Roman"/>
        </w:rPr>
      </w:pPr>
      <w:r>
        <w:rPr>
          <w:rFonts w:cs="Times New Roman"/>
        </w:rPr>
        <w:t>21.If yes, please specify the services and their annual costs:</w:t>
      </w:r>
    </w:p>
    <w:p w14:paraId="3CA404BD">
      <w:pPr>
        <w:jc w:val="left"/>
        <w:rPr>
          <w:rFonts w:cs="Times New Roman"/>
        </w:rPr>
      </w:pPr>
    </w:p>
    <w:p w14:paraId="7B569734">
      <w:pPr>
        <w:jc w:val="left"/>
        <w:rPr>
          <w:rFonts w:cs="Times New Roman"/>
        </w:rPr>
      </w:pPr>
    </w:p>
    <w:p w14:paraId="43F3B035">
      <w:pPr>
        <w:jc w:val="left"/>
        <w:rPr>
          <w:rFonts w:cs="Times New Roman"/>
        </w:rPr>
      </w:pPr>
    </w:p>
    <w:p w14:paraId="76BBC714">
      <w:pPr>
        <w:jc w:val="left"/>
        <w:rPr>
          <w:rFonts w:cs="Times New Roman"/>
        </w:rPr>
      </w:pPr>
      <w:r>
        <w:rPr>
          <w:rFonts w:cs="Times New Roman"/>
        </w:rPr>
        <w:t>Section 7: Overall Satisfaction</w:t>
      </w:r>
    </w:p>
    <w:p w14:paraId="1CD144B3">
      <w:pPr>
        <w:jc w:val="left"/>
        <w:rPr>
          <w:rFonts w:cs="Times New Roman"/>
        </w:rPr>
      </w:pPr>
      <w:r>
        <w:rPr>
          <w:rFonts w:cs="Times New Roman"/>
        </w:rPr>
        <w:t>22.How satisfied are you with the overall cost of owning and operating your car?</w:t>
      </w:r>
    </w:p>
    <w:p w14:paraId="23455960">
      <w:pPr>
        <w:jc w:val="left"/>
        <w:rPr>
          <w:rFonts w:cs="Times New Roman"/>
        </w:rPr>
      </w:pPr>
    </w:p>
    <w:p w14:paraId="36828341">
      <w:pPr>
        <w:jc w:val="left"/>
        <w:rPr>
          <w:rFonts w:cs="Times New Roman"/>
        </w:rPr>
      </w:pPr>
      <w:r>
        <w:rPr>
          <w:rFonts w:cs="Times New Roman"/>
        </w:rPr>
        <w:t>Very satisfied</w:t>
      </w:r>
    </w:p>
    <w:p w14:paraId="47F2241D">
      <w:pPr>
        <w:jc w:val="left"/>
        <w:rPr>
          <w:rFonts w:cs="Times New Roman"/>
        </w:rPr>
      </w:pPr>
      <w:r>
        <w:rPr>
          <w:rFonts w:cs="Times New Roman"/>
        </w:rPr>
        <w:t>Satisfied</w:t>
      </w:r>
    </w:p>
    <w:p w14:paraId="2F603BA9">
      <w:pPr>
        <w:jc w:val="left"/>
        <w:rPr>
          <w:rFonts w:cs="Times New Roman"/>
        </w:rPr>
      </w:pPr>
      <w:r>
        <w:rPr>
          <w:rFonts w:cs="Times New Roman"/>
        </w:rPr>
        <w:t>Neutral</w:t>
      </w:r>
    </w:p>
    <w:p w14:paraId="19DD950B">
      <w:pPr>
        <w:jc w:val="left"/>
        <w:rPr>
          <w:rFonts w:cs="Times New Roman"/>
        </w:rPr>
      </w:pPr>
      <w:r>
        <w:rPr>
          <w:rFonts w:cs="Times New Roman"/>
        </w:rPr>
        <w:t>Dissatisfied</w:t>
      </w:r>
    </w:p>
    <w:p w14:paraId="64AB87E2">
      <w:pPr>
        <w:jc w:val="left"/>
        <w:rPr>
          <w:rFonts w:cs="Times New Roman"/>
        </w:rPr>
      </w:pPr>
      <w:r>
        <w:rPr>
          <w:rFonts w:cs="Times New Roman"/>
        </w:rPr>
        <w:t>Very dissatisfied</w:t>
      </w:r>
    </w:p>
    <w:p w14:paraId="2388CE7B">
      <w:pPr>
        <w:jc w:val="left"/>
        <w:rPr>
          <w:rFonts w:cs="Times New Roman"/>
        </w:rPr>
      </w:pPr>
    </w:p>
    <w:p w14:paraId="5266154E">
      <w:pPr>
        <w:jc w:val="left"/>
        <w:rPr>
          <w:rFonts w:cs="Times New Roman"/>
        </w:rPr>
      </w:pPr>
      <w:r>
        <w:rPr>
          <w:rFonts w:cs="Times New Roman"/>
        </w:rPr>
        <w:t>23.After purchasing the vehicle you are currently using, have you ever felt that another form of energy vehicle might actually be more suitable for your needs? If so, why?</w:t>
      </w:r>
    </w:p>
    <w:p w14:paraId="314C3C43">
      <w:pPr>
        <w:jc w:val="left"/>
        <w:rPr>
          <w:rFonts w:cs="Times New Roman"/>
        </w:rPr>
      </w:pPr>
    </w:p>
    <w:p w14:paraId="54B09188">
      <w:pPr>
        <w:jc w:val="left"/>
        <w:rPr>
          <w:rFonts w:cs="Times New Roman"/>
        </w:rPr>
      </w:pPr>
    </w:p>
    <w:p w14:paraId="14CBFB48">
      <w:pPr>
        <w:jc w:val="left"/>
        <w:rPr>
          <w:rFonts w:cs="Times New Roman"/>
        </w:rPr>
      </w:pPr>
    </w:p>
    <w:p w14:paraId="7073A9B5">
      <w:pPr>
        <w:jc w:val="left"/>
        <w:rPr>
          <w:rFonts w:cs="Times New Roman"/>
        </w:rPr>
      </w:pPr>
      <w:r>
        <w:rPr>
          <w:rFonts w:cs="Times New Roman"/>
        </w:rPr>
        <w:t>24.Would you recommend your car brand to others based on its cost efficiency?</w:t>
      </w:r>
    </w:p>
    <w:p w14:paraId="20427992">
      <w:pPr>
        <w:jc w:val="left"/>
        <w:rPr>
          <w:rFonts w:cs="Times New Roman"/>
        </w:rPr>
      </w:pPr>
    </w:p>
    <w:p w14:paraId="313E9069">
      <w:pPr>
        <w:jc w:val="left"/>
        <w:rPr>
          <w:rFonts w:cs="Times New Roman"/>
        </w:rPr>
      </w:pPr>
      <w:r>
        <w:rPr>
          <w:rFonts w:cs="Times New Roman"/>
        </w:rPr>
        <w:t>Yes</w:t>
      </w:r>
    </w:p>
    <w:p w14:paraId="4836D2BA">
      <w:pPr>
        <w:jc w:val="left"/>
        <w:rPr>
          <w:rFonts w:cs="Times New Roman"/>
        </w:rPr>
      </w:pPr>
      <w:r>
        <w:rPr>
          <w:rFonts w:cs="Times New Roman"/>
        </w:rPr>
        <w:t>No</w:t>
      </w:r>
    </w:p>
    <w:p w14:paraId="7A3F0774">
      <w:pPr>
        <w:jc w:val="left"/>
        <w:rPr>
          <w:rFonts w:cs="Times New Roman"/>
        </w:rPr>
      </w:pPr>
      <w:r>
        <w:rPr>
          <w:rFonts w:cs="Times New Roman"/>
        </w:rPr>
        <w:t>Maybe</w:t>
      </w:r>
    </w:p>
    <w:p w14:paraId="5F0DDDD5">
      <w:pPr>
        <w:jc w:val="left"/>
        <w:rPr>
          <w:rFonts w:cs="Times New Roman"/>
        </w:rPr>
      </w:pPr>
    </w:p>
    <w:p w14:paraId="3204156A">
      <w:pPr>
        <w:jc w:val="left"/>
        <w:rPr>
          <w:rFonts w:cs="Times New Roman"/>
        </w:rPr>
      </w:pPr>
    </w:p>
    <w:p w14:paraId="61B63F99">
      <w:pPr>
        <w:jc w:val="left"/>
        <w:rPr>
          <w:rFonts w:cs="Times New Roman"/>
        </w:rPr>
      </w:pPr>
      <w:r>
        <w:rPr>
          <w:rFonts w:cs="Times New Roman"/>
        </w:rPr>
        <w:t>Section 8: Additional Comments</w:t>
      </w:r>
    </w:p>
    <w:p w14:paraId="27B2C459">
      <w:pPr>
        <w:jc w:val="left"/>
        <w:rPr>
          <w:rFonts w:cs="Times New Roman"/>
        </w:rPr>
      </w:pPr>
    </w:p>
    <w:p w14:paraId="1023562A">
      <w:pPr>
        <w:jc w:val="left"/>
        <w:rPr>
          <w:rFonts w:cs="Times New Roman"/>
        </w:rPr>
      </w:pPr>
      <w:r>
        <w:rPr>
          <w:rFonts w:cs="Times New Roman"/>
        </w:rPr>
        <w:t>25.Please provide any additional comments or suggestions regarding the costs associated with your car:</w:t>
      </w:r>
    </w:p>
    <w:p w14:paraId="36AD35D7">
      <w:pPr>
        <w:jc w:val="left"/>
        <w:rPr>
          <w:rFonts w:cs="Times New Roman"/>
        </w:rPr>
      </w:pPr>
    </w:p>
    <w:p w14:paraId="2DF755DE">
      <w:pPr>
        <w:jc w:val="left"/>
        <w:rPr>
          <w:rFonts w:cs="Times New Roman"/>
        </w:rPr>
      </w:pPr>
    </w:p>
    <w:p w14:paraId="04A5FA8C">
      <w:pPr>
        <w:jc w:val="left"/>
        <w:rPr>
          <w:rFonts w:cs="Times New Roman"/>
        </w:rPr>
      </w:pPr>
    </w:p>
    <w:p w14:paraId="6E89789D">
      <w:pPr>
        <w:jc w:val="left"/>
        <w:rPr>
          <w:rFonts w:cs="Times New Roman"/>
        </w:rPr>
      </w:pPr>
      <w:r>
        <w:rPr>
          <w:rFonts w:cs="Times New Roman"/>
        </w:rPr>
        <w:t>26.Have you ever considered factors such as environmental protection or resource sustainability when buying a car?</w:t>
      </w:r>
    </w:p>
    <w:p w14:paraId="2AE5223C">
      <w:pPr>
        <w:jc w:val="left"/>
        <w:rPr>
          <w:rFonts w:cs="Times New Roman"/>
        </w:rPr>
      </w:pPr>
    </w:p>
    <w:p w14:paraId="335F33BC">
      <w:pPr>
        <w:jc w:val="left"/>
        <w:rPr>
          <w:rFonts w:cs="Times New Roman"/>
        </w:rPr>
      </w:pPr>
      <w:r>
        <w:rPr>
          <w:rFonts w:cs="Times New Roman"/>
        </w:rPr>
        <w:t>Yes</w:t>
      </w:r>
    </w:p>
    <w:p w14:paraId="66508843">
      <w:pPr>
        <w:jc w:val="left"/>
        <w:rPr>
          <w:rFonts w:cs="Times New Roman"/>
        </w:rPr>
      </w:pPr>
      <w:r>
        <w:rPr>
          <w:rFonts w:cs="Times New Roman"/>
        </w:rPr>
        <w:t>No</w:t>
      </w:r>
    </w:p>
    <w:p w14:paraId="3A8871CB">
      <w:pPr>
        <w:jc w:val="left"/>
        <w:rPr>
          <w:rFonts w:cs="Times New Roman"/>
        </w:rPr>
      </w:pPr>
    </w:p>
    <w:p w14:paraId="1F825177">
      <w:pPr>
        <w:jc w:val="left"/>
        <w:rPr>
          <w:rFonts w:cs="Times New Roman"/>
        </w:rPr>
      </w:pPr>
    </w:p>
    <w:p w14:paraId="657BF81A">
      <w:pPr>
        <w:jc w:val="left"/>
        <w:rPr>
          <w:rFonts w:cs="Times New Roman"/>
        </w:rPr>
      </w:pPr>
    </w:p>
    <w:p w14:paraId="5FE9EE49">
      <w:pPr>
        <w:jc w:val="left"/>
        <w:rPr>
          <w:rFonts w:cs="Times New Roman"/>
        </w:rPr>
      </w:pPr>
    </w:p>
    <w:p w14:paraId="2C67557D">
      <w:pPr>
        <w:jc w:val="left"/>
        <w:rPr>
          <w:rFonts w:cs="Times New Roman"/>
        </w:rPr>
      </w:pPr>
    </w:p>
    <w:p w14:paraId="134776A0">
      <w:pPr>
        <w:jc w:val="left"/>
        <w:rPr>
          <w:rFonts w:cs="Times New Roman"/>
        </w:rPr>
      </w:pPr>
    </w:p>
    <w:p w14:paraId="379EA647">
      <w:pPr>
        <w:jc w:val="left"/>
        <w:rPr>
          <w:rFonts w:cs="Times New Roman"/>
        </w:rPr>
      </w:pPr>
    </w:p>
    <w:p w14:paraId="5C5DB693">
      <w:pPr>
        <w:jc w:val="left"/>
        <w:rPr>
          <w:rFonts w:cs="Times New Roman"/>
        </w:rPr>
      </w:pPr>
    </w:p>
    <w:p w14:paraId="12321BDE">
      <w:pPr>
        <w:jc w:val="left"/>
        <w:rPr>
          <w:rFonts w:cs="Times New Roman"/>
        </w:rPr>
      </w:pPr>
    </w:p>
    <w:p w14:paraId="2763CDCB">
      <w:pPr>
        <w:pStyle w:val="2"/>
        <w:spacing w:line="360" w:lineRule="auto"/>
        <w:ind w:left="425" w:hanging="425"/>
        <w:rPr>
          <w:rFonts w:cs="Times New Roman"/>
        </w:rPr>
      </w:pPr>
      <w:bookmarkStart w:id="105" w:name="_Toc24169"/>
      <w:bookmarkStart w:id="106" w:name="_Toc25646"/>
      <w:bookmarkStart w:id="107" w:name="_Toc25263"/>
      <w:r>
        <w:rPr>
          <w:rFonts w:hint="eastAsia" w:cs="Times New Roman"/>
        </w:rPr>
        <w:t>Chapter 8</w:t>
      </w:r>
      <w:r>
        <w:rPr>
          <w:rFonts w:cs="Times New Roman"/>
        </w:rPr>
        <w:t>.</w:t>
      </w:r>
      <w:r>
        <w:rPr>
          <w:rFonts w:hint="eastAsia" w:cs="Times New Roman"/>
        </w:rPr>
        <w:t xml:space="preserve"> Charts</w:t>
      </w:r>
      <w:bookmarkEnd w:id="105"/>
      <w:bookmarkEnd w:id="106"/>
      <w:bookmarkEnd w:id="107"/>
    </w:p>
    <w:p w14:paraId="3ADABCCA">
      <w:pPr>
        <w:rPr>
          <w:rFonts w:cs="Times New Roman"/>
        </w:rPr>
      </w:pPr>
      <w:r>
        <w:rPr>
          <w:rFonts w:hint="eastAsia" w:cs="Times New Roman"/>
        </w:rPr>
        <w:t>Chart 1 Gasoline prices in the United States from 2005 to 2024</w:t>
      </w:r>
    </w:p>
    <w:p w14:paraId="74895544">
      <w:r>
        <w:drawing>
          <wp:inline distT="0" distB="0" distL="114300" distR="114300">
            <wp:extent cx="5273675" cy="2749550"/>
            <wp:effectExtent l="0" t="0" r="14605" b="889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16"/>
                    <a:stretch>
                      <a:fillRect/>
                    </a:stretch>
                  </pic:blipFill>
                  <pic:spPr>
                    <a:xfrm>
                      <a:off x="0" y="0"/>
                      <a:ext cx="5273675" cy="2749550"/>
                    </a:xfrm>
                    <a:prstGeom prst="rect">
                      <a:avLst/>
                    </a:prstGeom>
                    <a:noFill/>
                    <a:ln>
                      <a:noFill/>
                    </a:ln>
                  </pic:spPr>
                </pic:pic>
              </a:graphicData>
            </a:graphic>
          </wp:inline>
        </w:drawing>
      </w:r>
    </w:p>
    <w:p w14:paraId="53990145"/>
    <w:p w14:paraId="2FD29FBD">
      <w:pPr>
        <w:rPr>
          <w:rFonts w:eastAsia="SimSun" w:cs="Times New Roman"/>
        </w:rPr>
      </w:pPr>
      <w:r>
        <w:rPr>
          <w:rFonts w:hint="eastAsia" w:eastAsia="SimSun" w:cs="Times New Roman"/>
        </w:rPr>
        <w:t>Chart 2 Gasoline prices in China from 1998 to 2024</w:t>
      </w:r>
    </w:p>
    <w:p w14:paraId="3E46F02D">
      <w:r>
        <w:drawing>
          <wp:inline distT="0" distB="0" distL="114300" distR="114300">
            <wp:extent cx="5273675" cy="2794635"/>
            <wp:effectExtent l="0" t="0" r="14605" b="9525"/>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17"/>
                    <a:stretch>
                      <a:fillRect/>
                    </a:stretch>
                  </pic:blipFill>
                  <pic:spPr>
                    <a:xfrm>
                      <a:off x="0" y="0"/>
                      <a:ext cx="5273675" cy="2794635"/>
                    </a:xfrm>
                    <a:prstGeom prst="rect">
                      <a:avLst/>
                    </a:prstGeom>
                    <a:noFill/>
                    <a:ln>
                      <a:noFill/>
                    </a:ln>
                  </pic:spPr>
                </pic:pic>
              </a:graphicData>
            </a:graphic>
          </wp:inline>
        </w:drawing>
      </w:r>
    </w:p>
    <w:p w14:paraId="4278B202">
      <w:pPr>
        <w:rPr>
          <w:rFonts w:cs="Times New Roman"/>
        </w:rPr>
      </w:pPr>
    </w:p>
    <w:p w14:paraId="2B51D164">
      <w:pPr>
        <w:rPr>
          <w:rFonts w:eastAsia="SimSun" w:cs="Times New Roman"/>
        </w:rPr>
      </w:pPr>
    </w:p>
    <w:p w14:paraId="7CDABAEC">
      <w:pPr>
        <w:rPr>
          <w:rFonts w:eastAsia="SimSun" w:cs="Times New Roman"/>
        </w:rPr>
      </w:pPr>
    </w:p>
    <w:p w14:paraId="6E41E884">
      <w:pPr>
        <w:rPr>
          <w:rFonts w:eastAsia="SimSun" w:cs="Times New Roman"/>
        </w:rPr>
      </w:pPr>
    </w:p>
    <w:p w14:paraId="718208A9">
      <w:pPr>
        <w:rPr>
          <w:rFonts w:eastAsia="SimSun" w:cs="Times New Roman"/>
        </w:rPr>
      </w:pPr>
      <w:r>
        <w:rPr>
          <w:rFonts w:eastAsia="SimSun" w:cs="Times New Roman"/>
        </w:rPr>
        <w:t>Chart 3 EU electricity prices from 2008 to 2023</w:t>
      </w:r>
    </w:p>
    <w:p w14:paraId="24932D36">
      <w:pPr>
        <w:rPr>
          <w:rFonts w:eastAsia="SimSun" w:cs="Times New Roman"/>
        </w:rPr>
      </w:pPr>
      <w:r>
        <w:drawing>
          <wp:inline distT="0" distB="0" distL="114300" distR="114300">
            <wp:extent cx="5248275" cy="2179955"/>
            <wp:effectExtent l="0" t="0" r="9525" b="14605"/>
            <wp:docPr id="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3"/>
                    <pic:cNvPicPr>
                      <a:picLocks noChangeAspect="1"/>
                    </pic:cNvPicPr>
                  </pic:nvPicPr>
                  <pic:blipFill>
                    <a:blip r:embed="rId18"/>
                    <a:stretch>
                      <a:fillRect/>
                    </a:stretch>
                  </pic:blipFill>
                  <pic:spPr>
                    <a:xfrm>
                      <a:off x="0" y="0"/>
                      <a:ext cx="5248275" cy="2179955"/>
                    </a:xfrm>
                    <a:prstGeom prst="rect">
                      <a:avLst/>
                    </a:prstGeom>
                    <a:noFill/>
                    <a:ln>
                      <a:noFill/>
                    </a:ln>
                  </pic:spPr>
                </pic:pic>
              </a:graphicData>
            </a:graphic>
          </wp:inline>
        </w:drawing>
      </w:r>
    </w:p>
    <w:p w14:paraId="3D3A4729">
      <w:pPr>
        <w:rPr>
          <w:rFonts w:cs="Times New Roman"/>
        </w:rPr>
      </w:pPr>
    </w:p>
    <w:p w14:paraId="7FC8C1DD">
      <w:pPr>
        <w:rPr>
          <w:rFonts w:cs="Times New Roman"/>
        </w:rPr>
      </w:pPr>
      <w:r>
        <w:rPr>
          <w:rFonts w:hint="eastAsia" w:cs="Times New Roman"/>
        </w:rPr>
        <w:t>Chart 4 U.S. electricity prices from 2019 to 2024</w:t>
      </w:r>
    </w:p>
    <w:p w14:paraId="53C2308C">
      <w:pPr>
        <w:rPr>
          <w:rFonts w:cs="Times New Roman"/>
        </w:rPr>
      </w:pPr>
      <w:r>
        <w:drawing>
          <wp:inline distT="0" distB="0" distL="114300" distR="114300">
            <wp:extent cx="5272405" cy="2538730"/>
            <wp:effectExtent l="0" t="0" r="635" b="6350"/>
            <wp:docPr id="5" name="图片 5" descr="1718042647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1718042647840"/>
                    <pic:cNvPicPr>
                      <a:picLocks noChangeAspect="1"/>
                    </pic:cNvPicPr>
                  </pic:nvPicPr>
                  <pic:blipFill>
                    <a:blip r:embed="rId19"/>
                    <a:stretch>
                      <a:fillRect/>
                    </a:stretch>
                  </pic:blipFill>
                  <pic:spPr>
                    <a:xfrm>
                      <a:off x="0" y="0"/>
                      <a:ext cx="5272405" cy="2538730"/>
                    </a:xfrm>
                    <a:prstGeom prst="rect">
                      <a:avLst/>
                    </a:prstGeom>
                  </pic:spPr>
                </pic:pic>
              </a:graphicData>
            </a:graphic>
          </wp:inline>
        </w:drawing>
      </w:r>
    </w:p>
    <w:p w14:paraId="5BCD4F0A"/>
    <w:sectPr>
      <w:headerReference r:id="rId11" w:type="default"/>
      <w:footerReference r:id="rId12" w:type="default"/>
      <w:pgSz w:w="11906" w:h="16838"/>
      <w:pgMar w:top="1440" w:right="1800" w:bottom="1440" w:left="1800" w:header="851" w:footer="992" w:gutter="0"/>
      <w:cols w:space="425" w:num="1"/>
      <w:docGrid w:type="lines" w:linePitch="312" w:charSpace="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comment w:id="0" w:author="Marie Pitson" w:date="2024-09-16T09:22:00Z" w:initials="MP">
    <w:p w14:paraId="48C1000A">
      <w:pPr>
        <w:pStyle w:val="6"/>
        <w:jc w:val="left"/>
      </w:pPr>
      <w:r>
        <w:t xml:space="preserve">Include the year of publication here, rather than citing the source at the end of the sentence.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commentEx w15:paraId="48C1000A"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DFE2820C-1EC8-444F-ADBE-F9F2C88078B4}"/>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embedRegular r:id="rId2" w:fontKey="{EE2C9A9F-6DBC-4219-81D6-FD6EFB647475}"/>
  </w:font>
  <w:font w:name="DengXian">
    <w:panose1 w:val="02010600030101010101"/>
    <w:charset w:val="86"/>
    <w:family w:val="auto"/>
    <w:pitch w:val="default"/>
    <w:sig w:usb0="A00002BF" w:usb1="38CF7CFA" w:usb2="00000016" w:usb3="00000000" w:csb0="0004000F" w:csb1="00000000"/>
    <w:embedRegular r:id="rId3" w:fontKey="{23B81FCA-4CA2-49B5-98F6-E694B9A48C17}"/>
  </w:font>
  <w:font w:name="Segoe UI">
    <w:panose1 w:val="020B0502040204020203"/>
    <w:charset w:val="00"/>
    <w:family w:val="swiss"/>
    <w:pitch w:val="default"/>
    <w:sig w:usb0="E4002EFF" w:usb1="C000E47F" w:usb2="00000009" w:usb3="00000000" w:csb0="200001FF" w:csb1="00000000"/>
    <w:embedRegular r:id="rId4" w:fontKey="{F69B37A2-1AB3-4443-A9F6-6575D5FEFB54}"/>
  </w:font>
  <w:font w:name="DengXian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embedRegular r:id="rId5" w:fontKey="{FE3EBD1E-BA2B-4463-823B-C52321D7E799}"/>
  </w:font>
  <w:font w:name="Courier New">
    <w:panose1 w:val="02070309020205020404"/>
    <w:charset w:val="00"/>
    <w:family w:val="modern"/>
    <w:pitch w:val="default"/>
    <w:sig w:usb0="E0002EFF" w:usb1="C0007843" w:usb2="00000009" w:usb3="00000000" w:csb0="400001FF" w:csb1="FFFF0000"/>
  </w:font>
  <w:font w:name="Microsoft YaHei">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C358E01">
    <w:pPr>
      <w:pStyle w:val="8"/>
    </w:pPr>
    <w: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6D77B99">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66C/ssAgAAVQQAAA4AAABkcnMvZTJvRG9jLnhtbK1UzY7TMBC+I/EO&#10;lu80aRG7Vd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Wh1ywLG/1geYSO&#10;4nm73AcImHSNovRKnLVCt6XKnCcjtvOf+xT1+DdY/AZ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nroL+ywCAABVBAAADgAAAAAAAAABACAAAAAfAQAAZHJzL2Uyb0RvYy54bWxQSwUGAAAAAAYA&#10;BgBZAQAAvQUAAAAA&#10;">
              <v:fill on="f" focussize="0,0"/>
              <v:stroke on="f" weight="0.5pt"/>
              <v:imagedata o:title=""/>
              <o:lock v:ext="edit" aspectratio="f"/>
              <v:textbox inset="0mm,0mm,0mm,0mm" style="mso-fit-shape-to-text:t;">
                <w:txbxContent>
                  <w:p w14:paraId="66D77B99">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55AA4B9">
    <w:pPr>
      <w:pStyle w:val="8"/>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6AA6A6F">
    <w:pPr>
      <w:pStyle w:val="8"/>
    </w:pPr>
    <w: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64D9DB9">
                          <w:pPr>
                            <w:pStyle w:val="8"/>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LNJ&#10;WO7QAAAABQEAAA8AAAAAAAAAAQAgAAAAIgAAAGRycy9kb3ducmV2LnhtbFBLAQIUABQAAAAIAIdO&#10;4kBy0PJtKwIAAFUEAAAOAAAAAAAAAAEAIAAAAB8BAABkcnMvZTJvRG9jLnhtbFBLBQYAAAAABgAG&#10;AFkBAAC8BQAAAAA=&#10;">
              <v:fill on="f" focussize="0,0"/>
              <v:stroke on="f" weight="0.5pt"/>
              <v:imagedata o:title=""/>
              <o:lock v:ext="edit" aspectratio="f"/>
              <v:textbox inset="0mm,0mm,0mm,0mm" style="mso-fit-shape-to-text:t;">
                <w:txbxContent>
                  <w:p w14:paraId="664D9DB9">
                    <w:pPr>
                      <w:pStyle w:val="8"/>
                    </w:pPr>
                    <w:r>
                      <w:fldChar w:fldCharType="begin"/>
                    </w:r>
                    <w:r>
                      <w:instrText xml:space="preserve"> PAGE  \* MERGEFORMAT </w:instrText>
                    </w:r>
                    <w:r>
                      <w:fldChar w:fldCharType="separate"/>
                    </w:r>
                    <w:r>
                      <w:t>3</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9CA84BF">
    <w:pPr>
      <w:pStyle w:val="9"/>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F59C9BF">
    <w:pPr>
      <w:pStyle w:val="9"/>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C06D937">
    <w:pPr>
      <w:pStyle w:val="9"/>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05958D9"/>
    <w:multiLevelType w:val="singleLevel"/>
    <w:tmpl w:val="905958D9"/>
    <w:lvl w:ilvl="0" w:tentative="0">
      <w:start w:val="3"/>
      <w:numFmt w:val="decimal"/>
      <w:suff w:val="nothing"/>
      <w:lvlText w:val="（%1）"/>
      <w:lvlJc w:val="left"/>
    </w:lvl>
  </w:abstractNum>
  <w:abstractNum w:abstractNumId="1">
    <w:nsid w:val="14430349"/>
    <w:multiLevelType w:val="multilevel"/>
    <w:tmpl w:val="14430349"/>
    <w:lvl w:ilvl="0" w:tentative="0">
      <w:start w:val="0"/>
      <w:numFmt w:val="bullet"/>
      <w:lvlText w:val=""/>
      <w:lvlJc w:val="left"/>
      <w:pPr>
        <w:ind w:left="720" w:hanging="360"/>
      </w:pPr>
      <w:rPr>
        <w:rFonts w:hint="default" w:ascii="Symbol" w:hAnsi="Symbol" w:eastAsia="Times New Roman" w:cs="Times New Roman"/>
        <w:b/>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CB24369"/>
    <w:multiLevelType w:val="multilevel"/>
    <w:tmpl w:val="3CB24369"/>
    <w:lvl w:ilvl="0" w:tentative="0">
      <w:start w:val="1"/>
      <w:numFmt w:val="decimal"/>
      <w:lvlText w:val="%1."/>
      <w:lvlJc w:val="left"/>
      <w:pPr>
        <w:ind w:left="440" w:hanging="440"/>
      </w:pPr>
      <w:rPr>
        <w:rFonts w:hint="eastAsia"/>
      </w:rPr>
    </w:lvl>
    <w:lvl w:ilvl="1" w:tentative="0">
      <w:start w:val="1"/>
      <w:numFmt w:val="decimal"/>
      <w:pStyle w:val="4"/>
      <w:lvlText w:val="%1.%2"/>
      <w:lvlJc w:val="center"/>
      <w:pPr>
        <w:ind w:left="880" w:hanging="592"/>
      </w:pPr>
      <w:rPr>
        <w:rFonts w:hint="eastAsia"/>
      </w:rPr>
    </w:lvl>
    <w:lvl w:ilvl="2" w:tentative="0">
      <w:start w:val="1"/>
      <w:numFmt w:val="decimal"/>
      <w:pStyle w:val="5"/>
      <w:lvlText w:val="%1.%2.%3."/>
      <w:lvlJc w:val="center"/>
      <w:pPr>
        <w:ind w:left="1320" w:hanging="1032"/>
      </w:pPr>
      <w:rPr>
        <w:rFonts w:hint="eastAsia"/>
      </w:rPr>
    </w:lvl>
    <w:lvl w:ilvl="3" w:tentative="0">
      <w:start w:val="1"/>
      <w:numFmt w:val="decimal"/>
      <w:lvlText w:val="%4."/>
      <w:lvlJc w:val="left"/>
      <w:pPr>
        <w:ind w:left="1760" w:hanging="440"/>
      </w:pPr>
      <w:rPr>
        <w:rFonts w:hint="eastAsia"/>
      </w:rPr>
    </w:lvl>
    <w:lvl w:ilvl="4" w:tentative="0">
      <w:start w:val="1"/>
      <w:numFmt w:val="lowerLetter"/>
      <w:lvlText w:val="%5)"/>
      <w:lvlJc w:val="left"/>
      <w:pPr>
        <w:ind w:left="2200" w:hanging="440"/>
      </w:pPr>
      <w:rPr>
        <w:rFonts w:hint="eastAsia"/>
      </w:rPr>
    </w:lvl>
    <w:lvl w:ilvl="5" w:tentative="0">
      <w:start w:val="1"/>
      <w:numFmt w:val="lowerRoman"/>
      <w:lvlText w:val="%6."/>
      <w:lvlJc w:val="right"/>
      <w:pPr>
        <w:ind w:left="2640" w:hanging="440"/>
      </w:pPr>
      <w:rPr>
        <w:rFonts w:hint="eastAsia"/>
      </w:rPr>
    </w:lvl>
    <w:lvl w:ilvl="6" w:tentative="0">
      <w:start w:val="1"/>
      <w:numFmt w:val="decimal"/>
      <w:lvlText w:val="%7."/>
      <w:lvlJc w:val="left"/>
      <w:pPr>
        <w:ind w:left="3080" w:hanging="440"/>
      </w:pPr>
      <w:rPr>
        <w:rFonts w:hint="eastAsia"/>
      </w:rPr>
    </w:lvl>
    <w:lvl w:ilvl="7" w:tentative="0">
      <w:start w:val="1"/>
      <w:numFmt w:val="lowerLetter"/>
      <w:lvlText w:val="%8)"/>
      <w:lvlJc w:val="left"/>
      <w:pPr>
        <w:ind w:left="3520" w:hanging="440"/>
      </w:pPr>
      <w:rPr>
        <w:rFonts w:hint="eastAsia"/>
      </w:rPr>
    </w:lvl>
    <w:lvl w:ilvl="8" w:tentative="0">
      <w:start w:val="1"/>
      <w:numFmt w:val="lowerRoman"/>
      <w:lvlText w:val="%9."/>
      <w:lvlJc w:val="right"/>
      <w:pPr>
        <w:ind w:left="3960" w:hanging="440"/>
      </w:pPr>
      <w:rPr>
        <w:rFonts w:hint="eastAsia"/>
      </w:rPr>
    </w:lvl>
  </w:abstractNum>
  <w:abstractNum w:abstractNumId="3">
    <w:nsid w:val="56127004"/>
    <w:multiLevelType w:val="singleLevel"/>
    <w:tmpl w:val="56127004"/>
    <w:lvl w:ilvl="0" w:tentative="0">
      <w:start w:val="5"/>
      <w:numFmt w:val="decimal"/>
      <w:suff w:val="space"/>
      <w:lvlText w:val="(%1)"/>
      <w:lvlJc w:val="left"/>
    </w:lvl>
  </w:abstractNum>
  <w:num w:numId="1">
    <w:abstractNumId w:val="2"/>
  </w:num>
  <w:num w:numId="2">
    <w:abstractNumId w:val="1"/>
  </w:num>
  <w:num w:numId="3">
    <w:abstractNumId w:val="0"/>
  </w:num>
  <w:num w:numId="4">
    <w:abstractNumId w:val="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person w15:author="Marie Pitson">
    <w15:presenceInfo w15:providerId="AD" w15:userId="S::marie.pitson@uwtsd.ac.uk::db8d2b3e-593d-47e6-a0b5-dc90f7ab49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TrueTypeFonts/>
  <w:saveSubset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mVkNjUwMDIzZDJiNTQzNmYxOTEyZTdmZjgxMGUzMGEifQ=="/>
  </w:docVars>
  <w:rsids>
    <w:rsidRoot w:val="00037E79"/>
    <w:rsid w:val="00006E59"/>
    <w:rsid w:val="00037E79"/>
    <w:rsid w:val="000819AF"/>
    <w:rsid w:val="000931E8"/>
    <w:rsid w:val="000E3B26"/>
    <w:rsid w:val="000E794E"/>
    <w:rsid w:val="001449AC"/>
    <w:rsid w:val="00203A78"/>
    <w:rsid w:val="0027302D"/>
    <w:rsid w:val="00453482"/>
    <w:rsid w:val="004E2733"/>
    <w:rsid w:val="00524DBA"/>
    <w:rsid w:val="005B7853"/>
    <w:rsid w:val="005C2BD0"/>
    <w:rsid w:val="006D36F9"/>
    <w:rsid w:val="006F4D48"/>
    <w:rsid w:val="008625D1"/>
    <w:rsid w:val="00864590"/>
    <w:rsid w:val="009137A1"/>
    <w:rsid w:val="00926A1A"/>
    <w:rsid w:val="00927C38"/>
    <w:rsid w:val="009811AB"/>
    <w:rsid w:val="00A11633"/>
    <w:rsid w:val="00B7202B"/>
    <w:rsid w:val="00BD06B1"/>
    <w:rsid w:val="00BF1DE3"/>
    <w:rsid w:val="00C1508D"/>
    <w:rsid w:val="00C90085"/>
    <w:rsid w:val="00E35984"/>
    <w:rsid w:val="00E870B7"/>
    <w:rsid w:val="00E97446"/>
    <w:rsid w:val="00EA61BF"/>
    <w:rsid w:val="00EB0C63"/>
    <w:rsid w:val="00ED1C4B"/>
    <w:rsid w:val="00F262A9"/>
    <w:rsid w:val="03404C95"/>
    <w:rsid w:val="04DD0FB5"/>
    <w:rsid w:val="06063B61"/>
    <w:rsid w:val="065241F7"/>
    <w:rsid w:val="084F24D1"/>
    <w:rsid w:val="08B1345C"/>
    <w:rsid w:val="08B15EB2"/>
    <w:rsid w:val="08C873D9"/>
    <w:rsid w:val="08D432BD"/>
    <w:rsid w:val="09591599"/>
    <w:rsid w:val="097E18E0"/>
    <w:rsid w:val="09D775DC"/>
    <w:rsid w:val="0A567C82"/>
    <w:rsid w:val="0B931590"/>
    <w:rsid w:val="0BCF52F0"/>
    <w:rsid w:val="0BF860CA"/>
    <w:rsid w:val="0CA14BC9"/>
    <w:rsid w:val="0D0A3D73"/>
    <w:rsid w:val="0DFA5140"/>
    <w:rsid w:val="0F4846DB"/>
    <w:rsid w:val="0F807DBA"/>
    <w:rsid w:val="1049218A"/>
    <w:rsid w:val="11574A95"/>
    <w:rsid w:val="12005A84"/>
    <w:rsid w:val="13CB748E"/>
    <w:rsid w:val="14E33F9C"/>
    <w:rsid w:val="17E331AB"/>
    <w:rsid w:val="18046694"/>
    <w:rsid w:val="1A5241D9"/>
    <w:rsid w:val="1DC745C9"/>
    <w:rsid w:val="20FF3181"/>
    <w:rsid w:val="23716066"/>
    <w:rsid w:val="240617F3"/>
    <w:rsid w:val="28EE30A5"/>
    <w:rsid w:val="291D1E4C"/>
    <w:rsid w:val="296E7961"/>
    <w:rsid w:val="29A02E73"/>
    <w:rsid w:val="2A875527"/>
    <w:rsid w:val="2E172DD3"/>
    <w:rsid w:val="2E6E0576"/>
    <w:rsid w:val="2ED64EA5"/>
    <w:rsid w:val="2EDC04A2"/>
    <w:rsid w:val="2F1F1DF3"/>
    <w:rsid w:val="32551C99"/>
    <w:rsid w:val="32D80108"/>
    <w:rsid w:val="340C7694"/>
    <w:rsid w:val="35845A05"/>
    <w:rsid w:val="36EB413B"/>
    <w:rsid w:val="37321557"/>
    <w:rsid w:val="3828544D"/>
    <w:rsid w:val="387E7AEA"/>
    <w:rsid w:val="38884554"/>
    <w:rsid w:val="39731E83"/>
    <w:rsid w:val="39D75B07"/>
    <w:rsid w:val="3A0E7E39"/>
    <w:rsid w:val="3A3C02CC"/>
    <w:rsid w:val="3AED6493"/>
    <w:rsid w:val="3B777636"/>
    <w:rsid w:val="3CED3BB8"/>
    <w:rsid w:val="3D8A33A3"/>
    <w:rsid w:val="3ED328A1"/>
    <w:rsid w:val="401D73B0"/>
    <w:rsid w:val="40F421F9"/>
    <w:rsid w:val="41DB1931"/>
    <w:rsid w:val="42A33B1C"/>
    <w:rsid w:val="441B2D48"/>
    <w:rsid w:val="44746DFC"/>
    <w:rsid w:val="44E90F29"/>
    <w:rsid w:val="453C356D"/>
    <w:rsid w:val="455775E0"/>
    <w:rsid w:val="45921FC3"/>
    <w:rsid w:val="4AF65E77"/>
    <w:rsid w:val="4BC85A1C"/>
    <w:rsid w:val="4BE00A88"/>
    <w:rsid w:val="4C4A3E3D"/>
    <w:rsid w:val="4D8C2A45"/>
    <w:rsid w:val="4DC07D06"/>
    <w:rsid w:val="4EF07FAB"/>
    <w:rsid w:val="4FE21B88"/>
    <w:rsid w:val="507F724A"/>
    <w:rsid w:val="510854CA"/>
    <w:rsid w:val="51F15F26"/>
    <w:rsid w:val="53155381"/>
    <w:rsid w:val="543C45AE"/>
    <w:rsid w:val="57104328"/>
    <w:rsid w:val="572122EF"/>
    <w:rsid w:val="576604EA"/>
    <w:rsid w:val="57EF51E0"/>
    <w:rsid w:val="59764AE2"/>
    <w:rsid w:val="5AA343C5"/>
    <w:rsid w:val="5B5E1421"/>
    <w:rsid w:val="5B872F25"/>
    <w:rsid w:val="5D0B07E3"/>
    <w:rsid w:val="5D5A21A2"/>
    <w:rsid w:val="5E3E48A6"/>
    <w:rsid w:val="604665C7"/>
    <w:rsid w:val="612E173D"/>
    <w:rsid w:val="61334165"/>
    <w:rsid w:val="61627AB3"/>
    <w:rsid w:val="62997D6C"/>
    <w:rsid w:val="64A303F2"/>
    <w:rsid w:val="6759337C"/>
    <w:rsid w:val="677D408C"/>
    <w:rsid w:val="68933B4F"/>
    <w:rsid w:val="696F008A"/>
    <w:rsid w:val="6A156E0B"/>
    <w:rsid w:val="6A8633AA"/>
    <w:rsid w:val="6AAB7D07"/>
    <w:rsid w:val="6B5A4027"/>
    <w:rsid w:val="6C021003"/>
    <w:rsid w:val="6C351DEC"/>
    <w:rsid w:val="6C800A02"/>
    <w:rsid w:val="6F010603"/>
    <w:rsid w:val="732F07AF"/>
    <w:rsid w:val="733B7F3F"/>
    <w:rsid w:val="737C2663"/>
    <w:rsid w:val="75D00657"/>
    <w:rsid w:val="787C10E6"/>
    <w:rsid w:val="78E67D14"/>
    <w:rsid w:val="79932C0A"/>
    <w:rsid w:val="79BE4580"/>
    <w:rsid w:val="7D743C38"/>
    <w:rsid w:val="7DB517E0"/>
    <w:rsid w:val="7F884BB6"/>
    <w:rsid w:val="7FB6153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nhideWhenUsed="0" w:uiPriority="39" w:semiHidden="0" w:name="toc 1"/>
    <w:lsdException w:qFormat="1" w:unhideWhenUsed="0" w:uiPriority="39" w:semiHidden="0" w:name="toc 2"/>
    <w:lsdException w:qFormat="1" w:unhideWhenUsed="0"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60" w:lineRule="auto"/>
      <w:jc w:val="both"/>
    </w:pPr>
    <w:rPr>
      <w:rFonts w:ascii="Times New Roman" w:hAnsi="Times New Roman" w:cs="Segoe UI" w:eastAsiaTheme="minorEastAsia"/>
      <w:color w:val="000000" w:themeColor="text1"/>
      <w:kern w:val="2"/>
      <w:sz w:val="24"/>
      <w:szCs w:val="22"/>
      <w:lang w:val="en-US" w:eastAsia="zh-CN" w:bidi="ar-SA"/>
      <w14:textFill>
        <w14:solidFill>
          <w14:schemeClr w14:val="tx1"/>
        </w14:solidFill>
      </w14:textFill>
    </w:rPr>
  </w:style>
  <w:style w:type="paragraph" w:styleId="2">
    <w:name w:val="heading 1"/>
    <w:basedOn w:val="1"/>
    <w:next w:val="1"/>
    <w:link w:val="26"/>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7"/>
    <w:unhideWhenUsed/>
    <w:qFormat/>
    <w:uiPriority w:val="9"/>
    <w:pPr>
      <w:outlineLvl w:val="1"/>
    </w:pPr>
    <w:rPr>
      <w:b/>
      <w:sz w:val="32"/>
    </w:rPr>
  </w:style>
  <w:style w:type="paragraph" w:styleId="4">
    <w:name w:val="heading 3"/>
    <w:basedOn w:val="1"/>
    <w:next w:val="1"/>
    <w:link w:val="28"/>
    <w:unhideWhenUsed/>
    <w:qFormat/>
    <w:uiPriority w:val="9"/>
    <w:pPr>
      <w:keepNext/>
      <w:keepLines/>
      <w:numPr>
        <w:ilvl w:val="1"/>
        <w:numId w:val="1"/>
      </w:numPr>
      <w:spacing w:before="260" w:after="260" w:line="416" w:lineRule="auto"/>
      <w:outlineLvl w:val="2"/>
    </w:pPr>
    <w:rPr>
      <w:b/>
      <w:bCs/>
      <w:sz w:val="28"/>
      <w:szCs w:val="32"/>
    </w:rPr>
  </w:style>
  <w:style w:type="paragraph" w:styleId="5">
    <w:name w:val="heading 4"/>
    <w:basedOn w:val="1"/>
    <w:next w:val="1"/>
    <w:link w:val="29"/>
    <w:unhideWhenUsed/>
    <w:qFormat/>
    <w:uiPriority w:val="9"/>
    <w:pPr>
      <w:keepNext/>
      <w:keepLines/>
      <w:numPr>
        <w:ilvl w:val="2"/>
        <w:numId w:val="1"/>
      </w:numPr>
      <w:spacing w:before="280" w:after="290" w:line="376" w:lineRule="auto"/>
      <w:outlineLvl w:val="3"/>
    </w:pPr>
    <w:rPr>
      <w:rFonts w:eastAsiaTheme="majorEastAsia" w:cstheme="majorBidi"/>
      <w:b/>
      <w:bCs/>
      <w:sz w:val="28"/>
      <w:szCs w:val="28"/>
    </w:rPr>
  </w:style>
  <w:style w:type="character" w:default="1" w:styleId="18">
    <w:name w:val="Default Paragraph Font"/>
    <w:semiHidden/>
    <w:unhideWhenUsed/>
    <w:uiPriority w:val="1"/>
  </w:style>
  <w:style w:type="table" w:default="1" w:styleId="16">
    <w:name w:val="Normal Table"/>
    <w:semiHidden/>
    <w:unhideWhenUsed/>
    <w:uiPriority w:val="99"/>
    <w:tblPr>
      <w:tblCellMar>
        <w:top w:w="0" w:type="dxa"/>
        <w:left w:w="108" w:type="dxa"/>
        <w:bottom w:w="0" w:type="dxa"/>
        <w:right w:w="108" w:type="dxa"/>
      </w:tblCellMar>
    </w:tblPr>
  </w:style>
  <w:style w:type="paragraph" w:styleId="6">
    <w:name w:val="annotation text"/>
    <w:basedOn w:val="1"/>
    <w:link w:val="36"/>
    <w:unhideWhenUsed/>
    <w:qFormat/>
    <w:uiPriority w:val="99"/>
    <w:pPr>
      <w:spacing w:line="240" w:lineRule="auto"/>
    </w:pPr>
    <w:rPr>
      <w:sz w:val="20"/>
      <w:szCs w:val="20"/>
    </w:rPr>
  </w:style>
  <w:style w:type="paragraph" w:styleId="7">
    <w:name w:val="toc 3"/>
    <w:basedOn w:val="1"/>
    <w:next w:val="1"/>
    <w:qFormat/>
    <w:uiPriority w:val="39"/>
    <w:pPr>
      <w:ind w:left="840" w:leftChars="400"/>
    </w:pPr>
  </w:style>
  <w:style w:type="paragraph" w:styleId="8">
    <w:name w:val="footer"/>
    <w:basedOn w:val="1"/>
    <w:link w:val="25"/>
    <w:unhideWhenUsed/>
    <w:qFormat/>
    <w:uiPriority w:val="99"/>
    <w:pPr>
      <w:tabs>
        <w:tab w:val="center" w:pos="4153"/>
        <w:tab w:val="right" w:pos="8306"/>
      </w:tabs>
      <w:snapToGrid w:val="0"/>
      <w:jc w:val="left"/>
    </w:pPr>
    <w:rPr>
      <w:sz w:val="18"/>
      <w:szCs w:val="18"/>
    </w:rPr>
  </w:style>
  <w:style w:type="paragraph" w:styleId="9">
    <w:name w:val="header"/>
    <w:basedOn w:val="1"/>
    <w:link w:val="24"/>
    <w:unhideWhenUsed/>
    <w:qFormat/>
    <w:uiPriority w:val="99"/>
    <w:pPr>
      <w:tabs>
        <w:tab w:val="center" w:pos="4153"/>
        <w:tab w:val="right" w:pos="8306"/>
      </w:tabs>
      <w:snapToGrid w:val="0"/>
      <w:jc w:val="center"/>
    </w:pPr>
    <w:rPr>
      <w:sz w:val="18"/>
      <w:szCs w:val="18"/>
    </w:rPr>
  </w:style>
  <w:style w:type="paragraph" w:styleId="10">
    <w:name w:val="toc 1"/>
    <w:basedOn w:val="1"/>
    <w:next w:val="1"/>
    <w:qFormat/>
    <w:uiPriority w:val="39"/>
  </w:style>
  <w:style w:type="paragraph" w:styleId="11">
    <w:name w:val="Subtitle"/>
    <w:basedOn w:val="1"/>
    <w:next w:val="1"/>
    <w:link w:val="30"/>
    <w:qFormat/>
    <w:uiPriority w:val="11"/>
    <w:pPr>
      <w:spacing w:before="240" w:after="60" w:line="312" w:lineRule="auto"/>
      <w:jc w:val="center"/>
      <w:outlineLvl w:val="1"/>
    </w:pPr>
    <w:rPr>
      <w:rFonts w:asciiTheme="minorHAnsi" w:hAnsiTheme="minorHAnsi" w:cstheme="minorBidi"/>
      <w:b/>
      <w:bCs/>
      <w:kern w:val="28"/>
      <w:sz w:val="32"/>
      <w:szCs w:val="32"/>
    </w:rPr>
  </w:style>
  <w:style w:type="paragraph" w:styleId="12">
    <w:name w:val="toc 2"/>
    <w:basedOn w:val="1"/>
    <w:next w:val="1"/>
    <w:qFormat/>
    <w:uiPriority w:val="39"/>
    <w:pPr>
      <w:ind w:left="420" w:leftChars="200"/>
    </w:pPr>
  </w:style>
  <w:style w:type="paragraph" w:styleId="13">
    <w:name w:val="Normal (Web)"/>
    <w:basedOn w:val="1"/>
    <w:qFormat/>
    <w:uiPriority w:val="0"/>
    <w:pPr>
      <w:spacing w:beforeAutospacing="1" w:afterAutospacing="1"/>
      <w:jc w:val="left"/>
    </w:pPr>
    <w:rPr>
      <w:rFonts w:cs="Times New Roman"/>
      <w:kern w:val="0"/>
    </w:rPr>
  </w:style>
  <w:style w:type="paragraph" w:styleId="14">
    <w:name w:val="Title"/>
    <w:basedOn w:val="1"/>
    <w:next w:val="1"/>
    <w:link w:val="34"/>
    <w:qFormat/>
    <w:uiPriority w:val="10"/>
    <w:pPr>
      <w:spacing w:before="240" w:after="60"/>
      <w:jc w:val="center"/>
      <w:outlineLvl w:val="0"/>
    </w:pPr>
    <w:rPr>
      <w:rFonts w:asciiTheme="majorHAnsi" w:hAnsiTheme="majorHAnsi" w:eastAsiaTheme="majorEastAsia" w:cstheme="majorBidi"/>
      <w:b/>
      <w:bCs/>
      <w:sz w:val="32"/>
      <w:szCs w:val="32"/>
    </w:rPr>
  </w:style>
  <w:style w:type="paragraph" w:styleId="15">
    <w:name w:val="annotation subject"/>
    <w:basedOn w:val="6"/>
    <w:next w:val="6"/>
    <w:link w:val="37"/>
    <w:semiHidden/>
    <w:unhideWhenUsed/>
    <w:qFormat/>
    <w:uiPriority w:val="99"/>
    <w:rPr>
      <w:b/>
      <w:bCs/>
    </w:rPr>
  </w:style>
  <w:style w:type="table" w:styleId="17">
    <w:name w:val="Table Grid"/>
    <w:basedOn w:val="16"/>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9">
    <w:name w:val="Strong"/>
    <w:basedOn w:val="18"/>
    <w:qFormat/>
    <w:uiPriority w:val="22"/>
    <w:rPr>
      <w:b/>
      <w:bCs/>
    </w:rPr>
  </w:style>
  <w:style w:type="character" w:styleId="20">
    <w:name w:val="FollowedHyperlink"/>
    <w:basedOn w:val="18"/>
    <w:semiHidden/>
    <w:unhideWhenUsed/>
    <w:qFormat/>
    <w:uiPriority w:val="99"/>
    <w:rPr>
      <w:color w:val="800080"/>
      <w:u w:val="single"/>
    </w:rPr>
  </w:style>
  <w:style w:type="character" w:styleId="21">
    <w:name w:val="Emphasis"/>
    <w:basedOn w:val="18"/>
    <w:qFormat/>
    <w:uiPriority w:val="20"/>
    <w:rPr>
      <w:i/>
      <w:iCs/>
    </w:rPr>
  </w:style>
  <w:style w:type="character" w:styleId="22">
    <w:name w:val="Hyperlink"/>
    <w:basedOn w:val="18"/>
    <w:qFormat/>
    <w:uiPriority w:val="99"/>
    <w:rPr>
      <w:color w:val="0000FF"/>
      <w:u w:val="single"/>
    </w:rPr>
  </w:style>
  <w:style w:type="character" w:styleId="23">
    <w:name w:val="annotation reference"/>
    <w:basedOn w:val="18"/>
    <w:semiHidden/>
    <w:unhideWhenUsed/>
    <w:qFormat/>
    <w:uiPriority w:val="99"/>
    <w:rPr>
      <w:sz w:val="16"/>
      <w:szCs w:val="16"/>
    </w:rPr>
  </w:style>
  <w:style w:type="character" w:customStyle="1" w:styleId="24">
    <w:name w:val="Header Char"/>
    <w:basedOn w:val="18"/>
    <w:link w:val="9"/>
    <w:qFormat/>
    <w:uiPriority w:val="99"/>
    <w:rPr>
      <w:sz w:val="18"/>
      <w:szCs w:val="18"/>
    </w:rPr>
  </w:style>
  <w:style w:type="character" w:customStyle="1" w:styleId="25">
    <w:name w:val="Footer Char"/>
    <w:basedOn w:val="18"/>
    <w:link w:val="8"/>
    <w:qFormat/>
    <w:uiPriority w:val="99"/>
    <w:rPr>
      <w:sz w:val="18"/>
      <w:szCs w:val="18"/>
    </w:rPr>
  </w:style>
  <w:style w:type="character" w:customStyle="1" w:styleId="26">
    <w:name w:val="Heading 1 Char"/>
    <w:basedOn w:val="18"/>
    <w:link w:val="2"/>
    <w:qFormat/>
    <w:uiPriority w:val="9"/>
    <w:rPr>
      <w:rFonts w:ascii="Times New Roman" w:hAnsi="Times New Roman" w:cs="Segoe UI"/>
      <w:b/>
      <w:bCs/>
      <w:color w:val="000000" w:themeColor="text1"/>
      <w:kern w:val="44"/>
      <w:sz w:val="44"/>
      <w:szCs w:val="44"/>
      <w14:textFill>
        <w14:solidFill>
          <w14:schemeClr w14:val="tx1"/>
        </w14:solidFill>
      </w14:textFill>
    </w:rPr>
  </w:style>
  <w:style w:type="character" w:customStyle="1" w:styleId="27">
    <w:name w:val="Heading 2 Char"/>
    <w:basedOn w:val="18"/>
    <w:link w:val="3"/>
    <w:qFormat/>
    <w:uiPriority w:val="9"/>
    <w:rPr>
      <w:rFonts w:ascii="Times New Roman" w:hAnsi="Times New Roman" w:cs="Segoe UI" w:eastAsiaTheme="minorEastAsia"/>
      <w:b/>
      <w:bCs/>
      <w:color w:val="000000" w:themeColor="text1"/>
      <w:sz w:val="32"/>
      <w:szCs w:val="32"/>
      <w14:textFill>
        <w14:solidFill>
          <w14:schemeClr w14:val="tx1"/>
        </w14:solidFill>
      </w14:textFill>
    </w:rPr>
  </w:style>
  <w:style w:type="character" w:customStyle="1" w:styleId="28">
    <w:name w:val="Heading 3 Char"/>
    <w:basedOn w:val="18"/>
    <w:link w:val="4"/>
    <w:qFormat/>
    <w:uiPriority w:val="9"/>
    <w:rPr>
      <w:rFonts w:ascii="Times New Roman" w:hAnsi="Times New Roman" w:cs="Segoe UI"/>
      <w:b/>
      <w:bCs/>
      <w:color w:val="000000" w:themeColor="text1"/>
      <w:sz w:val="28"/>
      <w:szCs w:val="32"/>
      <w14:textFill>
        <w14:solidFill>
          <w14:schemeClr w14:val="tx1"/>
        </w14:solidFill>
      </w14:textFill>
    </w:rPr>
  </w:style>
  <w:style w:type="character" w:customStyle="1" w:styleId="29">
    <w:name w:val="Heading 4 Char"/>
    <w:basedOn w:val="18"/>
    <w:link w:val="5"/>
    <w:semiHidden/>
    <w:qFormat/>
    <w:uiPriority w:val="9"/>
    <w:rPr>
      <w:rFonts w:ascii="Times New Roman" w:hAnsi="Times New Roman" w:eastAsiaTheme="majorEastAsia" w:cstheme="majorBidi"/>
      <w:b/>
      <w:bCs/>
      <w:color w:val="000000" w:themeColor="text1"/>
      <w:sz w:val="28"/>
      <w:szCs w:val="28"/>
      <w14:textFill>
        <w14:solidFill>
          <w14:schemeClr w14:val="tx1"/>
        </w14:solidFill>
      </w14:textFill>
    </w:rPr>
  </w:style>
  <w:style w:type="character" w:customStyle="1" w:styleId="30">
    <w:name w:val="Subtitle Char"/>
    <w:basedOn w:val="18"/>
    <w:link w:val="11"/>
    <w:qFormat/>
    <w:uiPriority w:val="11"/>
    <w:rPr>
      <w:b/>
      <w:bCs/>
      <w:color w:val="000000" w:themeColor="text1"/>
      <w:kern w:val="28"/>
      <w:sz w:val="32"/>
      <w:szCs w:val="32"/>
      <w14:textFill>
        <w14:solidFill>
          <w14:schemeClr w14:val="tx1"/>
        </w14:solidFill>
      </w14:textFill>
    </w:rPr>
  </w:style>
  <w:style w:type="paragraph" w:styleId="31">
    <w:name w:val="No Spacing"/>
    <w:qFormat/>
    <w:uiPriority w:val="1"/>
    <w:pPr>
      <w:widowControl w:val="0"/>
      <w:jc w:val="both"/>
    </w:pPr>
    <w:rPr>
      <w:rFonts w:ascii="Times New Roman" w:hAnsi="Times New Roman" w:cs="Segoe UI" w:eastAsiaTheme="minorEastAsia"/>
      <w:color w:val="374151"/>
      <w:kern w:val="2"/>
      <w:sz w:val="24"/>
      <w:szCs w:val="22"/>
      <w:lang w:val="en-US" w:eastAsia="zh-CN" w:bidi="ar-SA"/>
    </w:rPr>
  </w:style>
  <w:style w:type="paragraph" w:styleId="32">
    <w:name w:val="List Paragraph"/>
    <w:basedOn w:val="1"/>
    <w:qFormat/>
    <w:uiPriority w:val="34"/>
    <w:pPr>
      <w:ind w:firstLine="420" w:firstLineChars="200"/>
    </w:pPr>
  </w:style>
  <w:style w:type="paragraph" w:customStyle="1" w:styleId="33">
    <w:name w:val="TOC Heading1"/>
    <w:basedOn w:val="2"/>
    <w:next w:val="1"/>
    <w:semiHidden/>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rPr>
  </w:style>
  <w:style w:type="character" w:customStyle="1" w:styleId="34">
    <w:name w:val="Title Char"/>
    <w:basedOn w:val="18"/>
    <w:link w:val="14"/>
    <w:qFormat/>
    <w:uiPriority w:val="10"/>
    <w:rPr>
      <w:rFonts w:asciiTheme="majorHAnsi" w:hAnsiTheme="majorHAnsi" w:eastAsiaTheme="majorEastAsia" w:cstheme="majorBidi"/>
      <w:b/>
      <w:bCs/>
      <w:color w:val="000000" w:themeColor="text1"/>
      <w:sz w:val="32"/>
      <w:szCs w:val="32"/>
      <w14:textFill>
        <w14:solidFill>
          <w14:schemeClr w14:val="tx1"/>
        </w14:solidFill>
      </w14:textFill>
    </w:rPr>
  </w:style>
  <w:style w:type="character" w:customStyle="1" w:styleId="35">
    <w:name w:val="text"/>
    <w:basedOn w:val="18"/>
    <w:qFormat/>
    <w:uiPriority w:val="0"/>
  </w:style>
  <w:style w:type="character" w:customStyle="1" w:styleId="36">
    <w:name w:val="Comment Text Char"/>
    <w:basedOn w:val="18"/>
    <w:link w:val="6"/>
    <w:qFormat/>
    <w:uiPriority w:val="99"/>
    <w:rPr>
      <w:rFonts w:cs="Segoe UI" w:eastAsiaTheme="minorEastAsia"/>
      <w:color w:val="000000" w:themeColor="text1"/>
      <w:kern w:val="2"/>
      <w:lang w:val="en-US"/>
      <w14:textFill>
        <w14:solidFill>
          <w14:schemeClr w14:val="tx1"/>
        </w14:solidFill>
      </w14:textFill>
    </w:rPr>
  </w:style>
  <w:style w:type="character" w:customStyle="1" w:styleId="37">
    <w:name w:val="Comment Subject Char"/>
    <w:basedOn w:val="36"/>
    <w:link w:val="15"/>
    <w:semiHidden/>
    <w:qFormat/>
    <w:uiPriority w:val="99"/>
    <w:rPr>
      <w:rFonts w:cs="Segoe UI" w:eastAsiaTheme="minorEastAsia"/>
      <w:b/>
      <w:bCs/>
      <w:color w:val="000000" w:themeColor="text1"/>
      <w:kern w:val="2"/>
      <w:lang w:val="en-US"/>
      <w14:textFill>
        <w14:solidFill>
          <w14:schemeClr w14:val="tx1"/>
        </w14:solidFill>
      </w14:textFill>
    </w:rPr>
  </w:style>
</w:styles>
</file>

<file path=word/_rels/document.xml.rels><?xml version="1.0" encoding="UTF-8" standalone="yes"?>
<Relationships xmlns="http://schemas.openxmlformats.org/package/2006/relationships"><Relationship Id="rId9" Type="http://schemas.openxmlformats.org/officeDocument/2006/relationships/footer" Target="footer1.xml"/><Relationship Id="rId8" Type="http://schemas.openxmlformats.org/officeDocument/2006/relationships/header" Target="header2.xml"/><Relationship Id="rId7" Type="http://schemas.openxmlformats.org/officeDocument/2006/relationships/header" Target="header1.xml"/><Relationship Id="rId6" Type="http://schemas.openxmlformats.org/officeDocument/2006/relationships/endnotes" Target="endnotes.xml"/><Relationship Id="rId5" Type="http://schemas.openxmlformats.org/officeDocument/2006/relationships/footnotes" Target="footnotes.xml"/><Relationship Id="rId4" Type="http://schemas.microsoft.com/office/2011/relationships/commentsExtended" Target="commentsExtended.xml"/><Relationship Id="rId3" Type="http://schemas.openxmlformats.org/officeDocument/2006/relationships/comments" Target="comments.xml"/><Relationship Id="rId23" Type="http://schemas.microsoft.com/office/2011/relationships/people" Target="people.xml"/><Relationship Id="rId22" Type="http://schemas.openxmlformats.org/officeDocument/2006/relationships/fontTable" Target="fontTable.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image" Target="media/image5.png"/><Relationship Id="rId18" Type="http://schemas.openxmlformats.org/officeDocument/2006/relationships/image" Target="media/image4.png"/><Relationship Id="rId17" Type="http://schemas.openxmlformats.org/officeDocument/2006/relationships/image" Target="media/image3.png"/><Relationship Id="rId16" Type="http://schemas.openxmlformats.org/officeDocument/2006/relationships/image" Target="media/image2.png"/><Relationship Id="rId15" Type="http://schemas.openxmlformats.org/officeDocument/2006/relationships/image" Target="media/image1.jpeg"/><Relationship Id="rId14" Type="http://schemas.openxmlformats.org/officeDocument/2006/relationships/chart" Target="charts/chart1.xml"/><Relationship Id="rId13" Type="http://schemas.openxmlformats.org/officeDocument/2006/relationships/theme" Target="theme/theme1.xml"/><Relationship Id="rId12" Type="http://schemas.openxmlformats.org/officeDocument/2006/relationships/footer" Target="footer3.xml"/><Relationship Id="rId11" Type="http://schemas.openxmlformats.org/officeDocument/2006/relationships/header" Target="header3.xml"/><Relationship Id="rId10" Type="http://schemas.openxmlformats.org/officeDocument/2006/relationships/footer" Target="footer2.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1" i="0" u="none" strike="noStrike" kern="1200" baseline="0">
                <a:solidFill>
                  <a:schemeClr val="tx1">
                    <a:lumMod val="75000"/>
                    <a:lumOff val="25000"/>
                  </a:schemeClr>
                </a:solidFill>
                <a:latin typeface="+mn-lt"/>
                <a:ea typeface="+mn-ea"/>
                <a:cs typeface="+mn-cs"/>
              </a:defRPr>
            </a:pPr>
            <a:r>
              <a:rPr lang="en-US" altLang="zh-CN"/>
              <a:t>Overall Satisfaction of electric cars and traditional powered cars</a:t>
            </a:r>
            <a:endParaRPr lang="en-US" altLang="zh-CN"/>
          </a:p>
        </c:rich>
      </c:tx>
      <c:layout/>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delete val="1"/>
          </c:dLbls>
          <c:val>
            <c:numRef>
              <c:f>Sheet1!$B$2:$B$6</c:f>
              <c:numCache>
                <c:formatCode>General</c:formatCode>
                <c:ptCount val="5"/>
                <c:pt idx="0">
                  <c:v>13</c:v>
                </c:pt>
                <c:pt idx="1">
                  <c:v>11</c:v>
                </c:pt>
                <c:pt idx="2">
                  <c:v>19</c:v>
                </c:pt>
                <c:pt idx="3">
                  <c:v>0</c:v>
                </c:pt>
                <c:pt idx="4">
                  <c:v>0</c:v>
                </c:pt>
              </c:numCache>
            </c:numRef>
          </c:val>
        </c:ser>
        <c:ser>
          <c:idx val="1"/>
          <c:order val="1"/>
          <c:spPr>
            <a:solidFill>
              <a:schemeClr val="accent2"/>
            </a:solidFill>
            <a:ln>
              <a:noFill/>
            </a:ln>
            <a:effectLst/>
          </c:spPr>
          <c:invertIfNegative val="0"/>
          <c:dLbls>
            <c:delete val="1"/>
          </c:dLbls>
          <c:val>
            <c:numRef>
              <c:f>Sheet1!$C$2:$C$6</c:f>
              <c:numCache>
                <c:formatCode>General</c:formatCode>
                <c:ptCount val="5"/>
                <c:pt idx="0">
                  <c:v>3</c:v>
                </c:pt>
                <c:pt idx="1">
                  <c:v>8</c:v>
                </c:pt>
                <c:pt idx="2">
                  <c:v>31</c:v>
                </c:pt>
                <c:pt idx="3">
                  <c:v>0</c:v>
                </c:pt>
                <c:pt idx="4">
                  <c:v>0</c:v>
                </c:pt>
              </c:numCache>
            </c:numRef>
          </c:val>
        </c:ser>
        <c:dLbls>
          <c:showLegendKey val="0"/>
          <c:showVal val="0"/>
          <c:showCatName val="0"/>
          <c:showSerName val="0"/>
          <c:showPercent val="0"/>
          <c:showBubbleSize val="0"/>
        </c:dLbls>
        <c:gapWidth val="246"/>
        <c:overlap val="-28"/>
        <c:axId val="93670003"/>
        <c:axId val="978932299"/>
      </c:barChart>
      <c:catAx>
        <c:axId val="93670003"/>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978932299"/>
        <c:crosses val="autoZero"/>
        <c:auto val="1"/>
        <c:lblAlgn val="ctr"/>
        <c:lblOffset val="100"/>
        <c:noMultiLvlLbl val="0"/>
      </c:catAx>
      <c:valAx>
        <c:axId val="978932299"/>
        <c:scaling>
          <c:orientation val="minMax"/>
        </c:scaling>
        <c:delete val="0"/>
        <c:axPos val="l"/>
        <c:majorGridlines>
          <c:spPr>
            <a:ln w="9525" cap="flat" cmpd="sng" algn="ctr">
              <a:solidFill>
                <a:schemeClr val="lt1">
                  <a:lumMod val="902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936700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100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1">
      <cs:styleClr val="auto"/>
    </cs:fillRef>
    <cs:effectRef idx="0"/>
    <cs:fontRef idx="minor">
      <a:schemeClr val="dk1"/>
    </cs:fontRef>
    <cs:spPr>
      <a:ln>
        <a:noFill/>
      </a:ln>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92</Pages>
  <Words>18907</Words>
  <Characters>113440</Characters>
  <Lines>1061</Lines>
  <Paragraphs>298</Paragraphs>
  <TotalTime>2</TotalTime>
  <ScaleCrop>false</ScaleCrop>
  <LinksUpToDate>false</LinksUpToDate>
  <CharactersWithSpaces>131256</CharactersWithSpaces>
  <Application>WPS Office_12.1.0.17857_F1E327BC-269C-435d-A152-05C5408002CA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2024-09-16T11:11:00Z</dcterms:created>
  <dc:creator>烁 王</dc:creator>
  <cp:lastModifiedBy>Mr lonely</cp:lastModifiedBy>
  <dcterms:modified xsi:type="dcterms:W3CDTF">2024-09-16T13:59:42Z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2052-12.1.0.17857</vt:lpwstr>
  </property>
  <property fmtid="{D5CDD505-2E9C-101B-9397-08002B2CF9AE}" pid="3" name="ICV">
    <vt:lpwstr>CF02996E7DBE47678EF567863A8CABEA_13</vt:lpwstr>
  </property>
</Properties>
</file>