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A90F27" w14:textId="77777777" w:rsidR="00FE159F" w:rsidRDefault="00FE159F">
      <w:pPr>
        <w:spacing w:after="200" w:line="360" w:lineRule="auto"/>
        <w:jc w:val="center"/>
        <w:rPr>
          <w:rFonts w:ascii="Times New Roman" w:eastAsia="Times New Roman" w:hAnsi="Times New Roman" w:cs="Times New Roman"/>
          <w:b/>
          <w:sz w:val="28"/>
        </w:rPr>
      </w:pPr>
    </w:p>
    <w:p w14:paraId="5394A1D6" w14:textId="04A6DE17" w:rsidR="00FE159F" w:rsidRDefault="00FE159F">
      <w:pPr>
        <w:keepNext/>
        <w:keepLines/>
        <w:spacing w:before="480" w:after="0" w:line="276" w:lineRule="auto"/>
        <w:rPr>
          <w:rFonts w:ascii="Times New Roman" w:eastAsia="Times New Roman" w:hAnsi="Times New Roman" w:cs="Times New Roman"/>
          <w:b/>
          <w:sz w:val="28"/>
        </w:rPr>
      </w:pPr>
    </w:p>
    <w:p w14:paraId="10A2D32D" w14:textId="518C2F60" w:rsidR="00222B14" w:rsidRDefault="00222B14">
      <w:pPr>
        <w:keepNext/>
        <w:keepLines/>
        <w:spacing w:before="480" w:after="0" w:line="276" w:lineRule="auto"/>
        <w:rPr>
          <w:rFonts w:ascii="Times New Roman" w:eastAsia="Times New Roman" w:hAnsi="Times New Roman" w:cs="Times New Roman"/>
          <w:b/>
          <w:sz w:val="28"/>
        </w:rPr>
      </w:pPr>
    </w:p>
    <w:p w14:paraId="0A026167" w14:textId="185F52A2" w:rsidR="00222B14" w:rsidRDefault="00222B14">
      <w:pPr>
        <w:keepNext/>
        <w:keepLines/>
        <w:spacing w:before="480" w:after="0" w:line="276" w:lineRule="auto"/>
        <w:rPr>
          <w:rFonts w:ascii="Times New Roman" w:eastAsia="Times New Roman" w:hAnsi="Times New Roman" w:cs="Times New Roman"/>
          <w:b/>
          <w:sz w:val="28"/>
        </w:rPr>
      </w:pPr>
    </w:p>
    <w:p w14:paraId="1BF1DCC2" w14:textId="28AEB207" w:rsidR="00222B14" w:rsidRDefault="00222B14">
      <w:pPr>
        <w:keepNext/>
        <w:keepLines/>
        <w:spacing w:before="480" w:after="0" w:line="276" w:lineRule="auto"/>
        <w:rPr>
          <w:rFonts w:ascii="Times New Roman" w:eastAsia="Times New Roman" w:hAnsi="Times New Roman" w:cs="Times New Roman"/>
          <w:b/>
          <w:sz w:val="28"/>
        </w:rPr>
      </w:pPr>
    </w:p>
    <w:p w14:paraId="50F08F2F" w14:textId="37B1D358" w:rsidR="00222B14" w:rsidRDefault="00222B14">
      <w:pPr>
        <w:keepNext/>
        <w:keepLines/>
        <w:spacing w:before="480" w:after="0" w:line="276" w:lineRule="auto"/>
        <w:rPr>
          <w:rFonts w:ascii="Times New Roman" w:eastAsia="Times New Roman" w:hAnsi="Times New Roman" w:cs="Times New Roman"/>
          <w:b/>
          <w:sz w:val="28"/>
        </w:rPr>
      </w:pPr>
    </w:p>
    <w:p w14:paraId="3C05A592" w14:textId="3FAD9A45" w:rsidR="00222B14" w:rsidRDefault="00222B14">
      <w:pPr>
        <w:keepNext/>
        <w:keepLines/>
        <w:spacing w:before="480" w:after="0" w:line="276" w:lineRule="auto"/>
        <w:rPr>
          <w:rFonts w:ascii="Times New Roman" w:eastAsia="Times New Roman" w:hAnsi="Times New Roman" w:cs="Times New Roman"/>
          <w:b/>
          <w:sz w:val="28"/>
        </w:rPr>
      </w:pPr>
    </w:p>
    <w:p w14:paraId="020426CE" w14:textId="7451693A" w:rsidR="00222B14" w:rsidRDefault="00222B14">
      <w:pPr>
        <w:keepNext/>
        <w:keepLines/>
        <w:spacing w:before="480" w:after="0" w:line="276" w:lineRule="auto"/>
        <w:rPr>
          <w:rFonts w:ascii="Times New Roman" w:eastAsia="Times New Roman" w:hAnsi="Times New Roman" w:cs="Times New Roman"/>
          <w:b/>
          <w:sz w:val="28"/>
        </w:rPr>
      </w:pPr>
    </w:p>
    <w:p w14:paraId="723EBF58" w14:textId="6C3F8BAD" w:rsidR="00222B14" w:rsidRDefault="00222B14">
      <w:pPr>
        <w:keepNext/>
        <w:keepLines/>
        <w:spacing w:before="480" w:after="0" w:line="276" w:lineRule="auto"/>
        <w:rPr>
          <w:rFonts w:ascii="Times New Roman" w:eastAsia="Times New Roman" w:hAnsi="Times New Roman" w:cs="Times New Roman"/>
          <w:b/>
          <w:sz w:val="28"/>
        </w:rPr>
      </w:pPr>
    </w:p>
    <w:p w14:paraId="7D93A031" w14:textId="77777777" w:rsidR="00222B14" w:rsidRPr="00222B14" w:rsidRDefault="00222B14" w:rsidP="00222B14">
      <w:pPr>
        <w:jc w:val="center"/>
        <w:rPr>
          <w:rFonts w:ascii="Times New Roman" w:hAnsi="Times New Roman" w:cs="Times New Roman"/>
          <w:b/>
          <w:sz w:val="44"/>
          <w:szCs w:val="44"/>
        </w:rPr>
      </w:pPr>
      <w:r w:rsidRPr="00222B14">
        <w:rPr>
          <w:rFonts w:ascii="Times New Roman" w:hAnsi="Times New Roman" w:cs="Times New Roman"/>
          <w:b/>
          <w:sz w:val="44"/>
          <w:szCs w:val="44"/>
        </w:rPr>
        <w:t>Tokunbo Nuga</w:t>
      </w:r>
    </w:p>
    <w:p w14:paraId="23756280" w14:textId="1C45C7C9" w:rsidR="00222B14" w:rsidRDefault="00222B14" w:rsidP="00222B14">
      <w:pPr>
        <w:jc w:val="center"/>
        <w:rPr>
          <w:rFonts w:ascii="Times New Roman" w:hAnsi="Times New Roman" w:cs="Times New Roman"/>
          <w:b/>
          <w:sz w:val="44"/>
          <w:szCs w:val="44"/>
        </w:rPr>
      </w:pPr>
      <w:r w:rsidRPr="00222B14">
        <w:rPr>
          <w:rFonts w:ascii="Times New Roman" w:hAnsi="Times New Roman" w:cs="Times New Roman"/>
          <w:b/>
          <w:sz w:val="44"/>
          <w:szCs w:val="44"/>
        </w:rPr>
        <w:t>(1913018)</w:t>
      </w:r>
    </w:p>
    <w:p w14:paraId="3C0E2404" w14:textId="12400593" w:rsidR="00222B14" w:rsidRDefault="00222B14" w:rsidP="00222B14">
      <w:pPr>
        <w:jc w:val="center"/>
        <w:rPr>
          <w:rFonts w:ascii="Times New Roman" w:hAnsi="Times New Roman" w:cs="Times New Roman"/>
          <w:b/>
          <w:sz w:val="44"/>
          <w:szCs w:val="44"/>
        </w:rPr>
      </w:pPr>
      <w:r>
        <w:rPr>
          <w:rFonts w:ascii="Times New Roman" w:hAnsi="Times New Roman" w:cs="Times New Roman"/>
          <w:b/>
          <w:sz w:val="44"/>
          <w:szCs w:val="44"/>
        </w:rPr>
        <w:t>Effective Team Working and Communication Class BSM4002</w:t>
      </w:r>
    </w:p>
    <w:p w14:paraId="3D229BB0" w14:textId="7453DBE3" w:rsidR="00222B14" w:rsidRDefault="00222B14" w:rsidP="00222B14">
      <w:pPr>
        <w:jc w:val="center"/>
        <w:rPr>
          <w:rFonts w:ascii="Times New Roman" w:hAnsi="Times New Roman" w:cs="Times New Roman"/>
          <w:b/>
          <w:sz w:val="44"/>
          <w:szCs w:val="44"/>
        </w:rPr>
      </w:pPr>
      <w:r>
        <w:rPr>
          <w:rFonts w:ascii="Times New Roman" w:hAnsi="Times New Roman" w:cs="Times New Roman"/>
          <w:b/>
          <w:sz w:val="44"/>
          <w:szCs w:val="44"/>
        </w:rPr>
        <w:t>Barbara Chinyani</w:t>
      </w:r>
    </w:p>
    <w:p w14:paraId="50278954" w14:textId="3ABFFEAD" w:rsidR="00222B14" w:rsidRPr="00222B14" w:rsidRDefault="00222B14" w:rsidP="00222B14">
      <w:pPr>
        <w:jc w:val="center"/>
        <w:rPr>
          <w:rFonts w:ascii="Times New Roman" w:hAnsi="Times New Roman" w:cs="Times New Roman"/>
          <w:b/>
          <w:sz w:val="44"/>
          <w:szCs w:val="44"/>
        </w:rPr>
      </w:pPr>
      <w:r>
        <w:rPr>
          <w:rFonts w:ascii="Times New Roman" w:hAnsi="Times New Roman" w:cs="Times New Roman"/>
          <w:b/>
          <w:sz w:val="44"/>
          <w:szCs w:val="44"/>
        </w:rPr>
        <w:t>28/08/2020</w:t>
      </w:r>
    </w:p>
    <w:p w14:paraId="5376CC0A" w14:textId="77777777" w:rsidR="00222B14" w:rsidRPr="00BF6D2E" w:rsidRDefault="00222B14" w:rsidP="00222B14">
      <w:pPr>
        <w:jc w:val="center"/>
        <w:rPr>
          <w:rFonts w:ascii="Times New Roman" w:hAnsi="Times New Roman" w:cs="Times New Roman"/>
          <w:b/>
          <w:sz w:val="44"/>
          <w:szCs w:val="44"/>
        </w:rPr>
      </w:pPr>
    </w:p>
    <w:p w14:paraId="3A2E89AB" w14:textId="77777777" w:rsidR="00222B14" w:rsidRDefault="00222B14">
      <w:pPr>
        <w:keepNext/>
        <w:keepLines/>
        <w:spacing w:before="480" w:after="0" w:line="276" w:lineRule="auto"/>
        <w:rPr>
          <w:rFonts w:ascii="Cambria" w:eastAsia="Cambria" w:hAnsi="Cambria" w:cs="Cambria"/>
          <w:b/>
          <w:color w:val="366091"/>
          <w:sz w:val="28"/>
          <w:u w:val="single"/>
        </w:rPr>
      </w:pPr>
    </w:p>
    <w:p w14:paraId="081174CC" w14:textId="77777777" w:rsidR="00FE159F" w:rsidRDefault="00FE159F">
      <w:pPr>
        <w:spacing w:after="200" w:line="360" w:lineRule="auto"/>
        <w:jc w:val="center"/>
        <w:rPr>
          <w:rFonts w:ascii="Times New Roman" w:eastAsia="Times New Roman" w:hAnsi="Times New Roman" w:cs="Times New Roman"/>
          <w:b/>
          <w:sz w:val="28"/>
        </w:rPr>
      </w:pPr>
    </w:p>
    <w:p w14:paraId="20BA78B9" w14:textId="77777777" w:rsidR="00FE159F" w:rsidRDefault="00FE159F">
      <w:pPr>
        <w:spacing w:after="200" w:line="360" w:lineRule="auto"/>
        <w:jc w:val="center"/>
        <w:rPr>
          <w:rFonts w:ascii="Times New Roman" w:eastAsia="Times New Roman" w:hAnsi="Times New Roman" w:cs="Times New Roman"/>
          <w:b/>
          <w:sz w:val="28"/>
        </w:rPr>
      </w:pPr>
    </w:p>
    <w:p w14:paraId="2CB6170B" w14:textId="77777777" w:rsidR="00FE159F" w:rsidRDefault="00FE159F">
      <w:pPr>
        <w:spacing w:after="200" w:line="360" w:lineRule="auto"/>
        <w:jc w:val="center"/>
        <w:rPr>
          <w:rFonts w:ascii="Times New Roman" w:eastAsia="Times New Roman" w:hAnsi="Times New Roman" w:cs="Times New Roman"/>
          <w:b/>
          <w:sz w:val="28"/>
        </w:rPr>
      </w:pPr>
    </w:p>
    <w:p w14:paraId="448BE9B5" w14:textId="77777777" w:rsidR="00463A40" w:rsidRDefault="00463A40" w:rsidP="004734E1">
      <w:pPr>
        <w:spacing w:after="200" w:line="276" w:lineRule="auto"/>
        <w:rPr>
          <w:rFonts w:ascii="Times New Roman" w:eastAsia="Cambria" w:hAnsi="Times New Roman" w:cs="Times New Roman"/>
          <w:b/>
          <w:color w:val="366091"/>
          <w:sz w:val="96"/>
          <w:szCs w:val="96"/>
          <w:u w:val="single"/>
        </w:rPr>
      </w:pPr>
    </w:p>
    <w:p w14:paraId="1B2E932E" w14:textId="4691ADE1" w:rsidR="00FE159F" w:rsidRPr="004734E1" w:rsidRDefault="00890F02" w:rsidP="004734E1">
      <w:pPr>
        <w:spacing w:after="200" w:line="276" w:lineRule="auto"/>
        <w:rPr>
          <w:rFonts w:ascii="Times New Roman" w:eastAsia="Calibri" w:hAnsi="Times New Roman" w:cs="Times New Roman"/>
          <w:sz w:val="96"/>
          <w:szCs w:val="96"/>
        </w:rPr>
      </w:pPr>
      <w:r w:rsidRPr="004734E1">
        <w:rPr>
          <w:rFonts w:ascii="Times New Roman" w:eastAsia="Cambria" w:hAnsi="Times New Roman" w:cs="Times New Roman"/>
          <w:b/>
          <w:color w:val="366091"/>
          <w:sz w:val="96"/>
          <w:szCs w:val="96"/>
          <w:u w:val="single"/>
        </w:rPr>
        <w:t>Table of Contents</w:t>
      </w:r>
    </w:p>
    <w:p w14:paraId="6778901E" w14:textId="4ABCDA33"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Introduction</w:t>
      </w:r>
    </w:p>
    <w:p w14:paraId="4A0BAF64" w14:textId="6D8C3380"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Description</w:t>
      </w:r>
    </w:p>
    <w:p w14:paraId="36A09602" w14:textId="449DD6CC"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 xml:space="preserve">Referencing </w:t>
      </w:r>
    </w:p>
    <w:p w14:paraId="14B24282" w14:textId="7646248D"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Online Learning</w:t>
      </w:r>
    </w:p>
    <w:p w14:paraId="7BF52A42" w14:textId="265ED5FF"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Employability</w:t>
      </w:r>
    </w:p>
    <w:p w14:paraId="1F44693C" w14:textId="6D533715"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Reflection</w:t>
      </w:r>
    </w:p>
    <w:p w14:paraId="2C750D80" w14:textId="29E53777"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Feeling</w:t>
      </w:r>
    </w:p>
    <w:p w14:paraId="598DA7D2" w14:textId="1C41D18C"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Evaluation</w:t>
      </w:r>
    </w:p>
    <w:p w14:paraId="2410B5DD" w14:textId="0EADCD8A"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Analysis</w:t>
      </w:r>
    </w:p>
    <w:p w14:paraId="3CB2F1B0" w14:textId="40EF159E"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Conclusion</w:t>
      </w:r>
    </w:p>
    <w:p w14:paraId="2F1D1EA6" w14:textId="030C0C5B"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Action Plan</w:t>
      </w:r>
    </w:p>
    <w:p w14:paraId="0042BE14" w14:textId="5963BFFE" w:rsidR="004734E1" w:rsidRPr="004734E1" w:rsidRDefault="004734E1" w:rsidP="004734E1">
      <w:pPr>
        <w:pStyle w:val="ListParagraph"/>
        <w:numPr>
          <w:ilvl w:val="0"/>
          <w:numId w:val="2"/>
        </w:numPr>
        <w:spacing w:after="200" w:line="276" w:lineRule="auto"/>
        <w:rPr>
          <w:rFonts w:ascii="Times New Roman" w:eastAsia="Calibri" w:hAnsi="Times New Roman" w:cs="Times New Roman"/>
          <w:b/>
          <w:bCs/>
          <w:sz w:val="52"/>
          <w:szCs w:val="52"/>
        </w:rPr>
      </w:pPr>
      <w:r w:rsidRPr="004734E1">
        <w:rPr>
          <w:rFonts w:ascii="Times New Roman" w:eastAsia="Calibri" w:hAnsi="Times New Roman" w:cs="Times New Roman"/>
          <w:b/>
          <w:bCs/>
          <w:sz w:val="52"/>
          <w:szCs w:val="52"/>
        </w:rPr>
        <w:t>Referencing</w:t>
      </w:r>
    </w:p>
    <w:p w14:paraId="70DB6519" w14:textId="3C98D8B8" w:rsidR="004734E1" w:rsidRDefault="004734E1" w:rsidP="004734E1">
      <w:pPr>
        <w:spacing w:after="200" w:line="276" w:lineRule="auto"/>
        <w:rPr>
          <w:rFonts w:ascii="Times New Roman" w:eastAsia="Calibri" w:hAnsi="Times New Roman" w:cs="Times New Roman"/>
          <w:sz w:val="32"/>
          <w:szCs w:val="32"/>
        </w:rPr>
      </w:pPr>
    </w:p>
    <w:p w14:paraId="4EBEDF70" w14:textId="0B8EA84D" w:rsidR="004734E1" w:rsidRDefault="004734E1" w:rsidP="004734E1">
      <w:pPr>
        <w:spacing w:after="200" w:line="276" w:lineRule="auto"/>
        <w:rPr>
          <w:rFonts w:ascii="Times New Roman" w:eastAsia="Calibri" w:hAnsi="Times New Roman" w:cs="Times New Roman"/>
          <w:sz w:val="32"/>
          <w:szCs w:val="32"/>
        </w:rPr>
      </w:pPr>
    </w:p>
    <w:p w14:paraId="7ADB58ED" w14:textId="4BEF7CD3" w:rsidR="004734E1" w:rsidRDefault="004734E1" w:rsidP="004734E1">
      <w:pPr>
        <w:spacing w:after="200" w:line="276" w:lineRule="auto"/>
        <w:rPr>
          <w:rFonts w:ascii="Times New Roman" w:eastAsia="Calibri" w:hAnsi="Times New Roman" w:cs="Times New Roman"/>
          <w:sz w:val="32"/>
          <w:szCs w:val="32"/>
        </w:rPr>
      </w:pPr>
    </w:p>
    <w:p w14:paraId="3D9486E4" w14:textId="0607A350" w:rsidR="004734E1" w:rsidRDefault="004734E1" w:rsidP="004734E1">
      <w:pPr>
        <w:spacing w:after="200" w:line="276" w:lineRule="auto"/>
        <w:rPr>
          <w:rFonts w:ascii="Times New Roman" w:eastAsia="Calibri" w:hAnsi="Times New Roman" w:cs="Times New Roman"/>
          <w:sz w:val="32"/>
          <w:szCs w:val="32"/>
        </w:rPr>
      </w:pPr>
    </w:p>
    <w:p w14:paraId="6E10D64D" w14:textId="16FA488D" w:rsidR="004734E1" w:rsidRDefault="004734E1" w:rsidP="004734E1">
      <w:pPr>
        <w:spacing w:after="200" w:line="276" w:lineRule="auto"/>
        <w:rPr>
          <w:rFonts w:ascii="Times New Roman" w:eastAsia="Calibri" w:hAnsi="Times New Roman" w:cs="Times New Roman"/>
          <w:sz w:val="32"/>
          <w:szCs w:val="32"/>
        </w:rPr>
      </w:pPr>
    </w:p>
    <w:p w14:paraId="1ABE1760" w14:textId="77777777" w:rsidR="004734E1" w:rsidRPr="004734E1" w:rsidRDefault="004734E1" w:rsidP="004734E1">
      <w:pPr>
        <w:spacing w:after="200" w:line="276" w:lineRule="auto"/>
        <w:rPr>
          <w:rFonts w:ascii="Times New Roman" w:eastAsia="Calibri" w:hAnsi="Times New Roman" w:cs="Times New Roman"/>
          <w:sz w:val="32"/>
          <w:szCs w:val="32"/>
        </w:rPr>
      </w:pPr>
    </w:p>
    <w:p w14:paraId="43364AF3" w14:textId="77777777" w:rsidR="00FE159F" w:rsidRDefault="00FE159F">
      <w:pPr>
        <w:spacing w:after="200" w:line="276" w:lineRule="auto"/>
        <w:rPr>
          <w:rFonts w:ascii="Times New Roman" w:eastAsia="Times New Roman" w:hAnsi="Times New Roman" w:cs="Times New Roman"/>
          <w:b/>
          <w:color w:val="366091"/>
          <w:sz w:val="28"/>
        </w:rPr>
      </w:pPr>
    </w:p>
    <w:p w14:paraId="14E6369B"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Introduction</w:t>
      </w:r>
    </w:p>
    <w:p w14:paraId="5EC9821E"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This essay reflects the progress I made with the ongoing higher education certificate on skills for the workplace I embarked on. I aim to discuss the usefulness of Reflections, Employability skill, Referencing Online learning to encourage progress and to consider areas that need to be strengthened on my learning, the degree to which the most transferable abilities are created, an analysis of my professional improvement tutor's meetings and my specific learning problems. For this article, I will use a reflective learning process of Gibbs (1988) to focus on an area of individual practice that needs more growth to improve my position in the HND workshop cited in (Strobl, et al., 2019). Gibbs (1988) A reflective learning cycle promotes a clear description, analysis of feelings, assessment of experience and analysis, to help us to understand what an individual is going to do when things reappear cited in (Prahmana, 2017).</w:t>
      </w:r>
    </w:p>
    <w:p w14:paraId="7391A05F"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Description</w:t>
      </w:r>
    </w:p>
    <w:p w14:paraId="34C256CC" w14:textId="77777777" w:rsidR="00FE159F" w:rsidRDefault="00890F02">
      <w:pPr>
        <w:keepNext/>
        <w:keepLines/>
        <w:spacing w:before="200" w:after="0" w:line="360" w:lineRule="auto"/>
        <w:jc w:val="both"/>
        <w:rPr>
          <w:rFonts w:ascii="Times New Roman" w:eastAsia="Times New Roman" w:hAnsi="Times New Roman" w:cs="Times New Roman"/>
          <w:b/>
          <w:color w:val="4F81BD"/>
          <w:sz w:val="26"/>
        </w:rPr>
      </w:pPr>
      <w:r>
        <w:rPr>
          <w:rFonts w:ascii="Times New Roman" w:eastAsia="Times New Roman" w:hAnsi="Times New Roman" w:cs="Times New Roman"/>
          <w:b/>
          <w:color w:val="4F81BD"/>
          <w:sz w:val="26"/>
        </w:rPr>
        <w:t>Referencing</w:t>
      </w:r>
    </w:p>
    <w:p w14:paraId="1E88945F"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 Referencing is a clear way to remember the concepts of those you include in your research. All the references you use, including words and concepts, information, photos, photographs, audio, blogs, graphs, diagrams and records, should be checked. Within a text of an article, study or assignment there are four specific forms to link to a source material. Such approaches are direct quotes, paraphrases or overview materials from another text that apply to all of the original paper, and citing the whole of a source document. At first in the beginning of my course work when I was given an assignment which required analytical research from the web. I remember I was unable to submit the assignment on time as I was very worried that I am not doing it the right way as I did not have any previous experience in which I had to use proper referencing. Anyways I submitted the assignment by doing the merely minimum and then was called upon by my teacher for feedback. </w:t>
      </w:r>
    </w:p>
    <w:p w14:paraId="78B0C631" w14:textId="77777777" w:rsidR="00FE159F" w:rsidRDefault="00890F02">
      <w:pPr>
        <w:keepNext/>
        <w:keepLines/>
        <w:spacing w:before="200" w:after="0" w:line="360" w:lineRule="auto"/>
        <w:jc w:val="both"/>
        <w:rPr>
          <w:rFonts w:ascii="Times New Roman" w:eastAsia="Times New Roman" w:hAnsi="Times New Roman" w:cs="Times New Roman"/>
          <w:b/>
          <w:color w:val="4F81BD"/>
          <w:sz w:val="26"/>
        </w:rPr>
      </w:pPr>
      <w:r>
        <w:rPr>
          <w:rFonts w:ascii="Times New Roman" w:eastAsia="Times New Roman" w:hAnsi="Times New Roman" w:cs="Times New Roman"/>
          <w:b/>
          <w:color w:val="4F81BD"/>
          <w:sz w:val="26"/>
        </w:rPr>
        <w:lastRenderedPageBreak/>
        <w:t>Online learning</w:t>
      </w:r>
    </w:p>
    <w:p w14:paraId="30B04328"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Online learning consists of internet education. Among other terms, this is often known as "e-learning." Online learning, though, is only one kind of "distance learning"- which covers any distance education that takes place in the classroom. Virtual learning is definitely the most successful option for learners, but for the environment too, it is better. Online courses have been shown to be using 90% less electricity and 85% fewer CO2 emissions per student on average than traditional person-level training classes. Online learning enables instructors and students to establish their own rate of learning, and there is more freedom to create a goal that fits everyone. The usage of an electronic instructional network also allows it easier to reach improved study and research harmony, such that nothing needs to be given up. I had a combination of feelings, anticipation and tension throughout the first week of this online learning program. Every week the topics covered give me the opportunity in many fields to increase my expertise. I was involved in learning when I began the course and was active in training. It was difficult to maintain attention in the beginning of virtual classes but gradually with time I adapted to the pace and now I enjoy it.</w:t>
      </w:r>
    </w:p>
    <w:p w14:paraId="750D2B06" w14:textId="77777777" w:rsidR="00FE159F" w:rsidRDefault="00890F02">
      <w:pPr>
        <w:keepNext/>
        <w:keepLines/>
        <w:spacing w:before="200" w:after="0" w:line="360" w:lineRule="auto"/>
        <w:jc w:val="both"/>
        <w:rPr>
          <w:rFonts w:ascii="Times New Roman" w:eastAsia="Times New Roman" w:hAnsi="Times New Roman" w:cs="Times New Roman"/>
          <w:b/>
          <w:color w:val="4F81BD"/>
          <w:sz w:val="26"/>
        </w:rPr>
      </w:pPr>
      <w:r>
        <w:rPr>
          <w:rFonts w:ascii="Times New Roman" w:eastAsia="Times New Roman" w:hAnsi="Times New Roman" w:cs="Times New Roman"/>
          <w:b/>
          <w:color w:val="4F81BD"/>
          <w:sz w:val="26"/>
        </w:rPr>
        <w:t>Employability</w:t>
      </w:r>
    </w:p>
    <w:p w14:paraId="153868B0"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Employment is: "a collection of accomplishments – skills and personal attributes – that allow students, who support themselves, the workplace, the society and the economy, to become more likely to get a job and thrive in their chosen careers." Employability applies to the ability you have to obtain initial employment, sustain work and get new job opportunities as desired. Clearly stated, employability implies being able to get and keep working in a fulfilling job. "Skill, experience, comprehension and personal qualities are a part of employability."  After getting informed thoroughly on how to perform a self-reflection, I realised that I am weak at referencing, online learning and have to improve in those sectors to ultimately improve my employability skills. At first I always was a lost person who never knew what to do next and how to approach people for help, that is why I used to just focus on things and material available to me or I used to observe how others are doing their task and tried to copy them in it. That’s how I used to get just pass and was struggling to gain better marks. That is where I understood that I need to improve my employability skills.</w:t>
      </w:r>
    </w:p>
    <w:p w14:paraId="3014E3CE" w14:textId="77777777" w:rsidR="00FE159F" w:rsidRDefault="00890F02">
      <w:pPr>
        <w:keepNext/>
        <w:keepLines/>
        <w:spacing w:before="200" w:after="0" w:line="360" w:lineRule="auto"/>
        <w:jc w:val="both"/>
        <w:rPr>
          <w:rFonts w:ascii="Times New Roman" w:eastAsia="Times New Roman" w:hAnsi="Times New Roman" w:cs="Times New Roman"/>
          <w:b/>
          <w:color w:val="4F81BD"/>
          <w:sz w:val="26"/>
        </w:rPr>
      </w:pPr>
      <w:r>
        <w:rPr>
          <w:rFonts w:ascii="Times New Roman" w:eastAsia="Times New Roman" w:hAnsi="Times New Roman" w:cs="Times New Roman"/>
          <w:b/>
          <w:color w:val="4F81BD"/>
          <w:sz w:val="26"/>
        </w:rPr>
        <w:t>Reflection</w:t>
      </w:r>
    </w:p>
    <w:p w14:paraId="2C7434B2"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Self-reflection is a mechanism in which you consider yourself, your principles and your manner of thought and behaving. It's a type of personal insight that allows you to align your life with what you want. Self-awareness leads to creating social consciousness. You can grasp the feelings, strengths, vulnerabilities and motivating factors deeper by having time to ask yourself these crucial questions. When I was about to write for my reflection of this coursework I recalled that event and went back to the same teacher. I was so pleased to see him and asked him if he can also guide me on how to do the reflection as this is also something I have never done before. He carefully enlightened me on how to </w:t>
      </w:r>
      <w:r>
        <w:rPr>
          <w:rFonts w:ascii="Times New Roman" w:eastAsia="Times New Roman" w:hAnsi="Times New Roman" w:cs="Times New Roman"/>
        </w:rPr>
        <w:lastRenderedPageBreak/>
        <w:t xml:space="preserve">write a proper reflection and how much it would help me to improve my employability skills. I realised at that time how important self-reflection could be as it aids a person to grow his skills and know his shortcomings. The program offers a broader range of learning experiences, from lessons for enhancing theoretical expertise to real consultation opportunities to improve the effectiveness of management. I have experienced many learning experiences on this journey. However it appears that the ideal starting point for the process of reflection is the self or the self-awareness exploration.  </w:t>
      </w:r>
    </w:p>
    <w:p w14:paraId="011668DC"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 xml:space="preserve">Feelings </w:t>
      </w:r>
    </w:p>
    <w:p w14:paraId="53C16B61"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I was nervous as I knew I did not do well and I might fail in my assignments. Upon my surprise I did pass the assignment but it was barely close to getting fail. However, in the process of feedback, the teacher was very kind to me who made me open up about my flaws and shortcomings on referencing. He understood my concerns and gave me the opportunity to improve my grade for that assignment. He guided me through on how to do proper referencing and how to gauge at online learning. </w:t>
      </w:r>
    </w:p>
    <w:p w14:paraId="3E414F91"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At one point of my life I started to doubt my potential. I started to think that I am not as competent as I think I am. Losing self-worth and confidence were the result of these thoughts. But while taking this course I decided to give myself one more chance to enhance my skills. It was then my teacher called me for feedback. I was ashamed that I knew I was going to fail this time; I was worried that the teacher might scold me or make fun of my capabilities. However, it was all the assumption of my mind. I felt a relief when I learned that I passed, I felt a sense of achievement in my abilities and skill that provoked me to achieve better in future. </w:t>
      </w:r>
    </w:p>
    <w:p w14:paraId="6A963F1F"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feeling was backed up by a teacher who guided me through this and made me understand the processes of online learning and referencing in an assignment. I got more confidence after that, it is natural I did make some mistakes in a couple of next assignments after that but with each mistake I learned and corrected myself. Now when I compare my current communication skills as compared to the beginning of this course I feel a rush of confidence in my personality. I feel that I have improved a lot and can improve further if I keep implementing the self-reflection and self-analysis process in my personality. </w:t>
      </w:r>
    </w:p>
    <w:p w14:paraId="2100731D"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Evaluation</w:t>
      </w:r>
    </w:p>
    <w:p w14:paraId="294CD3C3"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The one other flaw which proved to be weak was time management as in my opinion over and over again I used to get late to submit assignments. I am a strong fan of equality and fairness and have non-negotiable key values. However, I had the opportunity to test my level of self-confidence by using several models and practices through applied learning experiences (ALEs) of the current program (Chen and Flowerdew, 2018).</w:t>
      </w:r>
    </w:p>
    <w:p w14:paraId="0364AA79"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People will spend a lot of time worrying about their lives and stuff they have to do. In order to advance, though, it is necessary that such theories will become a directed meditation, so that they can be strengthened in the future. The basic purpose of the reflective practice is to allow the practitioner, in the context of what is seen as a desirable practise, to gain access to, understand and learn through his or her experiences, and thus take "congruent measures to increase efficiency." As a student who is keen to learn with access to experience, I felt that I had developed self-discipline for an effective learning process.  Over the course, I have increasingly gained confidence and trust in any transferable capacity, such as communication, successful online learning and collaboration and IT. These are the skills and abilities which are developed in me through the assignments and coursework of this program. I am a little concerned about my referencing skills still because I think that I need more practice in it, however, I am confident about my interpersonal and communication skills. </w:t>
      </w:r>
    </w:p>
    <w:p w14:paraId="47EC9423"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Analysis</w:t>
      </w:r>
    </w:p>
    <w:p w14:paraId="59FBD4AF"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Reflecting on the employability skills I understood that 'Employability skills are described as skills that are crucial to both achieving work and enhancing the capacity of an organisation and making a significant impact on the company's strategic path (Mackay, 2017). Currently, while companies hold a fair degree of high qualifications, the employability, managerial skills and leadership abilities of their workers are given more importance. But the ability to employ is not standardised and is likely to change according to job description. What credentials students have for employability rely on particular business service criteria and many businesses have different standards. </w:t>
      </w:r>
    </w:p>
    <w:p w14:paraId="2D1B32D7"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The results of employability requirements of businesses are almost comparable and can be divided into approximately 8 fundamental competences through literature research: skills in the teamwork, skills in communications, problem-solving, planning and organisation skills, self-management skills, lifelong learning skills, technological competencies, initiatives and corporate competencies. When I was searching for literature during a task, I learned how to use keywords to find relevant articles with search engines. The performance of a literary analysis provided me with an insight into the forms work may be carried out and the numerous approaches employed. I now understand that scientific articles are checked by colleagues until they are written in authoritative journals.</w:t>
      </w:r>
    </w:p>
    <w:p w14:paraId="077A1FDA"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Conclusion</w:t>
      </w:r>
    </w:p>
    <w:p w14:paraId="73249515"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course helped us understand the significance of all elements of both verbal and non-verbal dialogue, such as body language, touch, face and eye contact. It showed me how crucial it is to express meaning in nonverbal communication. I used to improve my listening skills during my visit to the seminars, helping me to communicate with people from diverse communities and backgrounds. For example, when working in the assignment on a group task with a team, I noticed one of the group members is not </w:t>
      </w:r>
      <w:r>
        <w:rPr>
          <w:rFonts w:ascii="Times New Roman" w:eastAsia="Times New Roman" w:hAnsi="Times New Roman" w:cs="Times New Roman"/>
        </w:rPr>
        <w:lastRenderedPageBreak/>
        <w:t>on the same page as I did through her facial expression. I went over and asked her what the issue was. She told me that she didn't want to do things according to my suggestions. I reported it to the group leader immediately. After that I made the group member comfortable and kept talking with the other members of the group. I have learned from this scenario that strong communication skills are essential to the effective task of a group. Strong communication may lead to dispute resolution and better comprehension. I think that the most suitable approach to online learning is to become an independent student who requires strong listening skills and practice in itself. I have learned strong time management skills during this course, in particular for reaching deadlines for sending assignments and balancing the research process with domestic demands. At first it was difficult to access the Internet and use the electronic search method, but with the help of the IT workshop, it became clearer.</w:t>
      </w:r>
    </w:p>
    <w:p w14:paraId="5D782AE2"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t>Action Plan</w:t>
      </w:r>
    </w:p>
    <w:p w14:paraId="6611FB70"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By acquiring new skills to develop my CV, I will find part-time work to boost my employability skills.   I become more employable than others if I get work experience in the United Kingdom as it would add foreign experience in my CV. 65% of multinationals suggest that students with experience of global exposure jobs are more likely to be recruited (Tan and Laswad, 2018). </w:t>
      </w:r>
    </w:p>
    <w:p w14:paraId="5AE7E1A3"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 xml:space="preserve">I have a chance to have a good job as I move to my hometown after graduation. 'In the future America could become the world's biggest market in human resources, needing an immense amount of qualified professionals. Businesses that seek to recruit people with good language skills who return from foreign countries and people who have global exposure, e.g. a person born and raised in China, worked or trained in the USA or in Europe, and then returned to China will have more opportunities in China for him (Roberts, 2018). They give both international know-how, linguistic and cultural know-how that are never adequate.' When I enter into my professional career, I will profit from the overwhelming array of favourite policies my own government provides to overseas students. I tend to practice more on online learning and referencing methods by practising more and more.  </w:t>
      </w:r>
    </w:p>
    <w:p w14:paraId="0CC7FDEA" w14:textId="77777777" w:rsidR="00FE159F" w:rsidRDefault="00890F02">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This also significantly helped to identify the appropriate papers to add annotations to the bibliography. Another successful method of preparing to make presentations is that it allows the ability to analyse the subject and then instruct others. I scheduled a study lecture and understood little about the aspects of the analysis which would render it efficient and productive. I had some nervousness because I found it challenging to face and deliver a speech; however, I continue to focus on my fears and confidence by engaging in a group conversation with the aid of the mentor.</w:t>
      </w:r>
    </w:p>
    <w:p w14:paraId="6F64A95C" w14:textId="77777777" w:rsidR="00FE159F" w:rsidRDefault="00890F02">
      <w:pPr>
        <w:keepNext/>
        <w:keepLines/>
        <w:spacing w:before="480" w:after="0" w:line="360" w:lineRule="auto"/>
        <w:jc w:val="both"/>
        <w:rPr>
          <w:rFonts w:ascii="Times New Roman" w:eastAsia="Times New Roman" w:hAnsi="Times New Roman" w:cs="Times New Roman"/>
          <w:b/>
          <w:color w:val="366091"/>
          <w:sz w:val="28"/>
        </w:rPr>
      </w:pPr>
      <w:r>
        <w:rPr>
          <w:rFonts w:ascii="Times New Roman" w:eastAsia="Times New Roman" w:hAnsi="Times New Roman" w:cs="Times New Roman"/>
          <w:b/>
          <w:color w:val="366091"/>
          <w:sz w:val="28"/>
        </w:rPr>
        <w:lastRenderedPageBreak/>
        <w:t>Referencing</w:t>
      </w:r>
    </w:p>
    <w:p w14:paraId="03C226D6"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Abioro, M.A., Olabisi, J., Onigbinde, I.O. and Adedeji, A.M., 2020. Skill Mapping, Talent Pool Management and Organisational Development: Evidence from Professional Bodies in Nigeria. Economics and Business, 34(1), pp.46-59.</w:t>
      </w:r>
    </w:p>
    <w:p w14:paraId="4A588F52"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Mackay, M., 2017. Professional development seen as employment capital. Professional development in education, 43(1), pp.140-155.</w:t>
      </w:r>
    </w:p>
    <w:p w14:paraId="427F23BE"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Mykkänen, M. and Vos, M., 2017. Clarifying Skills and Competencies in Organisational Decision Making–Perceptions of Finnish Communication Professionals. In How Strategic Communication Shapes Value and Innovation in Society. Emerald Publishing Limited.</w:t>
      </w:r>
    </w:p>
    <w:p w14:paraId="228AF988"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Roberts, J., 2018. Future and changing roles of staff in distance education: a study to identify training and professional development needs. Distance Education, 39(1), pp.37-53.</w:t>
      </w:r>
    </w:p>
    <w:p w14:paraId="48939126"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Tan, L.M. and Laswad, F., 2018. Professional skills required of accountants: what do job advertisements tell us?. Accounting Education, 27(4), pp.403-432.</w:t>
      </w:r>
    </w:p>
    <w:p w14:paraId="6034483A"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Tingvoll, W.A., Pedersen, K.R. and Nymo, R.I.J., 2018. New practice model improved students’ leadership and organisational skills. Norwegian Journal of Clinical Nursing/Sykepleien Forskning.</w:t>
      </w:r>
    </w:p>
    <w:p w14:paraId="50C3C8B6"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Vargas-Hernández, J.G., Jiménez, R.A. and Campos, P.C., 2017. Resilience as a factor for effective organisational development. International Journal of Sustainable Strategic Management, 5(4), pp.268-274.</w:t>
      </w:r>
    </w:p>
    <w:p w14:paraId="01F7E0B0"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Chen, M. and Flowerdew, J., 2018. A critical review of research and practice in data-driven learning (DDL) in the academic writing classroom. International Journal of Corpus Linguistics, 23(3), pp.335-369.</w:t>
      </w:r>
    </w:p>
    <w:p w14:paraId="1D736900"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Dirgeyasa, I.W., 2017. College Academic Writing A Genre-Based Perspective. Prenada Media.</w:t>
      </w:r>
    </w:p>
    <w:p w14:paraId="6F8FED28"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Lillis, T., McMullan, J. and Tuck, J., 2018. Gender and academic writing. Journal of English for Academic Purposes, 32, pp.1-8.</w:t>
      </w:r>
    </w:p>
    <w:p w14:paraId="7F8A054C"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Prahmana, R.C.I., 2017. The Role of Research-Based Learning to Enhance Students' Research and Academic Writing Skills. Journal of education and Learning, 11(3), pp.351-366.</w:t>
      </w:r>
    </w:p>
    <w:p w14:paraId="6CFA38DB" w14:textId="77777777" w:rsidR="00FE159F" w:rsidRDefault="00890F02">
      <w:pPr>
        <w:spacing w:after="200" w:line="360" w:lineRule="auto"/>
        <w:ind w:left="720" w:hanging="720"/>
        <w:jc w:val="both"/>
        <w:rPr>
          <w:rFonts w:ascii="Times New Roman" w:eastAsia="Times New Roman" w:hAnsi="Times New Roman" w:cs="Times New Roman"/>
        </w:rPr>
      </w:pPr>
      <w:r>
        <w:rPr>
          <w:rFonts w:ascii="Times New Roman" w:eastAsia="Times New Roman" w:hAnsi="Times New Roman" w:cs="Times New Roman"/>
        </w:rPr>
        <w:t>Strobl, C., Ailhaud, E., Benetos, K., Devitt, A., Kruse, O., Proske, A. and Rapp, C., 2019. Digital support for academic writing: A review of technologies and pedagogies. Computers &amp; Education, 131, pp.33-48.</w:t>
      </w:r>
    </w:p>
    <w:sectPr w:rsidR="00FE1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00691"/>
    <w:multiLevelType w:val="hybridMultilevel"/>
    <w:tmpl w:val="50C28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15B5E"/>
    <w:multiLevelType w:val="hybridMultilevel"/>
    <w:tmpl w:val="BEFEB9BA"/>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59F"/>
    <w:rsid w:val="00222B14"/>
    <w:rsid w:val="00463A40"/>
    <w:rsid w:val="004734E1"/>
    <w:rsid w:val="00890F02"/>
    <w:rsid w:val="00FE1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2CA3A"/>
  <w15:docId w15:val="{0E27CD84-1D61-4123-99C8-4E8584C54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4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2433</Words>
  <Characters>13872</Characters>
  <Application>Microsoft Office Word</Application>
  <DocSecurity>0</DocSecurity>
  <Lines>115</Lines>
  <Paragraphs>32</Paragraphs>
  <ScaleCrop>false</ScaleCrop>
  <Company/>
  <LinksUpToDate>false</LinksUpToDate>
  <CharactersWithSpaces>16273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cex</dc:creator>
  <cp:lastModifiedBy>Tokunbo Nuga</cp:lastModifiedBy>
  <cp:revision>4</cp:revision>
  <dcterms:created xsi:type="dcterms:W3CDTF">2020-08-21T12:43:00Z</dcterms:created>
  <dcterms:modified xsi:type="dcterms:W3CDTF">2020-08-25T21:32:00Z</dcterms:modified>
</cp:coreProperties>
</file>