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EB308A" w14:textId="77777777" w:rsidR="001932DA" w:rsidRDefault="001932DA" w:rsidP="001932DA">
      <w:pPr>
        <w:rPr>
          <w:b/>
          <w:bCs/>
          <w:sz w:val="24"/>
          <w:szCs w:val="24"/>
        </w:rPr>
      </w:pPr>
      <w:r>
        <w:rPr>
          <w:b/>
          <w:bCs/>
          <w:sz w:val="24"/>
          <w:szCs w:val="24"/>
          <w:u w:val="single"/>
        </w:rPr>
        <w:t>COMMENTARY 2</w:t>
      </w:r>
    </w:p>
    <w:p w14:paraId="2CB22335" w14:textId="77777777" w:rsidR="001932DA" w:rsidRPr="00135FFF" w:rsidRDefault="001932DA" w:rsidP="001932DA">
      <w:pPr>
        <w:spacing w:after="0" w:line="240" w:lineRule="auto"/>
        <w:rPr>
          <w:b/>
          <w:bCs/>
          <w:sz w:val="24"/>
          <w:szCs w:val="24"/>
        </w:rPr>
      </w:pPr>
      <w:r>
        <w:rPr>
          <w:b/>
          <w:bCs/>
          <w:sz w:val="24"/>
          <w:szCs w:val="24"/>
        </w:rPr>
        <w:t>“</w:t>
      </w:r>
      <w:r w:rsidRPr="00135FFF">
        <w:rPr>
          <w:b/>
          <w:bCs/>
          <w:sz w:val="24"/>
          <w:szCs w:val="24"/>
        </w:rPr>
        <w:t xml:space="preserve">Upon the death of their father, the brethren of the New Monastery are to send three messengers to the abbots, as we have said above – or more should they wish to do so – and are to gather there as many as they can summon within fifteen days; and with their consent, let them appoint as their shepherd one whom God has foreseen. In the meantime, however, the lord abbot of La </w:t>
      </w:r>
      <w:proofErr w:type="spellStart"/>
      <w:r w:rsidRPr="00135FFF">
        <w:rPr>
          <w:b/>
          <w:bCs/>
          <w:sz w:val="24"/>
          <w:szCs w:val="24"/>
        </w:rPr>
        <w:t>Ferté</w:t>
      </w:r>
      <w:proofErr w:type="spellEnd"/>
      <w:r w:rsidRPr="00135FFF">
        <w:rPr>
          <w:b/>
          <w:bCs/>
          <w:sz w:val="24"/>
          <w:szCs w:val="24"/>
        </w:rPr>
        <w:t xml:space="preserve"> is to take the place of the deceased abbot in everything, as we have said earlier regarding a different matter, until another abbot may, upon being elected, receive with the help of God both the place and its pastoral care. Also, in the rest of the monasteries widowed in whatever manner of their pastor, let the brethren of that place convoke the abbot of that church which gave it birth, and in his presence and with his advice let them elect for themselves an abbot from among their own brethren or those of the New Monastery or from the other churches</w:t>
      </w:r>
      <w:r>
        <w:rPr>
          <w:b/>
          <w:bCs/>
          <w:sz w:val="24"/>
          <w:szCs w:val="24"/>
        </w:rPr>
        <w:t>”</w:t>
      </w:r>
      <w:r w:rsidRPr="00135FFF">
        <w:rPr>
          <w:b/>
          <w:bCs/>
          <w:sz w:val="24"/>
          <w:szCs w:val="24"/>
        </w:rPr>
        <w:t>.</w:t>
      </w:r>
    </w:p>
    <w:p w14:paraId="48FD7282" w14:textId="77777777" w:rsidR="001932DA" w:rsidRPr="00135FFF" w:rsidRDefault="001932DA" w:rsidP="001932DA">
      <w:pPr>
        <w:spacing w:after="0" w:line="240" w:lineRule="auto"/>
        <w:rPr>
          <w:b/>
          <w:bCs/>
          <w:sz w:val="24"/>
          <w:szCs w:val="24"/>
        </w:rPr>
      </w:pPr>
      <w:r w:rsidRPr="00135FFF">
        <w:rPr>
          <w:b/>
          <w:bCs/>
          <w:sz w:val="24"/>
          <w:szCs w:val="24"/>
        </w:rPr>
        <w:t xml:space="preserve">(Carta </w:t>
      </w:r>
      <w:proofErr w:type="spellStart"/>
      <w:r w:rsidRPr="00135FFF">
        <w:rPr>
          <w:b/>
          <w:bCs/>
          <w:sz w:val="24"/>
          <w:szCs w:val="24"/>
        </w:rPr>
        <w:t>Caritatis</w:t>
      </w:r>
      <w:proofErr w:type="spellEnd"/>
      <w:r w:rsidRPr="00135FFF">
        <w:rPr>
          <w:b/>
          <w:bCs/>
          <w:sz w:val="24"/>
          <w:szCs w:val="24"/>
        </w:rPr>
        <w:t>)</w:t>
      </w:r>
    </w:p>
    <w:p w14:paraId="3E1EBF4A" w14:textId="77777777" w:rsidR="001932DA" w:rsidRPr="00135FFF" w:rsidRDefault="001932DA" w:rsidP="001932DA">
      <w:pPr>
        <w:rPr>
          <w:b/>
          <w:bCs/>
          <w:sz w:val="24"/>
          <w:szCs w:val="24"/>
        </w:rPr>
      </w:pPr>
    </w:p>
    <w:p w14:paraId="3C9D6076" w14:textId="77777777" w:rsidR="001932DA" w:rsidRDefault="001932DA" w:rsidP="001932DA">
      <w:pPr>
        <w:rPr>
          <w:sz w:val="24"/>
          <w:szCs w:val="24"/>
        </w:rPr>
      </w:pPr>
    </w:p>
    <w:p w14:paraId="62F42F8A" w14:textId="16A8BF73" w:rsidR="001932DA" w:rsidRDefault="001932DA" w:rsidP="00D95CF6">
      <w:pPr>
        <w:rPr>
          <w:sz w:val="24"/>
          <w:szCs w:val="24"/>
        </w:rPr>
      </w:pPr>
      <w:r w:rsidRPr="00F36928">
        <w:rPr>
          <w:sz w:val="24"/>
          <w:szCs w:val="24"/>
        </w:rPr>
        <w:t xml:space="preserve">This passage is taken from Chapter 11 of the </w:t>
      </w:r>
      <w:r w:rsidRPr="00F36928">
        <w:rPr>
          <w:i/>
          <w:sz w:val="24"/>
          <w:szCs w:val="24"/>
        </w:rPr>
        <w:t xml:space="preserve">Carta </w:t>
      </w:r>
      <w:proofErr w:type="spellStart"/>
      <w:r w:rsidRPr="00F36928">
        <w:rPr>
          <w:i/>
          <w:sz w:val="24"/>
          <w:szCs w:val="24"/>
        </w:rPr>
        <w:t>Caritatis</w:t>
      </w:r>
      <w:proofErr w:type="spellEnd"/>
      <w:r w:rsidRPr="00F36928">
        <w:rPr>
          <w:sz w:val="24"/>
          <w:szCs w:val="24"/>
        </w:rPr>
        <w:t xml:space="preserve">, the Cistercian </w:t>
      </w:r>
      <w:proofErr w:type="gramStart"/>
      <w:r w:rsidRPr="00F36928">
        <w:rPr>
          <w:sz w:val="24"/>
          <w:szCs w:val="24"/>
        </w:rPr>
        <w:t>Order’s  Charter</w:t>
      </w:r>
      <w:proofErr w:type="gramEnd"/>
      <w:r w:rsidRPr="00F36928">
        <w:rPr>
          <w:sz w:val="24"/>
          <w:szCs w:val="24"/>
        </w:rPr>
        <w:t xml:space="preserve"> of Charity. The traditional view of Cistercian origins is that in 1098 Robert of </w:t>
      </w:r>
      <w:proofErr w:type="spellStart"/>
      <w:r w:rsidRPr="00F36928">
        <w:rPr>
          <w:sz w:val="24"/>
          <w:szCs w:val="24"/>
        </w:rPr>
        <w:t>Molesme</w:t>
      </w:r>
      <w:proofErr w:type="spellEnd"/>
      <w:r w:rsidRPr="00F36928">
        <w:rPr>
          <w:sz w:val="24"/>
          <w:szCs w:val="24"/>
        </w:rPr>
        <w:t xml:space="preserve"> rejected the perceived corruption of </w:t>
      </w:r>
      <w:proofErr w:type="gramStart"/>
      <w:r w:rsidRPr="00F36928">
        <w:rPr>
          <w:sz w:val="24"/>
          <w:szCs w:val="24"/>
        </w:rPr>
        <w:t>the  Benedictine</w:t>
      </w:r>
      <w:proofErr w:type="gramEnd"/>
      <w:r w:rsidRPr="00F36928">
        <w:rPr>
          <w:sz w:val="24"/>
          <w:szCs w:val="24"/>
        </w:rPr>
        <w:t xml:space="preserve"> model, left </w:t>
      </w:r>
      <w:proofErr w:type="spellStart"/>
      <w:r w:rsidRPr="00F36928">
        <w:rPr>
          <w:sz w:val="24"/>
          <w:szCs w:val="24"/>
        </w:rPr>
        <w:t>Molesme</w:t>
      </w:r>
      <w:proofErr w:type="spellEnd"/>
      <w:r w:rsidRPr="00F36928">
        <w:rPr>
          <w:sz w:val="24"/>
          <w:szCs w:val="24"/>
        </w:rPr>
        <w:t xml:space="preserve"> Abbey and established the</w:t>
      </w:r>
      <w:r w:rsidRPr="00F36928">
        <w:rPr>
          <w:i/>
          <w:sz w:val="24"/>
          <w:szCs w:val="24"/>
        </w:rPr>
        <w:t xml:space="preserve"> New Monastery</w:t>
      </w:r>
      <w:r w:rsidRPr="00F36928">
        <w:rPr>
          <w:sz w:val="24"/>
          <w:szCs w:val="24"/>
        </w:rPr>
        <w:t xml:space="preserve"> at Citeaux. The intention was to follow the Rule of St. Benedict more faithfully.  </w:t>
      </w:r>
      <w:r w:rsidRPr="00D95CF6">
        <w:rPr>
          <w:sz w:val="24"/>
          <w:szCs w:val="24"/>
        </w:rPr>
        <w:t xml:space="preserve">It was in Citeaux that Abott Stephen Harding wrote the </w:t>
      </w:r>
      <w:r w:rsidRPr="00D95CF6">
        <w:rPr>
          <w:i/>
          <w:sz w:val="24"/>
          <w:szCs w:val="24"/>
        </w:rPr>
        <w:t xml:space="preserve">Carta </w:t>
      </w:r>
      <w:proofErr w:type="spellStart"/>
      <w:r w:rsidRPr="00D95CF6">
        <w:rPr>
          <w:i/>
          <w:sz w:val="24"/>
          <w:szCs w:val="24"/>
        </w:rPr>
        <w:t>Caritatis</w:t>
      </w:r>
      <w:proofErr w:type="spellEnd"/>
      <w:r w:rsidRPr="00D95CF6">
        <w:rPr>
          <w:sz w:val="24"/>
          <w:szCs w:val="24"/>
        </w:rPr>
        <w:t>. Approved by the pope in 1119 it formalised the organisation of and interaction between Cistercian abbeys and became their “first official constitution” (</w:t>
      </w:r>
      <w:proofErr w:type="spellStart"/>
      <w:r w:rsidRPr="00D95CF6">
        <w:rPr>
          <w:sz w:val="24"/>
          <w:szCs w:val="24"/>
        </w:rPr>
        <w:t>Jamroziak</w:t>
      </w:r>
      <w:proofErr w:type="spellEnd"/>
      <w:r w:rsidRPr="00D95CF6">
        <w:rPr>
          <w:sz w:val="24"/>
          <w:szCs w:val="24"/>
        </w:rPr>
        <w:t>, 2015, p.</w:t>
      </w:r>
      <w:r w:rsidRPr="00283C61">
        <w:rPr>
          <w:sz w:val="24"/>
          <w:szCs w:val="24"/>
        </w:rPr>
        <w:t xml:space="preserve"> 7)</w:t>
      </w:r>
      <w:r w:rsidRPr="00F36928">
        <w:rPr>
          <w:sz w:val="24"/>
          <w:szCs w:val="24"/>
        </w:rPr>
        <w:t>. There are three recognised versions</w:t>
      </w:r>
      <w:r w:rsidRPr="00F36928">
        <w:rPr>
          <w:i/>
          <w:sz w:val="24"/>
          <w:szCs w:val="24"/>
        </w:rPr>
        <w:t xml:space="preserve">:  Carta </w:t>
      </w:r>
      <w:proofErr w:type="spellStart"/>
      <w:r w:rsidRPr="00F36928">
        <w:rPr>
          <w:i/>
          <w:sz w:val="24"/>
          <w:szCs w:val="24"/>
        </w:rPr>
        <w:t>Caritatis</w:t>
      </w:r>
      <w:proofErr w:type="spellEnd"/>
      <w:r w:rsidRPr="00F36928">
        <w:rPr>
          <w:i/>
          <w:sz w:val="24"/>
          <w:szCs w:val="24"/>
        </w:rPr>
        <w:t xml:space="preserve"> Prior, Carta </w:t>
      </w:r>
      <w:proofErr w:type="spellStart"/>
      <w:r w:rsidRPr="00F36928">
        <w:rPr>
          <w:i/>
          <w:sz w:val="24"/>
          <w:szCs w:val="24"/>
        </w:rPr>
        <w:t>Caritatis</w:t>
      </w:r>
      <w:proofErr w:type="spellEnd"/>
      <w:r w:rsidRPr="00F36928">
        <w:rPr>
          <w:sz w:val="24"/>
          <w:szCs w:val="24"/>
        </w:rPr>
        <w:t xml:space="preserve"> </w:t>
      </w:r>
      <w:r w:rsidRPr="00F36928">
        <w:rPr>
          <w:i/>
          <w:sz w:val="24"/>
          <w:szCs w:val="24"/>
        </w:rPr>
        <w:t>Summae</w:t>
      </w:r>
      <w:r w:rsidRPr="00F36928">
        <w:rPr>
          <w:sz w:val="24"/>
          <w:szCs w:val="24"/>
        </w:rPr>
        <w:t xml:space="preserve"> and </w:t>
      </w:r>
      <w:r w:rsidRPr="00F36928">
        <w:rPr>
          <w:i/>
          <w:sz w:val="24"/>
          <w:szCs w:val="24"/>
        </w:rPr>
        <w:t xml:space="preserve">Carta </w:t>
      </w:r>
      <w:proofErr w:type="spellStart"/>
      <w:r w:rsidRPr="00F36928">
        <w:rPr>
          <w:i/>
          <w:sz w:val="24"/>
          <w:szCs w:val="24"/>
        </w:rPr>
        <w:t>Caritatis</w:t>
      </w:r>
      <w:proofErr w:type="spellEnd"/>
      <w:r w:rsidRPr="00F36928">
        <w:rPr>
          <w:i/>
          <w:sz w:val="24"/>
          <w:szCs w:val="24"/>
        </w:rPr>
        <w:t xml:space="preserve"> Posterior</w:t>
      </w:r>
      <w:r w:rsidRPr="00F36928">
        <w:rPr>
          <w:sz w:val="24"/>
          <w:szCs w:val="24"/>
        </w:rPr>
        <w:t xml:space="preserve">. The title text was likely taken from the </w:t>
      </w:r>
      <w:r w:rsidRPr="00F36928">
        <w:rPr>
          <w:i/>
          <w:sz w:val="24"/>
          <w:szCs w:val="24"/>
        </w:rPr>
        <w:t>Prior</w:t>
      </w:r>
      <w:r w:rsidR="00D95CF6">
        <w:rPr>
          <w:i/>
          <w:sz w:val="24"/>
          <w:szCs w:val="24"/>
        </w:rPr>
        <w:t xml:space="preserve">, </w:t>
      </w:r>
      <w:r w:rsidRPr="0038003B">
        <w:rPr>
          <w:sz w:val="24"/>
          <w:szCs w:val="24"/>
        </w:rPr>
        <w:t>this being the</w:t>
      </w:r>
      <w:r w:rsidRPr="00E70849">
        <w:rPr>
          <w:color w:val="FF0000"/>
          <w:sz w:val="24"/>
          <w:szCs w:val="24"/>
        </w:rPr>
        <w:t xml:space="preserve"> </w:t>
      </w:r>
      <w:r w:rsidRPr="00F36928">
        <w:rPr>
          <w:sz w:val="24"/>
          <w:szCs w:val="24"/>
        </w:rPr>
        <w:t>only one referencing the</w:t>
      </w:r>
      <w:r w:rsidRPr="00F36928">
        <w:rPr>
          <w:i/>
          <w:sz w:val="24"/>
          <w:szCs w:val="24"/>
        </w:rPr>
        <w:t xml:space="preserve"> New Monastery </w:t>
      </w:r>
      <w:r w:rsidRPr="00D323C9">
        <w:rPr>
          <w:sz w:val="24"/>
          <w:szCs w:val="24"/>
        </w:rPr>
        <w:t>(Berman, 2010, p. 56).</w:t>
      </w:r>
    </w:p>
    <w:p w14:paraId="62C56BBA" w14:textId="77777777" w:rsidR="00D95CF6" w:rsidRPr="00F36928" w:rsidRDefault="00D95CF6" w:rsidP="00D95CF6">
      <w:pPr>
        <w:rPr>
          <w:sz w:val="24"/>
          <w:szCs w:val="24"/>
        </w:rPr>
      </w:pPr>
    </w:p>
    <w:p w14:paraId="4CD0A8C2" w14:textId="4BE10EB0" w:rsidR="001932DA" w:rsidRDefault="001932DA" w:rsidP="001932DA">
      <w:pPr>
        <w:rPr>
          <w:sz w:val="24"/>
          <w:szCs w:val="24"/>
        </w:rPr>
      </w:pPr>
      <w:r w:rsidRPr="00D90D39">
        <w:rPr>
          <w:sz w:val="24"/>
          <w:szCs w:val="24"/>
        </w:rPr>
        <w:t>Much</w:t>
      </w:r>
      <w:r w:rsidRPr="00F36928">
        <w:rPr>
          <w:sz w:val="24"/>
          <w:szCs w:val="24"/>
        </w:rPr>
        <w:t xml:space="preserve"> debate has centred on the defining effect the </w:t>
      </w:r>
      <w:r w:rsidRPr="00F36928">
        <w:rPr>
          <w:i/>
          <w:sz w:val="24"/>
          <w:szCs w:val="24"/>
        </w:rPr>
        <w:t xml:space="preserve">Carta </w:t>
      </w:r>
      <w:proofErr w:type="spellStart"/>
      <w:r w:rsidRPr="00F36928">
        <w:rPr>
          <w:i/>
          <w:sz w:val="24"/>
          <w:szCs w:val="24"/>
        </w:rPr>
        <w:t>Caritatis</w:t>
      </w:r>
      <w:proofErr w:type="spellEnd"/>
      <w:r w:rsidRPr="00F36928">
        <w:rPr>
          <w:i/>
          <w:sz w:val="24"/>
          <w:szCs w:val="24"/>
        </w:rPr>
        <w:t xml:space="preserve"> </w:t>
      </w:r>
      <w:r w:rsidRPr="00F36928">
        <w:rPr>
          <w:sz w:val="24"/>
          <w:szCs w:val="24"/>
        </w:rPr>
        <w:t xml:space="preserve">had on the Cistercian Order.  </w:t>
      </w:r>
      <w:bookmarkStart w:id="0" w:name="_Hlk89498912"/>
      <w:proofErr w:type="spellStart"/>
      <w:r w:rsidRPr="00F36928">
        <w:rPr>
          <w:sz w:val="24"/>
          <w:szCs w:val="24"/>
        </w:rPr>
        <w:t>Jamroziak</w:t>
      </w:r>
      <w:bookmarkEnd w:id="0"/>
      <w:proofErr w:type="spellEnd"/>
      <w:r w:rsidRPr="00F36928">
        <w:rPr>
          <w:sz w:val="24"/>
          <w:szCs w:val="24"/>
        </w:rPr>
        <w:t xml:space="preserve"> points to the traditional view of scholars, such as Le</w:t>
      </w:r>
      <w:r w:rsidR="00311C52">
        <w:rPr>
          <w:sz w:val="24"/>
          <w:szCs w:val="24"/>
        </w:rPr>
        <w:t>k</w:t>
      </w:r>
      <w:r w:rsidRPr="00F36928">
        <w:rPr>
          <w:sz w:val="24"/>
          <w:szCs w:val="24"/>
        </w:rPr>
        <w:t>ai, who concluded that “the original body of ideas and practices developed and codified in the early twelfth centuries-remained the guiding principle for all the Cistercian houses throughout their history”</w:t>
      </w:r>
      <w:r>
        <w:rPr>
          <w:sz w:val="24"/>
          <w:szCs w:val="24"/>
        </w:rPr>
        <w:t xml:space="preserve"> </w:t>
      </w:r>
      <w:r w:rsidRPr="00F36928">
        <w:rPr>
          <w:sz w:val="24"/>
          <w:szCs w:val="24"/>
        </w:rPr>
        <w:t>(</w:t>
      </w:r>
      <w:proofErr w:type="spellStart"/>
      <w:r w:rsidRPr="00D323C9">
        <w:rPr>
          <w:sz w:val="24"/>
          <w:szCs w:val="24"/>
        </w:rPr>
        <w:t>Jamroziak</w:t>
      </w:r>
      <w:proofErr w:type="spellEnd"/>
      <w:r w:rsidRPr="00D323C9">
        <w:rPr>
          <w:sz w:val="24"/>
          <w:szCs w:val="24"/>
        </w:rPr>
        <w:t>, 2015, p. 7).  It</w:t>
      </w:r>
      <w:r w:rsidRPr="00F36928">
        <w:rPr>
          <w:sz w:val="24"/>
          <w:szCs w:val="24"/>
        </w:rPr>
        <w:t xml:space="preserve"> may </w:t>
      </w:r>
      <w:r w:rsidRPr="0038003B">
        <w:rPr>
          <w:sz w:val="24"/>
          <w:szCs w:val="24"/>
        </w:rPr>
        <w:t>well h</w:t>
      </w:r>
      <w:r w:rsidRPr="00F36928">
        <w:rPr>
          <w:sz w:val="24"/>
          <w:szCs w:val="24"/>
        </w:rPr>
        <w:t>ave remained the guiding principle, but that is not to say its application was set in stone</w:t>
      </w:r>
      <w:r w:rsidRPr="00D95CF6">
        <w:rPr>
          <w:sz w:val="24"/>
          <w:szCs w:val="24"/>
        </w:rPr>
        <w:t xml:space="preserve">. Most scholars contend that the </w:t>
      </w:r>
      <w:r w:rsidRPr="00D95CF6">
        <w:rPr>
          <w:i/>
          <w:sz w:val="24"/>
          <w:szCs w:val="24"/>
        </w:rPr>
        <w:t xml:space="preserve">Carta </w:t>
      </w:r>
      <w:proofErr w:type="spellStart"/>
      <w:r w:rsidRPr="00D95CF6">
        <w:rPr>
          <w:i/>
          <w:sz w:val="24"/>
          <w:szCs w:val="24"/>
        </w:rPr>
        <w:t>Caritatis</w:t>
      </w:r>
      <w:proofErr w:type="spellEnd"/>
      <w:r w:rsidRPr="00D95CF6">
        <w:rPr>
          <w:sz w:val="24"/>
          <w:szCs w:val="24"/>
        </w:rPr>
        <w:t xml:space="preserve"> evolved with subsequent redrafts and that ability to adapt was key to their success.</w:t>
      </w:r>
      <w:r>
        <w:rPr>
          <w:sz w:val="24"/>
          <w:szCs w:val="24"/>
        </w:rPr>
        <w:t xml:space="preserve"> </w:t>
      </w:r>
      <w:r w:rsidRPr="00D323C9">
        <w:rPr>
          <w:sz w:val="24"/>
          <w:szCs w:val="24"/>
        </w:rPr>
        <w:t xml:space="preserve">(Newman, </w:t>
      </w:r>
      <w:proofErr w:type="gramStart"/>
      <w:r w:rsidRPr="00D323C9">
        <w:rPr>
          <w:sz w:val="24"/>
          <w:szCs w:val="24"/>
        </w:rPr>
        <w:t>2012,  p.</w:t>
      </w:r>
      <w:proofErr w:type="gramEnd"/>
      <w:r w:rsidRPr="00D323C9">
        <w:rPr>
          <w:sz w:val="24"/>
          <w:szCs w:val="24"/>
        </w:rPr>
        <w:t xml:space="preserve"> 26).</w:t>
      </w:r>
      <w:r w:rsidRPr="00F36928">
        <w:rPr>
          <w:sz w:val="24"/>
          <w:szCs w:val="24"/>
        </w:rPr>
        <w:t xml:space="preserve">  </w:t>
      </w:r>
      <w:r w:rsidRPr="0038003B">
        <w:rPr>
          <w:sz w:val="24"/>
          <w:szCs w:val="24"/>
        </w:rPr>
        <w:t>Lawrence ad</w:t>
      </w:r>
      <w:r>
        <w:rPr>
          <w:sz w:val="24"/>
          <w:szCs w:val="24"/>
        </w:rPr>
        <w:t>ded</w:t>
      </w:r>
      <w:r w:rsidRPr="0038003B">
        <w:rPr>
          <w:sz w:val="24"/>
          <w:szCs w:val="24"/>
        </w:rPr>
        <w:t xml:space="preserve"> a political perspective</w:t>
      </w:r>
      <w:r>
        <w:rPr>
          <w:sz w:val="24"/>
          <w:szCs w:val="24"/>
        </w:rPr>
        <w:t>,</w:t>
      </w:r>
      <w:r w:rsidRPr="0038003B">
        <w:rPr>
          <w:sz w:val="24"/>
          <w:szCs w:val="24"/>
        </w:rPr>
        <w:t xml:space="preserve"> viewing th</w:t>
      </w:r>
      <w:r>
        <w:rPr>
          <w:sz w:val="24"/>
          <w:szCs w:val="24"/>
        </w:rPr>
        <w:t>e</w:t>
      </w:r>
      <w:r w:rsidRPr="0038003B">
        <w:rPr>
          <w:sz w:val="24"/>
          <w:szCs w:val="24"/>
        </w:rPr>
        <w:t xml:space="preserve"> evolution as a change </w:t>
      </w:r>
      <w:proofErr w:type="gramStart"/>
      <w:r w:rsidRPr="0038003B">
        <w:rPr>
          <w:sz w:val="24"/>
          <w:szCs w:val="24"/>
        </w:rPr>
        <w:t>from  autocratic</w:t>
      </w:r>
      <w:proofErr w:type="gramEnd"/>
      <w:r w:rsidRPr="0038003B">
        <w:rPr>
          <w:sz w:val="24"/>
          <w:szCs w:val="24"/>
        </w:rPr>
        <w:t xml:space="preserve"> to representative</w:t>
      </w:r>
      <w:r>
        <w:rPr>
          <w:sz w:val="24"/>
          <w:szCs w:val="24"/>
        </w:rPr>
        <w:t xml:space="preserve">.  </w:t>
      </w:r>
      <w:r w:rsidRPr="0038003B">
        <w:rPr>
          <w:sz w:val="24"/>
          <w:szCs w:val="24"/>
        </w:rPr>
        <w:t xml:space="preserve"> </w:t>
      </w:r>
      <w:r>
        <w:rPr>
          <w:sz w:val="24"/>
          <w:szCs w:val="24"/>
        </w:rPr>
        <w:t>T</w:t>
      </w:r>
      <w:r w:rsidRPr="0038003B">
        <w:rPr>
          <w:sz w:val="24"/>
          <w:szCs w:val="24"/>
        </w:rPr>
        <w:t xml:space="preserve">his produced an almost federal network, </w:t>
      </w:r>
      <w:proofErr w:type="gramStart"/>
      <w:r w:rsidRPr="0038003B">
        <w:rPr>
          <w:sz w:val="24"/>
          <w:szCs w:val="24"/>
        </w:rPr>
        <w:t>which  "</w:t>
      </w:r>
      <w:proofErr w:type="gramEnd"/>
      <w:r w:rsidRPr="0038003B">
        <w:rPr>
          <w:sz w:val="24"/>
          <w:szCs w:val="24"/>
        </w:rPr>
        <w:t>ensured strict a</w:t>
      </w:r>
      <w:r w:rsidRPr="00F36928">
        <w:rPr>
          <w:sz w:val="24"/>
          <w:szCs w:val="24"/>
        </w:rPr>
        <w:t>nd uniform observance of the Rule by a system of mutual supervision</w:t>
      </w:r>
      <w:r w:rsidRPr="00D323C9">
        <w:rPr>
          <w:sz w:val="24"/>
          <w:szCs w:val="24"/>
        </w:rPr>
        <w:t>"</w:t>
      </w:r>
      <w:r>
        <w:rPr>
          <w:sz w:val="24"/>
          <w:szCs w:val="24"/>
        </w:rPr>
        <w:t xml:space="preserve"> </w:t>
      </w:r>
      <w:r w:rsidRPr="00D323C9">
        <w:rPr>
          <w:sz w:val="24"/>
          <w:szCs w:val="24"/>
        </w:rPr>
        <w:t>(Lawrence, 2015, p. 21).</w:t>
      </w:r>
    </w:p>
    <w:p w14:paraId="7BE6FC54" w14:textId="77777777" w:rsidR="001932DA" w:rsidRPr="00F36928" w:rsidRDefault="001932DA" w:rsidP="001932DA">
      <w:pPr>
        <w:rPr>
          <w:sz w:val="24"/>
          <w:szCs w:val="24"/>
        </w:rPr>
      </w:pPr>
    </w:p>
    <w:p w14:paraId="676B2B42" w14:textId="4AC2AD50" w:rsidR="001932DA" w:rsidRDefault="001932DA" w:rsidP="001932DA">
      <w:pPr>
        <w:rPr>
          <w:sz w:val="24"/>
          <w:szCs w:val="24"/>
        </w:rPr>
      </w:pPr>
      <w:r w:rsidRPr="00F36928">
        <w:rPr>
          <w:sz w:val="24"/>
          <w:szCs w:val="24"/>
        </w:rPr>
        <w:lastRenderedPageBreak/>
        <w:t>Linked to this theme</w:t>
      </w:r>
      <w:r w:rsidRPr="00D95CF6">
        <w:rPr>
          <w:sz w:val="24"/>
          <w:szCs w:val="24"/>
        </w:rPr>
        <w:t>, controversy surrounds</w:t>
      </w:r>
      <w:r w:rsidRPr="00D95CF6">
        <w:rPr>
          <w:b/>
          <w:sz w:val="24"/>
          <w:szCs w:val="24"/>
        </w:rPr>
        <w:t xml:space="preserve"> </w:t>
      </w:r>
      <w:r w:rsidRPr="00D95CF6">
        <w:rPr>
          <w:sz w:val="24"/>
          <w:szCs w:val="24"/>
        </w:rPr>
        <w:t>the precise date of the</w:t>
      </w:r>
      <w:r w:rsidRPr="00F36928">
        <w:rPr>
          <w:sz w:val="24"/>
          <w:szCs w:val="24"/>
        </w:rPr>
        <w:t xml:space="preserve"> </w:t>
      </w:r>
      <w:r w:rsidRPr="00F36928">
        <w:rPr>
          <w:i/>
          <w:sz w:val="24"/>
          <w:szCs w:val="24"/>
        </w:rPr>
        <w:t xml:space="preserve">Carta </w:t>
      </w:r>
      <w:proofErr w:type="spellStart"/>
      <w:r w:rsidRPr="00F36928">
        <w:rPr>
          <w:i/>
          <w:sz w:val="24"/>
          <w:szCs w:val="24"/>
        </w:rPr>
        <w:t>Caritatis</w:t>
      </w:r>
      <w:proofErr w:type="spellEnd"/>
      <w:r w:rsidRPr="00F36928">
        <w:rPr>
          <w:i/>
          <w:sz w:val="24"/>
          <w:szCs w:val="24"/>
        </w:rPr>
        <w:t xml:space="preserve">. </w:t>
      </w:r>
      <w:r w:rsidRPr="00F36928">
        <w:rPr>
          <w:sz w:val="24"/>
          <w:szCs w:val="24"/>
        </w:rPr>
        <w:t xml:space="preserve"> Berman argued that the </w:t>
      </w:r>
      <w:r w:rsidRPr="00F36928">
        <w:rPr>
          <w:i/>
          <w:sz w:val="24"/>
          <w:szCs w:val="24"/>
        </w:rPr>
        <w:t xml:space="preserve">Summae </w:t>
      </w:r>
      <w:r w:rsidRPr="00F36928">
        <w:rPr>
          <w:sz w:val="24"/>
          <w:szCs w:val="24"/>
        </w:rPr>
        <w:t xml:space="preserve">is essentially the original Charter of Charity, which was confirmed in 1119 but now lost. This, together with the </w:t>
      </w:r>
      <w:r w:rsidRPr="00F36928">
        <w:rPr>
          <w:i/>
          <w:sz w:val="24"/>
          <w:szCs w:val="24"/>
        </w:rPr>
        <w:t xml:space="preserve">Exordium </w:t>
      </w:r>
      <w:proofErr w:type="spellStart"/>
      <w:r w:rsidRPr="00F36928">
        <w:rPr>
          <w:i/>
          <w:sz w:val="24"/>
          <w:szCs w:val="24"/>
        </w:rPr>
        <w:t>Parvuum</w:t>
      </w:r>
      <w:proofErr w:type="spellEnd"/>
      <w:r w:rsidRPr="00F36928">
        <w:rPr>
          <w:sz w:val="24"/>
          <w:szCs w:val="24"/>
        </w:rPr>
        <w:t xml:space="preserve">, date to 1163-65 </w:t>
      </w:r>
      <w:r w:rsidRPr="00D323C9">
        <w:rPr>
          <w:sz w:val="24"/>
          <w:szCs w:val="24"/>
        </w:rPr>
        <w:t>(Berman, 2010, p. 59).</w:t>
      </w:r>
      <w:r>
        <w:rPr>
          <w:sz w:val="24"/>
          <w:szCs w:val="24"/>
        </w:rPr>
        <w:t xml:space="preserve"> </w:t>
      </w:r>
      <w:r w:rsidRPr="00F36928">
        <w:rPr>
          <w:sz w:val="24"/>
          <w:szCs w:val="24"/>
        </w:rPr>
        <w:t xml:space="preserve">The basis of the argument is that the Cistercians had been guilty of some creative accounting. Berman contends that pope Alexander III admonished </w:t>
      </w:r>
      <w:proofErr w:type="gramStart"/>
      <w:r w:rsidRPr="00F36928">
        <w:rPr>
          <w:sz w:val="24"/>
          <w:szCs w:val="24"/>
        </w:rPr>
        <w:t>the  Cistercians</w:t>
      </w:r>
      <w:proofErr w:type="gramEnd"/>
      <w:r w:rsidRPr="00F36928">
        <w:rPr>
          <w:sz w:val="24"/>
          <w:szCs w:val="24"/>
        </w:rPr>
        <w:t xml:space="preserve"> in a letter and that their response was </w:t>
      </w:r>
      <w:r>
        <w:rPr>
          <w:sz w:val="24"/>
          <w:szCs w:val="24"/>
        </w:rPr>
        <w:t>“</w:t>
      </w:r>
      <w:r w:rsidRPr="00F36928">
        <w:rPr>
          <w:sz w:val="24"/>
          <w:szCs w:val="24"/>
        </w:rPr>
        <w:t xml:space="preserve">the writing of a new and more lengthy Carta </w:t>
      </w:r>
      <w:proofErr w:type="spellStart"/>
      <w:r w:rsidRPr="00F36928">
        <w:rPr>
          <w:sz w:val="24"/>
          <w:szCs w:val="24"/>
        </w:rPr>
        <w:t>Caritatis</w:t>
      </w:r>
      <w:proofErr w:type="spellEnd"/>
      <w:r w:rsidRPr="00F36928">
        <w:rPr>
          <w:sz w:val="24"/>
          <w:szCs w:val="24"/>
        </w:rPr>
        <w:t xml:space="preserve"> called Prior and the forging of a confirmation of the Cistercian constitution in the purported bull of Calixtus II</w:t>
      </w:r>
      <w:r w:rsidRPr="00D323C9">
        <w:rPr>
          <w:sz w:val="24"/>
          <w:szCs w:val="24"/>
        </w:rPr>
        <w:t>” (Berman, 2010, p. 68).</w:t>
      </w:r>
      <w:r w:rsidRPr="00F36928">
        <w:rPr>
          <w:sz w:val="24"/>
          <w:szCs w:val="24"/>
        </w:rPr>
        <w:t xml:space="preserve">  Berman's conviction that the Charter of Charity, written </w:t>
      </w:r>
      <w:proofErr w:type="gramStart"/>
      <w:r w:rsidRPr="00F36928">
        <w:rPr>
          <w:sz w:val="24"/>
          <w:szCs w:val="24"/>
        </w:rPr>
        <w:t>around  1160</w:t>
      </w:r>
      <w:proofErr w:type="gramEnd"/>
      <w:r w:rsidRPr="00F36928">
        <w:rPr>
          <w:sz w:val="24"/>
          <w:szCs w:val="24"/>
        </w:rPr>
        <w:t>, is the original is based on evidence that “the purported confirmation of an earlier constitution for the Order in 1119 by Calixtus II is a forged papal bull”</w:t>
      </w:r>
      <w:r>
        <w:rPr>
          <w:sz w:val="24"/>
          <w:szCs w:val="24"/>
        </w:rPr>
        <w:t xml:space="preserve"> </w:t>
      </w:r>
      <w:r w:rsidRPr="00D323C9">
        <w:rPr>
          <w:sz w:val="24"/>
          <w:szCs w:val="24"/>
        </w:rPr>
        <w:t>(Berman, 2010, p. 59). The</w:t>
      </w:r>
      <w:r w:rsidRPr="00F36928">
        <w:rPr>
          <w:sz w:val="24"/>
          <w:szCs w:val="24"/>
        </w:rPr>
        <w:t xml:space="preserve"> theoretical significance is that if, as Berman contends, the primitive documents were not written until thirty years after the generally accepted date, then the Cistercian expansion was not based </w:t>
      </w:r>
      <w:r w:rsidRPr="00012DCC">
        <w:rPr>
          <w:sz w:val="24"/>
          <w:szCs w:val="24"/>
        </w:rPr>
        <w:t>on being an Order but instead an 'ordo' without constitution.  This contradicts the assumption that their cornerstone</w:t>
      </w:r>
      <w:r w:rsidRPr="00F36928">
        <w:rPr>
          <w:sz w:val="24"/>
          <w:szCs w:val="24"/>
        </w:rPr>
        <w:t xml:space="preserve"> was </w:t>
      </w:r>
      <w:r w:rsidRPr="00D323C9">
        <w:rPr>
          <w:sz w:val="24"/>
          <w:szCs w:val="24"/>
        </w:rPr>
        <w:t>uniformity (</w:t>
      </w:r>
      <w:proofErr w:type="spellStart"/>
      <w:r w:rsidRPr="00D323C9">
        <w:rPr>
          <w:sz w:val="24"/>
          <w:szCs w:val="24"/>
        </w:rPr>
        <w:t>Jamroziak</w:t>
      </w:r>
      <w:proofErr w:type="spellEnd"/>
      <w:r w:rsidRPr="00D323C9">
        <w:rPr>
          <w:sz w:val="24"/>
          <w:szCs w:val="24"/>
        </w:rPr>
        <w:t>, 2015, p. 8).</w:t>
      </w:r>
      <w:r w:rsidRPr="00F36928">
        <w:rPr>
          <w:sz w:val="24"/>
          <w:szCs w:val="24"/>
        </w:rPr>
        <w:t xml:space="preserve"> </w:t>
      </w:r>
    </w:p>
    <w:p w14:paraId="297FC1BC" w14:textId="77777777" w:rsidR="00D95CF6" w:rsidRDefault="00D95CF6" w:rsidP="001932DA">
      <w:pPr>
        <w:rPr>
          <w:sz w:val="24"/>
          <w:szCs w:val="24"/>
        </w:rPr>
      </w:pPr>
    </w:p>
    <w:p w14:paraId="15676FDA" w14:textId="127B834E" w:rsidR="001932DA" w:rsidRDefault="001932DA" w:rsidP="001932DA">
      <w:pPr>
        <w:rPr>
          <w:sz w:val="24"/>
          <w:szCs w:val="24"/>
        </w:rPr>
      </w:pPr>
      <w:r w:rsidRPr="00F36928">
        <w:rPr>
          <w:sz w:val="24"/>
          <w:szCs w:val="24"/>
        </w:rPr>
        <w:t>This theory has met with considerable opposition. Referring to Waddell's work, Newman contests that these 'primitive documents’ were</w:t>
      </w:r>
      <w:r>
        <w:rPr>
          <w:sz w:val="24"/>
          <w:szCs w:val="24"/>
        </w:rPr>
        <w:t xml:space="preserve"> </w:t>
      </w:r>
      <w:r w:rsidRPr="00F36928">
        <w:rPr>
          <w:sz w:val="24"/>
          <w:szCs w:val="24"/>
        </w:rPr>
        <w:t>"honest efforts to describe the Cistercians' foundation"</w:t>
      </w:r>
      <w:r>
        <w:rPr>
          <w:sz w:val="24"/>
          <w:szCs w:val="24"/>
        </w:rPr>
        <w:t xml:space="preserve"> </w:t>
      </w:r>
      <w:r w:rsidRPr="00D323C9">
        <w:rPr>
          <w:sz w:val="24"/>
          <w:szCs w:val="24"/>
        </w:rPr>
        <w:t>(Newman, 2012, p. 28)</w:t>
      </w:r>
      <w:r>
        <w:rPr>
          <w:sz w:val="24"/>
          <w:szCs w:val="24"/>
        </w:rPr>
        <w:t xml:space="preserve">. </w:t>
      </w:r>
      <w:r w:rsidRPr="00F36928">
        <w:rPr>
          <w:sz w:val="24"/>
          <w:szCs w:val="24"/>
        </w:rPr>
        <w:t xml:space="preserve">Newman maintains that the earliest version of the Charter of Charity was the </w:t>
      </w:r>
      <w:r w:rsidRPr="00F36928">
        <w:rPr>
          <w:i/>
          <w:sz w:val="24"/>
          <w:szCs w:val="24"/>
        </w:rPr>
        <w:t>Prior</w:t>
      </w:r>
      <w:r w:rsidRPr="00F36928">
        <w:rPr>
          <w:sz w:val="24"/>
          <w:szCs w:val="24"/>
        </w:rPr>
        <w:t>, and it was this that Calixtus II confirmed in 1119. It was rewritten in 1147 and again in 1152 when Pope Eugenius III “confirmed a new version of Charter of Charity</w:t>
      </w:r>
      <w:r w:rsidRPr="005C17B1">
        <w:rPr>
          <w:sz w:val="24"/>
          <w:szCs w:val="24"/>
        </w:rPr>
        <w:t>” (Newman, 2012, p.28).</w:t>
      </w:r>
      <w:r w:rsidRPr="00F36928">
        <w:rPr>
          <w:sz w:val="24"/>
          <w:szCs w:val="24"/>
        </w:rPr>
        <w:t xml:space="preserve"> </w:t>
      </w:r>
      <w:r w:rsidRPr="005C17B1">
        <w:rPr>
          <w:sz w:val="24"/>
          <w:szCs w:val="24"/>
        </w:rPr>
        <w:t xml:space="preserve">McGuire cites the letters of St Bernard </w:t>
      </w:r>
      <w:proofErr w:type="gramStart"/>
      <w:r w:rsidRPr="005C17B1">
        <w:rPr>
          <w:sz w:val="24"/>
          <w:szCs w:val="24"/>
        </w:rPr>
        <w:t>as  proof</w:t>
      </w:r>
      <w:proofErr w:type="gramEnd"/>
      <w:r w:rsidRPr="005C17B1">
        <w:rPr>
          <w:sz w:val="24"/>
          <w:szCs w:val="24"/>
        </w:rPr>
        <w:t xml:space="preserve"> of the traditional date of the</w:t>
      </w:r>
      <w:r w:rsidRPr="005C17B1">
        <w:rPr>
          <w:i/>
          <w:sz w:val="24"/>
          <w:szCs w:val="24"/>
        </w:rPr>
        <w:t xml:space="preserve"> Carta</w:t>
      </w:r>
      <w:r w:rsidRPr="005C17B1">
        <w:rPr>
          <w:sz w:val="24"/>
          <w:szCs w:val="24"/>
        </w:rPr>
        <w:t xml:space="preserve"> given their archetypal Cistercian tone</w:t>
      </w:r>
      <w:r w:rsidRPr="00F36928">
        <w:rPr>
          <w:sz w:val="24"/>
          <w:szCs w:val="24"/>
        </w:rPr>
        <w:t xml:space="preserve"> </w:t>
      </w:r>
      <w:r w:rsidRPr="005C17B1">
        <w:rPr>
          <w:sz w:val="24"/>
          <w:szCs w:val="24"/>
        </w:rPr>
        <w:t xml:space="preserve">(McGuire, </w:t>
      </w:r>
      <w:r w:rsidR="005C17B1">
        <w:rPr>
          <w:sz w:val="24"/>
          <w:szCs w:val="24"/>
        </w:rPr>
        <w:t xml:space="preserve">2012, </w:t>
      </w:r>
      <w:r w:rsidRPr="005C17B1">
        <w:rPr>
          <w:sz w:val="24"/>
          <w:szCs w:val="24"/>
        </w:rPr>
        <w:t>p</w:t>
      </w:r>
      <w:r w:rsidR="005C17B1">
        <w:rPr>
          <w:sz w:val="24"/>
          <w:szCs w:val="24"/>
        </w:rPr>
        <w:t xml:space="preserve">. </w:t>
      </w:r>
      <w:r w:rsidRPr="005C17B1">
        <w:rPr>
          <w:sz w:val="24"/>
          <w:szCs w:val="24"/>
        </w:rPr>
        <w:t>88)</w:t>
      </w:r>
      <w:r w:rsidR="005C17B1">
        <w:rPr>
          <w:sz w:val="24"/>
          <w:szCs w:val="24"/>
        </w:rPr>
        <w:t xml:space="preserve">. </w:t>
      </w:r>
      <w:r w:rsidRPr="00F36928">
        <w:rPr>
          <w:sz w:val="24"/>
          <w:szCs w:val="24"/>
        </w:rPr>
        <w:t xml:space="preserve"> Certainly, the idea of an Order mainly based on strict observance of the Rule of St </w:t>
      </w:r>
      <w:proofErr w:type="gramStart"/>
      <w:r w:rsidRPr="00F36928">
        <w:rPr>
          <w:sz w:val="24"/>
          <w:szCs w:val="24"/>
        </w:rPr>
        <w:t>Benedict  resorting</w:t>
      </w:r>
      <w:proofErr w:type="gramEnd"/>
      <w:r w:rsidRPr="00F36928">
        <w:rPr>
          <w:sz w:val="24"/>
          <w:szCs w:val="24"/>
        </w:rPr>
        <w:t xml:space="preserve">  to forgery is unlikely since this would be counter to one of the ‘good works’ listed in Chapter IV of the Rule; “Not to </w:t>
      </w:r>
      <w:r w:rsidRPr="00012DCC">
        <w:rPr>
          <w:sz w:val="24"/>
          <w:szCs w:val="24"/>
        </w:rPr>
        <w:t>bear f</w:t>
      </w:r>
      <w:r w:rsidRPr="00F36928">
        <w:rPr>
          <w:sz w:val="24"/>
          <w:szCs w:val="24"/>
        </w:rPr>
        <w:t xml:space="preserve">alse </w:t>
      </w:r>
      <w:r w:rsidRPr="00100112">
        <w:rPr>
          <w:sz w:val="24"/>
          <w:szCs w:val="24"/>
        </w:rPr>
        <w:t xml:space="preserve">witness” </w:t>
      </w:r>
      <w:r w:rsidR="005C17B1">
        <w:rPr>
          <w:sz w:val="24"/>
          <w:szCs w:val="24"/>
        </w:rPr>
        <w:t>(Benedict, 1948, p. 14).</w:t>
      </w:r>
    </w:p>
    <w:p w14:paraId="3C3AAEC0" w14:textId="77777777" w:rsidR="001932DA" w:rsidRPr="00F36928" w:rsidRDefault="001932DA" w:rsidP="001932DA">
      <w:pPr>
        <w:rPr>
          <w:sz w:val="24"/>
          <w:szCs w:val="24"/>
        </w:rPr>
      </w:pPr>
    </w:p>
    <w:p w14:paraId="324ECA33" w14:textId="77777777" w:rsidR="001932DA" w:rsidRPr="00F36928" w:rsidRDefault="001932DA" w:rsidP="001932DA">
      <w:pPr>
        <w:rPr>
          <w:sz w:val="24"/>
          <w:szCs w:val="24"/>
        </w:rPr>
      </w:pPr>
      <w:r>
        <w:rPr>
          <w:sz w:val="24"/>
          <w:szCs w:val="24"/>
        </w:rPr>
        <w:t>Ignoring</w:t>
      </w:r>
      <w:r w:rsidRPr="00F36928">
        <w:rPr>
          <w:sz w:val="24"/>
          <w:szCs w:val="24"/>
        </w:rPr>
        <w:t xml:space="preserve"> the exact chronology of events, was there anything new about the </w:t>
      </w:r>
      <w:r w:rsidRPr="00F36928">
        <w:rPr>
          <w:i/>
          <w:sz w:val="24"/>
          <w:szCs w:val="24"/>
        </w:rPr>
        <w:t xml:space="preserve">Carta, </w:t>
      </w:r>
      <w:r w:rsidRPr="00F36928">
        <w:rPr>
          <w:sz w:val="24"/>
          <w:szCs w:val="24"/>
        </w:rPr>
        <w:t>or was it simply a rehash of The Rule of St Benedict</w:t>
      </w:r>
      <w:r>
        <w:rPr>
          <w:sz w:val="24"/>
          <w:szCs w:val="24"/>
        </w:rPr>
        <w:t>?</w:t>
      </w:r>
      <w:r w:rsidRPr="00F36928">
        <w:rPr>
          <w:sz w:val="24"/>
          <w:szCs w:val="24"/>
        </w:rPr>
        <w:t xml:space="preserve"> Casey described it as</w:t>
      </w:r>
      <w:r w:rsidRPr="00F36928">
        <w:rPr>
          <w:b/>
          <w:sz w:val="24"/>
          <w:szCs w:val="24"/>
        </w:rPr>
        <w:t xml:space="preserve"> </w:t>
      </w:r>
      <w:r w:rsidRPr="00F36928">
        <w:rPr>
          <w:sz w:val="24"/>
          <w:szCs w:val="24"/>
        </w:rPr>
        <w:t>“a thoroughly modern version of Benedictine monasticism”</w:t>
      </w:r>
      <w:r>
        <w:rPr>
          <w:sz w:val="24"/>
          <w:szCs w:val="24"/>
        </w:rPr>
        <w:t xml:space="preserve"> </w:t>
      </w:r>
      <w:r w:rsidRPr="00A63184">
        <w:rPr>
          <w:sz w:val="24"/>
          <w:szCs w:val="24"/>
        </w:rPr>
        <w:t>(Casey, 1997, p. 75). The</w:t>
      </w:r>
      <w:r w:rsidRPr="00F36928">
        <w:rPr>
          <w:sz w:val="24"/>
          <w:szCs w:val="24"/>
        </w:rPr>
        <w:t xml:space="preserve"> passage sheds some light on this question. Chapter LXIV of the Rule of Benedict on the Election of Abbots </w:t>
      </w:r>
      <w:r>
        <w:rPr>
          <w:sz w:val="24"/>
          <w:szCs w:val="24"/>
        </w:rPr>
        <w:t>limits</w:t>
      </w:r>
      <w:r w:rsidRPr="00F36928">
        <w:rPr>
          <w:sz w:val="24"/>
          <w:szCs w:val="24"/>
        </w:rPr>
        <w:t xml:space="preserve"> itself to the qualities the successful candidate should have. However, the </w:t>
      </w:r>
      <w:r w:rsidRPr="00F36928">
        <w:rPr>
          <w:i/>
          <w:sz w:val="24"/>
          <w:szCs w:val="24"/>
        </w:rPr>
        <w:t xml:space="preserve">Carta </w:t>
      </w:r>
      <w:proofErr w:type="spellStart"/>
      <w:r w:rsidRPr="00F36928">
        <w:rPr>
          <w:i/>
          <w:sz w:val="24"/>
          <w:szCs w:val="24"/>
        </w:rPr>
        <w:t>Caritatis</w:t>
      </w:r>
      <w:proofErr w:type="spellEnd"/>
      <w:r w:rsidRPr="00F36928">
        <w:rPr>
          <w:sz w:val="24"/>
          <w:szCs w:val="24"/>
        </w:rPr>
        <w:t xml:space="preserve"> seems to be more concerned with the actual election mechanism. That mechanism is reflective of the entire ethos of the Cistercian Order. A set procedure is outlined, which guarantees temporary continuity in the form of the Abbot of La </w:t>
      </w:r>
      <w:proofErr w:type="spellStart"/>
      <w:r w:rsidRPr="00F36928">
        <w:rPr>
          <w:sz w:val="24"/>
          <w:szCs w:val="24"/>
        </w:rPr>
        <w:t>Ferte</w:t>
      </w:r>
      <w:proofErr w:type="spellEnd"/>
      <w:r w:rsidRPr="00F36928">
        <w:rPr>
          <w:sz w:val="24"/>
          <w:szCs w:val="24"/>
        </w:rPr>
        <w:t>, the first filiation of Citeaux</w:t>
      </w:r>
      <w:r>
        <w:rPr>
          <w:sz w:val="24"/>
          <w:szCs w:val="24"/>
        </w:rPr>
        <w:t xml:space="preserve">, </w:t>
      </w:r>
      <w:r w:rsidRPr="00F36928">
        <w:rPr>
          <w:sz w:val="24"/>
          <w:szCs w:val="24"/>
        </w:rPr>
        <w:t xml:space="preserve">but leaves the choice of a successor at a local rather than executive level. The </w:t>
      </w:r>
      <w:r>
        <w:rPr>
          <w:sz w:val="24"/>
          <w:szCs w:val="24"/>
        </w:rPr>
        <w:t>third</w:t>
      </w:r>
      <w:r w:rsidRPr="00F36928">
        <w:rPr>
          <w:sz w:val="24"/>
          <w:szCs w:val="24"/>
        </w:rPr>
        <w:t xml:space="preserve"> sentence of the text indicates that the Cistercians enjoyed considerable social mobility because the post would be open to monks from throughout the Order. McGuire sees the Carta as creating</w:t>
      </w:r>
      <w:r>
        <w:rPr>
          <w:sz w:val="24"/>
          <w:szCs w:val="24"/>
        </w:rPr>
        <w:t xml:space="preserve"> </w:t>
      </w:r>
      <w:r w:rsidRPr="00F36928">
        <w:rPr>
          <w:sz w:val="24"/>
          <w:szCs w:val="24"/>
        </w:rPr>
        <w:t xml:space="preserve">"the first monastic Order in the Western Church". </w:t>
      </w:r>
      <w:r>
        <w:rPr>
          <w:sz w:val="24"/>
          <w:szCs w:val="24"/>
        </w:rPr>
        <w:t xml:space="preserve"> Previously </w:t>
      </w:r>
      <w:r w:rsidRPr="00F36928">
        <w:rPr>
          <w:sz w:val="24"/>
          <w:szCs w:val="24"/>
        </w:rPr>
        <w:t xml:space="preserve">individual monasteries had </w:t>
      </w:r>
      <w:r w:rsidRPr="00F36928">
        <w:rPr>
          <w:sz w:val="24"/>
          <w:szCs w:val="24"/>
        </w:rPr>
        <w:lastRenderedPageBreak/>
        <w:t xml:space="preserve">followed the Rule of St Benedict, but this </w:t>
      </w:r>
      <w:proofErr w:type="gramStart"/>
      <w:r w:rsidRPr="00F36928">
        <w:rPr>
          <w:sz w:val="24"/>
          <w:szCs w:val="24"/>
        </w:rPr>
        <w:t xml:space="preserve">introduced  </w:t>
      </w:r>
      <w:r>
        <w:rPr>
          <w:sz w:val="24"/>
          <w:szCs w:val="24"/>
        </w:rPr>
        <w:t>“</w:t>
      </w:r>
      <w:proofErr w:type="gramEnd"/>
      <w:r w:rsidRPr="00F36928">
        <w:rPr>
          <w:sz w:val="24"/>
          <w:szCs w:val="24"/>
        </w:rPr>
        <w:t>an institution with regularised contacts among the monasteries, following common statues</w:t>
      </w:r>
      <w:r>
        <w:rPr>
          <w:sz w:val="24"/>
          <w:szCs w:val="24"/>
        </w:rPr>
        <w:t xml:space="preserve">” </w:t>
      </w:r>
      <w:r w:rsidRPr="004F13D1">
        <w:rPr>
          <w:sz w:val="24"/>
          <w:szCs w:val="24"/>
        </w:rPr>
        <w:t>(McGuire, 2012, p. 87).</w:t>
      </w:r>
      <w:r w:rsidRPr="00F36928">
        <w:rPr>
          <w:sz w:val="24"/>
          <w:szCs w:val="24"/>
        </w:rPr>
        <w:t xml:space="preserve"> </w:t>
      </w:r>
      <w:r>
        <w:rPr>
          <w:sz w:val="24"/>
          <w:szCs w:val="24"/>
        </w:rPr>
        <w:t xml:space="preserve"> </w:t>
      </w:r>
      <w:r w:rsidRPr="00F36928">
        <w:rPr>
          <w:sz w:val="24"/>
          <w:szCs w:val="24"/>
        </w:rPr>
        <w:t xml:space="preserve">Previously individual monasteries had interpreted the Rule of St Benedict locally. The Cistercians wanted a common rule </w:t>
      </w:r>
      <w:proofErr w:type="gramStart"/>
      <w:r w:rsidRPr="00F36928">
        <w:rPr>
          <w:sz w:val="24"/>
          <w:szCs w:val="24"/>
        </w:rPr>
        <w:t>set</w:t>
      </w:r>
      <w:proofErr w:type="gramEnd"/>
      <w:r w:rsidRPr="00F36928">
        <w:rPr>
          <w:sz w:val="24"/>
          <w:szCs w:val="24"/>
        </w:rPr>
        <w:t xml:space="preserve"> for all. The </w:t>
      </w:r>
      <w:r w:rsidRPr="00F36928">
        <w:rPr>
          <w:i/>
          <w:sz w:val="24"/>
          <w:szCs w:val="24"/>
        </w:rPr>
        <w:t xml:space="preserve">Carta </w:t>
      </w:r>
      <w:proofErr w:type="spellStart"/>
      <w:r w:rsidRPr="00F36928">
        <w:rPr>
          <w:i/>
          <w:sz w:val="24"/>
          <w:szCs w:val="24"/>
        </w:rPr>
        <w:t>Cartiatis</w:t>
      </w:r>
      <w:proofErr w:type="spellEnd"/>
      <w:r w:rsidRPr="00F36928">
        <w:rPr>
          <w:sz w:val="24"/>
          <w:szCs w:val="24"/>
        </w:rPr>
        <w:t xml:space="preserve"> </w:t>
      </w:r>
      <w:proofErr w:type="gramStart"/>
      <w:r w:rsidRPr="00F36928">
        <w:rPr>
          <w:sz w:val="24"/>
          <w:szCs w:val="24"/>
        </w:rPr>
        <w:t>provided that</w:t>
      </w:r>
      <w:proofErr w:type="gramEnd"/>
      <w:r w:rsidRPr="00F36928">
        <w:rPr>
          <w:sz w:val="24"/>
          <w:szCs w:val="24"/>
        </w:rPr>
        <w:t xml:space="preserve"> framework but, in doing so, laid the foundation for its downfall because as the organisation expanded</w:t>
      </w:r>
      <w:r w:rsidRPr="00F36928">
        <w:rPr>
          <w:b/>
          <w:sz w:val="24"/>
          <w:szCs w:val="24"/>
        </w:rPr>
        <w:t xml:space="preserve">, </w:t>
      </w:r>
      <w:r w:rsidRPr="00F36928">
        <w:rPr>
          <w:sz w:val="24"/>
          <w:szCs w:val="24"/>
        </w:rPr>
        <w:t>"the pastoral control exercised in the early days became impracticable</w:t>
      </w:r>
      <w:r w:rsidRPr="00A63184">
        <w:rPr>
          <w:sz w:val="24"/>
          <w:szCs w:val="24"/>
        </w:rPr>
        <w:t>" (Casey, 1997, p. 76).</w:t>
      </w:r>
    </w:p>
    <w:p w14:paraId="13AFE730" w14:textId="6CA08E80" w:rsidR="001932DA" w:rsidRDefault="001932DA" w:rsidP="001932DA">
      <w:pPr>
        <w:rPr>
          <w:sz w:val="24"/>
          <w:szCs w:val="24"/>
        </w:rPr>
      </w:pPr>
      <w:r w:rsidRPr="00F36928">
        <w:rPr>
          <w:i/>
          <w:iCs/>
          <w:sz w:val="24"/>
          <w:szCs w:val="24"/>
        </w:rPr>
        <w:t>(8</w:t>
      </w:r>
      <w:r w:rsidR="00934EB7">
        <w:rPr>
          <w:i/>
          <w:iCs/>
          <w:sz w:val="24"/>
          <w:szCs w:val="24"/>
        </w:rPr>
        <w:t>46</w:t>
      </w:r>
      <w:r w:rsidRPr="00F36928">
        <w:rPr>
          <w:i/>
          <w:iCs/>
          <w:sz w:val="24"/>
          <w:szCs w:val="24"/>
        </w:rPr>
        <w:t xml:space="preserve"> words</w:t>
      </w:r>
      <w:r>
        <w:rPr>
          <w:i/>
          <w:iCs/>
          <w:sz w:val="24"/>
          <w:szCs w:val="24"/>
        </w:rPr>
        <w:t xml:space="preserve"> excluding title text and in-text citations</w:t>
      </w:r>
      <w:r w:rsidRPr="00F36928">
        <w:rPr>
          <w:i/>
          <w:iCs/>
          <w:sz w:val="24"/>
          <w:szCs w:val="24"/>
        </w:rPr>
        <w:t>)</w:t>
      </w:r>
    </w:p>
    <w:p w14:paraId="5E44DC0D" w14:textId="77777777" w:rsidR="001932DA" w:rsidRDefault="001932DA" w:rsidP="001932DA">
      <w:pPr>
        <w:rPr>
          <w:sz w:val="24"/>
          <w:szCs w:val="24"/>
        </w:rPr>
      </w:pPr>
    </w:p>
    <w:p w14:paraId="12BAC0BB" w14:textId="77777777" w:rsidR="001932DA" w:rsidRDefault="001932DA" w:rsidP="001932DA">
      <w:pPr>
        <w:rPr>
          <w:b/>
          <w:bCs/>
          <w:sz w:val="24"/>
          <w:szCs w:val="24"/>
          <w:u w:val="single"/>
        </w:rPr>
      </w:pPr>
      <w:r w:rsidRPr="00937F16">
        <w:rPr>
          <w:b/>
          <w:bCs/>
          <w:sz w:val="24"/>
          <w:szCs w:val="24"/>
          <w:u w:val="single"/>
        </w:rPr>
        <w:t>BIBILIOGRAPHY</w:t>
      </w:r>
    </w:p>
    <w:p w14:paraId="21808FE4" w14:textId="77777777" w:rsidR="001932DA" w:rsidRDefault="001932DA" w:rsidP="00327BA3">
      <w:pPr>
        <w:spacing w:after="0"/>
        <w:ind w:left="720" w:hanging="720"/>
        <w:rPr>
          <w:rFonts w:cstheme="minorHAnsi"/>
          <w:sz w:val="24"/>
          <w:szCs w:val="24"/>
        </w:rPr>
      </w:pPr>
      <w:r w:rsidRPr="002514EF">
        <w:rPr>
          <w:rFonts w:cstheme="minorHAnsi"/>
          <w:sz w:val="24"/>
          <w:szCs w:val="24"/>
        </w:rPr>
        <w:t xml:space="preserve">Benedict Saint, Abbot of Monte Cassino. (1948). </w:t>
      </w:r>
      <w:r w:rsidRPr="002514EF">
        <w:rPr>
          <w:rFonts w:cstheme="minorHAnsi"/>
          <w:i/>
          <w:iCs/>
          <w:sz w:val="24"/>
          <w:szCs w:val="24"/>
        </w:rPr>
        <w:t>St Benedict’s Rule for monasteries</w:t>
      </w:r>
      <w:r w:rsidRPr="002514EF">
        <w:rPr>
          <w:rFonts w:cstheme="minorHAnsi"/>
          <w:sz w:val="24"/>
          <w:szCs w:val="24"/>
        </w:rPr>
        <w:t>. Liturgical Press. Collegeville, Minn</w:t>
      </w:r>
      <w:r>
        <w:rPr>
          <w:rFonts w:cstheme="minorHAnsi"/>
          <w:sz w:val="24"/>
          <w:szCs w:val="24"/>
        </w:rPr>
        <w:t>.</w:t>
      </w:r>
      <w:r w:rsidRPr="002514EF">
        <w:rPr>
          <w:rFonts w:cstheme="minorHAnsi"/>
          <w:sz w:val="24"/>
          <w:szCs w:val="24"/>
        </w:rPr>
        <w:t xml:space="preserve"> </w:t>
      </w:r>
    </w:p>
    <w:p w14:paraId="5C1CDC04" w14:textId="77777777" w:rsidR="001932DA" w:rsidRPr="00283C61" w:rsidRDefault="001932DA" w:rsidP="00327BA3">
      <w:pPr>
        <w:spacing w:before="240"/>
        <w:ind w:left="720" w:hanging="720"/>
        <w:rPr>
          <w:sz w:val="24"/>
          <w:szCs w:val="24"/>
        </w:rPr>
      </w:pPr>
      <w:r w:rsidRPr="00283C61">
        <w:rPr>
          <w:sz w:val="24"/>
          <w:szCs w:val="24"/>
        </w:rPr>
        <w:t xml:space="preserve">Benedict, Saint. (1953). </w:t>
      </w:r>
      <w:r w:rsidRPr="00283C61">
        <w:rPr>
          <w:i/>
          <w:iCs/>
          <w:sz w:val="24"/>
          <w:szCs w:val="24"/>
        </w:rPr>
        <w:t>The Letters of St Bernard of Clairvaux</w:t>
      </w:r>
      <w:r>
        <w:rPr>
          <w:i/>
          <w:iCs/>
          <w:sz w:val="24"/>
          <w:szCs w:val="24"/>
        </w:rPr>
        <w:t xml:space="preserve"> (No. 151)</w:t>
      </w:r>
      <w:r w:rsidRPr="00283C61">
        <w:rPr>
          <w:sz w:val="24"/>
          <w:szCs w:val="24"/>
        </w:rPr>
        <w:t xml:space="preserve">, translated by Bruno Scott James. Burns &amp; Oates, London. </w:t>
      </w:r>
    </w:p>
    <w:p w14:paraId="5A317C83" w14:textId="77777777" w:rsidR="001932DA" w:rsidRDefault="001932DA" w:rsidP="001932DA">
      <w:pPr>
        <w:spacing w:after="0"/>
        <w:rPr>
          <w:sz w:val="24"/>
          <w:szCs w:val="24"/>
        </w:rPr>
      </w:pPr>
      <w:r>
        <w:rPr>
          <w:sz w:val="24"/>
          <w:szCs w:val="24"/>
        </w:rPr>
        <w:t>Berman</w:t>
      </w:r>
      <w:r w:rsidRPr="00E0449C">
        <w:rPr>
          <w:sz w:val="24"/>
          <w:szCs w:val="24"/>
        </w:rPr>
        <w:t>, C.H.</w:t>
      </w:r>
      <w:r>
        <w:rPr>
          <w:sz w:val="24"/>
          <w:szCs w:val="24"/>
        </w:rPr>
        <w:t xml:space="preserve"> </w:t>
      </w:r>
      <w:r w:rsidRPr="00E0449C">
        <w:rPr>
          <w:sz w:val="24"/>
          <w:szCs w:val="24"/>
        </w:rPr>
        <w:t>(2010)</w:t>
      </w:r>
      <w:r>
        <w:rPr>
          <w:sz w:val="24"/>
          <w:szCs w:val="24"/>
        </w:rPr>
        <w:t>.</w:t>
      </w:r>
      <w:r w:rsidRPr="00E0449C">
        <w:rPr>
          <w:sz w:val="24"/>
          <w:szCs w:val="24"/>
        </w:rPr>
        <w:t xml:space="preserve"> </w:t>
      </w:r>
      <w:r w:rsidRPr="00E0449C">
        <w:rPr>
          <w:i/>
          <w:iCs/>
          <w:sz w:val="24"/>
          <w:szCs w:val="24"/>
        </w:rPr>
        <w:t>The Cistercian evolution</w:t>
      </w:r>
      <w:r>
        <w:rPr>
          <w:sz w:val="24"/>
          <w:szCs w:val="24"/>
        </w:rPr>
        <w:t xml:space="preserve">. </w:t>
      </w:r>
      <w:r w:rsidRPr="00E0449C">
        <w:rPr>
          <w:sz w:val="24"/>
          <w:szCs w:val="24"/>
        </w:rPr>
        <w:t xml:space="preserve">University of Pennsylvania Press, Inc. </w:t>
      </w:r>
    </w:p>
    <w:p w14:paraId="37829F7B" w14:textId="77777777" w:rsidR="001932DA" w:rsidRPr="00E0449C" w:rsidRDefault="001932DA" w:rsidP="001932DA">
      <w:pPr>
        <w:spacing w:after="0"/>
        <w:rPr>
          <w:sz w:val="24"/>
          <w:szCs w:val="24"/>
          <w:lang w:eastAsia="en-GB"/>
        </w:rPr>
      </w:pPr>
    </w:p>
    <w:p w14:paraId="292D0F1F" w14:textId="77777777" w:rsidR="001932DA" w:rsidRDefault="001932DA" w:rsidP="001932DA">
      <w:pPr>
        <w:rPr>
          <w:sz w:val="24"/>
          <w:szCs w:val="24"/>
        </w:rPr>
      </w:pPr>
      <w:r>
        <w:rPr>
          <w:sz w:val="24"/>
          <w:szCs w:val="24"/>
        </w:rPr>
        <w:t xml:space="preserve">Burton, J. &amp; Kerr, J. </w:t>
      </w:r>
      <w:r w:rsidRPr="00B41F0C">
        <w:rPr>
          <w:sz w:val="24"/>
          <w:szCs w:val="24"/>
        </w:rPr>
        <w:t xml:space="preserve">(2011). </w:t>
      </w:r>
      <w:r w:rsidRPr="00B41F0C">
        <w:rPr>
          <w:i/>
          <w:iCs/>
          <w:sz w:val="24"/>
          <w:szCs w:val="24"/>
        </w:rPr>
        <w:t>The</w:t>
      </w:r>
      <w:r w:rsidRPr="00B73420">
        <w:rPr>
          <w:i/>
          <w:iCs/>
          <w:sz w:val="24"/>
          <w:szCs w:val="24"/>
        </w:rPr>
        <w:t xml:space="preserve"> Cistercians in the Middle Ages</w:t>
      </w:r>
      <w:r>
        <w:rPr>
          <w:sz w:val="24"/>
          <w:szCs w:val="24"/>
        </w:rPr>
        <w:t>. Boydell &amp; Brewer Press.</w:t>
      </w:r>
      <w:r w:rsidRPr="00B41F0C">
        <w:rPr>
          <w:rFonts w:ascii="Times New Roman" w:eastAsia="Times New Roman" w:hAnsi="Times New Roman" w:cs="Times New Roman"/>
          <w:sz w:val="24"/>
          <w:szCs w:val="24"/>
          <w:lang w:eastAsia="en-GB"/>
        </w:rPr>
        <w:t xml:space="preserve"> </w:t>
      </w:r>
    </w:p>
    <w:p w14:paraId="40A9DF25" w14:textId="77777777" w:rsidR="001932DA" w:rsidRPr="00A63184" w:rsidRDefault="001932DA" w:rsidP="00327BA3">
      <w:pPr>
        <w:spacing w:after="0"/>
        <w:ind w:left="720" w:hanging="720"/>
        <w:rPr>
          <w:sz w:val="24"/>
          <w:szCs w:val="24"/>
        </w:rPr>
      </w:pPr>
      <w:r w:rsidRPr="00A63184">
        <w:rPr>
          <w:sz w:val="24"/>
          <w:szCs w:val="24"/>
        </w:rPr>
        <w:t>Casey, M. (</w:t>
      </w:r>
      <w:r>
        <w:rPr>
          <w:sz w:val="24"/>
          <w:szCs w:val="24"/>
        </w:rPr>
        <w:t>1997</w:t>
      </w:r>
      <w:r w:rsidRPr="00A63184">
        <w:rPr>
          <w:sz w:val="24"/>
          <w:szCs w:val="24"/>
        </w:rPr>
        <w:t xml:space="preserve">). </w:t>
      </w:r>
      <w:r w:rsidRPr="00A63184">
        <w:rPr>
          <w:i/>
          <w:iCs/>
          <w:sz w:val="24"/>
          <w:szCs w:val="24"/>
        </w:rPr>
        <w:t>The traditions of spiritual guidance: The Cistercian way</w:t>
      </w:r>
      <w:r>
        <w:rPr>
          <w:sz w:val="24"/>
          <w:szCs w:val="24"/>
        </w:rPr>
        <w:t>.</w:t>
      </w:r>
      <w:r w:rsidRPr="00A63184">
        <w:t xml:space="preserve"> </w:t>
      </w:r>
      <w:hyperlink r:id="rId6" w:history="1">
        <w:r w:rsidRPr="00A63184">
          <w:rPr>
            <w:color w:val="0000FF"/>
            <w:u w:val="single"/>
          </w:rPr>
          <w:t>The Way Article Archive</w:t>
        </w:r>
      </w:hyperlink>
    </w:p>
    <w:p w14:paraId="4FE261D6" w14:textId="77777777" w:rsidR="001932DA" w:rsidRPr="00A63184" w:rsidRDefault="001932DA" w:rsidP="001932DA">
      <w:pPr>
        <w:spacing w:after="0"/>
        <w:rPr>
          <w:sz w:val="24"/>
          <w:szCs w:val="24"/>
        </w:rPr>
      </w:pPr>
    </w:p>
    <w:p w14:paraId="3AD02EF3" w14:textId="77777777" w:rsidR="001932DA" w:rsidRDefault="001932DA" w:rsidP="00327BA3">
      <w:pPr>
        <w:spacing w:after="0"/>
        <w:ind w:left="720" w:hanging="720"/>
        <w:rPr>
          <w:rFonts w:eastAsia="Times New Roman" w:cstheme="minorHAnsi"/>
          <w:sz w:val="24"/>
          <w:szCs w:val="24"/>
          <w:lang w:eastAsia="en-GB"/>
        </w:rPr>
      </w:pPr>
      <w:proofErr w:type="spellStart"/>
      <w:r w:rsidRPr="00917168">
        <w:rPr>
          <w:rFonts w:cstheme="minorHAnsi"/>
          <w:sz w:val="24"/>
          <w:szCs w:val="24"/>
        </w:rPr>
        <w:t>Jamroziak</w:t>
      </w:r>
      <w:proofErr w:type="spellEnd"/>
      <w:r w:rsidRPr="00917168">
        <w:rPr>
          <w:rFonts w:eastAsia="Times New Roman" w:cstheme="minorHAnsi"/>
          <w:sz w:val="24"/>
          <w:szCs w:val="24"/>
          <w:lang w:eastAsia="en-GB"/>
        </w:rPr>
        <w:t xml:space="preserve">, E. (2015). </w:t>
      </w:r>
      <w:r w:rsidRPr="00A86522">
        <w:rPr>
          <w:rFonts w:eastAsia="Times New Roman" w:cstheme="minorHAnsi"/>
          <w:i/>
          <w:iCs/>
          <w:sz w:val="24"/>
          <w:szCs w:val="24"/>
          <w:lang w:eastAsia="en-GB"/>
        </w:rPr>
        <w:t>The Cistercian Order in Medieval Europe</w:t>
      </w:r>
      <w:r w:rsidRPr="00A86522">
        <w:rPr>
          <w:rFonts w:eastAsia="Times New Roman" w:cstheme="minorHAnsi"/>
          <w:sz w:val="24"/>
          <w:szCs w:val="24"/>
          <w:lang w:eastAsia="en-GB"/>
        </w:rPr>
        <w:t xml:space="preserve"> (1st ed.). Taylor and Francis. </w:t>
      </w:r>
      <w:hyperlink r:id="rId7" w:history="1">
        <w:r w:rsidRPr="00A86522">
          <w:rPr>
            <w:rStyle w:val="Hyperlink"/>
            <w:rFonts w:eastAsia="Times New Roman" w:cstheme="minorHAnsi"/>
            <w:sz w:val="24"/>
            <w:szCs w:val="24"/>
            <w:lang w:eastAsia="en-GB"/>
          </w:rPr>
          <w:t>https://www.perlego.com/book/1562648/the-cistercian-order-in-medieval-europe-pdf</w:t>
        </w:r>
      </w:hyperlink>
      <w:r w:rsidRPr="00A86522">
        <w:rPr>
          <w:rFonts w:eastAsia="Times New Roman" w:cstheme="minorHAnsi"/>
          <w:sz w:val="24"/>
          <w:szCs w:val="24"/>
          <w:lang w:eastAsia="en-GB"/>
        </w:rPr>
        <w:t>.</w:t>
      </w:r>
    </w:p>
    <w:p w14:paraId="5FA602CE" w14:textId="77777777" w:rsidR="001932DA" w:rsidRPr="00A86522" w:rsidRDefault="001932DA" w:rsidP="001932DA">
      <w:pPr>
        <w:spacing w:after="0"/>
        <w:rPr>
          <w:rFonts w:eastAsia="Times New Roman" w:cstheme="minorHAnsi"/>
          <w:sz w:val="24"/>
          <w:szCs w:val="24"/>
          <w:lang w:eastAsia="en-GB"/>
        </w:rPr>
      </w:pPr>
    </w:p>
    <w:p w14:paraId="7EC69391" w14:textId="77777777" w:rsidR="001932DA" w:rsidRDefault="001932DA" w:rsidP="00327BA3">
      <w:pPr>
        <w:spacing w:after="0"/>
        <w:ind w:left="720" w:hanging="720"/>
        <w:rPr>
          <w:sz w:val="24"/>
          <w:szCs w:val="24"/>
        </w:rPr>
      </w:pPr>
      <w:r w:rsidRPr="00395960">
        <w:rPr>
          <w:sz w:val="24"/>
          <w:szCs w:val="24"/>
        </w:rPr>
        <w:t>Knowles, D. (196</w:t>
      </w:r>
      <w:r>
        <w:rPr>
          <w:sz w:val="24"/>
          <w:szCs w:val="24"/>
        </w:rPr>
        <w:t>3</w:t>
      </w:r>
      <w:r w:rsidRPr="00395960">
        <w:rPr>
          <w:sz w:val="24"/>
          <w:szCs w:val="24"/>
        </w:rPr>
        <w:t xml:space="preserve">).  </w:t>
      </w:r>
      <w:r w:rsidRPr="006923A2">
        <w:rPr>
          <w:i/>
          <w:iCs/>
          <w:sz w:val="24"/>
          <w:szCs w:val="24"/>
        </w:rPr>
        <w:t xml:space="preserve">General </w:t>
      </w:r>
      <w:r>
        <w:rPr>
          <w:i/>
          <w:iCs/>
          <w:sz w:val="24"/>
          <w:szCs w:val="24"/>
        </w:rPr>
        <w:t>h</w:t>
      </w:r>
      <w:r w:rsidRPr="006923A2">
        <w:rPr>
          <w:i/>
          <w:iCs/>
          <w:sz w:val="24"/>
          <w:szCs w:val="24"/>
        </w:rPr>
        <w:t xml:space="preserve">istorical </w:t>
      </w:r>
      <w:r>
        <w:rPr>
          <w:i/>
          <w:iCs/>
          <w:sz w:val="24"/>
          <w:szCs w:val="24"/>
        </w:rPr>
        <w:t>e</w:t>
      </w:r>
      <w:r w:rsidRPr="006923A2">
        <w:rPr>
          <w:i/>
          <w:iCs/>
          <w:sz w:val="24"/>
          <w:szCs w:val="24"/>
        </w:rPr>
        <w:t xml:space="preserve">nterprise: </w:t>
      </w:r>
      <w:r>
        <w:rPr>
          <w:i/>
          <w:iCs/>
          <w:sz w:val="24"/>
          <w:szCs w:val="24"/>
        </w:rPr>
        <w:t>p</w:t>
      </w:r>
      <w:r w:rsidRPr="006923A2">
        <w:rPr>
          <w:i/>
          <w:iCs/>
          <w:sz w:val="24"/>
          <w:szCs w:val="24"/>
        </w:rPr>
        <w:t xml:space="preserve">roblems in </w:t>
      </w:r>
      <w:r>
        <w:rPr>
          <w:i/>
          <w:iCs/>
          <w:sz w:val="24"/>
          <w:szCs w:val="24"/>
        </w:rPr>
        <w:t>m</w:t>
      </w:r>
      <w:r w:rsidRPr="006923A2">
        <w:rPr>
          <w:i/>
          <w:iCs/>
          <w:sz w:val="24"/>
          <w:szCs w:val="24"/>
        </w:rPr>
        <w:t xml:space="preserve">onastic </w:t>
      </w:r>
      <w:r>
        <w:rPr>
          <w:i/>
          <w:iCs/>
          <w:sz w:val="24"/>
          <w:szCs w:val="24"/>
        </w:rPr>
        <w:t>h</w:t>
      </w:r>
      <w:r w:rsidRPr="006923A2">
        <w:rPr>
          <w:i/>
          <w:iCs/>
          <w:sz w:val="24"/>
          <w:szCs w:val="24"/>
        </w:rPr>
        <w:t>istory</w:t>
      </w:r>
      <w:r w:rsidRPr="00395960">
        <w:rPr>
          <w:sz w:val="24"/>
          <w:szCs w:val="24"/>
        </w:rPr>
        <w:t xml:space="preserve">. Thomas Nelson and Sons </w:t>
      </w:r>
      <w:r>
        <w:rPr>
          <w:sz w:val="24"/>
          <w:szCs w:val="24"/>
        </w:rPr>
        <w:t>Ltd, London.</w:t>
      </w:r>
    </w:p>
    <w:p w14:paraId="23180FBF" w14:textId="77777777" w:rsidR="001932DA" w:rsidRPr="00395960" w:rsidRDefault="001932DA" w:rsidP="001932DA">
      <w:pPr>
        <w:spacing w:after="0"/>
        <w:rPr>
          <w:sz w:val="24"/>
          <w:szCs w:val="24"/>
        </w:rPr>
      </w:pPr>
    </w:p>
    <w:p w14:paraId="6D20E5C8" w14:textId="77777777" w:rsidR="001932DA" w:rsidRDefault="001932DA" w:rsidP="001932DA">
      <w:pPr>
        <w:spacing w:after="0"/>
        <w:rPr>
          <w:rFonts w:eastAsia="Times New Roman" w:cstheme="minorHAnsi"/>
          <w:sz w:val="24"/>
          <w:szCs w:val="24"/>
          <w:lang w:eastAsia="en-GB"/>
        </w:rPr>
      </w:pPr>
      <w:r w:rsidRPr="00E0449C">
        <w:rPr>
          <w:rFonts w:cstheme="minorHAnsi"/>
          <w:sz w:val="24"/>
          <w:szCs w:val="24"/>
        </w:rPr>
        <w:t>Lawrence</w:t>
      </w:r>
      <w:r w:rsidRPr="00E0449C">
        <w:rPr>
          <w:rFonts w:eastAsia="Times New Roman" w:cstheme="minorHAnsi"/>
          <w:sz w:val="24"/>
          <w:szCs w:val="24"/>
          <w:lang w:eastAsia="en-GB"/>
        </w:rPr>
        <w:t>, C</w:t>
      </w:r>
      <w:r>
        <w:rPr>
          <w:rFonts w:eastAsia="Times New Roman" w:cstheme="minorHAnsi"/>
          <w:sz w:val="24"/>
          <w:szCs w:val="24"/>
          <w:lang w:eastAsia="en-GB"/>
        </w:rPr>
        <w:t>.</w:t>
      </w:r>
      <w:r w:rsidRPr="00E0449C">
        <w:rPr>
          <w:rFonts w:eastAsia="Times New Roman" w:cstheme="minorHAnsi"/>
          <w:sz w:val="24"/>
          <w:szCs w:val="24"/>
          <w:lang w:eastAsia="en-GB"/>
        </w:rPr>
        <w:t>H. (2015)</w:t>
      </w:r>
      <w:r>
        <w:rPr>
          <w:rFonts w:eastAsia="Times New Roman" w:cstheme="minorHAnsi"/>
          <w:sz w:val="24"/>
          <w:szCs w:val="24"/>
          <w:lang w:eastAsia="en-GB"/>
        </w:rPr>
        <w:t>.</w:t>
      </w:r>
      <w:r w:rsidRPr="00E0449C">
        <w:rPr>
          <w:rFonts w:eastAsia="Times New Roman" w:cstheme="minorHAnsi"/>
          <w:sz w:val="24"/>
          <w:szCs w:val="24"/>
          <w:lang w:eastAsia="en-GB"/>
        </w:rPr>
        <w:t xml:space="preserve"> </w:t>
      </w:r>
      <w:r w:rsidRPr="00E0449C">
        <w:rPr>
          <w:rFonts w:eastAsia="Times New Roman" w:cstheme="minorHAnsi"/>
          <w:i/>
          <w:iCs/>
          <w:sz w:val="24"/>
          <w:szCs w:val="24"/>
          <w:lang w:eastAsia="en-GB"/>
        </w:rPr>
        <w:t xml:space="preserve">Medieval </w:t>
      </w:r>
      <w:r>
        <w:rPr>
          <w:rFonts w:eastAsia="Times New Roman" w:cstheme="minorHAnsi"/>
          <w:i/>
          <w:iCs/>
          <w:sz w:val="24"/>
          <w:szCs w:val="24"/>
          <w:lang w:eastAsia="en-GB"/>
        </w:rPr>
        <w:t>m</w:t>
      </w:r>
      <w:r w:rsidRPr="00E0449C">
        <w:rPr>
          <w:rFonts w:eastAsia="Times New Roman" w:cstheme="minorHAnsi"/>
          <w:i/>
          <w:iCs/>
          <w:sz w:val="24"/>
          <w:szCs w:val="24"/>
          <w:lang w:eastAsia="en-GB"/>
        </w:rPr>
        <w:t>onasticism</w:t>
      </w:r>
      <w:r w:rsidRPr="00E0449C">
        <w:rPr>
          <w:rFonts w:eastAsia="Times New Roman" w:cstheme="minorHAnsi"/>
          <w:sz w:val="24"/>
          <w:szCs w:val="24"/>
          <w:lang w:eastAsia="en-GB"/>
        </w:rPr>
        <w:t xml:space="preserve">. </w:t>
      </w:r>
      <w:r>
        <w:rPr>
          <w:rFonts w:eastAsia="Times New Roman" w:cstheme="minorHAnsi"/>
          <w:sz w:val="24"/>
          <w:szCs w:val="24"/>
          <w:lang w:eastAsia="en-GB"/>
        </w:rPr>
        <w:t>(</w:t>
      </w:r>
      <w:r w:rsidRPr="00E0449C">
        <w:rPr>
          <w:rFonts w:eastAsia="Times New Roman" w:cstheme="minorHAnsi"/>
          <w:sz w:val="24"/>
          <w:szCs w:val="24"/>
          <w:lang w:eastAsia="en-GB"/>
        </w:rPr>
        <w:t>4th ed</w:t>
      </w:r>
      <w:r>
        <w:rPr>
          <w:rFonts w:eastAsia="Times New Roman" w:cstheme="minorHAnsi"/>
          <w:sz w:val="24"/>
          <w:szCs w:val="24"/>
          <w:lang w:eastAsia="en-GB"/>
        </w:rPr>
        <w:t>)</w:t>
      </w:r>
      <w:r w:rsidRPr="00E0449C">
        <w:rPr>
          <w:rFonts w:eastAsia="Times New Roman" w:cstheme="minorHAnsi"/>
          <w:sz w:val="24"/>
          <w:szCs w:val="24"/>
          <w:lang w:eastAsia="en-GB"/>
        </w:rPr>
        <w:t xml:space="preserve">. Taylor and Francis. </w:t>
      </w:r>
    </w:p>
    <w:p w14:paraId="221C09DE" w14:textId="77777777" w:rsidR="001932DA" w:rsidRPr="00E0449C" w:rsidRDefault="001932DA" w:rsidP="001932DA">
      <w:pPr>
        <w:spacing w:after="0"/>
        <w:rPr>
          <w:rFonts w:eastAsia="Times New Roman" w:cstheme="minorHAnsi"/>
          <w:sz w:val="24"/>
          <w:szCs w:val="24"/>
          <w:lang w:eastAsia="en-GB"/>
        </w:rPr>
      </w:pPr>
    </w:p>
    <w:p w14:paraId="28B345D1" w14:textId="77777777" w:rsidR="001932DA" w:rsidRPr="00283C61" w:rsidRDefault="001932DA" w:rsidP="00327BA3">
      <w:pPr>
        <w:spacing w:after="0"/>
        <w:ind w:left="720" w:hanging="720"/>
        <w:rPr>
          <w:rFonts w:cstheme="minorHAnsi"/>
          <w:color w:val="181817"/>
          <w:sz w:val="24"/>
          <w:szCs w:val="24"/>
          <w:shd w:val="clear" w:color="auto" w:fill="FFFFFF"/>
        </w:rPr>
      </w:pPr>
      <w:r w:rsidRPr="00917168">
        <w:rPr>
          <w:rFonts w:cstheme="minorHAnsi"/>
          <w:color w:val="181817"/>
          <w:sz w:val="24"/>
          <w:szCs w:val="24"/>
          <w:shd w:val="clear" w:color="auto" w:fill="FFFFFF"/>
        </w:rPr>
        <w:t xml:space="preserve">McGuire, P.B. (2012). </w:t>
      </w:r>
      <w:r w:rsidRPr="00283C61">
        <w:rPr>
          <w:rFonts w:cstheme="minorHAnsi"/>
          <w:color w:val="181817"/>
          <w:sz w:val="24"/>
          <w:szCs w:val="24"/>
          <w:shd w:val="clear" w:color="auto" w:fill="FFFFFF"/>
        </w:rPr>
        <w:t>Constitutions and the General Chapter. In M. Birkedal Bruun (Ed.), </w:t>
      </w:r>
      <w:r w:rsidRPr="00283C61">
        <w:rPr>
          <w:rFonts w:cstheme="minorHAnsi"/>
          <w:i/>
          <w:iCs/>
          <w:color w:val="181817"/>
          <w:sz w:val="24"/>
          <w:szCs w:val="24"/>
          <w:bdr w:val="none" w:sz="0" w:space="0" w:color="auto" w:frame="1"/>
          <w:shd w:val="clear" w:color="auto" w:fill="FFFFFF"/>
        </w:rPr>
        <w:t>The Cambridge companion to the Cistercian Order</w:t>
      </w:r>
      <w:r w:rsidRPr="00283C61">
        <w:rPr>
          <w:rFonts w:cstheme="minorHAnsi"/>
          <w:color w:val="181817"/>
          <w:sz w:val="24"/>
          <w:szCs w:val="24"/>
          <w:shd w:val="clear" w:color="auto" w:fill="FFFFFF"/>
        </w:rPr>
        <w:t xml:space="preserve"> (Cambridge Companions to Religion, pp. 87-99). Cambridge: Cambridge University Press. </w:t>
      </w:r>
      <w:hyperlink r:id="rId8" w:history="1">
        <w:r w:rsidRPr="00283C61">
          <w:rPr>
            <w:rStyle w:val="Hyperlink"/>
            <w:rFonts w:cstheme="minorHAnsi"/>
            <w:sz w:val="24"/>
            <w:szCs w:val="24"/>
            <w:shd w:val="clear" w:color="auto" w:fill="FFFFFF"/>
          </w:rPr>
          <w:t>https://doi.org/10.1017/CCO9780511735899.010</w:t>
        </w:r>
      </w:hyperlink>
    </w:p>
    <w:p w14:paraId="008A374D" w14:textId="77777777" w:rsidR="001932DA" w:rsidRPr="00283C61" w:rsidRDefault="001932DA" w:rsidP="001932DA">
      <w:pPr>
        <w:spacing w:after="0"/>
        <w:rPr>
          <w:rFonts w:cstheme="minorHAnsi"/>
          <w:color w:val="181817"/>
          <w:sz w:val="24"/>
          <w:szCs w:val="24"/>
          <w:shd w:val="clear" w:color="auto" w:fill="FFFFFF"/>
        </w:rPr>
      </w:pPr>
    </w:p>
    <w:p w14:paraId="51782651" w14:textId="77777777" w:rsidR="001932DA" w:rsidRPr="00283C61" w:rsidRDefault="001932DA" w:rsidP="00327BA3">
      <w:pPr>
        <w:spacing w:after="0"/>
        <w:ind w:left="720" w:hanging="720"/>
        <w:rPr>
          <w:rFonts w:cstheme="minorHAnsi"/>
          <w:color w:val="181817"/>
          <w:sz w:val="24"/>
          <w:szCs w:val="24"/>
          <w:shd w:val="clear" w:color="auto" w:fill="FFFFFF"/>
        </w:rPr>
      </w:pPr>
      <w:r w:rsidRPr="00283C61">
        <w:rPr>
          <w:rFonts w:cstheme="minorHAnsi"/>
          <w:sz w:val="24"/>
          <w:szCs w:val="24"/>
        </w:rPr>
        <w:t>Newman</w:t>
      </w:r>
      <w:r w:rsidRPr="00283C61">
        <w:rPr>
          <w:rFonts w:cstheme="minorHAnsi"/>
          <w:color w:val="181817"/>
          <w:sz w:val="24"/>
          <w:szCs w:val="24"/>
          <w:shd w:val="clear" w:color="auto" w:fill="FFFFFF"/>
        </w:rPr>
        <w:t>, M. (2012). Foundation and twelfth century. In M. Birkedal Bruun (Ed.), </w:t>
      </w:r>
      <w:r w:rsidRPr="00283C61">
        <w:rPr>
          <w:rFonts w:cstheme="minorHAnsi"/>
          <w:i/>
          <w:iCs/>
          <w:color w:val="181817"/>
          <w:sz w:val="24"/>
          <w:szCs w:val="24"/>
          <w:bdr w:val="none" w:sz="0" w:space="0" w:color="auto" w:frame="1"/>
          <w:shd w:val="clear" w:color="auto" w:fill="FFFFFF"/>
        </w:rPr>
        <w:t>The Cambridge companion to the Cistercian Order</w:t>
      </w:r>
      <w:r w:rsidRPr="00283C61">
        <w:rPr>
          <w:rFonts w:cstheme="minorHAnsi"/>
          <w:color w:val="181817"/>
          <w:sz w:val="24"/>
          <w:szCs w:val="24"/>
          <w:shd w:val="clear" w:color="auto" w:fill="FFFFFF"/>
        </w:rPr>
        <w:t xml:space="preserve"> (Cambridge Companions to Religion, pp. 25-37). Cambridge: Cambridge University Press. </w:t>
      </w:r>
      <w:hyperlink r:id="rId9" w:history="1">
        <w:r w:rsidRPr="00283C61">
          <w:rPr>
            <w:rStyle w:val="Hyperlink"/>
            <w:rFonts w:cstheme="minorHAnsi"/>
            <w:sz w:val="24"/>
            <w:szCs w:val="24"/>
            <w:shd w:val="clear" w:color="auto" w:fill="FFFFFF"/>
          </w:rPr>
          <w:t>https://doi:10.1017/CCO9780511735899.004</w:t>
        </w:r>
      </w:hyperlink>
    </w:p>
    <w:p w14:paraId="0962C4C0" w14:textId="77777777" w:rsidR="001932DA" w:rsidRDefault="001932DA" w:rsidP="001932DA">
      <w:pPr>
        <w:spacing w:after="0"/>
        <w:rPr>
          <w:rFonts w:ascii="Noto Sans" w:hAnsi="Noto Sans" w:cs="Noto Sans"/>
          <w:color w:val="181817"/>
          <w:shd w:val="clear" w:color="auto" w:fill="FFFFFF"/>
        </w:rPr>
      </w:pPr>
    </w:p>
    <w:p w14:paraId="27FD28FE" w14:textId="34C4BF54" w:rsidR="00A72397" w:rsidRDefault="001932DA" w:rsidP="00015D24">
      <w:pPr>
        <w:spacing w:after="0"/>
      </w:pPr>
      <w:proofErr w:type="spellStart"/>
      <w:r w:rsidRPr="006923A2">
        <w:rPr>
          <w:rFonts w:eastAsia="Times New Roman" w:cstheme="minorHAnsi"/>
          <w:sz w:val="24"/>
          <w:szCs w:val="24"/>
          <w:lang w:eastAsia="en-GB"/>
        </w:rPr>
        <w:t>Ratisbonne</w:t>
      </w:r>
      <w:proofErr w:type="spellEnd"/>
      <w:r w:rsidRPr="006923A2">
        <w:rPr>
          <w:rFonts w:eastAsia="Times New Roman" w:cstheme="minorHAnsi"/>
          <w:sz w:val="24"/>
          <w:szCs w:val="24"/>
          <w:lang w:eastAsia="en-GB"/>
        </w:rPr>
        <w:t xml:space="preserve">, A.T. (1991). </w:t>
      </w:r>
      <w:r w:rsidRPr="006923A2">
        <w:rPr>
          <w:rFonts w:eastAsia="Times New Roman" w:cstheme="minorHAnsi"/>
          <w:i/>
          <w:iCs/>
          <w:sz w:val="24"/>
          <w:szCs w:val="24"/>
          <w:lang w:eastAsia="en-GB"/>
        </w:rPr>
        <w:t>St. Bernard of Clairvaux</w:t>
      </w:r>
      <w:r w:rsidRPr="006923A2">
        <w:rPr>
          <w:rFonts w:eastAsia="Times New Roman" w:cstheme="minorHAnsi"/>
          <w:sz w:val="24"/>
          <w:szCs w:val="24"/>
          <w:lang w:eastAsia="en-GB"/>
        </w:rPr>
        <w:t>. TAN Books.</w:t>
      </w:r>
    </w:p>
    <w:sectPr w:rsidR="00A72397" w:rsidSect="00EB13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78D17" w14:textId="77777777" w:rsidR="0086758C" w:rsidRDefault="0086758C" w:rsidP="00C82822">
      <w:pPr>
        <w:spacing w:after="0" w:line="240" w:lineRule="auto"/>
      </w:pPr>
      <w:r>
        <w:separator/>
      </w:r>
    </w:p>
  </w:endnote>
  <w:endnote w:type="continuationSeparator" w:id="0">
    <w:p w14:paraId="037BD186" w14:textId="77777777" w:rsidR="0086758C" w:rsidRDefault="0086758C" w:rsidP="00C82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w:altName w:val="Noto Sans"/>
    <w:charset w:val="00"/>
    <w:family w:val="swiss"/>
    <w:pitch w:val="variable"/>
    <w:sig w:usb0="E00082FF" w:usb1="400078F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D974D6" w14:textId="77777777" w:rsidR="0086758C" w:rsidRDefault="0086758C" w:rsidP="00C82822">
      <w:pPr>
        <w:spacing w:after="0" w:line="240" w:lineRule="auto"/>
      </w:pPr>
      <w:r>
        <w:separator/>
      </w:r>
    </w:p>
  </w:footnote>
  <w:footnote w:type="continuationSeparator" w:id="0">
    <w:p w14:paraId="033D8737" w14:textId="77777777" w:rsidR="0086758C" w:rsidRDefault="0086758C" w:rsidP="00C8282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2DA"/>
    <w:rsid w:val="00015D24"/>
    <w:rsid w:val="001932DA"/>
    <w:rsid w:val="00311C52"/>
    <w:rsid w:val="00327BA3"/>
    <w:rsid w:val="00405D1A"/>
    <w:rsid w:val="00444F9A"/>
    <w:rsid w:val="004D42F8"/>
    <w:rsid w:val="005C17B1"/>
    <w:rsid w:val="005C2FC9"/>
    <w:rsid w:val="006F2340"/>
    <w:rsid w:val="0086758C"/>
    <w:rsid w:val="00934EB7"/>
    <w:rsid w:val="00A72397"/>
    <w:rsid w:val="00C82822"/>
    <w:rsid w:val="00D95CF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375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32D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932DA"/>
    <w:rPr>
      <w:color w:val="0000FF" w:themeColor="hyperlink"/>
      <w:u w:val="single"/>
    </w:rPr>
  </w:style>
  <w:style w:type="paragraph" w:styleId="Header">
    <w:name w:val="header"/>
    <w:basedOn w:val="Normal"/>
    <w:link w:val="HeaderChar"/>
    <w:uiPriority w:val="99"/>
    <w:unhideWhenUsed/>
    <w:rsid w:val="00C828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2822"/>
  </w:style>
  <w:style w:type="paragraph" w:styleId="Footer">
    <w:name w:val="footer"/>
    <w:basedOn w:val="Normal"/>
    <w:link w:val="FooterChar"/>
    <w:uiPriority w:val="99"/>
    <w:unhideWhenUsed/>
    <w:rsid w:val="00C828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28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3" Type="http://schemas.openxmlformats.org/officeDocument/2006/relationships/webSettings" Target="webSettings.xml"/><Relationship Id="rId7" Type="http://schemas.openxmlformats.org/officeDocument/2006/relationships/hyperlink" Target="about:blan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about:blank"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1234</Words>
  <Characters>7037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2021-12-04T20:14:00Z</dcterms:created>
  <dcterms:modified xsi:type="dcterms:W3CDTF">2021-12-04T20:14:00Z</dcterms:modified>
</cp:coreProperties>
</file>