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A6F52" w14:textId="77777777" w:rsidR="00924527" w:rsidRPr="006A1B54" w:rsidRDefault="00924527" w:rsidP="00C00F09">
      <w:pPr>
        <w:spacing w:beforeLines="100" w:before="312" w:afterLines="100" w:after="312" w:line="360" w:lineRule="auto"/>
        <w:rPr>
          <w:rFonts w:ascii="Arial" w:hAnsi="Arial" w:cs="Arial"/>
          <w:color w:val="000000" w:themeColor="text1"/>
        </w:rPr>
      </w:pPr>
    </w:p>
    <w:p w14:paraId="5E8EE708" w14:textId="77777777" w:rsidR="00924527" w:rsidRPr="006A1B54" w:rsidRDefault="00924527" w:rsidP="00C00F09">
      <w:pPr>
        <w:spacing w:beforeLines="100" w:before="312" w:afterLines="100" w:after="312" w:line="360" w:lineRule="auto"/>
        <w:rPr>
          <w:rFonts w:ascii="Arial" w:hAnsi="Arial" w:cs="Arial"/>
          <w:color w:val="000000" w:themeColor="text1"/>
        </w:rPr>
      </w:pPr>
    </w:p>
    <w:p w14:paraId="218CF53A" w14:textId="77777777" w:rsidR="00924527" w:rsidRPr="006A1B54" w:rsidRDefault="00924527" w:rsidP="00C00F09">
      <w:pPr>
        <w:spacing w:beforeLines="100" w:before="312" w:afterLines="100" w:after="312" w:line="360" w:lineRule="auto"/>
        <w:rPr>
          <w:rFonts w:ascii="Arial" w:hAnsi="Arial" w:cs="Arial"/>
          <w:color w:val="000000" w:themeColor="text1"/>
        </w:rPr>
      </w:pPr>
    </w:p>
    <w:p w14:paraId="54D6204D" w14:textId="77777777" w:rsidR="00924527" w:rsidRPr="006A1B54" w:rsidRDefault="00924527" w:rsidP="00C00F09">
      <w:pPr>
        <w:spacing w:beforeLines="100" w:before="312" w:afterLines="100" w:after="312" w:line="360" w:lineRule="auto"/>
        <w:rPr>
          <w:rFonts w:ascii="Arial" w:hAnsi="Arial" w:cs="Arial"/>
          <w:color w:val="000000" w:themeColor="text1"/>
        </w:rPr>
      </w:pPr>
    </w:p>
    <w:p w14:paraId="278F6529" w14:textId="77777777" w:rsidR="00924527" w:rsidRPr="006A1B54" w:rsidRDefault="00924527" w:rsidP="00C00F09">
      <w:pPr>
        <w:spacing w:beforeLines="100" w:before="312" w:afterLines="100" w:after="312" w:line="360" w:lineRule="auto"/>
        <w:rPr>
          <w:rFonts w:ascii="Arial" w:hAnsi="Arial" w:cs="Arial"/>
          <w:color w:val="000000" w:themeColor="text1"/>
        </w:rPr>
      </w:pPr>
    </w:p>
    <w:p w14:paraId="0A43D879" w14:textId="77777777" w:rsidR="00924527" w:rsidRPr="006A1B54" w:rsidRDefault="00924527" w:rsidP="00C00F09">
      <w:pPr>
        <w:spacing w:beforeLines="100" w:before="312" w:afterLines="100" w:after="312" w:line="360" w:lineRule="auto"/>
        <w:rPr>
          <w:rFonts w:ascii="Arial" w:hAnsi="Arial" w:cs="Arial"/>
          <w:color w:val="000000" w:themeColor="text1"/>
        </w:rPr>
      </w:pPr>
    </w:p>
    <w:p w14:paraId="57ED5E83" w14:textId="77777777" w:rsidR="00924527" w:rsidRPr="006A1B54" w:rsidRDefault="00924527" w:rsidP="00C00F09">
      <w:pPr>
        <w:spacing w:beforeLines="100" w:before="312" w:afterLines="100" w:after="312" w:line="360" w:lineRule="auto"/>
        <w:rPr>
          <w:rFonts w:ascii="Arial" w:hAnsi="Arial" w:cs="Arial"/>
          <w:color w:val="000000" w:themeColor="text1"/>
        </w:rPr>
      </w:pPr>
    </w:p>
    <w:p w14:paraId="31B18D7B" w14:textId="77777777" w:rsidR="00924527" w:rsidRPr="006A1B54" w:rsidRDefault="00924527" w:rsidP="00C00F09">
      <w:pPr>
        <w:spacing w:beforeLines="100" w:before="312" w:afterLines="100" w:after="312" w:line="360" w:lineRule="auto"/>
        <w:rPr>
          <w:rFonts w:ascii="Arial" w:hAnsi="Arial" w:cs="Arial"/>
          <w:color w:val="000000" w:themeColor="text1"/>
        </w:rPr>
      </w:pPr>
    </w:p>
    <w:p w14:paraId="62F46E49" w14:textId="77777777" w:rsidR="00924527" w:rsidRPr="006A1B54" w:rsidRDefault="00924527" w:rsidP="00C00F09">
      <w:pPr>
        <w:spacing w:beforeLines="100" w:before="312" w:afterLines="100" w:after="312" w:line="360" w:lineRule="auto"/>
        <w:rPr>
          <w:rFonts w:ascii="Arial" w:hAnsi="Arial" w:cs="Arial"/>
          <w:color w:val="000000" w:themeColor="text1"/>
        </w:rPr>
      </w:pPr>
    </w:p>
    <w:p w14:paraId="379B6FE6" w14:textId="77777777" w:rsidR="00924527" w:rsidRPr="006A1B54" w:rsidRDefault="00924527" w:rsidP="00C00F09">
      <w:pPr>
        <w:spacing w:beforeLines="100" w:before="312" w:afterLines="100" w:after="312" w:line="360" w:lineRule="auto"/>
        <w:rPr>
          <w:rFonts w:ascii="Arial" w:hAnsi="Arial" w:cs="Arial"/>
          <w:color w:val="000000" w:themeColor="text1"/>
        </w:rPr>
      </w:pPr>
    </w:p>
    <w:p w14:paraId="7B974B56" w14:textId="77777777" w:rsidR="00924527" w:rsidRPr="006A1B54" w:rsidRDefault="00924527" w:rsidP="00C00F09">
      <w:pPr>
        <w:pStyle w:val="a3"/>
        <w:spacing w:beforeLines="100" w:before="312" w:afterLines="100" w:after="312" w:line="360" w:lineRule="auto"/>
        <w:rPr>
          <w:rFonts w:ascii="Arial" w:hAnsi="Arial" w:cs="Arial"/>
          <w:color w:val="000000" w:themeColor="text1"/>
        </w:rPr>
      </w:pPr>
      <w:bookmarkStart w:id="0" w:name="_Toc101793017"/>
      <w:r w:rsidRPr="006A1B54">
        <w:rPr>
          <w:rFonts w:ascii="Arial" w:hAnsi="Arial" w:cs="Arial"/>
          <w:color w:val="000000" w:themeColor="text1"/>
        </w:rPr>
        <w:t>Assessment title: marketing plan of Radisson Hotel Group during the covid-19 pandemic</w:t>
      </w:r>
      <w:bookmarkEnd w:id="0"/>
    </w:p>
    <w:p w14:paraId="18EAB624" w14:textId="286914C3" w:rsidR="00924527" w:rsidRPr="006A1B54" w:rsidRDefault="00924527" w:rsidP="00C00F09">
      <w:pPr>
        <w:widowControl/>
        <w:spacing w:beforeLines="100" w:before="312" w:afterLines="100" w:after="312" w:line="360" w:lineRule="auto"/>
        <w:jc w:val="left"/>
        <w:rPr>
          <w:rFonts w:ascii="Arial" w:eastAsiaTheme="majorEastAsia" w:hAnsi="Arial" w:cs="Arial"/>
          <w:b/>
          <w:bCs/>
          <w:color w:val="000000" w:themeColor="text1"/>
          <w:sz w:val="32"/>
          <w:szCs w:val="32"/>
        </w:rPr>
      </w:pPr>
      <w:r w:rsidRPr="006A1B54">
        <w:rPr>
          <w:rFonts w:ascii="Arial" w:hAnsi="Arial" w:cs="Arial"/>
          <w:color w:val="000000" w:themeColor="text1"/>
        </w:rPr>
        <w:br w:type="page"/>
      </w:r>
    </w:p>
    <w:sdt>
      <w:sdtPr>
        <w:rPr>
          <w:rFonts w:ascii="Arial" w:eastAsiaTheme="minorEastAsia" w:hAnsi="Arial" w:cs="Arial"/>
          <w:color w:val="000000" w:themeColor="text1"/>
          <w:kern w:val="2"/>
          <w:sz w:val="21"/>
          <w:szCs w:val="22"/>
          <w:lang w:val="zh-CN"/>
        </w:rPr>
        <w:id w:val="-1299681380"/>
        <w:docPartObj>
          <w:docPartGallery w:val="Table of Contents"/>
          <w:docPartUnique/>
        </w:docPartObj>
      </w:sdtPr>
      <w:sdtEndPr>
        <w:rPr>
          <w:b/>
          <w:bCs/>
        </w:rPr>
      </w:sdtEndPr>
      <w:sdtContent>
        <w:p w14:paraId="08C87AF8" w14:textId="3DEF18C0" w:rsidR="00EF1BA8" w:rsidRPr="004E2020" w:rsidRDefault="00EF1BA8" w:rsidP="004E2020">
          <w:pPr>
            <w:pStyle w:val="TOC"/>
            <w:spacing w:beforeLines="100" w:before="312" w:afterLines="100" w:after="312" w:line="360" w:lineRule="auto"/>
            <w:rPr>
              <w:rFonts w:ascii="Arial" w:hAnsi="Arial" w:cs="Arial"/>
              <w:color w:val="000000" w:themeColor="text1"/>
            </w:rPr>
          </w:pPr>
          <w:r w:rsidRPr="006A1B54">
            <w:rPr>
              <w:rFonts w:ascii="Arial" w:hAnsi="Arial" w:cs="Arial"/>
              <w:color w:val="000000" w:themeColor="text1"/>
              <w:lang w:val="zh-CN"/>
            </w:rPr>
            <w:t xml:space="preserve">Table of contents </w:t>
          </w:r>
          <w:r w:rsidRPr="00A06061">
            <w:rPr>
              <w:rFonts w:ascii="Arial" w:hAnsi="Arial" w:cs="Arial"/>
              <w:color w:val="000000" w:themeColor="text1"/>
            </w:rPr>
            <w:fldChar w:fldCharType="begin"/>
          </w:r>
          <w:r w:rsidRPr="00A06061">
            <w:rPr>
              <w:rFonts w:ascii="Arial" w:hAnsi="Arial" w:cs="Arial"/>
              <w:color w:val="000000" w:themeColor="text1"/>
            </w:rPr>
            <w:instrText xml:space="preserve"> TOC \o "1-3" \h \z \u </w:instrText>
          </w:r>
          <w:r w:rsidRPr="00A06061">
            <w:rPr>
              <w:rFonts w:ascii="Arial" w:hAnsi="Arial" w:cs="Arial"/>
              <w:color w:val="000000" w:themeColor="text1"/>
            </w:rPr>
            <w:fldChar w:fldCharType="separate"/>
          </w:r>
        </w:p>
        <w:p w14:paraId="0E222888" w14:textId="07290585" w:rsidR="00EF1BA8" w:rsidRPr="00A06061" w:rsidRDefault="00556287" w:rsidP="00C00F09">
          <w:pPr>
            <w:pStyle w:val="TOC1"/>
            <w:tabs>
              <w:tab w:val="right" w:leader="dot" w:pos="9736"/>
            </w:tabs>
            <w:spacing w:beforeLines="100" w:before="312" w:afterLines="100" w:after="312" w:line="360" w:lineRule="auto"/>
            <w:rPr>
              <w:rFonts w:ascii="Arial" w:hAnsi="Arial" w:cs="Arial"/>
              <w:noProof/>
              <w:color w:val="000000" w:themeColor="text1"/>
              <w:kern w:val="2"/>
            </w:rPr>
          </w:pPr>
          <w:hyperlink w:anchor="_Toc101793018" w:history="1">
            <w:r w:rsidR="00EF1BA8" w:rsidRPr="00A06061">
              <w:rPr>
                <w:rStyle w:val="aa"/>
                <w:rFonts w:ascii="Arial" w:hAnsi="Arial" w:cs="Arial"/>
                <w:noProof/>
                <w:color w:val="000000" w:themeColor="text1"/>
              </w:rPr>
              <w:t>Executive summary</w:t>
            </w:r>
            <w:r w:rsidR="00EF1BA8" w:rsidRPr="00A06061">
              <w:rPr>
                <w:rFonts w:ascii="Arial" w:hAnsi="Arial" w:cs="Arial"/>
                <w:noProof/>
                <w:webHidden/>
                <w:color w:val="000000" w:themeColor="text1"/>
              </w:rPr>
              <w:tab/>
            </w:r>
            <w:r w:rsidR="00EF1BA8" w:rsidRPr="00A06061">
              <w:rPr>
                <w:rFonts w:ascii="Arial" w:hAnsi="Arial" w:cs="Arial"/>
                <w:noProof/>
                <w:webHidden/>
                <w:color w:val="000000" w:themeColor="text1"/>
              </w:rPr>
              <w:fldChar w:fldCharType="begin"/>
            </w:r>
            <w:r w:rsidR="00EF1BA8" w:rsidRPr="00A06061">
              <w:rPr>
                <w:rFonts w:ascii="Arial" w:hAnsi="Arial" w:cs="Arial"/>
                <w:noProof/>
                <w:webHidden/>
                <w:color w:val="000000" w:themeColor="text1"/>
              </w:rPr>
              <w:instrText xml:space="preserve"> PAGEREF _Toc101793018 \h </w:instrText>
            </w:r>
            <w:r w:rsidR="00EF1BA8" w:rsidRPr="00A06061">
              <w:rPr>
                <w:rFonts w:ascii="Arial" w:hAnsi="Arial" w:cs="Arial"/>
                <w:noProof/>
                <w:webHidden/>
                <w:color w:val="000000" w:themeColor="text1"/>
              </w:rPr>
            </w:r>
            <w:r w:rsidR="00EF1BA8" w:rsidRPr="00A06061">
              <w:rPr>
                <w:rFonts w:ascii="Arial" w:hAnsi="Arial" w:cs="Arial"/>
                <w:noProof/>
                <w:webHidden/>
                <w:color w:val="000000" w:themeColor="text1"/>
              </w:rPr>
              <w:fldChar w:fldCharType="separate"/>
            </w:r>
            <w:r w:rsidR="00472EE9" w:rsidRPr="00A06061">
              <w:rPr>
                <w:rFonts w:ascii="Arial" w:hAnsi="Arial" w:cs="Arial"/>
                <w:noProof/>
                <w:webHidden/>
                <w:color w:val="000000" w:themeColor="text1"/>
              </w:rPr>
              <w:t>1</w:t>
            </w:r>
            <w:r w:rsidR="00EF1BA8" w:rsidRPr="00A06061">
              <w:rPr>
                <w:rFonts w:ascii="Arial" w:hAnsi="Arial" w:cs="Arial"/>
                <w:noProof/>
                <w:webHidden/>
                <w:color w:val="000000" w:themeColor="text1"/>
              </w:rPr>
              <w:fldChar w:fldCharType="end"/>
            </w:r>
          </w:hyperlink>
        </w:p>
        <w:p w14:paraId="4F7991DE" w14:textId="70A0C99D" w:rsidR="00EF1BA8" w:rsidRPr="00A06061" w:rsidRDefault="00556287" w:rsidP="00C00F09">
          <w:pPr>
            <w:pStyle w:val="TOC1"/>
            <w:tabs>
              <w:tab w:val="left" w:pos="440"/>
              <w:tab w:val="right" w:leader="dot" w:pos="9736"/>
            </w:tabs>
            <w:spacing w:beforeLines="100" w:before="312" w:afterLines="100" w:after="312" w:line="360" w:lineRule="auto"/>
            <w:rPr>
              <w:rFonts w:ascii="Arial" w:hAnsi="Arial" w:cs="Arial"/>
              <w:noProof/>
              <w:color w:val="000000" w:themeColor="text1"/>
              <w:kern w:val="2"/>
            </w:rPr>
          </w:pPr>
          <w:hyperlink w:anchor="_Toc101793019" w:history="1">
            <w:r w:rsidR="00EF1BA8" w:rsidRPr="00A06061">
              <w:rPr>
                <w:rStyle w:val="aa"/>
                <w:rFonts w:ascii="Arial" w:hAnsi="Arial" w:cs="Arial"/>
                <w:noProof/>
                <w:color w:val="000000" w:themeColor="text1"/>
              </w:rPr>
              <w:t>1.</w:t>
            </w:r>
            <w:r w:rsidR="00EF1BA8" w:rsidRPr="00A06061">
              <w:rPr>
                <w:rFonts w:ascii="Arial" w:hAnsi="Arial" w:cs="Arial"/>
                <w:noProof/>
                <w:color w:val="000000" w:themeColor="text1"/>
                <w:kern w:val="2"/>
              </w:rPr>
              <w:tab/>
            </w:r>
            <w:r w:rsidR="00EF1BA8" w:rsidRPr="00A06061">
              <w:rPr>
                <w:rStyle w:val="aa"/>
                <w:rFonts w:ascii="Arial" w:hAnsi="Arial" w:cs="Arial"/>
                <w:noProof/>
                <w:color w:val="000000" w:themeColor="text1"/>
              </w:rPr>
              <w:t>Introduction</w:t>
            </w:r>
            <w:r w:rsidR="00EF1BA8" w:rsidRPr="00A06061">
              <w:rPr>
                <w:rFonts w:ascii="Arial" w:hAnsi="Arial" w:cs="Arial"/>
                <w:noProof/>
                <w:webHidden/>
                <w:color w:val="000000" w:themeColor="text1"/>
              </w:rPr>
              <w:tab/>
            </w:r>
            <w:r w:rsidR="00EF1BA8" w:rsidRPr="00A06061">
              <w:rPr>
                <w:rFonts w:ascii="Arial" w:hAnsi="Arial" w:cs="Arial"/>
                <w:noProof/>
                <w:webHidden/>
                <w:color w:val="000000" w:themeColor="text1"/>
              </w:rPr>
              <w:fldChar w:fldCharType="begin"/>
            </w:r>
            <w:r w:rsidR="00EF1BA8" w:rsidRPr="00A06061">
              <w:rPr>
                <w:rFonts w:ascii="Arial" w:hAnsi="Arial" w:cs="Arial"/>
                <w:noProof/>
                <w:webHidden/>
                <w:color w:val="000000" w:themeColor="text1"/>
              </w:rPr>
              <w:instrText xml:space="preserve"> PAGEREF _Toc101793019 \h </w:instrText>
            </w:r>
            <w:r w:rsidR="00EF1BA8" w:rsidRPr="00A06061">
              <w:rPr>
                <w:rFonts w:ascii="Arial" w:hAnsi="Arial" w:cs="Arial"/>
                <w:noProof/>
                <w:webHidden/>
                <w:color w:val="000000" w:themeColor="text1"/>
              </w:rPr>
            </w:r>
            <w:r w:rsidR="00EF1BA8" w:rsidRPr="00A06061">
              <w:rPr>
                <w:rFonts w:ascii="Arial" w:hAnsi="Arial" w:cs="Arial"/>
                <w:noProof/>
                <w:webHidden/>
                <w:color w:val="000000" w:themeColor="text1"/>
              </w:rPr>
              <w:fldChar w:fldCharType="separate"/>
            </w:r>
            <w:r w:rsidR="00472EE9" w:rsidRPr="00A06061">
              <w:rPr>
                <w:rFonts w:ascii="Arial" w:hAnsi="Arial" w:cs="Arial"/>
                <w:noProof/>
                <w:webHidden/>
                <w:color w:val="000000" w:themeColor="text1"/>
              </w:rPr>
              <w:t>1</w:t>
            </w:r>
            <w:r w:rsidR="00EF1BA8" w:rsidRPr="00A06061">
              <w:rPr>
                <w:rFonts w:ascii="Arial" w:hAnsi="Arial" w:cs="Arial"/>
                <w:noProof/>
                <w:webHidden/>
                <w:color w:val="000000" w:themeColor="text1"/>
              </w:rPr>
              <w:fldChar w:fldCharType="end"/>
            </w:r>
          </w:hyperlink>
        </w:p>
        <w:p w14:paraId="05DDCECA" w14:textId="7BF6BE1D" w:rsidR="00EF1BA8" w:rsidRPr="00A06061" w:rsidRDefault="00556287" w:rsidP="00C00F09">
          <w:pPr>
            <w:pStyle w:val="TOC1"/>
            <w:tabs>
              <w:tab w:val="right" w:leader="dot" w:pos="9736"/>
            </w:tabs>
            <w:spacing w:beforeLines="100" w:before="312" w:afterLines="100" w:after="312" w:line="360" w:lineRule="auto"/>
            <w:rPr>
              <w:rFonts w:ascii="Arial" w:hAnsi="Arial" w:cs="Arial"/>
              <w:noProof/>
              <w:color w:val="000000" w:themeColor="text1"/>
              <w:kern w:val="2"/>
            </w:rPr>
          </w:pPr>
          <w:hyperlink w:anchor="_Toc101793020" w:history="1">
            <w:r w:rsidR="00EF1BA8" w:rsidRPr="00A06061">
              <w:rPr>
                <w:rStyle w:val="aa"/>
                <w:rFonts w:ascii="Arial" w:hAnsi="Arial" w:cs="Arial"/>
                <w:noProof/>
                <w:color w:val="000000" w:themeColor="text1"/>
              </w:rPr>
              <w:t>2.  Marketing plan for Radisson</w:t>
            </w:r>
            <w:r w:rsidR="00EF1BA8" w:rsidRPr="00A06061">
              <w:rPr>
                <w:rFonts w:ascii="Arial" w:hAnsi="Arial" w:cs="Arial"/>
                <w:noProof/>
                <w:webHidden/>
                <w:color w:val="000000" w:themeColor="text1"/>
              </w:rPr>
              <w:tab/>
            </w:r>
            <w:r w:rsidR="00EF1BA8" w:rsidRPr="00A06061">
              <w:rPr>
                <w:rFonts w:ascii="Arial" w:hAnsi="Arial" w:cs="Arial"/>
                <w:noProof/>
                <w:webHidden/>
                <w:color w:val="000000" w:themeColor="text1"/>
              </w:rPr>
              <w:fldChar w:fldCharType="begin"/>
            </w:r>
            <w:r w:rsidR="00EF1BA8" w:rsidRPr="00A06061">
              <w:rPr>
                <w:rFonts w:ascii="Arial" w:hAnsi="Arial" w:cs="Arial"/>
                <w:noProof/>
                <w:webHidden/>
                <w:color w:val="000000" w:themeColor="text1"/>
              </w:rPr>
              <w:instrText xml:space="preserve"> PAGEREF _Toc101793020 \h </w:instrText>
            </w:r>
            <w:r w:rsidR="00EF1BA8" w:rsidRPr="00A06061">
              <w:rPr>
                <w:rFonts w:ascii="Arial" w:hAnsi="Arial" w:cs="Arial"/>
                <w:noProof/>
                <w:webHidden/>
                <w:color w:val="000000" w:themeColor="text1"/>
              </w:rPr>
            </w:r>
            <w:r w:rsidR="00EF1BA8" w:rsidRPr="00A06061">
              <w:rPr>
                <w:rFonts w:ascii="Arial" w:hAnsi="Arial" w:cs="Arial"/>
                <w:noProof/>
                <w:webHidden/>
                <w:color w:val="000000" w:themeColor="text1"/>
              </w:rPr>
              <w:fldChar w:fldCharType="separate"/>
            </w:r>
            <w:r w:rsidR="00472EE9" w:rsidRPr="00A06061">
              <w:rPr>
                <w:rFonts w:ascii="Arial" w:hAnsi="Arial" w:cs="Arial"/>
                <w:noProof/>
                <w:webHidden/>
                <w:color w:val="000000" w:themeColor="text1"/>
              </w:rPr>
              <w:t>2</w:t>
            </w:r>
            <w:r w:rsidR="00EF1BA8" w:rsidRPr="00A06061">
              <w:rPr>
                <w:rFonts w:ascii="Arial" w:hAnsi="Arial" w:cs="Arial"/>
                <w:noProof/>
                <w:webHidden/>
                <w:color w:val="000000" w:themeColor="text1"/>
              </w:rPr>
              <w:fldChar w:fldCharType="end"/>
            </w:r>
          </w:hyperlink>
        </w:p>
        <w:p w14:paraId="2952C665" w14:textId="28BDE41C" w:rsidR="00EF1BA8" w:rsidRPr="00A06061" w:rsidRDefault="00556287" w:rsidP="00C00F09">
          <w:pPr>
            <w:pStyle w:val="TOC2"/>
            <w:tabs>
              <w:tab w:val="right" w:leader="dot" w:pos="9736"/>
            </w:tabs>
            <w:spacing w:beforeLines="100" w:before="312" w:afterLines="100" w:after="312" w:line="360" w:lineRule="auto"/>
            <w:rPr>
              <w:rFonts w:ascii="Arial" w:hAnsi="Arial" w:cs="Arial"/>
              <w:noProof/>
              <w:color w:val="000000" w:themeColor="text1"/>
              <w:kern w:val="2"/>
            </w:rPr>
          </w:pPr>
          <w:hyperlink w:anchor="_Toc101793021" w:history="1">
            <w:r w:rsidR="00EF1BA8" w:rsidRPr="00A06061">
              <w:rPr>
                <w:rStyle w:val="aa"/>
                <w:rFonts w:ascii="Arial" w:hAnsi="Arial" w:cs="Arial"/>
                <w:noProof/>
                <w:color w:val="000000" w:themeColor="text1"/>
              </w:rPr>
              <w:t xml:space="preserve">2.1  Situational </w:t>
            </w:r>
            <w:r w:rsidR="004E2020">
              <w:rPr>
                <w:rStyle w:val="aa"/>
                <w:rFonts w:ascii="Arial" w:hAnsi="Arial" w:cs="Arial" w:hint="eastAsia"/>
                <w:noProof/>
                <w:color w:val="000000" w:themeColor="text1"/>
              </w:rPr>
              <w:t>a</w:t>
            </w:r>
            <w:r w:rsidR="00EF1BA8" w:rsidRPr="00A06061">
              <w:rPr>
                <w:rStyle w:val="aa"/>
                <w:rFonts w:ascii="Arial" w:hAnsi="Arial" w:cs="Arial"/>
                <w:noProof/>
                <w:color w:val="000000" w:themeColor="text1"/>
              </w:rPr>
              <w:t>nalysis</w:t>
            </w:r>
            <w:r w:rsidR="00EF1BA8" w:rsidRPr="00A06061">
              <w:rPr>
                <w:rFonts w:ascii="Arial" w:hAnsi="Arial" w:cs="Arial"/>
                <w:noProof/>
                <w:webHidden/>
                <w:color w:val="000000" w:themeColor="text1"/>
              </w:rPr>
              <w:tab/>
            </w:r>
            <w:r w:rsidR="00EF1BA8" w:rsidRPr="00A06061">
              <w:rPr>
                <w:rFonts w:ascii="Arial" w:hAnsi="Arial" w:cs="Arial"/>
                <w:noProof/>
                <w:webHidden/>
                <w:color w:val="000000" w:themeColor="text1"/>
              </w:rPr>
              <w:fldChar w:fldCharType="begin"/>
            </w:r>
            <w:r w:rsidR="00EF1BA8" w:rsidRPr="00A06061">
              <w:rPr>
                <w:rFonts w:ascii="Arial" w:hAnsi="Arial" w:cs="Arial"/>
                <w:noProof/>
                <w:webHidden/>
                <w:color w:val="000000" w:themeColor="text1"/>
              </w:rPr>
              <w:instrText xml:space="preserve"> PAGEREF _Toc101793021 \h </w:instrText>
            </w:r>
            <w:r w:rsidR="00EF1BA8" w:rsidRPr="00A06061">
              <w:rPr>
                <w:rFonts w:ascii="Arial" w:hAnsi="Arial" w:cs="Arial"/>
                <w:noProof/>
                <w:webHidden/>
                <w:color w:val="000000" w:themeColor="text1"/>
              </w:rPr>
            </w:r>
            <w:r w:rsidR="00EF1BA8" w:rsidRPr="00A06061">
              <w:rPr>
                <w:rFonts w:ascii="Arial" w:hAnsi="Arial" w:cs="Arial"/>
                <w:noProof/>
                <w:webHidden/>
                <w:color w:val="000000" w:themeColor="text1"/>
              </w:rPr>
              <w:fldChar w:fldCharType="separate"/>
            </w:r>
            <w:r w:rsidR="00472EE9" w:rsidRPr="00A06061">
              <w:rPr>
                <w:rFonts w:ascii="Arial" w:hAnsi="Arial" w:cs="Arial"/>
                <w:noProof/>
                <w:webHidden/>
                <w:color w:val="000000" w:themeColor="text1"/>
              </w:rPr>
              <w:t>2</w:t>
            </w:r>
            <w:r w:rsidR="00EF1BA8" w:rsidRPr="00A06061">
              <w:rPr>
                <w:rFonts w:ascii="Arial" w:hAnsi="Arial" w:cs="Arial"/>
                <w:noProof/>
                <w:webHidden/>
                <w:color w:val="000000" w:themeColor="text1"/>
              </w:rPr>
              <w:fldChar w:fldCharType="end"/>
            </w:r>
          </w:hyperlink>
        </w:p>
        <w:p w14:paraId="6791CE35" w14:textId="48919526" w:rsidR="00EF1BA8" w:rsidRPr="00A06061" w:rsidRDefault="00556287" w:rsidP="00C00F09">
          <w:pPr>
            <w:pStyle w:val="TOC2"/>
            <w:tabs>
              <w:tab w:val="right" w:leader="dot" w:pos="9736"/>
            </w:tabs>
            <w:spacing w:beforeLines="100" w:before="312" w:afterLines="100" w:after="312" w:line="360" w:lineRule="auto"/>
            <w:rPr>
              <w:rFonts w:ascii="Arial" w:hAnsi="Arial" w:cs="Arial"/>
              <w:noProof/>
              <w:color w:val="000000" w:themeColor="text1"/>
              <w:kern w:val="2"/>
            </w:rPr>
          </w:pPr>
          <w:hyperlink w:anchor="_Toc101793022" w:history="1">
            <w:r w:rsidR="00EF1BA8" w:rsidRPr="00A06061">
              <w:rPr>
                <w:rStyle w:val="aa"/>
                <w:rFonts w:ascii="Arial" w:hAnsi="Arial" w:cs="Arial"/>
                <w:noProof/>
                <w:color w:val="000000" w:themeColor="text1"/>
              </w:rPr>
              <w:t>2.2  Objective</w:t>
            </w:r>
            <w:r w:rsidR="00EF1BA8" w:rsidRPr="00A06061">
              <w:rPr>
                <w:rFonts w:ascii="Arial" w:hAnsi="Arial" w:cs="Arial"/>
                <w:noProof/>
                <w:webHidden/>
                <w:color w:val="000000" w:themeColor="text1"/>
              </w:rPr>
              <w:tab/>
            </w:r>
            <w:r w:rsidR="00EF1BA8" w:rsidRPr="00A06061">
              <w:rPr>
                <w:rFonts w:ascii="Arial" w:hAnsi="Arial" w:cs="Arial"/>
                <w:noProof/>
                <w:webHidden/>
                <w:color w:val="000000" w:themeColor="text1"/>
              </w:rPr>
              <w:fldChar w:fldCharType="begin"/>
            </w:r>
            <w:r w:rsidR="00EF1BA8" w:rsidRPr="00A06061">
              <w:rPr>
                <w:rFonts w:ascii="Arial" w:hAnsi="Arial" w:cs="Arial"/>
                <w:noProof/>
                <w:webHidden/>
                <w:color w:val="000000" w:themeColor="text1"/>
              </w:rPr>
              <w:instrText xml:space="preserve"> PAGEREF _Toc101793022 \h </w:instrText>
            </w:r>
            <w:r w:rsidR="00EF1BA8" w:rsidRPr="00A06061">
              <w:rPr>
                <w:rFonts w:ascii="Arial" w:hAnsi="Arial" w:cs="Arial"/>
                <w:noProof/>
                <w:webHidden/>
                <w:color w:val="000000" w:themeColor="text1"/>
              </w:rPr>
            </w:r>
            <w:r w:rsidR="00EF1BA8" w:rsidRPr="00A06061">
              <w:rPr>
                <w:rFonts w:ascii="Arial" w:hAnsi="Arial" w:cs="Arial"/>
                <w:noProof/>
                <w:webHidden/>
                <w:color w:val="000000" w:themeColor="text1"/>
              </w:rPr>
              <w:fldChar w:fldCharType="separate"/>
            </w:r>
            <w:r w:rsidR="00472EE9" w:rsidRPr="00A06061">
              <w:rPr>
                <w:rFonts w:ascii="Arial" w:hAnsi="Arial" w:cs="Arial"/>
                <w:noProof/>
                <w:webHidden/>
                <w:color w:val="000000" w:themeColor="text1"/>
              </w:rPr>
              <w:t>3</w:t>
            </w:r>
            <w:r w:rsidR="00EF1BA8" w:rsidRPr="00A06061">
              <w:rPr>
                <w:rFonts w:ascii="Arial" w:hAnsi="Arial" w:cs="Arial"/>
                <w:noProof/>
                <w:webHidden/>
                <w:color w:val="000000" w:themeColor="text1"/>
              </w:rPr>
              <w:fldChar w:fldCharType="end"/>
            </w:r>
          </w:hyperlink>
        </w:p>
        <w:p w14:paraId="5FA0A5F6" w14:textId="4F520474" w:rsidR="00EF1BA8" w:rsidRPr="00A06061" w:rsidRDefault="00556287" w:rsidP="00C00F09">
          <w:pPr>
            <w:pStyle w:val="TOC2"/>
            <w:tabs>
              <w:tab w:val="right" w:leader="dot" w:pos="9736"/>
            </w:tabs>
            <w:spacing w:beforeLines="100" w:before="312" w:afterLines="100" w:after="312" w:line="360" w:lineRule="auto"/>
            <w:rPr>
              <w:rFonts w:ascii="Arial" w:hAnsi="Arial" w:cs="Arial"/>
              <w:noProof/>
              <w:color w:val="000000" w:themeColor="text1"/>
              <w:kern w:val="2"/>
            </w:rPr>
          </w:pPr>
          <w:hyperlink w:anchor="_Toc101793023" w:history="1">
            <w:r w:rsidR="00EF1BA8" w:rsidRPr="00A06061">
              <w:rPr>
                <w:rStyle w:val="aa"/>
                <w:rFonts w:ascii="Arial" w:hAnsi="Arial" w:cs="Arial"/>
                <w:noProof/>
                <w:color w:val="000000" w:themeColor="text1"/>
              </w:rPr>
              <w:t>2.3  Strategies</w:t>
            </w:r>
            <w:r w:rsidR="00EF1BA8" w:rsidRPr="00A06061">
              <w:rPr>
                <w:rFonts w:ascii="Arial" w:hAnsi="Arial" w:cs="Arial"/>
                <w:noProof/>
                <w:webHidden/>
                <w:color w:val="000000" w:themeColor="text1"/>
              </w:rPr>
              <w:tab/>
            </w:r>
            <w:r w:rsidR="00EF1BA8" w:rsidRPr="00A06061">
              <w:rPr>
                <w:rFonts w:ascii="Arial" w:hAnsi="Arial" w:cs="Arial"/>
                <w:noProof/>
                <w:webHidden/>
                <w:color w:val="000000" w:themeColor="text1"/>
              </w:rPr>
              <w:fldChar w:fldCharType="begin"/>
            </w:r>
            <w:r w:rsidR="00EF1BA8" w:rsidRPr="00A06061">
              <w:rPr>
                <w:rFonts w:ascii="Arial" w:hAnsi="Arial" w:cs="Arial"/>
                <w:noProof/>
                <w:webHidden/>
                <w:color w:val="000000" w:themeColor="text1"/>
              </w:rPr>
              <w:instrText xml:space="preserve"> PAGEREF _Toc101793023 \h </w:instrText>
            </w:r>
            <w:r w:rsidR="00EF1BA8" w:rsidRPr="00A06061">
              <w:rPr>
                <w:rFonts w:ascii="Arial" w:hAnsi="Arial" w:cs="Arial"/>
                <w:noProof/>
                <w:webHidden/>
                <w:color w:val="000000" w:themeColor="text1"/>
              </w:rPr>
            </w:r>
            <w:r w:rsidR="00EF1BA8" w:rsidRPr="00A06061">
              <w:rPr>
                <w:rFonts w:ascii="Arial" w:hAnsi="Arial" w:cs="Arial"/>
                <w:noProof/>
                <w:webHidden/>
                <w:color w:val="000000" w:themeColor="text1"/>
              </w:rPr>
              <w:fldChar w:fldCharType="separate"/>
            </w:r>
            <w:r w:rsidR="00472EE9" w:rsidRPr="00A06061">
              <w:rPr>
                <w:rFonts w:ascii="Arial" w:hAnsi="Arial" w:cs="Arial"/>
                <w:noProof/>
                <w:webHidden/>
                <w:color w:val="000000" w:themeColor="text1"/>
              </w:rPr>
              <w:t>5</w:t>
            </w:r>
            <w:r w:rsidR="00EF1BA8" w:rsidRPr="00A06061">
              <w:rPr>
                <w:rFonts w:ascii="Arial" w:hAnsi="Arial" w:cs="Arial"/>
                <w:noProof/>
                <w:webHidden/>
                <w:color w:val="000000" w:themeColor="text1"/>
              </w:rPr>
              <w:fldChar w:fldCharType="end"/>
            </w:r>
          </w:hyperlink>
        </w:p>
        <w:p w14:paraId="310BBEFC" w14:textId="41F5A59B" w:rsidR="00EF1BA8" w:rsidRPr="00A06061" w:rsidRDefault="00556287" w:rsidP="00C00F09">
          <w:pPr>
            <w:pStyle w:val="TOC2"/>
            <w:tabs>
              <w:tab w:val="right" w:leader="dot" w:pos="9736"/>
            </w:tabs>
            <w:spacing w:beforeLines="100" w:before="312" w:afterLines="100" w:after="312" w:line="360" w:lineRule="auto"/>
            <w:rPr>
              <w:rFonts w:ascii="Arial" w:hAnsi="Arial" w:cs="Arial"/>
              <w:noProof/>
              <w:color w:val="000000" w:themeColor="text1"/>
              <w:kern w:val="2"/>
            </w:rPr>
          </w:pPr>
          <w:hyperlink w:anchor="_Toc101793024" w:history="1">
            <w:r w:rsidR="00EF1BA8" w:rsidRPr="00A06061">
              <w:rPr>
                <w:rStyle w:val="aa"/>
                <w:rFonts w:ascii="Arial" w:hAnsi="Arial" w:cs="Arial"/>
                <w:noProof/>
                <w:color w:val="000000" w:themeColor="text1"/>
              </w:rPr>
              <w:t>2.4  Tactics</w:t>
            </w:r>
            <w:r w:rsidR="00EF1BA8" w:rsidRPr="00A06061">
              <w:rPr>
                <w:rFonts w:ascii="Arial" w:hAnsi="Arial" w:cs="Arial"/>
                <w:noProof/>
                <w:webHidden/>
                <w:color w:val="000000" w:themeColor="text1"/>
              </w:rPr>
              <w:tab/>
            </w:r>
            <w:r w:rsidR="00EF1BA8" w:rsidRPr="00A06061">
              <w:rPr>
                <w:rFonts w:ascii="Arial" w:hAnsi="Arial" w:cs="Arial"/>
                <w:noProof/>
                <w:webHidden/>
                <w:color w:val="000000" w:themeColor="text1"/>
              </w:rPr>
              <w:fldChar w:fldCharType="begin"/>
            </w:r>
            <w:r w:rsidR="00EF1BA8" w:rsidRPr="00A06061">
              <w:rPr>
                <w:rFonts w:ascii="Arial" w:hAnsi="Arial" w:cs="Arial"/>
                <w:noProof/>
                <w:webHidden/>
                <w:color w:val="000000" w:themeColor="text1"/>
              </w:rPr>
              <w:instrText xml:space="preserve"> PAGEREF _Toc101793024 \h </w:instrText>
            </w:r>
            <w:r w:rsidR="00EF1BA8" w:rsidRPr="00A06061">
              <w:rPr>
                <w:rFonts w:ascii="Arial" w:hAnsi="Arial" w:cs="Arial"/>
                <w:noProof/>
                <w:webHidden/>
                <w:color w:val="000000" w:themeColor="text1"/>
              </w:rPr>
            </w:r>
            <w:r w:rsidR="00EF1BA8" w:rsidRPr="00A06061">
              <w:rPr>
                <w:rFonts w:ascii="Arial" w:hAnsi="Arial" w:cs="Arial"/>
                <w:noProof/>
                <w:webHidden/>
                <w:color w:val="000000" w:themeColor="text1"/>
              </w:rPr>
              <w:fldChar w:fldCharType="separate"/>
            </w:r>
            <w:r w:rsidR="00472EE9" w:rsidRPr="00A06061">
              <w:rPr>
                <w:rFonts w:ascii="Arial" w:hAnsi="Arial" w:cs="Arial"/>
                <w:noProof/>
                <w:webHidden/>
                <w:color w:val="000000" w:themeColor="text1"/>
              </w:rPr>
              <w:t>5</w:t>
            </w:r>
            <w:r w:rsidR="00EF1BA8" w:rsidRPr="00A06061">
              <w:rPr>
                <w:rFonts w:ascii="Arial" w:hAnsi="Arial" w:cs="Arial"/>
                <w:noProof/>
                <w:webHidden/>
                <w:color w:val="000000" w:themeColor="text1"/>
              </w:rPr>
              <w:fldChar w:fldCharType="end"/>
            </w:r>
          </w:hyperlink>
        </w:p>
        <w:p w14:paraId="2AAAA39D" w14:textId="126DADA0" w:rsidR="00EF1BA8" w:rsidRPr="00A06061" w:rsidRDefault="00556287" w:rsidP="00C00F09">
          <w:pPr>
            <w:pStyle w:val="TOC2"/>
            <w:tabs>
              <w:tab w:val="right" w:leader="dot" w:pos="9736"/>
            </w:tabs>
            <w:spacing w:beforeLines="100" w:before="312" w:afterLines="100" w:after="312" w:line="360" w:lineRule="auto"/>
            <w:rPr>
              <w:rFonts w:ascii="Arial" w:hAnsi="Arial" w:cs="Arial"/>
              <w:noProof/>
              <w:color w:val="000000" w:themeColor="text1"/>
              <w:kern w:val="2"/>
            </w:rPr>
          </w:pPr>
          <w:hyperlink w:anchor="_Toc101793025" w:history="1">
            <w:r w:rsidR="00EF1BA8" w:rsidRPr="00A06061">
              <w:rPr>
                <w:rStyle w:val="aa"/>
                <w:rFonts w:ascii="Arial" w:hAnsi="Arial" w:cs="Arial"/>
                <w:noProof/>
                <w:color w:val="000000" w:themeColor="text1"/>
              </w:rPr>
              <w:t>2.5  Action</w:t>
            </w:r>
            <w:r w:rsidR="00EF1BA8" w:rsidRPr="00A06061">
              <w:rPr>
                <w:rFonts w:ascii="Arial" w:hAnsi="Arial" w:cs="Arial"/>
                <w:noProof/>
                <w:webHidden/>
                <w:color w:val="000000" w:themeColor="text1"/>
              </w:rPr>
              <w:tab/>
            </w:r>
            <w:r w:rsidR="00EF1BA8" w:rsidRPr="00A06061">
              <w:rPr>
                <w:rFonts w:ascii="Arial" w:hAnsi="Arial" w:cs="Arial"/>
                <w:noProof/>
                <w:webHidden/>
                <w:color w:val="000000" w:themeColor="text1"/>
              </w:rPr>
              <w:fldChar w:fldCharType="begin"/>
            </w:r>
            <w:r w:rsidR="00EF1BA8" w:rsidRPr="00A06061">
              <w:rPr>
                <w:rFonts w:ascii="Arial" w:hAnsi="Arial" w:cs="Arial"/>
                <w:noProof/>
                <w:webHidden/>
                <w:color w:val="000000" w:themeColor="text1"/>
              </w:rPr>
              <w:instrText xml:space="preserve"> PAGEREF _Toc101793025 \h </w:instrText>
            </w:r>
            <w:r w:rsidR="00EF1BA8" w:rsidRPr="00A06061">
              <w:rPr>
                <w:rFonts w:ascii="Arial" w:hAnsi="Arial" w:cs="Arial"/>
                <w:noProof/>
                <w:webHidden/>
                <w:color w:val="000000" w:themeColor="text1"/>
              </w:rPr>
            </w:r>
            <w:r w:rsidR="00EF1BA8" w:rsidRPr="00A06061">
              <w:rPr>
                <w:rFonts w:ascii="Arial" w:hAnsi="Arial" w:cs="Arial"/>
                <w:noProof/>
                <w:webHidden/>
                <w:color w:val="000000" w:themeColor="text1"/>
              </w:rPr>
              <w:fldChar w:fldCharType="separate"/>
            </w:r>
            <w:r w:rsidR="00472EE9" w:rsidRPr="00A06061">
              <w:rPr>
                <w:rFonts w:ascii="Arial" w:hAnsi="Arial" w:cs="Arial"/>
                <w:noProof/>
                <w:webHidden/>
                <w:color w:val="000000" w:themeColor="text1"/>
              </w:rPr>
              <w:t>7</w:t>
            </w:r>
            <w:r w:rsidR="00EF1BA8" w:rsidRPr="00A06061">
              <w:rPr>
                <w:rFonts w:ascii="Arial" w:hAnsi="Arial" w:cs="Arial"/>
                <w:noProof/>
                <w:webHidden/>
                <w:color w:val="000000" w:themeColor="text1"/>
              </w:rPr>
              <w:fldChar w:fldCharType="end"/>
            </w:r>
          </w:hyperlink>
        </w:p>
        <w:p w14:paraId="6F537E3F" w14:textId="6EACA016" w:rsidR="00EF1BA8" w:rsidRPr="00A06061" w:rsidRDefault="00556287" w:rsidP="00C00F09">
          <w:pPr>
            <w:pStyle w:val="TOC2"/>
            <w:tabs>
              <w:tab w:val="right" w:leader="dot" w:pos="9736"/>
            </w:tabs>
            <w:spacing w:beforeLines="100" w:before="312" w:afterLines="100" w:after="312" w:line="360" w:lineRule="auto"/>
            <w:rPr>
              <w:rFonts w:ascii="Arial" w:hAnsi="Arial" w:cs="Arial"/>
              <w:noProof/>
              <w:color w:val="000000" w:themeColor="text1"/>
              <w:kern w:val="2"/>
            </w:rPr>
          </w:pPr>
          <w:hyperlink w:anchor="_Toc101793026" w:history="1">
            <w:r w:rsidR="00EF1BA8" w:rsidRPr="00A06061">
              <w:rPr>
                <w:rStyle w:val="aa"/>
                <w:rFonts w:ascii="Arial" w:hAnsi="Arial" w:cs="Arial"/>
                <w:noProof/>
                <w:color w:val="000000" w:themeColor="text1"/>
              </w:rPr>
              <w:t>2.6  Control</w:t>
            </w:r>
            <w:r w:rsidR="00EF1BA8" w:rsidRPr="00A06061">
              <w:rPr>
                <w:rFonts w:ascii="Arial" w:hAnsi="Arial" w:cs="Arial"/>
                <w:noProof/>
                <w:webHidden/>
                <w:color w:val="000000" w:themeColor="text1"/>
              </w:rPr>
              <w:tab/>
            </w:r>
            <w:r w:rsidR="00EF1BA8" w:rsidRPr="00A06061">
              <w:rPr>
                <w:rFonts w:ascii="Arial" w:hAnsi="Arial" w:cs="Arial"/>
                <w:noProof/>
                <w:webHidden/>
                <w:color w:val="000000" w:themeColor="text1"/>
              </w:rPr>
              <w:fldChar w:fldCharType="begin"/>
            </w:r>
            <w:r w:rsidR="00EF1BA8" w:rsidRPr="00A06061">
              <w:rPr>
                <w:rFonts w:ascii="Arial" w:hAnsi="Arial" w:cs="Arial"/>
                <w:noProof/>
                <w:webHidden/>
                <w:color w:val="000000" w:themeColor="text1"/>
              </w:rPr>
              <w:instrText xml:space="preserve"> PAGEREF _Toc101793026 \h </w:instrText>
            </w:r>
            <w:r w:rsidR="00EF1BA8" w:rsidRPr="00A06061">
              <w:rPr>
                <w:rFonts w:ascii="Arial" w:hAnsi="Arial" w:cs="Arial"/>
                <w:noProof/>
                <w:webHidden/>
                <w:color w:val="000000" w:themeColor="text1"/>
              </w:rPr>
            </w:r>
            <w:r w:rsidR="00EF1BA8" w:rsidRPr="00A06061">
              <w:rPr>
                <w:rFonts w:ascii="Arial" w:hAnsi="Arial" w:cs="Arial"/>
                <w:noProof/>
                <w:webHidden/>
                <w:color w:val="000000" w:themeColor="text1"/>
              </w:rPr>
              <w:fldChar w:fldCharType="separate"/>
            </w:r>
            <w:r w:rsidR="00472EE9" w:rsidRPr="00A06061">
              <w:rPr>
                <w:rFonts w:ascii="Arial" w:hAnsi="Arial" w:cs="Arial"/>
                <w:noProof/>
                <w:webHidden/>
                <w:color w:val="000000" w:themeColor="text1"/>
              </w:rPr>
              <w:t>7</w:t>
            </w:r>
            <w:r w:rsidR="00EF1BA8" w:rsidRPr="00A06061">
              <w:rPr>
                <w:rFonts w:ascii="Arial" w:hAnsi="Arial" w:cs="Arial"/>
                <w:noProof/>
                <w:webHidden/>
                <w:color w:val="000000" w:themeColor="text1"/>
              </w:rPr>
              <w:fldChar w:fldCharType="end"/>
            </w:r>
          </w:hyperlink>
        </w:p>
        <w:p w14:paraId="711F2A46" w14:textId="119B7B3B" w:rsidR="00EF1BA8" w:rsidRPr="00A06061" w:rsidRDefault="00556287" w:rsidP="00C00F09">
          <w:pPr>
            <w:pStyle w:val="TOC1"/>
            <w:tabs>
              <w:tab w:val="right" w:leader="dot" w:pos="9736"/>
            </w:tabs>
            <w:spacing w:beforeLines="100" w:before="312" w:afterLines="100" w:after="312" w:line="360" w:lineRule="auto"/>
            <w:rPr>
              <w:rFonts w:ascii="Arial" w:hAnsi="Arial" w:cs="Arial"/>
              <w:noProof/>
              <w:color w:val="000000" w:themeColor="text1"/>
              <w:kern w:val="2"/>
            </w:rPr>
          </w:pPr>
          <w:hyperlink w:anchor="_Toc101793027" w:history="1">
            <w:r w:rsidR="00EF1BA8" w:rsidRPr="00A06061">
              <w:rPr>
                <w:rStyle w:val="aa"/>
                <w:rFonts w:ascii="Arial" w:hAnsi="Arial" w:cs="Arial"/>
                <w:noProof/>
                <w:color w:val="000000" w:themeColor="text1"/>
              </w:rPr>
              <w:t>3. Recommendations</w:t>
            </w:r>
            <w:r w:rsidR="00EF1BA8" w:rsidRPr="00A06061">
              <w:rPr>
                <w:rFonts w:ascii="Arial" w:hAnsi="Arial" w:cs="Arial"/>
                <w:noProof/>
                <w:webHidden/>
                <w:color w:val="000000" w:themeColor="text1"/>
              </w:rPr>
              <w:tab/>
            </w:r>
            <w:r w:rsidR="00EF1BA8" w:rsidRPr="00A06061">
              <w:rPr>
                <w:rFonts w:ascii="Arial" w:hAnsi="Arial" w:cs="Arial"/>
                <w:noProof/>
                <w:webHidden/>
                <w:color w:val="000000" w:themeColor="text1"/>
              </w:rPr>
              <w:fldChar w:fldCharType="begin"/>
            </w:r>
            <w:r w:rsidR="00EF1BA8" w:rsidRPr="00A06061">
              <w:rPr>
                <w:rFonts w:ascii="Arial" w:hAnsi="Arial" w:cs="Arial"/>
                <w:noProof/>
                <w:webHidden/>
                <w:color w:val="000000" w:themeColor="text1"/>
              </w:rPr>
              <w:instrText xml:space="preserve"> PAGEREF _Toc101793027 \h </w:instrText>
            </w:r>
            <w:r w:rsidR="00EF1BA8" w:rsidRPr="00A06061">
              <w:rPr>
                <w:rFonts w:ascii="Arial" w:hAnsi="Arial" w:cs="Arial"/>
                <w:noProof/>
                <w:webHidden/>
                <w:color w:val="000000" w:themeColor="text1"/>
              </w:rPr>
            </w:r>
            <w:r w:rsidR="00EF1BA8" w:rsidRPr="00A06061">
              <w:rPr>
                <w:rFonts w:ascii="Arial" w:hAnsi="Arial" w:cs="Arial"/>
                <w:noProof/>
                <w:webHidden/>
                <w:color w:val="000000" w:themeColor="text1"/>
              </w:rPr>
              <w:fldChar w:fldCharType="separate"/>
            </w:r>
            <w:r w:rsidR="00472EE9" w:rsidRPr="00A06061">
              <w:rPr>
                <w:rFonts w:ascii="Arial" w:hAnsi="Arial" w:cs="Arial"/>
                <w:noProof/>
                <w:webHidden/>
                <w:color w:val="000000" w:themeColor="text1"/>
              </w:rPr>
              <w:t>8</w:t>
            </w:r>
            <w:r w:rsidR="00EF1BA8" w:rsidRPr="00A06061">
              <w:rPr>
                <w:rFonts w:ascii="Arial" w:hAnsi="Arial" w:cs="Arial"/>
                <w:noProof/>
                <w:webHidden/>
                <w:color w:val="000000" w:themeColor="text1"/>
              </w:rPr>
              <w:fldChar w:fldCharType="end"/>
            </w:r>
          </w:hyperlink>
        </w:p>
        <w:p w14:paraId="53A5B524" w14:textId="05140052" w:rsidR="00EF1BA8" w:rsidRPr="00A06061" w:rsidRDefault="00556287" w:rsidP="00C00F09">
          <w:pPr>
            <w:pStyle w:val="TOC1"/>
            <w:tabs>
              <w:tab w:val="right" w:leader="dot" w:pos="9736"/>
            </w:tabs>
            <w:spacing w:beforeLines="100" w:before="312" w:afterLines="100" w:after="312" w:line="360" w:lineRule="auto"/>
            <w:rPr>
              <w:rFonts w:ascii="Arial" w:hAnsi="Arial" w:cs="Arial"/>
              <w:noProof/>
              <w:color w:val="000000" w:themeColor="text1"/>
              <w:kern w:val="2"/>
            </w:rPr>
          </w:pPr>
          <w:hyperlink w:anchor="_Toc101793028" w:history="1">
            <w:r w:rsidR="00EF1BA8" w:rsidRPr="00A06061">
              <w:rPr>
                <w:rStyle w:val="aa"/>
                <w:rFonts w:ascii="Arial" w:hAnsi="Arial" w:cs="Arial"/>
                <w:noProof/>
                <w:color w:val="000000" w:themeColor="text1"/>
              </w:rPr>
              <w:t>4. Conclusion</w:t>
            </w:r>
            <w:r w:rsidR="00EF1BA8" w:rsidRPr="00A06061">
              <w:rPr>
                <w:rFonts w:ascii="Arial" w:hAnsi="Arial" w:cs="Arial"/>
                <w:noProof/>
                <w:webHidden/>
                <w:color w:val="000000" w:themeColor="text1"/>
              </w:rPr>
              <w:tab/>
            </w:r>
            <w:r w:rsidR="00EF1BA8" w:rsidRPr="00A06061">
              <w:rPr>
                <w:rFonts w:ascii="Arial" w:hAnsi="Arial" w:cs="Arial"/>
                <w:noProof/>
                <w:webHidden/>
                <w:color w:val="000000" w:themeColor="text1"/>
              </w:rPr>
              <w:fldChar w:fldCharType="begin"/>
            </w:r>
            <w:r w:rsidR="00EF1BA8" w:rsidRPr="00A06061">
              <w:rPr>
                <w:rFonts w:ascii="Arial" w:hAnsi="Arial" w:cs="Arial"/>
                <w:noProof/>
                <w:webHidden/>
                <w:color w:val="000000" w:themeColor="text1"/>
              </w:rPr>
              <w:instrText xml:space="preserve"> PAGEREF _Toc101793028 \h </w:instrText>
            </w:r>
            <w:r w:rsidR="00EF1BA8" w:rsidRPr="00A06061">
              <w:rPr>
                <w:rFonts w:ascii="Arial" w:hAnsi="Arial" w:cs="Arial"/>
                <w:noProof/>
                <w:webHidden/>
                <w:color w:val="000000" w:themeColor="text1"/>
              </w:rPr>
            </w:r>
            <w:r w:rsidR="00EF1BA8" w:rsidRPr="00A06061">
              <w:rPr>
                <w:rFonts w:ascii="Arial" w:hAnsi="Arial" w:cs="Arial"/>
                <w:noProof/>
                <w:webHidden/>
                <w:color w:val="000000" w:themeColor="text1"/>
              </w:rPr>
              <w:fldChar w:fldCharType="separate"/>
            </w:r>
            <w:r w:rsidR="00472EE9" w:rsidRPr="00A06061">
              <w:rPr>
                <w:rFonts w:ascii="Arial" w:hAnsi="Arial" w:cs="Arial"/>
                <w:noProof/>
                <w:webHidden/>
                <w:color w:val="000000" w:themeColor="text1"/>
              </w:rPr>
              <w:t>8</w:t>
            </w:r>
            <w:r w:rsidR="00EF1BA8" w:rsidRPr="00A06061">
              <w:rPr>
                <w:rFonts w:ascii="Arial" w:hAnsi="Arial" w:cs="Arial"/>
                <w:noProof/>
                <w:webHidden/>
                <w:color w:val="000000" w:themeColor="text1"/>
              </w:rPr>
              <w:fldChar w:fldCharType="end"/>
            </w:r>
          </w:hyperlink>
        </w:p>
        <w:p w14:paraId="28C47C30" w14:textId="17230DB5" w:rsidR="00EF1BA8" w:rsidRPr="006A1B54" w:rsidRDefault="00EF1BA8" w:rsidP="00C00F09">
          <w:pPr>
            <w:spacing w:beforeLines="100" w:before="312" w:afterLines="100" w:after="312" w:line="360" w:lineRule="auto"/>
            <w:rPr>
              <w:rFonts w:ascii="Arial" w:hAnsi="Arial" w:cs="Arial"/>
              <w:color w:val="000000" w:themeColor="text1"/>
            </w:rPr>
          </w:pPr>
          <w:r w:rsidRPr="00A06061">
            <w:rPr>
              <w:rFonts w:ascii="Arial" w:hAnsi="Arial" w:cs="Arial"/>
              <w:b/>
              <w:bCs/>
              <w:color w:val="000000" w:themeColor="text1"/>
              <w:sz w:val="22"/>
              <w:lang w:val="zh-CN"/>
            </w:rPr>
            <w:fldChar w:fldCharType="end"/>
          </w:r>
        </w:p>
      </w:sdtContent>
    </w:sdt>
    <w:p w14:paraId="3022533A" w14:textId="4FA76C5E" w:rsidR="00924527" w:rsidRPr="006A1B54" w:rsidRDefault="00924527" w:rsidP="00C00F09">
      <w:pPr>
        <w:pStyle w:val="a3"/>
        <w:spacing w:beforeLines="100" w:before="312" w:afterLines="100" w:after="312" w:line="360" w:lineRule="auto"/>
        <w:jc w:val="both"/>
        <w:rPr>
          <w:rFonts w:ascii="Arial" w:hAnsi="Arial" w:cs="Arial"/>
          <w:color w:val="000000" w:themeColor="text1"/>
          <w:lang w:val="en-US"/>
        </w:rPr>
      </w:pPr>
    </w:p>
    <w:p w14:paraId="31C7BFB1" w14:textId="77777777" w:rsidR="00924527" w:rsidRPr="006A1B54" w:rsidRDefault="00924527" w:rsidP="00C00F09">
      <w:pPr>
        <w:widowControl/>
        <w:spacing w:beforeLines="100" w:before="312" w:afterLines="100" w:after="312" w:line="360" w:lineRule="auto"/>
        <w:jc w:val="left"/>
        <w:rPr>
          <w:rFonts w:ascii="Arial" w:eastAsiaTheme="majorEastAsia" w:hAnsi="Arial" w:cs="Arial"/>
          <w:b/>
          <w:bCs/>
          <w:color w:val="000000" w:themeColor="text1"/>
          <w:sz w:val="32"/>
          <w:szCs w:val="32"/>
        </w:rPr>
      </w:pPr>
      <w:r w:rsidRPr="006A1B54">
        <w:rPr>
          <w:rFonts w:ascii="Arial" w:hAnsi="Arial" w:cs="Arial"/>
          <w:color w:val="000000" w:themeColor="text1"/>
        </w:rPr>
        <w:br w:type="page"/>
      </w:r>
    </w:p>
    <w:p w14:paraId="2EDB4C21" w14:textId="77777777" w:rsidR="00EF1BA8" w:rsidRPr="006A1B54" w:rsidRDefault="00EF1BA8" w:rsidP="00C00F09">
      <w:pPr>
        <w:pStyle w:val="a3"/>
        <w:numPr>
          <w:ilvl w:val="0"/>
          <w:numId w:val="1"/>
        </w:numPr>
        <w:spacing w:beforeLines="100" w:before="312" w:afterLines="100" w:after="312" w:line="360" w:lineRule="auto"/>
        <w:jc w:val="both"/>
        <w:rPr>
          <w:rFonts w:ascii="Arial" w:hAnsi="Arial" w:cs="Arial"/>
          <w:color w:val="000000" w:themeColor="text1"/>
        </w:rPr>
        <w:sectPr w:rsidR="00EF1BA8" w:rsidRPr="006A1B54" w:rsidSect="00924527">
          <w:footerReference w:type="default" r:id="rId8"/>
          <w:pgSz w:w="11906" w:h="16838"/>
          <w:pgMar w:top="1440" w:right="1080" w:bottom="1440" w:left="1080" w:header="851" w:footer="992" w:gutter="0"/>
          <w:cols w:space="425"/>
          <w:docGrid w:type="lines" w:linePitch="312"/>
        </w:sectPr>
      </w:pPr>
    </w:p>
    <w:p w14:paraId="220B2512" w14:textId="77777777" w:rsidR="00EF1BA8" w:rsidRPr="006A1B54" w:rsidRDefault="00EF1BA8" w:rsidP="00C00F09">
      <w:pPr>
        <w:pStyle w:val="a3"/>
        <w:spacing w:beforeLines="100" w:before="312" w:afterLines="100" w:after="312" w:line="360" w:lineRule="auto"/>
        <w:jc w:val="both"/>
        <w:rPr>
          <w:rFonts w:ascii="Arial" w:hAnsi="Arial" w:cs="Arial"/>
          <w:color w:val="000000" w:themeColor="text1"/>
        </w:rPr>
      </w:pPr>
      <w:bookmarkStart w:id="1" w:name="_Toc101793018"/>
      <w:bookmarkStart w:id="2" w:name="_Toc101793019"/>
      <w:r w:rsidRPr="006A1B54">
        <w:rPr>
          <w:rFonts w:ascii="Arial" w:hAnsi="Arial" w:cs="Arial"/>
          <w:color w:val="000000" w:themeColor="text1"/>
        </w:rPr>
        <w:lastRenderedPageBreak/>
        <w:t>Executive summary</w:t>
      </w:r>
      <w:bookmarkEnd w:id="1"/>
      <w:r w:rsidRPr="006A1B54">
        <w:rPr>
          <w:rFonts w:ascii="Arial" w:hAnsi="Arial" w:cs="Arial"/>
          <w:color w:val="000000" w:themeColor="text1"/>
        </w:rPr>
        <w:t xml:space="preserve"> </w:t>
      </w:r>
    </w:p>
    <w:p w14:paraId="581468F3" w14:textId="7929217A" w:rsidR="00EF1BA8" w:rsidRPr="00A06061" w:rsidRDefault="005F0EDC" w:rsidP="00C00F09">
      <w:pPr>
        <w:pStyle w:val="a3"/>
        <w:spacing w:beforeLines="100" w:before="312" w:afterLines="100" w:after="312" w:line="360" w:lineRule="auto"/>
        <w:jc w:val="both"/>
        <w:rPr>
          <w:rFonts w:ascii="Arial" w:eastAsiaTheme="minorEastAsia" w:hAnsi="Arial" w:cs="Arial"/>
          <w:b w:val="0"/>
          <w:bCs w:val="0"/>
          <w:color w:val="000000" w:themeColor="text1"/>
          <w:sz w:val="22"/>
          <w:szCs w:val="24"/>
        </w:rPr>
      </w:pPr>
      <w:r w:rsidRPr="00A06061">
        <w:rPr>
          <w:rFonts w:ascii="Arial" w:eastAsiaTheme="minorEastAsia" w:hAnsi="Arial" w:cs="Arial"/>
          <w:b w:val="0"/>
          <w:bCs w:val="0"/>
          <w:color w:val="000000" w:themeColor="text1"/>
          <w:sz w:val="22"/>
          <w:szCs w:val="24"/>
        </w:rPr>
        <w:t xml:space="preserve">Commissioned by Radisson, the represent report is a marketing plan developed to realize its strategic goal using its current resource and </w:t>
      </w:r>
      <w:r w:rsidR="00CD0EB0">
        <w:rPr>
          <w:rFonts w:ascii="Arial" w:eastAsiaTheme="minorEastAsia" w:hAnsi="Arial" w:cs="Arial"/>
          <w:b w:val="0"/>
          <w:bCs w:val="0"/>
          <w:color w:val="000000" w:themeColor="text1"/>
          <w:sz w:val="22"/>
          <w:szCs w:val="24"/>
        </w:rPr>
        <w:t>competencies</w:t>
      </w:r>
      <w:r w:rsidRPr="00A06061">
        <w:rPr>
          <w:rFonts w:ascii="Arial" w:eastAsiaTheme="minorEastAsia" w:hAnsi="Arial" w:cs="Arial"/>
          <w:b w:val="0"/>
          <w:bCs w:val="0"/>
          <w:color w:val="000000" w:themeColor="text1"/>
          <w:sz w:val="22"/>
          <w:szCs w:val="24"/>
        </w:rPr>
        <w:t xml:space="preserve">. Based on the situational analysis, some primary trends are identified, such as the divergence in policies, the emergence of technologies, and the growth momentum of leisure </w:t>
      </w:r>
      <w:r w:rsidR="00CD0EB0">
        <w:rPr>
          <w:rFonts w:ascii="Arial" w:eastAsiaTheme="minorEastAsia" w:hAnsi="Arial" w:cs="Arial"/>
          <w:b w:val="0"/>
          <w:bCs w:val="0"/>
          <w:color w:val="000000" w:themeColor="text1"/>
          <w:sz w:val="22"/>
          <w:szCs w:val="24"/>
        </w:rPr>
        <w:t>traveling</w:t>
      </w:r>
      <w:r w:rsidRPr="00A06061">
        <w:rPr>
          <w:rFonts w:ascii="Arial" w:eastAsiaTheme="minorEastAsia" w:hAnsi="Arial" w:cs="Arial"/>
          <w:b w:val="0"/>
          <w:bCs w:val="0"/>
          <w:color w:val="000000" w:themeColor="text1"/>
          <w:sz w:val="22"/>
          <w:szCs w:val="24"/>
        </w:rPr>
        <w:t>. Thereby, the marketing objective is set to realize the room occupancy rate of 75% (the pre-covid</w:t>
      </w:r>
      <w:r w:rsidR="00B01A40">
        <w:rPr>
          <w:rFonts w:ascii="Arial" w:eastAsiaTheme="minorEastAsia" w:hAnsi="Arial" w:cs="Arial"/>
          <w:b w:val="0"/>
          <w:bCs w:val="0"/>
          <w:color w:val="000000" w:themeColor="text1"/>
          <w:sz w:val="22"/>
          <w:szCs w:val="24"/>
        </w:rPr>
        <w:t>-</w:t>
      </w:r>
      <w:r w:rsidRPr="00A06061">
        <w:rPr>
          <w:rFonts w:ascii="Arial" w:eastAsiaTheme="minorEastAsia" w:hAnsi="Arial" w:cs="Arial"/>
          <w:b w:val="0"/>
          <w:bCs w:val="0"/>
          <w:color w:val="000000" w:themeColor="text1"/>
          <w:sz w:val="22"/>
          <w:szCs w:val="24"/>
        </w:rPr>
        <w:t xml:space="preserve">19 level) </w:t>
      </w:r>
      <w:r w:rsidR="00CD0EB0">
        <w:rPr>
          <w:rFonts w:ascii="Arial" w:eastAsiaTheme="minorEastAsia" w:hAnsi="Arial" w:cs="Arial"/>
          <w:b w:val="0"/>
          <w:bCs w:val="0"/>
          <w:color w:val="000000" w:themeColor="text1"/>
          <w:sz w:val="22"/>
          <w:szCs w:val="24"/>
        </w:rPr>
        <w:t>at</w:t>
      </w:r>
      <w:r w:rsidRPr="00A06061">
        <w:rPr>
          <w:rFonts w:ascii="Arial" w:eastAsiaTheme="minorEastAsia" w:hAnsi="Arial" w:cs="Arial"/>
          <w:b w:val="0"/>
          <w:bCs w:val="0"/>
          <w:color w:val="000000" w:themeColor="text1"/>
          <w:sz w:val="22"/>
          <w:szCs w:val="24"/>
        </w:rPr>
        <w:t xml:space="preserve"> the group level, and 85% in the brands with leisure offerings. A marketing plan is developed with a focus on using the local social media platform as a major marketing channel to realize the </w:t>
      </w:r>
      <w:proofErr w:type="spellStart"/>
      <w:r w:rsidRPr="00A06061">
        <w:rPr>
          <w:rFonts w:ascii="Arial" w:eastAsiaTheme="minorEastAsia" w:hAnsi="Arial" w:cs="Arial"/>
          <w:b w:val="0"/>
          <w:bCs w:val="0"/>
          <w:color w:val="000000" w:themeColor="text1"/>
          <w:sz w:val="22"/>
          <w:szCs w:val="24"/>
        </w:rPr>
        <w:t>Glocal</w:t>
      </w:r>
      <w:proofErr w:type="spellEnd"/>
      <w:r w:rsidRPr="00A06061">
        <w:rPr>
          <w:rFonts w:ascii="Arial" w:eastAsiaTheme="minorEastAsia" w:hAnsi="Arial" w:cs="Arial"/>
          <w:b w:val="0"/>
          <w:bCs w:val="0"/>
          <w:color w:val="000000" w:themeColor="text1"/>
          <w:sz w:val="22"/>
          <w:szCs w:val="24"/>
        </w:rPr>
        <w:t xml:space="preserve"> strategy of Radisson and boost local travel desires. </w:t>
      </w:r>
    </w:p>
    <w:p w14:paraId="61A37B7B" w14:textId="00CD1E6A" w:rsidR="00F07B44" w:rsidRPr="006A1B54" w:rsidRDefault="00924527" w:rsidP="00C00F09">
      <w:pPr>
        <w:pStyle w:val="a3"/>
        <w:numPr>
          <w:ilvl w:val="0"/>
          <w:numId w:val="3"/>
        </w:numPr>
        <w:spacing w:beforeLines="100" w:before="312" w:afterLines="100" w:after="312" w:line="360" w:lineRule="auto"/>
        <w:jc w:val="both"/>
        <w:rPr>
          <w:rFonts w:ascii="Arial" w:hAnsi="Arial" w:cs="Arial"/>
          <w:color w:val="000000" w:themeColor="text1"/>
        </w:rPr>
      </w:pPr>
      <w:r w:rsidRPr="006A1B54">
        <w:rPr>
          <w:rFonts w:ascii="Arial" w:hAnsi="Arial" w:cs="Arial"/>
          <w:color w:val="000000" w:themeColor="text1"/>
        </w:rPr>
        <w:t>Introduction</w:t>
      </w:r>
      <w:bookmarkEnd w:id="2"/>
      <w:r w:rsidRPr="006A1B54">
        <w:rPr>
          <w:rFonts w:ascii="Arial" w:hAnsi="Arial" w:cs="Arial"/>
          <w:color w:val="000000" w:themeColor="text1"/>
        </w:rPr>
        <w:t xml:space="preserve">  </w:t>
      </w:r>
    </w:p>
    <w:p w14:paraId="6C1C20B9" w14:textId="15657901" w:rsidR="00924527" w:rsidRPr="00A06061" w:rsidRDefault="00924527" w:rsidP="00C00F09">
      <w:pPr>
        <w:spacing w:beforeLines="100" w:before="312" w:afterLines="100" w:after="312" w:line="360" w:lineRule="auto"/>
        <w:rPr>
          <w:rFonts w:ascii="Arial" w:hAnsi="Arial" w:cs="Arial"/>
          <w:color w:val="000000" w:themeColor="text1"/>
          <w:sz w:val="22"/>
          <w:szCs w:val="24"/>
        </w:rPr>
      </w:pPr>
      <w:r w:rsidRPr="00A06061">
        <w:rPr>
          <w:rFonts w:ascii="Arial" w:hAnsi="Arial" w:cs="Arial"/>
          <w:color w:val="000000" w:themeColor="text1"/>
          <w:sz w:val="22"/>
          <w:szCs w:val="24"/>
        </w:rPr>
        <w:t xml:space="preserve">The ongoing covid-19 has created unprecedented impacts on the global hospitality industry with </w:t>
      </w:r>
      <w:r w:rsidR="004125A2" w:rsidRPr="00A06061">
        <w:rPr>
          <w:rFonts w:ascii="Arial" w:hAnsi="Arial" w:cs="Arial"/>
          <w:color w:val="000000" w:themeColor="text1"/>
          <w:sz w:val="22"/>
          <w:szCs w:val="24"/>
        </w:rPr>
        <w:t>unknown</w:t>
      </w:r>
      <w:r w:rsidRPr="00A06061">
        <w:rPr>
          <w:rFonts w:ascii="Arial" w:hAnsi="Arial" w:cs="Arial"/>
          <w:color w:val="000000" w:themeColor="text1"/>
          <w:sz w:val="22"/>
          <w:szCs w:val="24"/>
        </w:rPr>
        <w:t xml:space="preserve"> fallout and scale. Given the uncertainties, the incumbent players in the hotel industry have started to take some responsive and pr</w:t>
      </w:r>
      <w:r w:rsidR="00207863" w:rsidRPr="00A06061">
        <w:rPr>
          <w:rFonts w:ascii="Arial" w:hAnsi="Arial" w:cs="Arial"/>
          <w:color w:val="000000" w:themeColor="text1"/>
          <w:sz w:val="22"/>
          <w:szCs w:val="24"/>
        </w:rPr>
        <w:t xml:space="preserve">oactive actions to mitigate the impact of the </w:t>
      </w:r>
      <w:r w:rsidR="004125A2" w:rsidRPr="00A06061">
        <w:rPr>
          <w:rFonts w:ascii="Arial" w:hAnsi="Arial" w:cs="Arial"/>
          <w:color w:val="000000" w:themeColor="text1"/>
          <w:sz w:val="22"/>
          <w:szCs w:val="24"/>
        </w:rPr>
        <w:t>ongoing</w:t>
      </w:r>
      <w:r w:rsidR="00207863" w:rsidRPr="00A06061">
        <w:rPr>
          <w:rFonts w:ascii="Arial" w:hAnsi="Arial" w:cs="Arial"/>
          <w:color w:val="000000" w:themeColor="text1"/>
          <w:sz w:val="22"/>
          <w:szCs w:val="24"/>
        </w:rPr>
        <w:t xml:space="preserve"> covid-19 and position themselves for a more resilient comeback</w:t>
      </w:r>
      <w:r w:rsidR="00552DFC" w:rsidRPr="00A06061">
        <w:rPr>
          <w:rFonts w:ascii="Arial" w:hAnsi="Arial" w:cs="Arial"/>
          <w:color w:val="000000" w:themeColor="text1"/>
          <w:sz w:val="22"/>
          <w:szCs w:val="24"/>
        </w:rPr>
        <w:t xml:space="preserve"> </w:t>
      </w:r>
      <w:r w:rsidR="00552DFC" w:rsidRPr="00A06061">
        <w:rPr>
          <w:rFonts w:ascii="Arial" w:hAnsi="Arial" w:cs="Arial"/>
          <w:color w:val="000000" w:themeColor="text1"/>
          <w:sz w:val="22"/>
          <w:szCs w:val="24"/>
        </w:rPr>
        <w:fldChar w:fldCharType="begin" w:fldLock="1"/>
      </w:r>
      <w:r w:rsidR="00472EE9" w:rsidRPr="00A06061">
        <w:rPr>
          <w:rFonts w:ascii="Arial" w:hAnsi="Arial" w:cs="Arial"/>
          <w:color w:val="000000" w:themeColor="text1"/>
          <w:sz w:val="22"/>
          <w:szCs w:val="24"/>
        </w:rPr>
        <w:instrText>ADDIN CSL_CITATION {"citationItems":[{"id":"ITEM-1","itemData":{"ISSN":"1936-8623","author":[{"dropping-particle":"","family":"Gursoy","given":"Dogan","non-dropping-particle":"","parse-names":false,"suffix":""},{"dropping-particle":"","family":"Chi","given":"Christina G","non-dropping-particle":"","parse-names":false,"suffix":""}],"container-title":"Journal of Hospitality Marketing &amp; Management","id":"ITEM-1","issue":"5","issued":{"date-parts":[["2020"]]},"page":"527-529","publisher":"Taylor &amp; Francis","title":"Effects of COVID-19 pandemic on hospitality industry: review of the current situations and a research agenda","type":"article-journal","volume":"29"},"uris":["http://www.mendeley.com/documents/?uuid=d5259cdc-8b35-4f5d-b7cd-02ab0f278115"]}],"mendeley":{"formattedCitation":"(Gursoy and Chi, 2020)","plainTextFormattedCitation":"(Gursoy and Chi, 2020)","previouslyFormattedCitation":"(Gursoy and Chi, 2020)"},"properties":{"noteIndex":0},"schema":"https://github.com/citation-style-language/schema/raw/master/csl-citation.json"}</w:instrText>
      </w:r>
      <w:r w:rsidR="00552DFC" w:rsidRPr="00A06061">
        <w:rPr>
          <w:rFonts w:ascii="Arial" w:hAnsi="Arial" w:cs="Arial"/>
          <w:color w:val="000000" w:themeColor="text1"/>
          <w:sz w:val="22"/>
          <w:szCs w:val="24"/>
        </w:rPr>
        <w:fldChar w:fldCharType="separate"/>
      </w:r>
      <w:r w:rsidR="00472EE9" w:rsidRPr="00A06061">
        <w:rPr>
          <w:rFonts w:ascii="Arial" w:hAnsi="Arial" w:cs="Arial"/>
          <w:noProof/>
          <w:color w:val="000000" w:themeColor="text1"/>
          <w:sz w:val="22"/>
          <w:szCs w:val="24"/>
        </w:rPr>
        <w:t>(Gursoy and Chi, 2020)</w:t>
      </w:r>
      <w:r w:rsidR="00552DFC" w:rsidRPr="00A06061">
        <w:rPr>
          <w:rFonts w:ascii="Arial" w:hAnsi="Arial" w:cs="Arial"/>
          <w:color w:val="000000" w:themeColor="text1"/>
          <w:sz w:val="22"/>
          <w:szCs w:val="24"/>
        </w:rPr>
        <w:fldChar w:fldCharType="end"/>
      </w:r>
      <w:r w:rsidR="00207863" w:rsidRPr="00A06061">
        <w:rPr>
          <w:rFonts w:ascii="Arial" w:hAnsi="Arial" w:cs="Arial"/>
          <w:color w:val="000000" w:themeColor="text1"/>
          <w:sz w:val="22"/>
          <w:szCs w:val="24"/>
        </w:rPr>
        <w:t xml:space="preserve">. </w:t>
      </w:r>
    </w:p>
    <w:p w14:paraId="4C5E193D" w14:textId="5E8DF28A" w:rsidR="00207863" w:rsidRPr="00A06061" w:rsidRDefault="00207863" w:rsidP="00C00F09">
      <w:pPr>
        <w:spacing w:beforeLines="100" w:before="312" w:afterLines="100" w:after="312" w:line="360" w:lineRule="auto"/>
        <w:rPr>
          <w:rFonts w:ascii="Arial" w:hAnsi="Arial" w:cs="Arial"/>
          <w:color w:val="000000" w:themeColor="text1"/>
          <w:sz w:val="22"/>
          <w:szCs w:val="24"/>
        </w:rPr>
      </w:pPr>
      <w:r w:rsidRPr="00A06061">
        <w:rPr>
          <w:rFonts w:ascii="Arial" w:hAnsi="Arial" w:cs="Arial"/>
          <w:color w:val="000000" w:themeColor="text1"/>
          <w:sz w:val="22"/>
          <w:szCs w:val="24"/>
        </w:rPr>
        <w:t xml:space="preserve">Given the fact that authorities across the world have gradually </w:t>
      </w:r>
      <w:r w:rsidR="004125A2" w:rsidRPr="00A06061">
        <w:rPr>
          <w:rFonts w:ascii="Arial" w:hAnsi="Arial" w:cs="Arial"/>
          <w:color w:val="000000" w:themeColor="text1"/>
          <w:sz w:val="22"/>
          <w:szCs w:val="24"/>
        </w:rPr>
        <w:t>removed</w:t>
      </w:r>
      <w:r w:rsidRPr="00A06061">
        <w:rPr>
          <w:rFonts w:ascii="Arial" w:hAnsi="Arial" w:cs="Arial"/>
          <w:color w:val="000000" w:themeColor="text1"/>
          <w:sz w:val="22"/>
          <w:szCs w:val="24"/>
        </w:rPr>
        <w:t xml:space="preserve"> the travel restrictions and </w:t>
      </w:r>
      <w:r w:rsidR="004125A2" w:rsidRPr="00A06061">
        <w:rPr>
          <w:rFonts w:ascii="Arial" w:hAnsi="Arial" w:cs="Arial"/>
          <w:color w:val="000000" w:themeColor="text1"/>
          <w:sz w:val="22"/>
          <w:szCs w:val="24"/>
        </w:rPr>
        <w:t>taken</w:t>
      </w:r>
      <w:r w:rsidRPr="00A06061">
        <w:rPr>
          <w:rFonts w:ascii="Arial" w:hAnsi="Arial" w:cs="Arial"/>
          <w:color w:val="000000" w:themeColor="text1"/>
          <w:sz w:val="22"/>
          <w:szCs w:val="24"/>
        </w:rPr>
        <w:t xml:space="preserve"> more interventive </w:t>
      </w:r>
      <w:r w:rsidR="004125A2" w:rsidRPr="00A06061">
        <w:rPr>
          <w:rFonts w:ascii="Arial" w:hAnsi="Arial" w:cs="Arial"/>
          <w:color w:val="000000" w:themeColor="text1"/>
          <w:sz w:val="22"/>
          <w:szCs w:val="24"/>
        </w:rPr>
        <w:t>measures</w:t>
      </w:r>
      <w:r w:rsidRPr="00A06061">
        <w:rPr>
          <w:rFonts w:ascii="Arial" w:hAnsi="Arial" w:cs="Arial"/>
          <w:color w:val="000000" w:themeColor="text1"/>
          <w:sz w:val="22"/>
          <w:szCs w:val="24"/>
        </w:rPr>
        <w:t xml:space="preserve"> to boost consumption, the hospitality sector must gear up to </w:t>
      </w:r>
      <w:r w:rsidR="004125A2" w:rsidRPr="00A06061">
        <w:rPr>
          <w:rFonts w:ascii="Arial" w:hAnsi="Arial" w:cs="Arial"/>
          <w:color w:val="000000" w:themeColor="text1"/>
          <w:sz w:val="22"/>
          <w:szCs w:val="24"/>
        </w:rPr>
        <w:t>recover</w:t>
      </w:r>
      <w:r w:rsidRPr="00A06061">
        <w:rPr>
          <w:rFonts w:ascii="Arial" w:hAnsi="Arial" w:cs="Arial"/>
          <w:color w:val="000000" w:themeColor="text1"/>
          <w:sz w:val="22"/>
          <w:szCs w:val="24"/>
        </w:rPr>
        <w:t xml:space="preserve"> from the crisis. Yet, the environment in which the hotel industry operates has changed significantly, as the </w:t>
      </w:r>
      <w:r w:rsidR="004125A2" w:rsidRPr="00A06061">
        <w:rPr>
          <w:rFonts w:ascii="Arial" w:hAnsi="Arial" w:cs="Arial"/>
          <w:color w:val="000000" w:themeColor="text1"/>
          <w:sz w:val="22"/>
          <w:szCs w:val="24"/>
        </w:rPr>
        <w:t>ongoing</w:t>
      </w:r>
      <w:r w:rsidRPr="00A06061">
        <w:rPr>
          <w:rFonts w:ascii="Arial" w:hAnsi="Arial" w:cs="Arial"/>
          <w:color w:val="000000" w:themeColor="text1"/>
          <w:sz w:val="22"/>
          <w:szCs w:val="24"/>
        </w:rPr>
        <w:t xml:space="preserve"> covid-19 still </w:t>
      </w:r>
      <w:r w:rsidR="004125A2" w:rsidRPr="00A06061">
        <w:rPr>
          <w:rFonts w:ascii="Arial" w:hAnsi="Arial" w:cs="Arial"/>
          <w:color w:val="000000" w:themeColor="text1"/>
          <w:sz w:val="22"/>
          <w:szCs w:val="24"/>
        </w:rPr>
        <w:t>shadows</w:t>
      </w:r>
      <w:r w:rsidRPr="00A06061">
        <w:rPr>
          <w:rFonts w:ascii="Arial" w:hAnsi="Arial" w:cs="Arial"/>
          <w:color w:val="000000" w:themeColor="text1"/>
          <w:sz w:val="22"/>
          <w:szCs w:val="24"/>
        </w:rPr>
        <w:t xml:space="preserve"> us and </w:t>
      </w:r>
      <w:r w:rsidR="004125A2" w:rsidRPr="00A06061">
        <w:rPr>
          <w:rFonts w:ascii="Arial" w:hAnsi="Arial" w:cs="Arial"/>
          <w:color w:val="000000" w:themeColor="text1"/>
          <w:sz w:val="22"/>
          <w:szCs w:val="24"/>
        </w:rPr>
        <w:t>has</w:t>
      </w:r>
      <w:r w:rsidRPr="00A06061">
        <w:rPr>
          <w:rFonts w:ascii="Arial" w:hAnsi="Arial" w:cs="Arial"/>
          <w:color w:val="000000" w:themeColor="text1"/>
          <w:sz w:val="22"/>
          <w:szCs w:val="24"/>
        </w:rPr>
        <w:t xml:space="preserve"> dramatically affected consumer </w:t>
      </w:r>
      <w:proofErr w:type="spellStart"/>
      <w:r w:rsidR="004125A2" w:rsidRPr="00A06061">
        <w:rPr>
          <w:rFonts w:ascii="Arial" w:hAnsi="Arial" w:cs="Arial"/>
          <w:color w:val="000000" w:themeColor="text1"/>
          <w:sz w:val="22"/>
          <w:szCs w:val="24"/>
        </w:rPr>
        <w:t>behavior</w:t>
      </w:r>
      <w:proofErr w:type="spellEnd"/>
      <w:r w:rsidRPr="00A06061">
        <w:rPr>
          <w:rFonts w:ascii="Arial" w:hAnsi="Arial" w:cs="Arial"/>
          <w:color w:val="000000" w:themeColor="text1"/>
          <w:sz w:val="22"/>
          <w:szCs w:val="24"/>
        </w:rPr>
        <w:t xml:space="preserve"> patterns</w:t>
      </w:r>
      <w:r w:rsidR="00552DFC" w:rsidRPr="00A06061">
        <w:rPr>
          <w:rFonts w:ascii="Arial" w:hAnsi="Arial" w:cs="Arial"/>
          <w:color w:val="000000" w:themeColor="text1"/>
          <w:sz w:val="22"/>
          <w:szCs w:val="24"/>
        </w:rPr>
        <w:t xml:space="preserve"> </w:t>
      </w:r>
      <w:r w:rsidR="00552DFC" w:rsidRPr="00A06061">
        <w:rPr>
          <w:rFonts w:ascii="Arial" w:hAnsi="Arial" w:cs="Arial"/>
          <w:color w:val="000000" w:themeColor="text1"/>
          <w:sz w:val="22"/>
          <w:szCs w:val="24"/>
        </w:rPr>
        <w:fldChar w:fldCharType="begin" w:fldLock="1"/>
      </w:r>
      <w:r w:rsidR="00472EE9" w:rsidRPr="00A06061">
        <w:rPr>
          <w:rFonts w:ascii="Arial" w:hAnsi="Arial" w:cs="Arial"/>
          <w:color w:val="000000" w:themeColor="text1"/>
          <w:sz w:val="22"/>
          <w:szCs w:val="24"/>
        </w:rPr>
        <w:instrText>ADDIN CSL_CITATION {"citationItems":[{"id":"ITEM-1","itemData":{"author":[{"dropping-particle":"","family":"Davahli","given":"Mohammad Reza","non-dropping-particle":"","parse-names":false,"suffix":""},{"dropping-particle":"","family":"Karwowski","given":"Waldemar","non-dropping-particle":"","parse-names":false,"suffix":""},{"dropping-particle":"","family":"Sonmez","given":"Sevil","non-dropping-particle":"","parse-names":false,"suffix":""},{"dropping-particle":"","family":"Apostolopoulos","given":"Yorghos","non-dropping-particle":"","parse-names":false,"suffix":""}],"container-title":"International Journal of Environmental Research and Public Health","id":"ITEM-1","issue":"20","issued":{"date-parts":[["2020"]]},"page":"7366-7382","publisher":"Multidisciplinary Digital Publishing Institute","title":"The hospitality industry in the face of the COVID-19 pandemic: Current topics and research methods","type":"article-journal","volume":"17"},"uris":["http://www.mendeley.com/documents/?uuid=454602b9-e3db-46d9-8f0c-81e2b8bc7a4e"]}],"mendeley":{"formattedCitation":"(Davahli &lt;i&gt;et al.&lt;/i&gt;, 2020)","plainTextFormattedCitation":"(Davahli et al., 2020)","previouslyFormattedCitation":"(Davahli &lt;i&gt;et al.&lt;/i&gt;, 2020)"},"properties":{"noteIndex":0},"schema":"https://github.com/citation-style-language/schema/raw/master/csl-citation.json"}</w:instrText>
      </w:r>
      <w:r w:rsidR="00552DFC" w:rsidRPr="00A06061">
        <w:rPr>
          <w:rFonts w:ascii="Arial" w:hAnsi="Arial" w:cs="Arial"/>
          <w:color w:val="000000" w:themeColor="text1"/>
          <w:sz w:val="22"/>
          <w:szCs w:val="24"/>
        </w:rPr>
        <w:fldChar w:fldCharType="separate"/>
      </w:r>
      <w:r w:rsidR="00472EE9" w:rsidRPr="00A06061">
        <w:rPr>
          <w:rFonts w:ascii="Arial" w:hAnsi="Arial" w:cs="Arial"/>
          <w:noProof/>
          <w:color w:val="000000" w:themeColor="text1"/>
          <w:sz w:val="22"/>
          <w:szCs w:val="24"/>
        </w:rPr>
        <w:t xml:space="preserve">(Davahli </w:t>
      </w:r>
      <w:r w:rsidR="00472EE9" w:rsidRPr="00A06061">
        <w:rPr>
          <w:rFonts w:ascii="Arial" w:hAnsi="Arial" w:cs="Arial"/>
          <w:i/>
          <w:noProof/>
          <w:color w:val="000000" w:themeColor="text1"/>
          <w:sz w:val="22"/>
          <w:szCs w:val="24"/>
        </w:rPr>
        <w:t>et al.</w:t>
      </w:r>
      <w:r w:rsidR="00472EE9" w:rsidRPr="00A06061">
        <w:rPr>
          <w:rFonts w:ascii="Arial" w:hAnsi="Arial" w:cs="Arial"/>
          <w:noProof/>
          <w:color w:val="000000" w:themeColor="text1"/>
          <w:sz w:val="22"/>
          <w:szCs w:val="24"/>
        </w:rPr>
        <w:t>, 2020)</w:t>
      </w:r>
      <w:r w:rsidR="00552DFC" w:rsidRPr="00A06061">
        <w:rPr>
          <w:rFonts w:ascii="Arial" w:hAnsi="Arial" w:cs="Arial"/>
          <w:color w:val="000000" w:themeColor="text1"/>
          <w:sz w:val="22"/>
          <w:szCs w:val="24"/>
        </w:rPr>
        <w:fldChar w:fldCharType="end"/>
      </w:r>
      <w:r w:rsidRPr="00A06061">
        <w:rPr>
          <w:rFonts w:ascii="Arial" w:hAnsi="Arial" w:cs="Arial"/>
          <w:color w:val="000000" w:themeColor="text1"/>
          <w:sz w:val="22"/>
          <w:szCs w:val="24"/>
        </w:rPr>
        <w:t xml:space="preserve">. Some changes emerged before the covid-19 gained more momentum </w:t>
      </w:r>
      <w:r w:rsidR="004125A2" w:rsidRPr="00A06061">
        <w:rPr>
          <w:rFonts w:ascii="Arial" w:hAnsi="Arial" w:cs="Arial"/>
          <w:color w:val="000000" w:themeColor="text1"/>
          <w:sz w:val="22"/>
          <w:szCs w:val="24"/>
        </w:rPr>
        <w:t xml:space="preserve">by the outbreak, and some new </w:t>
      </w:r>
      <w:proofErr w:type="spellStart"/>
      <w:r w:rsidR="004125A2" w:rsidRPr="00A06061">
        <w:rPr>
          <w:rFonts w:ascii="Arial" w:hAnsi="Arial" w:cs="Arial"/>
          <w:color w:val="000000" w:themeColor="text1"/>
          <w:sz w:val="22"/>
          <w:szCs w:val="24"/>
        </w:rPr>
        <w:t>behavioral</w:t>
      </w:r>
      <w:proofErr w:type="spellEnd"/>
      <w:r w:rsidR="004125A2" w:rsidRPr="00A06061">
        <w:rPr>
          <w:rFonts w:ascii="Arial" w:hAnsi="Arial" w:cs="Arial"/>
          <w:color w:val="000000" w:themeColor="text1"/>
          <w:sz w:val="22"/>
          <w:szCs w:val="24"/>
        </w:rPr>
        <w:t xml:space="preserve"> patterns emerged during the covid-19. With new habits and new expectations from the customer side having arisen, it is high time for incumbents to take action. </w:t>
      </w:r>
    </w:p>
    <w:p w14:paraId="338B7E12" w14:textId="5440D630" w:rsidR="004125A2" w:rsidRPr="00A06061" w:rsidRDefault="004125A2" w:rsidP="00C00F09">
      <w:pPr>
        <w:spacing w:beforeLines="100" w:before="312" w:afterLines="100" w:after="312" w:line="360" w:lineRule="auto"/>
        <w:rPr>
          <w:rFonts w:ascii="Arial" w:hAnsi="Arial" w:cs="Arial"/>
          <w:color w:val="000000" w:themeColor="text1"/>
          <w:sz w:val="22"/>
          <w:szCs w:val="24"/>
        </w:rPr>
      </w:pPr>
      <w:r w:rsidRPr="00A06061">
        <w:rPr>
          <w:rFonts w:ascii="Arial" w:hAnsi="Arial" w:cs="Arial"/>
          <w:color w:val="000000" w:themeColor="text1"/>
          <w:sz w:val="22"/>
          <w:szCs w:val="24"/>
        </w:rPr>
        <w:t xml:space="preserve">The present report is commissioned by Radisson Hotel Group (as Radisson) to develop innovative strategic marketing that can effectively facilitate the realization of organizational objectives as well as leverage primary resources and capabilities highlighted by the internal team. </w:t>
      </w:r>
    </w:p>
    <w:p w14:paraId="41503B59" w14:textId="0A147735" w:rsidR="004125A2" w:rsidRPr="00A06061" w:rsidRDefault="003212A2" w:rsidP="00C00F09">
      <w:pPr>
        <w:spacing w:beforeLines="100" w:before="312" w:afterLines="100" w:after="312" w:line="360" w:lineRule="auto"/>
        <w:rPr>
          <w:rFonts w:ascii="Arial" w:hAnsi="Arial" w:cs="Arial"/>
          <w:color w:val="000000" w:themeColor="text1"/>
          <w:sz w:val="22"/>
          <w:szCs w:val="24"/>
        </w:rPr>
      </w:pPr>
      <w:r w:rsidRPr="00A06061">
        <w:rPr>
          <w:rFonts w:ascii="Arial" w:hAnsi="Arial" w:cs="Arial"/>
          <w:color w:val="000000" w:themeColor="text1"/>
          <w:sz w:val="22"/>
          <w:szCs w:val="24"/>
        </w:rPr>
        <w:t xml:space="preserve">The classic market planning model SOSTAC will be utilized here </w:t>
      </w:r>
      <w:r w:rsidR="002148A8" w:rsidRPr="00A06061">
        <w:rPr>
          <w:rFonts w:ascii="Arial" w:hAnsi="Arial" w:cs="Arial"/>
          <w:color w:val="000000" w:themeColor="text1"/>
          <w:sz w:val="22"/>
          <w:szCs w:val="24"/>
        </w:rPr>
        <w:t>to</w:t>
      </w:r>
      <w:r w:rsidRPr="00A06061">
        <w:rPr>
          <w:rFonts w:ascii="Arial" w:hAnsi="Arial" w:cs="Arial"/>
          <w:color w:val="000000" w:themeColor="text1"/>
          <w:sz w:val="22"/>
          <w:szCs w:val="24"/>
        </w:rPr>
        <w:t xml:space="preserve"> structure the whole plan. </w:t>
      </w:r>
      <w:r w:rsidR="002148A8" w:rsidRPr="00A06061">
        <w:rPr>
          <w:rFonts w:ascii="Arial" w:hAnsi="Arial" w:cs="Arial"/>
          <w:color w:val="000000" w:themeColor="text1"/>
          <w:sz w:val="22"/>
          <w:szCs w:val="24"/>
        </w:rPr>
        <w:t xml:space="preserve"> </w:t>
      </w:r>
      <w:r w:rsidR="002148A8" w:rsidRPr="00A06061">
        <w:rPr>
          <w:rFonts w:ascii="Arial" w:hAnsi="Arial" w:cs="Arial"/>
          <w:color w:val="000000" w:themeColor="text1"/>
          <w:sz w:val="22"/>
          <w:szCs w:val="24"/>
        </w:rPr>
        <w:lastRenderedPageBreak/>
        <w:t>SOSTAC is a straightforward model that goes systematically through one step to another to develop a sound and effective marketing plan, with all relevant factors being considered but without go into excessive details</w:t>
      </w:r>
      <w:r w:rsidR="00552DFC" w:rsidRPr="00A06061">
        <w:rPr>
          <w:rFonts w:ascii="Arial" w:hAnsi="Arial" w:cs="Arial"/>
          <w:color w:val="000000" w:themeColor="text1"/>
          <w:sz w:val="22"/>
          <w:szCs w:val="24"/>
        </w:rPr>
        <w:t xml:space="preserve"> </w:t>
      </w:r>
      <w:r w:rsidR="00552DFC" w:rsidRPr="00A06061">
        <w:rPr>
          <w:rFonts w:ascii="Arial" w:hAnsi="Arial" w:cs="Arial"/>
          <w:color w:val="000000" w:themeColor="text1"/>
          <w:sz w:val="22"/>
          <w:szCs w:val="24"/>
        </w:rPr>
        <w:fldChar w:fldCharType="begin" w:fldLock="1"/>
      </w:r>
      <w:r w:rsidR="00552DFC" w:rsidRPr="00A06061">
        <w:rPr>
          <w:rFonts w:ascii="Arial" w:hAnsi="Arial" w:cs="Arial"/>
          <w:color w:val="000000" w:themeColor="text1"/>
          <w:sz w:val="22"/>
          <w:szCs w:val="24"/>
        </w:rPr>
        <w:instrText>ADDIN CSL_CITATION {"citationItems":[{"id":"ITEM-1","itemData":{"ISBN":"0956106854","author":[{"dropping-particle":"","family":"Smith","given":"Paul R","non-dropping-particle":"","parse-names":false,"suffix":""}],"id":"ITEM-1","issued":{"date-parts":[["2019"]]},"publisher":"PR Smith","title":"The SOSTAC Guide to your perfect digital marketing plan","type":"book"},"uris":["http://www.mendeley.com/documents/?uuid=e8e014a1-3ada-4f0c-9719-3d2308e5727a"]}],"mendeley":{"formattedCitation":"(Smith, 2019)","plainTextFormattedCitation":"(Smith, 2019)","previouslyFormattedCitation":"(Smith, 2019)"},"properties":{"noteIndex":0},"schema":"https://github.com/citation-style-language/schema/raw/master/csl-citation.json"}</w:instrText>
      </w:r>
      <w:r w:rsidR="00552DFC" w:rsidRPr="00A06061">
        <w:rPr>
          <w:rFonts w:ascii="Arial" w:hAnsi="Arial" w:cs="Arial"/>
          <w:color w:val="000000" w:themeColor="text1"/>
          <w:sz w:val="22"/>
          <w:szCs w:val="24"/>
        </w:rPr>
        <w:fldChar w:fldCharType="separate"/>
      </w:r>
      <w:r w:rsidR="00552DFC" w:rsidRPr="00A06061">
        <w:rPr>
          <w:rFonts w:ascii="Arial" w:hAnsi="Arial" w:cs="Arial"/>
          <w:noProof/>
          <w:color w:val="000000" w:themeColor="text1"/>
          <w:sz w:val="22"/>
          <w:szCs w:val="24"/>
        </w:rPr>
        <w:t>(Smith, 2019)</w:t>
      </w:r>
      <w:r w:rsidR="00552DFC" w:rsidRPr="00A06061">
        <w:rPr>
          <w:rFonts w:ascii="Arial" w:hAnsi="Arial" w:cs="Arial"/>
          <w:color w:val="000000" w:themeColor="text1"/>
          <w:sz w:val="22"/>
          <w:szCs w:val="24"/>
        </w:rPr>
        <w:fldChar w:fldCharType="end"/>
      </w:r>
      <w:r w:rsidR="002148A8" w:rsidRPr="00A06061">
        <w:rPr>
          <w:rFonts w:ascii="Arial" w:hAnsi="Arial" w:cs="Arial"/>
          <w:color w:val="000000" w:themeColor="text1"/>
          <w:sz w:val="22"/>
          <w:szCs w:val="24"/>
        </w:rPr>
        <w:t xml:space="preserve">. </w:t>
      </w:r>
    </w:p>
    <w:p w14:paraId="05AC694E" w14:textId="2ADE9C31" w:rsidR="002148A8" w:rsidRPr="00A06061" w:rsidRDefault="00971B60" w:rsidP="00C00F09">
      <w:pPr>
        <w:spacing w:beforeLines="100" w:before="312" w:afterLines="100" w:after="312" w:line="360" w:lineRule="auto"/>
        <w:rPr>
          <w:rFonts w:ascii="Arial" w:hAnsi="Arial" w:cs="Arial"/>
          <w:color w:val="000000" w:themeColor="text1"/>
          <w:sz w:val="22"/>
          <w:szCs w:val="24"/>
        </w:rPr>
      </w:pPr>
      <w:r w:rsidRPr="00A06061">
        <w:rPr>
          <w:rFonts w:ascii="Arial" w:hAnsi="Arial" w:cs="Arial"/>
          <w:noProof/>
          <w:color w:val="000000" w:themeColor="text1"/>
          <w:sz w:val="22"/>
          <w:szCs w:val="24"/>
        </w:rPr>
        <w:drawing>
          <wp:inline distT="0" distB="0" distL="0" distR="0" wp14:anchorId="743648E8" wp14:editId="582BFEE6">
            <wp:extent cx="3535374" cy="2019721"/>
            <wp:effectExtent l="0" t="0" r="825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549405" cy="2027737"/>
                    </a:xfrm>
                    <a:prstGeom prst="rect">
                      <a:avLst/>
                    </a:prstGeom>
                    <a:noFill/>
                  </pic:spPr>
                </pic:pic>
              </a:graphicData>
            </a:graphic>
          </wp:inline>
        </w:drawing>
      </w:r>
    </w:p>
    <w:p w14:paraId="2A23BAE6" w14:textId="77777777" w:rsidR="00971B60" w:rsidRPr="00CD0EB0" w:rsidRDefault="00971B60" w:rsidP="00C00F09">
      <w:pPr>
        <w:spacing w:beforeLines="100" w:before="312" w:afterLines="100" w:after="312" w:line="360" w:lineRule="auto"/>
        <w:rPr>
          <w:rFonts w:ascii="Arial" w:hAnsi="Arial" w:cs="Arial"/>
          <w:i/>
          <w:iCs/>
          <w:color w:val="000000" w:themeColor="text1"/>
          <w:sz w:val="22"/>
          <w:szCs w:val="24"/>
        </w:rPr>
      </w:pPr>
      <w:r w:rsidRPr="00CD0EB0">
        <w:rPr>
          <w:rFonts w:ascii="Arial" w:hAnsi="Arial" w:cs="Arial"/>
          <w:i/>
          <w:iCs/>
          <w:color w:val="000000" w:themeColor="text1"/>
          <w:sz w:val="22"/>
          <w:szCs w:val="24"/>
        </w:rPr>
        <w:t>Figure 1: SOSTAC model</w:t>
      </w:r>
    </w:p>
    <w:p w14:paraId="391AC716" w14:textId="70E012C5" w:rsidR="00971B60" w:rsidRPr="00CD0EB0" w:rsidRDefault="00CD0EB0" w:rsidP="00C00F09">
      <w:pPr>
        <w:spacing w:beforeLines="100" w:before="312" w:afterLines="100" w:after="312" w:line="360" w:lineRule="auto"/>
        <w:rPr>
          <w:rFonts w:ascii="Arial" w:hAnsi="Arial" w:cs="Arial"/>
          <w:i/>
          <w:iCs/>
          <w:color w:val="000000" w:themeColor="text1"/>
          <w:sz w:val="22"/>
          <w:szCs w:val="24"/>
        </w:rPr>
      </w:pPr>
      <w:r>
        <w:rPr>
          <w:rFonts w:ascii="Arial" w:hAnsi="Arial" w:cs="Arial"/>
          <w:i/>
          <w:iCs/>
          <w:color w:val="000000" w:themeColor="text1"/>
          <w:sz w:val="22"/>
          <w:szCs w:val="24"/>
        </w:rPr>
        <w:t>A</w:t>
      </w:r>
      <w:r w:rsidR="00971B60" w:rsidRPr="00CD0EB0">
        <w:rPr>
          <w:rFonts w:ascii="Arial" w:hAnsi="Arial" w:cs="Arial"/>
          <w:i/>
          <w:iCs/>
          <w:color w:val="000000" w:themeColor="text1"/>
          <w:sz w:val="22"/>
          <w:szCs w:val="24"/>
        </w:rPr>
        <w:t xml:space="preserve">dapted from </w:t>
      </w:r>
      <w:r w:rsidR="00971B60" w:rsidRPr="00CD0EB0">
        <w:rPr>
          <w:rFonts w:ascii="Arial" w:hAnsi="Arial" w:cs="Arial"/>
          <w:i/>
          <w:iCs/>
          <w:color w:val="000000" w:themeColor="text1"/>
          <w:sz w:val="22"/>
          <w:szCs w:val="24"/>
        </w:rPr>
        <w:fldChar w:fldCharType="begin" w:fldLock="1"/>
      </w:r>
      <w:r w:rsidR="00CD085D" w:rsidRPr="00CD0EB0">
        <w:rPr>
          <w:rFonts w:ascii="Arial" w:hAnsi="Arial" w:cs="Arial"/>
          <w:i/>
          <w:iCs/>
          <w:color w:val="000000" w:themeColor="text1"/>
          <w:sz w:val="22"/>
          <w:szCs w:val="24"/>
        </w:rPr>
        <w:instrText>ADDIN CSL_CITATION {"citationItems":[{"id":"ITEM-1","itemData":{"ISBN":"0956106854","author":[{"dropping-particle":"","family":"Smith","given":"Paul R","non-dropping-particle":"","parse-names":false,"suffix":""}],"id":"ITEM-1","issued":{"date-parts":[["2019"]]},"publisher":"PR Smith","title":"The SOSTAC Guide to your perfect digital marketing plan","type":"book"},"uris":["http://www.mendeley.com/documents/?uuid=e8e014a1-3ada-4f0c-9719-3d2308e5727a"]}],"mendeley":{"formattedCitation":"(Smith, 2019)","manualFormatting":"Smith (2019)","plainTextFormattedCitation":"(Smith, 2019)","previouslyFormattedCitation":"(Smith, 2019)"},"properties":{"noteIndex":0},"schema":"https://github.com/citation-style-language/schema/raw/master/csl-citation.json"}</w:instrText>
      </w:r>
      <w:r w:rsidR="00971B60" w:rsidRPr="00CD0EB0">
        <w:rPr>
          <w:rFonts w:ascii="Arial" w:hAnsi="Arial" w:cs="Arial"/>
          <w:i/>
          <w:iCs/>
          <w:color w:val="000000" w:themeColor="text1"/>
          <w:sz w:val="22"/>
          <w:szCs w:val="24"/>
        </w:rPr>
        <w:fldChar w:fldCharType="separate"/>
      </w:r>
      <w:r w:rsidR="00971B60" w:rsidRPr="00CD0EB0">
        <w:rPr>
          <w:rFonts w:ascii="Arial" w:hAnsi="Arial" w:cs="Arial"/>
          <w:i/>
          <w:iCs/>
          <w:noProof/>
          <w:color w:val="000000" w:themeColor="text1"/>
          <w:sz w:val="22"/>
          <w:szCs w:val="24"/>
        </w:rPr>
        <w:t>Smith (2019)</w:t>
      </w:r>
      <w:r w:rsidR="00971B60" w:rsidRPr="00CD0EB0">
        <w:rPr>
          <w:rFonts w:ascii="Arial" w:hAnsi="Arial" w:cs="Arial"/>
          <w:i/>
          <w:iCs/>
          <w:color w:val="000000" w:themeColor="text1"/>
          <w:sz w:val="22"/>
          <w:szCs w:val="24"/>
        </w:rPr>
        <w:fldChar w:fldCharType="end"/>
      </w:r>
    </w:p>
    <w:p w14:paraId="255F4B0C" w14:textId="1AA145F1" w:rsidR="00971B60" w:rsidRPr="006A1B54" w:rsidRDefault="00EF1BA8" w:rsidP="00C00F09">
      <w:pPr>
        <w:pStyle w:val="1"/>
        <w:spacing w:beforeLines="100" w:before="312" w:afterLines="100" w:after="312" w:line="360" w:lineRule="auto"/>
        <w:rPr>
          <w:rFonts w:ascii="Arial" w:hAnsi="Arial" w:cs="Arial"/>
          <w:color w:val="000000" w:themeColor="text1"/>
        </w:rPr>
      </w:pPr>
      <w:bookmarkStart w:id="3" w:name="_Toc101793020"/>
      <w:r w:rsidRPr="006A1B54">
        <w:rPr>
          <w:rFonts w:ascii="Arial" w:hAnsi="Arial" w:cs="Arial"/>
          <w:color w:val="000000" w:themeColor="text1"/>
        </w:rPr>
        <w:t xml:space="preserve">2. </w:t>
      </w:r>
      <w:r w:rsidR="00971B60" w:rsidRPr="006A1B54">
        <w:rPr>
          <w:rFonts w:ascii="Arial" w:hAnsi="Arial" w:cs="Arial"/>
          <w:color w:val="000000" w:themeColor="text1"/>
        </w:rPr>
        <w:t>Marketing plan for Radisson</w:t>
      </w:r>
      <w:bookmarkEnd w:id="3"/>
      <w:r w:rsidR="00971B60" w:rsidRPr="006A1B54">
        <w:rPr>
          <w:rFonts w:ascii="Arial" w:hAnsi="Arial" w:cs="Arial"/>
          <w:color w:val="000000" w:themeColor="text1"/>
        </w:rPr>
        <w:t xml:space="preserve"> </w:t>
      </w:r>
    </w:p>
    <w:p w14:paraId="6EBBBF1B" w14:textId="015D5F36" w:rsidR="00971B60" w:rsidRPr="006A1B54" w:rsidRDefault="00971B60" w:rsidP="00C00F09">
      <w:pPr>
        <w:pStyle w:val="2"/>
        <w:spacing w:beforeLines="100" w:before="312" w:afterLines="100" w:after="312" w:line="360" w:lineRule="auto"/>
        <w:rPr>
          <w:rFonts w:ascii="Arial" w:hAnsi="Arial" w:cs="Arial"/>
          <w:color w:val="000000" w:themeColor="text1"/>
        </w:rPr>
      </w:pPr>
      <w:bookmarkStart w:id="4" w:name="_Toc101793021"/>
      <w:r w:rsidRPr="006A1B54">
        <w:rPr>
          <w:rFonts w:ascii="Arial" w:hAnsi="Arial" w:cs="Arial"/>
          <w:color w:val="000000" w:themeColor="text1"/>
        </w:rPr>
        <w:t xml:space="preserve">2.1 Situational </w:t>
      </w:r>
      <w:r w:rsidR="00E22243" w:rsidRPr="006A1B54">
        <w:rPr>
          <w:rFonts w:ascii="Arial" w:hAnsi="Arial" w:cs="Arial"/>
          <w:color w:val="000000" w:themeColor="text1"/>
        </w:rPr>
        <w:t>Analysis</w:t>
      </w:r>
      <w:bookmarkEnd w:id="4"/>
      <w:r w:rsidRPr="006A1B54">
        <w:rPr>
          <w:rFonts w:ascii="Arial" w:hAnsi="Arial" w:cs="Arial"/>
          <w:color w:val="000000" w:themeColor="text1"/>
        </w:rPr>
        <w:t xml:space="preserve"> </w:t>
      </w:r>
    </w:p>
    <w:p w14:paraId="539E3DE2" w14:textId="5F3D110A" w:rsidR="00E22243" w:rsidRPr="00A06061" w:rsidRDefault="00E22243" w:rsidP="00C00F09">
      <w:pPr>
        <w:spacing w:beforeLines="100" w:before="312" w:afterLines="100" w:after="312" w:line="360" w:lineRule="auto"/>
        <w:rPr>
          <w:rFonts w:ascii="Arial" w:hAnsi="Arial" w:cs="Arial"/>
          <w:color w:val="000000" w:themeColor="text1"/>
          <w:sz w:val="22"/>
        </w:rPr>
      </w:pPr>
      <w:r w:rsidRPr="00A06061">
        <w:rPr>
          <w:rFonts w:ascii="Arial" w:hAnsi="Arial" w:cs="Arial"/>
          <w:color w:val="000000" w:themeColor="text1"/>
          <w:sz w:val="22"/>
        </w:rPr>
        <w:t>The first stage of the SOSTAC is the situational analysis, which is also referred to as the problem-definition framework to systematically collect the external and internal data about Radisson to examine all relevant factors in its business operation</w:t>
      </w:r>
      <w:r w:rsidR="00552DFC" w:rsidRPr="00A06061">
        <w:rPr>
          <w:rFonts w:ascii="Arial" w:hAnsi="Arial" w:cs="Arial"/>
          <w:color w:val="000000" w:themeColor="text1"/>
          <w:sz w:val="22"/>
        </w:rPr>
        <w:t xml:space="preserve"> </w:t>
      </w:r>
      <w:r w:rsidR="00552DFC" w:rsidRPr="00A06061">
        <w:rPr>
          <w:rFonts w:ascii="Arial" w:hAnsi="Arial" w:cs="Arial"/>
          <w:color w:val="000000" w:themeColor="text1"/>
          <w:sz w:val="22"/>
        </w:rPr>
        <w:fldChar w:fldCharType="begin" w:fldLock="1"/>
      </w:r>
      <w:r w:rsidR="00552DFC" w:rsidRPr="00A06061">
        <w:rPr>
          <w:rFonts w:ascii="Arial" w:hAnsi="Arial" w:cs="Arial"/>
          <w:color w:val="000000" w:themeColor="text1"/>
          <w:sz w:val="22"/>
        </w:rPr>
        <w:instrText>ADDIN CSL_CITATION {"citationItems":[{"id":"ITEM-1","itemData":{"ISBN":"0956106854","author":[{"dropping-particle":"","family":"Smith","given":"Paul R","non-dropping-particle":"","parse-names":false,"suffix":""}],"id":"ITEM-1","issued":{"date-parts":[["2019"]]},"publisher":"PR Smith","title":"The SOSTAC Guide to your perfect digital marketing plan","type":"book"},"uris":["http://www.mendeley.com/documents/?uuid=e8e014a1-3ada-4f0c-9719-3d2308e5727a"]}],"mendeley":{"formattedCitation":"(Smith, 2019)","plainTextFormattedCitation":"(Smith, 2019)","previouslyFormattedCitation":"(Smith, 2019)"},"properties":{"noteIndex":0},"schema":"https://github.com/citation-style-language/schema/raw/master/csl-citation.json"}</w:instrText>
      </w:r>
      <w:r w:rsidR="00552DFC" w:rsidRPr="00A06061">
        <w:rPr>
          <w:rFonts w:ascii="Arial" w:hAnsi="Arial" w:cs="Arial"/>
          <w:color w:val="000000" w:themeColor="text1"/>
          <w:sz w:val="22"/>
        </w:rPr>
        <w:fldChar w:fldCharType="separate"/>
      </w:r>
      <w:r w:rsidR="00552DFC" w:rsidRPr="00A06061">
        <w:rPr>
          <w:rFonts w:ascii="Arial" w:hAnsi="Arial" w:cs="Arial"/>
          <w:noProof/>
          <w:color w:val="000000" w:themeColor="text1"/>
          <w:sz w:val="22"/>
        </w:rPr>
        <w:t>(Smith, 2019)</w:t>
      </w:r>
      <w:r w:rsidR="00552DFC" w:rsidRPr="00A06061">
        <w:rPr>
          <w:rFonts w:ascii="Arial" w:hAnsi="Arial" w:cs="Arial"/>
          <w:color w:val="000000" w:themeColor="text1"/>
          <w:sz w:val="22"/>
        </w:rPr>
        <w:fldChar w:fldCharType="end"/>
      </w:r>
      <w:r w:rsidRPr="00A06061">
        <w:rPr>
          <w:rFonts w:ascii="Arial" w:hAnsi="Arial" w:cs="Arial"/>
          <w:color w:val="000000" w:themeColor="text1"/>
          <w:sz w:val="22"/>
        </w:rPr>
        <w:t xml:space="preserve">. Situational analysis is usually completed through an internal and external marketing audit, through marketing planning techniques such as PETSEL, SWOT, VRIO model, etc. </w:t>
      </w:r>
      <w:r w:rsidR="00552DFC" w:rsidRPr="00A06061">
        <w:rPr>
          <w:rFonts w:ascii="Arial" w:hAnsi="Arial" w:cs="Arial"/>
          <w:color w:val="000000" w:themeColor="text1"/>
          <w:sz w:val="22"/>
        </w:rPr>
        <w:fldChar w:fldCharType="begin" w:fldLock="1"/>
      </w:r>
      <w:r w:rsidR="00552DFC" w:rsidRPr="00A06061">
        <w:rPr>
          <w:rFonts w:ascii="Arial" w:hAnsi="Arial" w:cs="Arial"/>
          <w:color w:val="000000" w:themeColor="text1"/>
          <w:sz w:val="22"/>
        </w:rPr>
        <w:instrText>ADDIN CSL_CITATION {"citationItems":[{"id":"ITEM-1","itemData":{"ISSN":"1746-0174","author":[{"dropping-particle":"","family":"Reed","given":"FIDM","non-dropping-particle":"","parse-names":false,"suffix":""}],"container-title":"Journal of Direct, Data and Digital Marketing Practice","id":"ITEM-1","issue":"2","issued":{"date-parts":[["2014"]]},"page":"146-147","publisher":"Springer","title":"SOSTAC: The guide to the perfect digital marketing plan","type":"article-journal","volume":"16"},"uris":["http://www.mendeley.com/documents/?uuid=7cc6a7b6-5415-4068-9a71-34d7c865f87b"]}],"mendeley":{"formattedCitation":"(Reed, 2014)","plainTextFormattedCitation":"(Reed, 2014)","previouslyFormattedCitation":"(Reed, 2014)"},"properties":{"noteIndex":0},"schema":"https://github.com/citation-style-language/schema/raw/master/csl-citation.json"}</w:instrText>
      </w:r>
      <w:r w:rsidR="00552DFC" w:rsidRPr="00A06061">
        <w:rPr>
          <w:rFonts w:ascii="Arial" w:hAnsi="Arial" w:cs="Arial"/>
          <w:color w:val="000000" w:themeColor="text1"/>
          <w:sz w:val="22"/>
        </w:rPr>
        <w:fldChar w:fldCharType="separate"/>
      </w:r>
      <w:r w:rsidR="00552DFC" w:rsidRPr="00A06061">
        <w:rPr>
          <w:rFonts w:ascii="Arial" w:hAnsi="Arial" w:cs="Arial"/>
          <w:noProof/>
          <w:color w:val="000000" w:themeColor="text1"/>
          <w:sz w:val="22"/>
        </w:rPr>
        <w:t>(Reed, 2014)</w:t>
      </w:r>
      <w:r w:rsidR="00552DFC" w:rsidRPr="00A06061">
        <w:rPr>
          <w:rFonts w:ascii="Arial" w:hAnsi="Arial" w:cs="Arial"/>
          <w:color w:val="000000" w:themeColor="text1"/>
          <w:sz w:val="22"/>
        </w:rPr>
        <w:fldChar w:fldCharType="end"/>
      </w:r>
      <w:r w:rsidR="00CD0EB0">
        <w:rPr>
          <w:rFonts w:ascii="Arial" w:hAnsi="Arial" w:cs="Arial"/>
          <w:color w:val="000000" w:themeColor="text1"/>
          <w:sz w:val="22"/>
        </w:rPr>
        <w:t xml:space="preserve"> </w:t>
      </w:r>
      <w:r w:rsidRPr="00A06061">
        <w:rPr>
          <w:rFonts w:ascii="Arial" w:hAnsi="Arial" w:cs="Arial"/>
          <w:color w:val="000000" w:themeColor="text1"/>
          <w:sz w:val="22"/>
        </w:rPr>
        <w:t>Based on the previous audit performed by the internal team of Radisson, some primary points are highlighted as below:</w:t>
      </w:r>
    </w:p>
    <w:p w14:paraId="24A1CE1E" w14:textId="5F33195F" w:rsidR="00F33C5C" w:rsidRPr="00A06061" w:rsidRDefault="00E22243" w:rsidP="00C00F09">
      <w:pPr>
        <w:pStyle w:val="a5"/>
        <w:numPr>
          <w:ilvl w:val="0"/>
          <w:numId w:val="2"/>
        </w:numPr>
        <w:spacing w:beforeLines="100" w:before="312" w:afterLines="100" w:after="312" w:line="360" w:lineRule="auto"/>
        <w:ind w:firstLineChars="0"/>
        <w:rPr>
          <w:rFonts w:ascii="Arial" w:hAnsi="Arial" w:cs="Arial"/>
          <w:color w:val="000000" w:themeColor="text1"/>
          <w:sz w:val="22"/>
        </w:rPr>
      </w:pPr>
      <w:r w:rsidRPr="00A06061">
        <w:rPr>
          <w:rFonts w:ascii="Arial" w:hAnsi="Arial" w:cs="Arial"/>
          <w:color w:val="000000" w:themeColor="text1"/>
          <w:sz w:val="22"/>
        </w:rPr>
        <w:t xml:space="preserve">The global governments across the world </w:t>
      </w:r>
      <w:r w:rsidR="000C046A" w:rsidRPr="00A06061">
        <w:rPr>
          <w:rFonts w:ascii="Arial" w:hAnsi="Arial" w:cs="Arial"/>
          <w:color w:val="000000" w:themeColor="text1"/>
          <w:sz w:val="22"/>
        </w:rPr>
        <w:t>have</w:t>
      </w:r>
      <w:r w:rsidRPr="00A06061">
        <w:rPr>
          <w:rFonts w:ascii="Arial" w:hAnsi="Arial" w:cs="Arial"/>
          <w:color w:val="000000" w:themeColor="text1"/>
          <w:sz w:val="22"/>
        </w:rPr>
        <w:t xml:space="preserve"> issued various policies to prevent the large-scale covid-19 spread, such as the dynamic zero policies in China </w:t>
      </w:r>
      <w:r w:rsidR="000C046A" w:rsidRPr="00A06061">
        <w:rPr>
          <w:rFonts w:ascii="Arial" w:hAnsi="Arial" w:cs="Arial"/>
          <w:color w:val="000000" w:themeColor="text1"/>
          <w:sz w:val="22"/>
        </w:rPr>
        <w:t>that take comprehensive measures to deal with localized covid-19 cases based on the “find one, cure one” principles</w:t>
      </w:r>
      <w:r w:rsidR="00552DFC" w:rsidRPr="00A06061">
        <w:rPr>
          <w:rFonts w:ascii="Arial" w:hAnsi="Arial" w:cs="Arial"/>
          <w:color w:val="000000" w:themeColor="text1"/>
          <w:sz w:val="22"/>
        </w:rPr>
        <w:t xml:space="preserve"> </w:t>
      </w:r>
      <w:r w:rsidR="00552DFC" w:rsidRPr="00A06061">
        <w:rPr>
          <w:rFonts w:ascii="Arial" w:hAnsi="Arial" w:cs="Arial"/>
          <w:color w:val="000000" w:themeColor="text1"/>
          <w:sz w:val="22"/>
        </w:rPr>
        <w:fldChar w:fldCharType="begin" w:fldLock="1"/>
      </w:r>
      <w:r w:rsidR="00472EE9" w:rsidRPr="00A06061">
        <w:rPr>
          <w:rFonts w:ascii="Arial" w:hAnsi="Arial" w:cs="Arial"/>
          <w:color w:val="000000" w:themeColor="text1"/>
          <w:sz w:val="22"/>
        </w:rPr>
        <w:instrText>ADDIN CSL_CITATION {"citationItems":[{"id":"ITEM-1","itemData":{"ISSN":"2096-7071","author":[{"dropping-particle":"","family":"Liu","given":"Jue","non-dropping-particle":"","parse-names":false,"suffix":""},{"dropping-particle":"","family":"Liu","given":"Min","non-dropping-particle":"","parse-names":false,"suffix":""},{"dropping-particle":"","family":"Liang","given":"Wannian","non-dropping-particle":"","parse-names":false,"suffix":""}],"container-title":"China CDC Weekly","id":"ITEM-1","issue":"4","issued":{"date-parts":[["2022"]]},"page":"74-75","publisher":"China CDC Weekly","title":"The Dynamic COVID-Zero Strategy in China","type":"article-journal","volume":"4"},"uris":["http://www.mendeley.com/documents/?uuid=64115df9-2e0d-4dac-9cf8-f8c0099a8983"]}],"mendeley":{"formattedCitation":"(Liu, Liu and Liang, 2022)","plainTextFormattedCitation":"(Liu, Liu and Liang, 2022)","previouslyFormattedCitation":"(Liu, Liu and Liang, 2022)"},"properties":{"noteIndex":0},"schema":"https://github.com/citation-style-language/schema/raw/master/csl-citation.json"}</w:instrText>
      </w:r>
      <w:r w:rsidR="00552DFC" w:rsidRPr="00A06061">
        <w:rPr>
          <w:rFonts w:ascii="Arial" w:hAnsi="Arial" w:cs="Arial"/>
          <w:color w:val="000000" w:themeColor="text1"/>
          <w:sz w:val="22"/>
        </w:rPr>
        <w:fldChar w:fldCharType="separate"/>
      </w:r>
      <w:r w:rsidR="00472EE9" w:rsidRPr="00A06061">
        <w:rPr>
          <w:rFonts w:ascii="Arial" w:hAnsi="Arial" w:cs="Arial"/>
          <w:noProof/>
          <w:color w:val="000000" w:themeColor="text1"/>
          <w:sz w:val="22"/>
        </w:rPr>
        <w:t>(Liu, Liu and Liang, 2022)</w:t>
      </w:r>
      <w:r w:rsidR="00552DFC" w:rsidRPr="00A06061">
        <w:rPr>
          <w:rFonts w:ascii="Arial" w:hAnsi="Arial" w:cs="Arial"/>
          <w:color w:val="000000" w:themeColor="text1"/>
          <w:sz w:val="22"/>
        </w:rPr>
        <w:fldChar w:fldCharType="end"/>
      </w:r>
      <w:r w:rsidR="000C046A" w:rsidRPr="00A06061">
        <w:rPr>
          <w:rFonts w:ascii="Arial" w:hAnsi="Arial" w:cs="Arial"/>
          <w:color w:val="000000" w:themeColor="text1"/>
          <w:sz w:val="22"/>
        </w:rPr>
        <w:t xml:space="preserve">, and the herd immunity adopted by the Swedish government without much </w:t>
      </w:r>
      <w:r w:rsidR="000C046A" w:rsidRPr="00A06061">
        <w:rPr>
          <w:rFonts w:ascii="Arial" w:hAnsi="Arial" w:cs="Arial"/>
          <w:color w:val="000000" w:themeColor="text1"/>
          <w:sz w:val="22"/>
        </w:rPr>
        <w:lastRenderedPageBreak/>
        <w:t>interventions in economies</w:t>
      </w:r>
      <w:r w:rsidR="00552DFC" w:rsidRPr="00A06061">
        <w:rPr>
          <w:rFonts w:ascii="Arial" w:hAnsi="Arial" w:cs="Arial"/>
          <w:color w:val="000000" w:themeColor="text1"/>
          <w:sz w:val="22"/>
        </w:rPr>
        <w:t xml:space="preserve"> </w:t>
      </w:r>
      <w:r w:rsidR="00552DFC" w:rsidRPr="00A06061">
        <w:rPr>
          <w:rFonts w:ascii="Arial" w:hAnsi="Arial" w:cs="Arial"/>
          <w:color w:val="000000" w:themeColor="text1"/>
          <w:sz w:val="22"/>
        </w:rPr>
        <w:fldChar w:fldCharType="begin" w:fldLock="1"/>
      </w:r>
      <w:r w:rsidR="00472EE9" w:rsidRPr="00A06061">
        <w:rPr>
          <w:rFonts w:ascii="Arial" w:hAnsi="Arial" w:cs="Arial"/>
          <w:color w:val="000000" w:themeColor="text1"/>
          <w:sz w:val="22"/>
        </w:rPr>
        <w:instrText>ADDIN CSL_CITATION {"citationItems":[{"id":"ITEM-1","itemData":{"ISSN":"0141-0768","author":[{"dropping-particle":"","family":"Orlowski","given":"Eric J W","non-dropping-particle":"","parse-names":false,"suffix":""},{"dropping-particle":"","family":"Goldsmith","given":"David J A","non-dropping-particle":"","parse-names":false,"suffix":""}],"container-title":"Journal of the Royal Society of Medicine","id":"ITEM-1","issue":"8","issued":{"date-parts":[["2020"]]},"page":"292-298","publisher":"SAGE Publications Sage UK: London, England","title":"Four months into the COVID-19 pandemic, Sweden</w:instrText>
      </w:r>
      <w:r w:rsidR="00472EE9" w:rsidRPr="00A06061">
        <w:rPr>
          <w:rFonts w:ascii="Malgun Gothic" w:hAnsi="Malgun Gothic" w:cs="Malgun Gothic"/>
          <w:color w:val="000000" w:themeColor="text1"/>
          <w:sz w:val="22"/>
        </w:rPr>
        <w:instrText>��</w:instrText>
      </w:r>
      <w:r w:rsidR="00472EE9" w:rsidRPr="00A06061">
        <w:rPr>
          <w:rFonts w:ascii="Arial" w:hAnsi="Arial" w:cs="Arial"/>
          <w:color w:val="000000" w:themeColor="text1"/>
          <w:sz w:val="22"/>
        </w:rPr>
        <w:instrText>s prized herd immunity is nowhere in sight","type":"article-journal","volume":"113"},"uris":["http://www.mendeley.com/documents/?uuid=8b39afbd-bea8-4035-9889-f00b425fd968"]}],"mendeley":{"formattedCitation":"(Orlowski and Goldsmith, 2020)","plainTextFormattedCitation":"(Orlowski and Goldsmith, 2020)","previouslyFormattedCitation":"(Orlowski and Goldsmith, 2020)"},"properties":{"noteIndex":0},"schema":"https://github.com/citation-style-language/schema/raw/master/csl-citation.json"}</w:instrText>
      </w:r>
      <w:r w:rsidR="00552DFC" w:rsidRPr="00A06061">
        <w:rPr>
          <w:rFonts w:ascii="Arial" w:hAnsi="Arial" w:cs="Arial"/>
          <w:color w:val="000000" w:themeColor="text1"/>
          <w:sz w:val="22"/>
        </w:rPr>
        <w:fldChar w:fldCharType="separate"/>
      </w:r>
      <w:r w:rsidR="00472EE9" w:rsidRPr="00A06061">
        <w:rPr>
          <w:rFonts w:ascii="Arial" w:hAnsi="Arial" w:cs="Arial"/>
          <w:noProof/>
          <w:color w:val="000000" w:themeColor="text1"/>
          <w:sz w:val="22"/>
        </w:rPr>
        <w:t>(Orlowski and Goldsmith, 2020)</w:t>
      </w:r>
      <w:r w:rsidR="00552DFC" w:rsidRPr="00A06061">
        <w:rPr>
          <w:rFonts w:ascii="Arial" w:hAnsi="Arial" w:cs="Arial"/>
          <w:color w:val="000000" w:themeColor="text1"/>
          <w:sz w:val="22"/>
        </w:rPr>
        <w:fldChar w:fldCharType="end"/>
      </w:r>
      <w:r w:rsidR="000C046A" w:rsidRPr="00A06061">
        <w:rPr>
          <w:rFonts w:ascii="Arial" w:hAnsi="Arial" w:cs="Arial"/>
          <w:color w:val="000000" w:themeColor="text1"/>
          <w:sz w:val="22"/>
        </w:rPr>
        <w:t xml:space="preserve">, etc. However, despite the divergence in the governmental </w:t>
      </w:r>
      <w:r w:rsidR="00F33C5C" w:rsidRPr="00A06061">
        <w:rPr>
          <w:rFonts w:ascii="Arial" w:hAnsi="Arial" w:cs="Arial"/>
          <w:color w:val="000000" w:themeColor="text1"/>
          <w:sz w:val="22"/>
        </w:rPr>
        <w:t>responses</w:t>
      </w:r>
      <w:r w:rsidR="000C046A" w:rsidRPr="00A06061">
        <w:rPr>
          <w:rFonts w:ascii="Arial" w:hAnsi="Arial" w:cs="Arial"/>
          <w:color w:val="000000" w:themeColor="text1"/>
          <w:sz w:val="22"/>
        </w:rPr>
        <w:t xml:space="preserve"> towards covid-19, it is delighted to see the restriction has been </w:t>
      </w:r>
      <w:r w:rsidR="00F33C5C" w:rsidRPr="00A06061">
        <w:rPr>
          <w:rFonts w:ascii="Arial" w:hAnsi="Arial" w:cs="Arial"/>
          <w:color w:val="000000" w:themeColor="text1"/>
          <w:sz w:val="22"/>
        </w:rPr>
        <w:t>significantly</w:t>
      </w:r>
      <w:r w:rsidR="000C046A" w:rsidRPr="00A06061">
        <w:rPr>
          <w:rFonts w:ascii="Arial" w:hAnsi="Arial" w:cs="Arial"/>
          <w:color w:val="000000" w:themeColor="text1"/>
          <w:sz w:val="22"/>
        </w:rPr>
        <w:t xml:space="preserve"> eased since 2021 due to the </w:t>
      </w:r>
      <w:r w:rsidR="00F33C5C" w:rsidRPr="00A06061">
        <w:rPr>
          <w:rFonts w:ascii="Arial" w:hAnsi="Arial" w:cs="Arial"/>
          <w:color w:val="000000" w:themeColor="text1"/>
          <w:sz w:val="22"/>
        </w:rPr>
        <w:t>rollout of the vaccination program and the more educated public against covid-19.</w:t>
      </w:r>
    </w:p>
    <w:p w14:paraId="4201FF12" w14:textId="5C85D337" w:rsidR="00C57E77" w:rsidRPr="00A06061" w:rsidRDefault="00F33C5C" w:rsidP="00C00F09">
      <w:pPr>
        <w:pStyle w:val="a5"/>
        <w:numPr>
          <w:ilvl w:val="0"/>
          <w:numId w:val="2"/>
        </w:numPr>
        <w:spacing w:beforeLines="100" w:before="312" w:afterLines="100" w:after="312" w:line="360" w:lineRule="auto"/>
        <w:ind w:firstLineChars="0"/>
        <w:rPr>
          <w:rFonts w:ascii="Arial" w:hAnsi="Arial" w:cs="Arial"/>
          <w:color w:val="000000" w:themeColor="text1"/>
          <w:sz w:val="22"/>
        </w:rPr>
      </w:pPr>
      <w:r w:rsidRPr="00A06061">
        <w:rPr>
          <w:rFonts w:ascii="Arial" w:hAnsi="Arial" w:cs="Arial"/>
          <w:color w:val="000000" w:themeColor="text1"/>
          <w:sz w:val="22"/>
        </w:rPr>
        <w:t>The outbreak of the covid-19 has advanced the industrial transformation towards industry 5.0</w:t>
      </w:r>
      <w:r w:rsidR="008B05E9" w:rsidRPr="00A06061">
        <w:rPr>
          <w:rFonts w:ascii="Arial" w:hAnsi="Arial" w:cs="Arial"/>
          <w:color w:val="000000" w:themeColor="text1"/>
          <w:sz w:val="22"/>
        </w:rPr>
        <w:t xml:space="preserve"> featured with advanced data technologies. Contactless hotel technology, such as mobile application check-in, check-out, payment and room service, chatbot, guest messaging, etc., has proven to be a great facilitator for social distance by preventing conglomerations at the reception </w:t>
      </w:r>
      <w:proofErr w:type="spellStart"/>
      <w:r w:rsidR="008B05E9" w:rsidRPr="00A06061">
        <w:rPr>
          <w:rFonts w:ascii="Arial" w:hAnsi="Arial" w:cs="Arial"/>
          <w:color w:val="000000" w:themeColor="text1"/>
          <w:sz w:val="22"/>
        </w:rPr>
        <w:t>center</w:t>
      </w:r>
      <w:proofErr w:type="spellEnd"/>
      <w:r w:rsidR="008B05E9" w:rsidRPr="00A06061">
        <w:rPr>
          <w:rFonts w:ascii="Arial" w:hAnsi="Arial" w:cs="Arial"/>
          <w:color w:val="000000" w:themeColor="text1"/>
          <w:sz w:val="22"/>
        </w:rPr>
        <w:t xml:space="preserve"> or face-to-face interactions with front-line employees</w:t>
      </w:r>
      <w:r w:rsidR="00DE25F3" w:rsidRPr="00A06061">
        <w:rPr>
          <w:rFonts w:ascii="Arial" w:hAnsi="Arial" w:cs="Arial"/>
          <w:color w:val="000000" w:themeColor="text1"/>
          <w:sz w:val="22"/>
        </w:rPr>
        <w:t xml:space="preserve"> </w:t>
      </w:r>
      <w:r w:rsidR="00DE25F3" w:rsidRPr="00A06061">
        <w:rPr>
          <w:rFonts w:ascii="Arial" w:hAnsi="Arial" w:cs="Arial"/>
          <w:color w:val="000000" w:themeColor="text1"/>
          <w:sz w:val="22"/>
        </w:rPr>
        <w:fldChar w:fldCharType="begin" w:fldLock="1"/>
      </w:r>
      <w:r w:rsidR="00472EE9" w:rsidRPr="00A06061">
        <w:rPr>
          <w:rFonts w:ascii="Arial" w:hAnsi="Arial" w:cs="Arial"/>
          <w:color w:val="000000" w:themeColor="text1"/>
          <w:sz w:val="22"/>
        </w:rPr>
        <w:instrText>ADDIN CSL_CITATION {"citationItems":[{"id":"ITEM-1","itemData":{"DOI":"10.1108/ihr-08-2020-0041","ISSN":"2516-8142","abstract":"This study aims to investigate the mediating effect of consumer innovativeness in the relationship between tourism inclinations and revisit intention. This study focuses on the significance of innovative technologies that help to reduce physical contact and optimize operations and services to offer a direct added value to hospitality businesses and their customers.,This study uses a self-reported survey design using an online questionnaire to collect data from randomly selected potential tourists. The survey was in English. Data collection was carried out from June to July 2020, and a valid sample of 272 responses was obtained for data analysis.,The data were analyzed using ADANCO software. The study suggested that tourism inclination has both direct and indirect impacts on revisit intention through innovativeness.,This study allows a deeper understanding of the importance of contactless and low laborer-interaction technologies that help hospitality industry to win back pandemic-sensitive customers once this outbreak is over. To do this, the mediating effect of consumer innovativeness on their intention to revisit a tourist destination post-Covid-19 was investigated.","author":[{"dropping-particle":"","family":"Rahimizhian","given":"Sima","non-dropping-particle":"","parse-names":false,"suffix":""},{"dropping-particle":"","family":"Irani","given":"Foad","non-dropping-particle":"","parse-names":false,"suffix":""}],"container-title":"International Hospitality Review","id":"ITEM-1","issue":"2","issued":{"date-parts":[["2021","12","15"]]},"page":"293-304","publisher":"Emerald","title":"Contactless hospitality in a post-Covid-19 world","type":"article-journal","volume":"35"},"uris":["http://www.mendeley.com/documents/?uuid=bbb33d4c-a7a8-3958-868e-292b249e7f3b"]},{"id":"ITEM-2","itemData":{"DOI":"10.1080/14616688.2020.1762118","ISSN":"14701340","abstract":"Global economic and social life has been severely challenged since the World Health Organization (WHO) declared the COVID-19 disease a pandemic. Travel, tourism and hospitality, in particular, has been massively impacted by the lockdowns used to maintain social distance to manage the disease. Robotics, artificial intelligence, and human-robot interactions have gained an increased presence to help manage the spread of COVID-19 in hospitals, airports, transportation systems, recreation and scenic areas, hotels, restaurants, and communities in general. Humanoid robots, autonomous vehicles, drones, and other intelligent robots are used in many different ways to reduce human contact and the potential spread of the SARS-CoV-2 virus, including delivering materials, disinfecting and sterilizing public spaces, detecting or measuring body temperature, providing safety or security, and comforting and entertaining patients. While controversial in the past due to concerns over job losses and data privacy, the adoption of robotics and artificial intelligence in travel and tourism will likely continue after the COVID-19 pandemic becomes less serious. Tourism scholars should seize this opportunity to develop robotic applications that enhance tourist experiences, the protection of natural and cultural resources, citizen participation in tourism development decision making, and the emergence of new ‘high-touch’ employment opportunities for travel, tourism and hospitality workers.","author":[{"dropping-particle":"","family":"Zeng","given":"Zhanjing","non-dropping-particle":"","parse-names":false,"suffix":""},{"dropping-particle":"","family":"Chen","given":"Po Ju","non-dropping-particle":"","parse-names":false,"suffix":""},{"dropping-particle":"","family":"Lew","given":"Alan A.","non-dropping-particle":"","parse-names":false,"suffix":""}],"container-title":"Tourism Geographies","id":"ITEM-2","issue":"3","issued":{"date-parts":[["2020","5","26"]]},"page":"724-734","publisher":"Routledge","title":"From high-touch to high-tech: COVID-19 drives robotics adoption","type":"article-journal","volume":"22"},"uris":["http://www.mendeley.com/documents/?uuid=d7038536-b747-3c7b-ab5f-de3a63abde9a"]}],"mendeley":{"formattedCitation":"(Zeng, Chen and Lew, 2020; Rahimizhian and Irani, 2021)","plainTextFormattedCitation":"(Zeng, Chen and Lew, 2020; Rahimizhian and Irani, 2021)","previouslyFormattedCitation":"(Zeng, Chen and Lew, 2020; Rahimizhian and Irani, 2021)"},"properties":{"noteIndex":0},"schema":"https://github.com/citation-style-language/schema/raw/master/csl-citation.json"}</w:instrText>
      </w:r>
      <w:r w:rsidR="00DE25F3" w:rsidRPr="00A06061">
        <w:rPr>
          <w:rFonts w:ascii="Arial" w:hAnsi="Arial" w:cs="Arial"/>
          <w:color w:val="000000" w:themeColor="text1"/>
          <w:sz w:val="22"/>
        </w:rPr>
        <w:fldChar w:fldCharType="separate"/>
      </w:r>
      <w:r w:rsidR="00472EE9" w:rsidRPr="00A06061">
        <w:rPr>
          <w:rFonts w:ascii="Arial" w:hAnsi="Arial" w:cs="Arial"/>
          <w:noProof/>
          <w:color w:val="000000" w:themeColor="text1"/>
          <w:sz w:val="22"/>
        </w:rPr>
        <w:t>(Zeng, Chen and Lew, 2020; Rahimizhian and Irani, 2021)</w:t>
      </w:r>
      <w:r w:rsidR="00DE25F3" w:rsidRPr="00A06061">
        <w:rPr>
          <w:rFonts w:ascii="Arial" w:hAnsi="Arial" w:cs="Arial"/>
          <w:color w:val="000000" w:themeColor="text1"/>
          <w:sz w:val="22"/>
        </w:rPr>
        <w:fldChar w:fldCharType="end"/>
      </w:r>
      <w:r w:rsidR="008B05E9" w:rsidRPr="00A06061">
        <w:rPr>
          <w:rFonts w:ascii="Arial" w:hAnsi="Arial" w:cs="Arial"/>
          <w:color w:val="000000" w:themeColor="text1"/>
          <w:sz w:val="22"/>
        </w:rPr>
        <w:t xml:space="preserve">. In the foreseeable future, the hotel industry will still co-live with the covid-19, it is expected that guests will still be highly sensitive to physical contact. Besides self-service technologies, some technologies that are especially </w:t>
      </w:r>
      <w:r w:rsidR="00C57E77" w:rsidRPr="00A06061">
        <w:rPr>
          <w:rFonts w:ascii="Arial" w:hAnsi="Arial" w:cs="Arial"/>
          <w:color w:val="000000" w:themeColor="text1"/>
          <w:sz w:val="22"/>
        </w:rPr>
        <w:t>useful</w:t>
      </w:r>
      <w:r w:rsidR="008B05E9" w:rsidRPr="00A06061">
        <w:rPr>
          <w:rFonts w:ascii="Arial" w:hAnsi="Arial" w:cs="Arial"/>
          <w:color w:val="000000" w:themeColor="text1"/>
          <w:sz w:val="22"/>
        </w:rPr>
        <w:t xml:space="preserve"> during the covid-19, such as advanced disinfection </w:t>
      </w:r>
      <w:r w:rsidR="00C57E77" w:rsidRPr="00A06061">
        <w:rPr>
          <w:rFonts w:ascii="Arial" w:hAnsi="Arial" w:cs="Arial"/>
          <w:color w:val="000000" w:themeColor="text1"/>
          <w:sz w:val="22"/>
        </w:rPr>
        <w:t>using UV light and electrostatic sprayers to sanitize, would take the hygiene of the hotel to the next level with higher safety</w:t>
      </w:r>
      <w:r w:rsidR="00DE25F3" w:rsidRPr="00A06061">
        <w:rPr>
          <w:rFonts w:ascii="Arial" w:hAnsi="Arial" w:cs="Arial"/>
          <w:color w:val="000000" w:themeColor="text1"/>
          <w:sz w:val="22"/>
        </w:rPr>
        <w:t xml:space="preserve"> </w:t>
      </w:r>
      <w:r w:rsidR="00DE25F3" w:rsidRPr="00A06061">
        <w:rPr>
          <w:rFonts w:ascii="Arial" w:hAnsi="Arial" w:cs="Arial"/>
          <w:color w:val="000000" w:themeColor="text1"/>
          <w:sz w:val="22"/>
        </w:rPr>
        <w:fldChar w:fldCharType="begin" w:fldLock="1"/>
      </w:r>
      <w:r w:rsidR="00472EE9" w:rsidRPr="00A06061">
        <w:rPr>
          <w:rFonts w:ascii="Arial" w:hAnsi="Arial" w:cs="Arial"/>
          <w:color w:val="000000" w:themeColor="text1"/>
          <w:sz w:val="22"/>
        </w:rPr>
        <w:instrText>ADDIN CSL_CITATION {"citationItems":[{"id":"ITEM-1","itemData":{"DOI":"10.1080/19368623.2021.1916669","ISSN":"19368631","abstract":"Following the outbreak of the COVID-19 pandemic, some hotels have introduced a new service model called contactless service. This paper unpacks this new hospitality landscape through a random sample of 510 valid responses collected at a smart hotel in Taiwan in June 2020 and discusses the emergent insights through Multiple Linear Regression (MLR). The findings revealed that (1) Sense experience (SE), feel experience (FE), and relate experience (RE) were all positively impacting information sharing (IS); (2) Sense experience (SE) and feel experience (FE) positively affected satisfaction (CS). The positive adjustment of the relationship between the sense experience (SE) and the related experience (RE) for information sharing (IS) is regulated by the outbreak event disruption (ED). Intelligence operation (IO) is a significant mediating effect among five-sense experiences, customer satisfaction, and information sharing. This paper analyzes empirical data and provides insights that illuminate the nuances of customer experiences with contactless hospitality service.","author":[{"dropping-particle":"","family":"Chen","given":"Shu Hsiang","non-dropping-particle":"","parse-names":false,"suffix":""},{"dropping-particle":"","family":"Tzeng","given":"Shian Yang","non-dropping-particle":"","parse-names":false,"suffix":""},{"dropping-particle":"","family":"Tham","given":"Aaron","non-dropping-particle":"","parse-names":false,"suffix":""},{"dropping-particle":"","family":"Chu","given":"Peng Xu","non-dropping-particle":"","parse-names":false,"suffix":""}],"container-title":"Journal of Hospitality Marketing and Management","id":"ITEM-1","issue":"8","issued":{"date-parts":[["2021"]]},"page":"905-928","publisher":"Routledge","title":"Hospitality services in the post COVID-19 era: Are we ready for high-tech and no touch service delivery in smart hotels?","type":"article-journal","volume":"30"},"uris":["http://www.mendeley.com/documents/?uuid=dbc2929e-0332-33b2-9f29-76fedde8280d"]}],"mendeley":{"formattedCitation":"(Chen &lt;i&gt;et al.&lt;/i&gt;, 2021)","plainTextFormattedCitation":"(Chen et al., 2021)","previouslyFormattedCitation":"(Chen &lt;i&gt;et al.&lt;/i&gt;, 2021)"},"properties":{"noteIndex":0},"schema":"https://github.com/citation-style-language/schema/raw/master/csl-citation.json"}</w:instrText>
      </w:r>
      <w:r w:rsidR="00DE25F3" w:rsidRPr="00A06061">
        <w:rPr>
          <w:rFonts w:ascii="Arial" w:hAnsi="Arial" w:cs="Arial"/>
          <w:color w:val="000000" w:themeColor="text1"/>
          <w:sz w:val="22"/>
        </w:rPr>
        <w:fldChar w:fldCharType="separate"/>
      </w:r>
      <w:r w:rsidR="00472EE9" w:rsidRPr="00A06061">
        <w:rPr>
          <w:rFonts w:ascii="Arial" w:hAnsi="Arial" w:cs="Arial"/>
          <w:noProof/>
          <w:color w:val="000000" w:themeColor="text1"/>
          <w:sz w:val="22"/>
        </w:rPr>
        <w:t xml:space="preserve">(Chen </w:t>
      </w:r>
      <w:r w:rsidR="00472EE9" w:rsidRPr="00A06061">
        <w:rPr>
          <w:rFonts w:ascii="Arial" w:hAnsi="Arial" w:cs="Arial"/>
          <w:i/>
          <w:noProof/>
          <w:color w:val="000000" w:themeColor="text1"/>
          <w:sz w:val="22"/>
        </w:rPr>
        <w:t>et al.</w:t>
      </w:r>
      <w:r w:rsidR="00472EE9" w:rsidRPr="00A06061">
        <w:rPr>
          <w:rFonts w:ascii="Arial" w:hAnsi="Arial" w:cs="Arial"/>
          <w:noProof/>
          <w:color w:val="000000" w:themeColor="text1"/>
          <w:sz w:val="22"/>
        </w:rPr>
        <w:t>, 2021)</w:t>
      </w:r>
      <w:r w:rsidR="00DE25F3" w:rsidRPr="00A06061">
        <w:rPr>
          <w:rFonts w:ascii="Arial" w:hAnsi="Arial" w:cs="Arial"/>
          <w:color w:val="000000" w:themeColor="text1"/>
          <w:sz w:val="22"/>
        </w:rPr>
        <w:fldChar w:fldCharType="end"/>
      </w:r>
      <w:r w:rsidR="00C57E77" w:rsidRPr="00A06061">
        <w:rPr>
          <w:rFonts w:ascii="Arial" w:hAnsi="Arial" w:cs="Arial"/>
          <w:color w:val="000000" w:themeColor="text1"/>
          <w:sz w:val="22"/>
        </w:rPr>
        <w:t>. Besides these covid-19 specific technologies, the pandemic has accelerated the trend of using business intelligence, enabled by data technologies such as machine learning, artificial intelligence, etc. to uncover patterns and preferences of consumers to perform more targeted marketing and realize effective personalization to attract customers pursuing of heterogeneity in hotel experiences</w:t>
      </w:r>
      <w:r w:rsidR="00DE25F3" w:rsidRPr="00A06061">
        <w:rPr>
          <w:rFonts w:ascii="Arial" w:hAnsi="Arial" w:cs="Arial"/>
          <w:color w:val="000000" w:themeColor="text1"/>
          <w:sz w:val="22"/>
        </w:rPr>
        <w:t xml:space="preserve"> </w:t>
      </w:r>
      <w:r w:rsidR="00DE25F3" w:rsidRPr="00A06061">
        <w:rPr>
          <w:rFonts w:ascii="Arial" w:hAnsi="Arial" w:cs="Arial"/>
          <w:color w:val="000000" w:themeColor="text1"/>
          <w:sz w:val="22"/>
        </w:rPr>
        <w:fldChar w:fldCharType="begin" w:fldLock="1"/>
      </w:r>
      <w:r w:rsidR="00472EE9" w:rsidRPr="00A06061">
        <w:rPr>
          <w:rFonts w:ascii="Arial" w:hAnsi="Arial" w:cs="Arial"/>
          <w:color w:val="000000" w:themeColor="text1"/>
          <w:sz w:val="22"/>
        </w:rPr>
        <w:instrText>ADDIN CSL_CITATION {"citationItems":[{"id":"ITEM-1","itemData":{"DOI":"10.1504/ijdcet.2021.116475","ISSN":"1753-5212","abstract":"Digitalisation is becoming an increasingly important aspect for business growth. In the hospitality industry, this wind of change is leading to a new form of tourism, known as e-tourism or smart tourism. The current knowledge about the digitalisation processes of hotel structures, their drivers and advantages, is however still limited. This study aims to fill this gap by investigating, through a case study, the level of digitalisation of hotel structures, the underlying motivations, the effects of the digitalisation processes and the role of Covid-19. The results show that the motivations are mainly connected to the desire to improve the quality of the hotel structures, to adapt to competitors and increase financial performance. Furthermore, they show that digitalisation has a series of positive effects related to the increase in revenues, reduction of costs and improvement of the corporate image. Finally, the results show that Covid-19 has significantly accelerated the digitalisation processes.","author":[{"dropping-particle":"","family":"Morrone","given":"Domenico","non-dropping-particle":"","parse-names":false,"suffix":""},{"dropping-particle":"","family":"Raimo","given":"Nicola","non-dropping-particle":"","parse-names":false,"suffix":""},{"dropping-particle":"","family":"Tarulli","given":"Annunziata","non-dropping-particle":"","parse-names":false,"suffix":""},{"dropping-particle":"","family":"Vitolla","given":"Filippo","non-dropping-particle":"","parse-names":false,"suffix":""}],"container-title":"International Journal of Digital Culture and Electronic Tourism","id":"ITEM-1","issue":"3/4","issued":{"date-parts":[["2021"]]},"page":"257","title":"Digitalisation in the hospitality industry: motivations, effects and role of Covid-19","type":"article-journal","volume":"3"},"uris":["http://www.mendeley.com/documents/?uuid=3571306c-1138-3291-b375-b35ab5f6fd46"]}],"mendeley":{"formattedCitation":"(Morrone &lt;i&gt;et al.&lt;/i&gt;, 2021)","plainTextFormattedCitation":"(Morrone et al., 2021)","previouslyFormattedCitation":"(Morrone &lt;i&gt;et al.&lt;/i&gt;, 2021)"},"properties":{"noteIndex":0},"schema":"https://github.com/citation-style-language/schema/raw/master/csl-citation.json"}</w:instrText>
      </w:r>
      <w:r w:rsidR="00DE25F3" w:rsidRPr="00A06061">
        <w:rPr>
          <w:rFonts w:ascii="Arial" w:hAnsi="Arial" w:cs="Arial"/>
          <w:color w:val="000000" w:themeColor="text1"/>
          <w:sz w:val="22"/>
        </w:rPr>
        <w:fldChar w:fldCharType="separate"/>
      </w:r>
      <w:r w:rsidR="00472EE9" w:rsidRPr="00A06061">
        <w:rPr>
          <w:rFonts w:ascii="Arial" w:hAnsi="Arial" w:cs="Arial"/>
          <w:noProof/>
          <w:color w:val="000000" w:themeColor="text1"/>
          <w:sz w:val="22"/>
        </w:rPr>
        <w:t xml:space="preserve">(Morrone </w:t>
      </w:r>
      <w:r w:rsidR="00472EE9" w:rsidRPr="00A06061">
        <w:rPr>
          <w:rFonts w:ascii="Arial" w:hAnsi="Arial" w:cs="Arial"/>
          <w:i/>
          <w:noProof/>
          <w:color w:val="000000" w:themeColor="text1"/>
          <w:sz w:val="22"/>
        </w:rPr>
        <w:t>et al.</w:t>
      </w:r>
      <w:r w:rsidR="00472EE9" w:rsidRPr="00A06061">
        <w:rPr>
          <w:rFonts w:ascii="Arial" w:hAnsi="Arial" w:cs="Arial"/>
          <w:noProof/>
          <w:color w:val="000000" w:themeColor="text1"/>
          <w:sz w:val="22"/>
        </w:rPr>
        <w:t>, 2021)</w:t>
      </w:r>
      <w:r w:rsidR="00DE25F3" w:rsidRPr="00A06061">
        <w:rPr>
          <w:rFonts w:ascii="Arial" w:hAnsi="Arial" w:cs="Arial"/>
          <w:color w:val="000000" w:themeColor="text1"/>
          <w:sz w:val="22"/>
        </w:rPr>
        <w:fldChar w:fldCharType="end"/>
      </w:r>
      <w:r w:rsidR="00C57E77" w:rsidRPr="00A06061">
        <w:rPr>
          <w:rFonts w:ascii="Arial" w:hAnsi="Arial" w:cs="Arial"/>
          <w:color w:val="000000" w:themeColor="text1"/>
          <w:sz w:val="22"/>
        </w:rPr>
        <w:t xml:space="preserve">. </w:t>
      </w:r>
    </w:p>
    <w:p w14:paraId="005A93D8" w14:textId="72192E59" w:rsidR="00C57E77" w:rsidRPr="00A06061" w:rsidRDefault="00C57E77" w:rsidP="00C00F09">
      <w:pPr>
        <w:pStyle w:val="a5"/>
        <w:numPr>
          <w:ilvl w:val="0"/>
          <w:numId w:val="2"/>
        </w:numPr>
        <w:spacing w:beforeLines="100" w:before="312" w:afterLines="100" w:after="312" w:line="360" w:lineRule="auto"/>
        <w:ind w:firstLineChars="0"/>
        <w:rPr>
          <w:rFonts w:ascii="Arial" w:hAnsi="Arial" w:cs="Arial"/>
          <w:color w:val="000000" w:themeColor="text1"/>
          <w:sz w:val="22"/>
        </w:rPr>
      </w:pPr>
      <w:r w:rsidRPr="00A06061">
        <w:rPr>
          <w:rFonts w:ascii="Arial" w:hAnsi="Arial" w:cs="Arial"/>
          <w:color w:val="000000" w:themeColor="text1"/>
          <w:sz w:val="22"/>
        </w:rPr>
        <w:t xml:space="preserve">Leisure </w:t>
      </w:r>
      <w:r w:rsidR="00FA113C" w:rsidRPr="00A06061">
        <w:rPr>
          <w:rFonts w:ascii="Arial" w:hAnsi="Arial" w:cs="Arial"/>
          <w:color w:val="000000" w:themeColor="text1"/>
          <w:sz w:val="22"/>
        </w:rPr>
        <w:t>traveling</w:t>
      </w:r>
      <w:r w:rsidRPr="00A06061">
        <w:rPr>
          <w:rFonts w:ascii="Arial" w:hAnsi="Arial" w:cs="Arial"/>
          <w:color w:val="000000" w:themeColor="text1"/>
          <w:sz w:val="22"/>
        </w:rPr>
        <w:t xml:space="preserve"> has exhibited a much quicker speed of recovery than business recovery</w:t>
      </w:r>
      <w:r w:rsidR="00FA113C" w:rsidRPr="00A06061">
        <w:rPr>
          <w:rFonts w:ascii="Arial" w:hAnsi="Arial" w:cs="Arial"/>
          <w:color w:val="000000" w:themeColor="text1"/>
          <w:sz w:val="22"/>
        </w:rPr>
        <w:t>, as people are rushing to their revenge vacation as the travel restrictions have been gradually removed</w:t>
      </w:r>
      <w:r w:rsidR="00DE25F3" w:rsidRPr="00A06061">
        <w:rPr>
          <w:rFonts w:ascii="Arial" w:hAnsi="Arial" w:cs="Arial"/>
          <w:color w:val="000000" w:themeColor="text1"/>
          <w:sz w:val="22"/>
        </w:rPr>
        <w:t xml:space="preserve"> </w:t>
      </w:r>
      <w:r w:rsidR="00DE25F3" w:rsidRPr="00A06061">
        <w:rPr>
          <w:rFonts w:ascii="Arial" w:hAnsi="Arial" w:cs="Arial"/>
          <w:color w:val="000000" w:themeColor="text1"/>
          <w:sz w:val="22"/>
        </w:rPr>
        <w:fldChar w:fldCharType="begin" w:fldLock="1"/>
      </w:r>
      <w:r w:rsidR="00472EE9" w:rsidRPr="00A06061">
        <w:rPr>
          <w:rFonts w:ascii="Arial" w:hAnsi="Arial" w:cs="Arial"/>
          <w:color w:val="000000" w:themeColor="text1"/>
          <w:sz w:val="22"/>
        </w:rPr>
        <w:instrText>ADDIN CSL_CITATION {"citationItems":[{"id":"ITEM-1","itemData":{"DOI":"10.1080/10548408.2021.2006858","ISSN":"10548408","abstract":"The COVID-19 pandemic has hampered consumers’ psychological well-being and the travel industry. Secondary evidence suggests a revenge travel phenomenon. This study theorizes and empirically demonstrates that nostalgia helps consumers cope with pandemic distress and cultivates the desire for leisure travel. Drawing on the Stimulus-Organism-Response (SOR) framework, consumer perceived severity of COVID-19 (stimulus) triggers nostalgia (organism), which increases the desire for leisure travel (response). The effect of nostalgia on desire to travel is robust when manipulated via a marketing communication (ad-hoc experiment). This study further explains travel pursuit heterogeneity with the interaction of a consumer’s approach-avoidance motivation system and traveler personality.","author":[{"dropping-particle":"","family":"Wang","given":"Joyce","non-dropping-particle":"","parse-names":false,"suffix":""},{"dropping-particle":"","family":"Xia","given":"Lan","non-dropping-particle":"","parse-names":false,"suffix":""}],"container-title":"Journal of Travel and Tourism Marketing","id":"ITEM-1","issue":"9","issued":{"date-parts":[["2021"]]},"page":"935-955","publisher":"Routledge","title":"Revenge travel: nostalgia and desire for leisure travel post COVID-19","type":"article-journal","volume":"38"},"uris":["http://www.mendeley.com/documents/?uuid=16c7e274-e897-3723-86cc-09d9a5d5ec11"]}],"mendeley":{"formattedCitation":"(Wang and Xia, 2021)","plainTextFormattedCitation":"(Wang and Xia, 2021)","previouslyFormattedCitation":"(Wang and Xia, 2021)"},"properties":{"noteIndex":0},"schema":"https://github.com/citation-style-language/schema/raw/master/csl-citation.json"}</w:instrText>
      </w:r>
      <w:r w:rsidR="00DE25F3" w:rsidRPr="00A06061">
        <w:rPr>
          <w:rFonts w:ascii="Arial" w:hAnsi="Arial" w:cs="Arial"/>
          <w:color w:val="000000" w:themeColor="text1"/>
          <w:sz w:val="22"/>
        </w:rPr>
        <w:fldChar w:fldCharType="separate"/>
      </w:r>
      <w:r w:rsidR="00472EE9" w:rsidRPr="00A06061">
        <w:rPr>
          <w:rFonts w:ascii="Arial" w:hAnsi="Arial" w:cs="Arial"/>
          <w:noProof/>
          <w:color w:val="000000" w:themeColor="text1"/>
          <w:sz w:val="22"/>
        </w:rPr>
        <w:t>(Wang and Xia, 2021)</w:t>
      </w:r>
      <w:r w:rsidR="00DE25F3" w:rsidRPr="00A06061">
        <w:rPr>
          <w:rFonts w:ascii="Arial" w:hAnsi="Arial" w:cs="Arial"/>
          <w:color w:val="000000" w:themeColor="text1"/>
          <w:sz w:val="22"/>
        </w:rPr>
        <w:fldChar w:fldCharType="end"/>
      </w:r>
      <w:r w:rsidR="00FA113C" w:rsidRPr="00A06061">
        <w:rPr>
          <w:rFonts w:ascii="Arial" w:hAnsi="Arial" w:cs="Arial"/>
          <w:color w:val="000000" w:themeColor="text1"/>
          <w:sz w:val="22"/>
        </w:rPr>
        <w:t>. It is estimated that the leisure travel demand has passed the complete recovery to the pre-covid-19, while business travel is still lagging behind by 60% as remote working affords a cost-efficient solution for businesses</w:t>
      </w:r>
      <w:r w:rsidR="00DE25F3" w:rsidRPr="00A06061">
        <w:rPr>
          <w:rFonts w:ascii="Arial" w:hAnsi="Arial" w:cs="Arial"/>
          <w:color w:val="000000" w:themeColor="text1"/>
          <w:sz w:val="22"/>
        </w:rPr>
        <w:t xml:space="preserve"> </w:t>
      </w:r>
      <w:r w:rsidR="00DE25F3" w:rsidRPr="00A06061">
        <w:rPr>
          <w:rFonts w:ascii="Arial" w:hAnsi="Arial" w:cs="Arial"/>
          <w:color w:val="000000" w:themeColor="text1"/>
          <w:sz w:val="22"/>
        </w:rPr>
        <w:fldChar w:fldCharType="begin" w:fldLock="1"/>
      </w:r>
      <w:r w:rsidR="00DE25F3" w:rsidRPr="00A06061">
        <w:rPr>
          <w:rFonts w:ascii="Arial" w:hAnsi="Arial" w:cs="Arial"/>
          <w:color w:val="000000" w:themeColor="text1"/>
          <w:sz w:val="22"/>
        </w:rPr>
        <w:instrText>ADDIN CSL_CITATION {"citationItems":[{"id":"ITEM-1","itemData":{"author":[{"dropping-particle":"","family":"Accenture","given":"","non-dropping-particle":"","parse-names":false,"suffix":""}],"id":"ITEM-1","issued":{"date-parts":[["2022"]]},"title":"Post-Pandemic Travel: Business or Leisure? ","type":"article-journal"},"uris":["http://www.mendeley.com/documents/?uuid=67d8e8eb-e449-3c1d-8cc3-8a61a011d8ae"]}],"mendeley":{"formattedCitation":"(Accenture, 2022)","plainTextFormattedCitation":"(Accenture, 2022)","previouslyFormattedCitation":"(Accenture, 2022)"},"properties":{"noteIndex":0},"schema":"https://github.com/citation-style-language/schema/raw/master/csl-citation.json"}</w:instrText>
      </w:r>
      <w:r w:rsidR="00DE25F3" w:rsidRPr="00A06061">
        <w:rPr>
          <w:rFonts w:ascii="Arial" w:hAnsi="Arial" w:cs="Arial"/>
          <w:color w:val="000000" w:themeColor="text1"/>
          <w:sz w:val="22"/>
        </w:rPr>
        <w:fldChar w:fldCharType="separate"/>
      </w:r>
      <w:r w:rsidR="00DE25F3" w:rsidRPr="00A06061">
        <w:rPr>
          <w:rFonts w:ascii="Arial" w:hAnsi="Arial" w:cs="Arial"/>
          <w:noProof/>
          <w:color w:val="000000" w:themeColor="text1"/>
          <w:sz w:val="22"/>
        </w:rPr>
        <w:t>(Accenture, 2022)</w:t>
      </w:r>
      <w:r w:rsidR="00DE25F3" w:rsidRPr="00A06061">
        <w:rPr>
          <w:rFonts w:ascii="Arial" w:hAnsi="Arial" w:cs="Arial"/>
          <w:color w:val="000000" w:themeColor="text1"/>
          <w:sz w:val="22"/>
        </w:rPr>
        <w:fldChar w:fldCharType="end"/>
      </w:r>
      <w:r w:rsidR="00FA113C" w:rsidRPr="00A06061">
        <w:rPr>
          <w:rFonts w:ascii="Arial" w:hAnsi="Arial" w:cs="Arial"/>
          <w:color w:val="000000" w:themeColor="text1"/>
          <w:sz w:val="22"/>
        </w:rPr>
        <w:t>. That indicates that hotels must inspire potential guests to motivate their traveling desires by being active on all marketing channels. At the same time, despite the importance of global marketing, it is important to complement local flexibility in promoting leisure travel stays by using a “</w:t>
      </w:r>
      <w:proofErr w:type="spellStart"/>
      <w:r w:rsidR="00FA113C" w:rsidRPr="00A06061">
        <w:rPr>
          <w:rFonts w:ascii="Arial" w:hAnsi="Arial" w:cs="Arial"/>
          <w:color w:val="000000" w:themeColor="text1"/>
          <w:sz w:val="22"/>
        </w:rPr>
        <w:t>Glocal</w:t>
      </w:r>
      <w:proofErr w:type="spellEnd"/>
      <w:r w:rsidR="00FA113C" w:rsidRPr="00A06061">
        <w:rPr>
          <w:rFonts w:ascii="Arial" w:hAnsi="Arial" w:cs="Arial"/>
          <w:color w:val="000000" w:themeColor="text1"/>
          <w:sz w:val="22"/>
        </w:rPr>
        <w:t>” marketing strategy</w:t>
      </w:r>
      <w:r w:rsidR="00DE25F3" w:rsidRPr="00A06061">
        <w:rPr>
          <w:rFonts w:ascii="Arial" w:hAnsi="Arial" w:cs="Arial"/>
          <w:color w:val="000000" w:themeColor="text1"/>
          <w:sz w:val="22"/>
        </w:rPr>
        <w:t xml:space="preserve"> </w:t>
      </w:r>
      <w:r w:rsidR="00DE25F3" w:rsidRPr="00A06061">
        <w:rPr>
          <w:rFonts w:ascii="Arial" w:hAnsi="Arial" w:cs="Arial"/>
          <w:color w:val="000000" w:themeColor="text1"/>
          <w:sz w:val="22"/>
        </w:rPr>
        <w:fldChar w:fldCharType="begin" w:fldLock="1"/>
      </w:r>
      <w:r w:rsidR="00AD1348" w:rsidRPr="00A06061">
        <w:rPr>
          <w:rFonts w:ascii="Arial" w:hAnsi="Arial" w:cs="Arial"/>
          <w:color w:val="000000" w:themeColor="text1"/>
          <w:sz w:val="22"/>
        </w:rPr>
        <w:instrText>ADDIN CSL_CITATION {"citationItems":[{"id":"ITEM-1","itemData":{"DOI":"10.1108/EUM0000000005403/FULL/HTML","ISSN":"00251747","abstract":"The topic of this article provides a discussion on the importance of well-defined concepts and approaches used by scholars and by practitioners in various contexts. It is troublesome when the use of a concept or an approach is ambiguous and confusing. The discussion focuses on, and is exemplified through, the globalization of business activities and the term “global strategy”. The widespread use of popular jargon cannot cover the fact that a genuine or true global strategy approach appears to be a managerial utopia. The terms “glocal strategy” and the “glocalization” of business activities are introduced to enhance the accuracy of the present usage by scholars and by practitioners of the term global strategy and the phenomenon often described as the globalization of business activities. © 2001, MCB UP Limited","author":[{"dropping-particle":"","family":"Svensson","given":"Göran","non-dropping-particle":"","parse-names":false,"suffix":""}],"container-title":"Management Decision","id":"ITEM-1","issue":"1","issued":{"date-parts":[["2001","2","1"]]},"page":"6-18","title":"“Glocalization” of business activities: A “glocal strategy” approach","type":"article-journal","volume":"39"},"uris":["http://www.mendeley.com/documents/?uuid=53c8972d-e574-3fd4-90f3-5debef7768f4"]}],"mendeley":{"formattedCitation":"(Svensson, 2001)","plainTextFormattedCitation":"(Svensson, 2001)","previouslyFormattedCitation":"(Svensson, 2001)"},"properties":{"noteIndex":0},"schema":"https://github.com/citation-style-language/schema/raw/master/csl-citation.json"}</w:instrText>
      </w:r>
      <w:r w:rsidR="00DE25F3" w:rsidRPr="00A06061">
        <w:rPr>
          <w:rFonts w:ascii="Arial" w:hAnsi="Arial" w:cs="Arial"/>
          <w:color w:val="000000" w:themeColor="text1"/>
          <w:sz w:val="22"/>
        </w:rPr>
        <w:fldChar w:fldCharType="separate"/>
      </w:r>
      <w:r w:rsidR="00DE25F3" w:rsidRPr="00A06061">
        <w:rPr>
          <w:rFonts w:ascii="Arial" w:hAnsi="Arial" w:cs="Arial"/>
          <w:noProof/>
          <w:color w:val="000000" w:themeColor="text1"/>
          <w:sz w:val="22"/>
        </w:rPr>
        <w:t>(Svensson, 2001)</w:t>
      </w:r>
      <w:r w:rsidR="00DE25F3" w:rsidRPr="00A06061">
        <w:rPr>
          <w:rFonts w:ascii="Arial" w:hAnsi="Arial" w:cs="Arial"/>
          <w:color w:val="000000" w:themeColor="text1"/>
          <w:sz w:val="22"/>
        </w:rPr>
        <w:fldChar w:fldCharType="end"/>
      </w:r>
      <w:r w:rsidR="00FA113C" w:rsidRPr="00A06061">
        <w:rPr>
          <w:rFonts w:ascii="Arial" w:hAnsi="Arial" w:cs="Arial"/>
          <w:color w:val="000000" w:themeColor="text1"/>
          <w:sz w:val="22"/>
        </w:rPr>
        <w:t xml:space="preserve">. </w:t>
      </w:r>
      <w:r w:rsidR="00CD085D" w:rsidRPr="00A06061">
        <w:rPr>
          <w:rFonts w:ascii="Arial" w:hAnsi="Arial" w:cs="Arial"/>
          <w:color w:val="000000" w:themeColor="text1"/>
          <w:sz w:val="22"/>
        </w:rPr>
        <w:t xml:space="preserve">At the same time, data technologies can be further leveraged to </w:t>
      </w:r>
      <w:r w:rsidR="00CD085D" w:rsidRPr="00A06061">
        <w:rPr>
          <w:rFonts w:ascii="Arial" w:hAnsi="Arial" w:cs="Arial"/>
          <w:color w:val="000000" w:themeColor="text1"/>
          <w:sz w:val="22"/>
        </w:rPr>
        <w:lastRenderedPageBreak/>
        <w:t xml:space="preserve">uncover emerging leisure travel opportunities, shaping the value propositions and prioritizing the investment </w:t>
      </w:r>
      <w:r w:rsidR="00CD085D" w:rsidRPr="00A06061">
        <w:rPr>
          <w:rFonts w:ascii="Arial" w:hAnsi="Arial" w:cs="Arial"/>
          <w:color w:val="000000" w:themeColor="text1"/>
          <w:sz w:val="22"/>
        </w:rPr>
        <w:fldChar w:fldCharType="begin" w:fldLock="1"/>
      </w:r>
      <w:r w:rsidR="00BC32DE" w:rsidRPr="00A06061">
        <w:rPr>
          <w:rFonts w:ascii="Arial" w:hAnsi="Arial" w:cs="Arial"/>
          <w:color w:val="000000" w:themeColor="text1"/>
          <w:sz w:val="22"/>
        </w:rPr>
        <w:instrText>ADDIN CSL_CITATION {"citationItems":[{"id":"ITEM-1","itemData":{"author":[{"dropping-particle":"","family":"Accenture","given":"","non-dropping-particle":"","parse-names":false,"suffix":""}],"id":"ITEM-1","issued":{"date-parts":[["2022"]]},"title":"Post-Pandemic Travel: Business or Leisure? ","type":"article-journal"},"uris":["http://www.mendeley.com/documents/?uuid=67d8e8eb-e449-3c1d-8cc3-8a61a011d8ae"]}],"mendeley":{"formattedCitation":"(Accenture, 2022)","plainTextFormattedCitation":"(Accenture, 2022)","previouslyFormattedCitation":"(Accenture, 2022)"},"properties":{"noteIndex":0},"schema":"https://github.com/citation-style-language/schema/raw/master/csl-citation.json"}</w:instrText>
      </w:r>
      <w:r w:rsidR="00CD085D" w:rsidRPr="00A06061">
        <w:rPr>
          <w:rFonts w:ascii="Arial" w:hAnsi="Arial" w:cs="Arial"/>
          <w:color w:val="000000" w:themeColor="text1"/>
          <w:sz w:val="22"/>
        </w:rPr>
        <w:fldChar w:fldCharType="separate"/>
      </w:r>
      <w:r w:rsidR="00CD085D" w:rsidRPr="00A06061">
        <w:rPr>
          <w:rFonts w:ascii="Arial" w:hAnsi="Arial" w:cs="Arial"/>
          <w:noProof/>
          <w:color w:val="000000" w:themeColor="text1"/>
          <w:sz w:val="22"/>
        </w:rPr>
        <w:t>(Accenture, 2022)</w:t>
      </w:r>
      <w:r w:rsidR="00CD085D" w:rsidRPr="00A06061">
        <w:rPr>
          <w:rFonts w:ascii="Arial" w:hAnsi="Arial" w:cs="Arial"/>
          <w:color w:val="000000" w:themeColor="text1"/>
          <w:sz w:val="22"/>
        </w:rPr>
        <w:fldChar w:fldCharType="end"/>
      </w:r>
      <w:r w:rsidR="00CD085D" w:rsidRPr="00A06061">
        <w:rPr>
          <w:rFonts w:ascii="Arial" w:hAnsi="Arial" w:cs="Arial"/>
          <w:color w:val="000000" w:themeColor="text1"/>
          <w:sz w:val="22"/>
        </w:rPr>
        <w:t xml:space="preserve">. </w:t>
      </w:r>
    </w:p>
    <w:p w14:paraId="531E99D4" w14:textId="094294B4" w:rsidR="00CD085D" w:rsidRPr="006A1B54" w:rsidRDefault="00CD085D" w:rsidP="00C00F09">
      <w:pPr>
        <w:pStyle w:val="2"/>
        <w:spacing w:beforeLines="100" w:before="312" w:afterLines="100" w:after="312" w:line="360" w:lineRule="auto"/>
        <w:rPr>
          <w:rFonts w:ascii="Arial" w:hAnsi="Arial" w:cs="Arial"/>
          <w:color w:val="000000" w:themeColor="text1"/>
        </w:rPr>
      </w:pPr>
      <w:bookmarkStart w:id="5" w:name="_Toc101793022"/>
      <w:r w:rsidRPr="006A1B54">
        <w:rPr>
          <w:rFonts w:ascii="Arial" w:hAnsi="Arial" w:cs="Arial"/>
          <w:color w:val="000000" w:themeColor="text1"/>
        </w:rPr>
        <w:t>2.2 Objective</w:t>
      </w:r>
      <w:bookmarkEnd w:id="5"/>
      <w:r w:rsidRPr="006A1B54">
        <w:rPr>
          <w:rFonts w:ascii="Arial" w:hAnsi="Arial" w:cs="Arial"/>
          <w:color w:val="000000" w:themeColor="text1"/>
        </w:rPr>
        <w:t xml:space="preserve"> </w:t>
      </w:r>
    </w:p>
    <w:p w14:paraId="2BEFFEFA" w14:textId="5E4E004C" w:rsidR="00AE336A" w:rsidRPr="00A06061" w:rsidRDefault="00CD085D" w:rsidP="00C00F09">
      <w:pPr>
        <w:spacing w:beforeLines="100" w:before="312" w:afterLines="100" w:after="312" w:line="360" w:lineRule="auto"/>
        <w:rPr>
          <w:rFonts w:ascii="Arial" w:hAnsi="Arial" w:cs="Arial"/>
          <w:color w:val="000000" w:themeColor="text1"/>
          <w:sz w:val="22"/>
        </w:rPr>
      </w:pPr>
      <w:r w:rsidRPr="00A06061">
        <w:rPr>
          <w:rFonts w:ascii="Arial" w:hAnsi="Arial" w:cs="Arial"/>
          <w:color w:val="000000" w:themeColor="text1"/>
          <w:sz w:val="22"/>
        </w:rPr>
        <w:t xml:space="preserve">The objective for Radisson is developed by using the SMART criteria, with </w:t>
      </w:r>
      <w:r w:rsidR="00825C8E" w:rsidRPr="00A06061">
        <w:rPr>
          <w:rFonts w:ascii="Arial" w:hAnsi="Arial" w:cs="Arial"/>
          <w:color w:val="000000" w:themeColor="text1"/>
          <w:sz w:val="22"/>
        </w:rPr>
        <w:t>‘</w:t>
      </w:r>
      <w:r w:rsidRPr="00A06061">
        <w:rPr>
          <w:rFonts w:ascii="Arial" w:hAnsi="Arial" w:cs="Arial"/>
          <w:color w:val="000000" w:themeColor="text1"/>
          <w:sz w:val="22"/>
        </w:rPr>
        <w:t>s</w:t>
      </w:r>
      <w:r w:rsidR="00825C8E" w:rsidRPr="00A06061">
        <w:rPr>
          <w:rFonts w:ascii="Arial" w:hAnsi="Arial" w:cs="Arial"/>
          <w:color w:val="000000" w:themeColor="text1"/>
          <w:sz w:val="22"/>
        </w:rPr>
        <w:t>’</w:t>
      </w:r>
      <w:r w:rsidRPr="00A06061">
        <w:rPr>
          <w:rFonts w:ascii="Arial" w:hAnsi="Arial" w:cs="Arial"/>
          <w:color w:val="000000" w:themeColor="text1"/>
          <w:sz w:val="22"/>
        </w:rPr>
        <w:t xml:space="preserve"> </w:t>
      </w:r>
      <w:r w:rsidR="00825C8E" w:rsidRPr="00A06061">
        <w:rPr>
          <w:rFonts w:ascii="Arial" w:hAnsi="Arial" w:cs="Arial"/>
          <w:color w:val="000000" w:themeColor="text1"/>
          <w:sz w:val="22"/>
        </w:rPr>
        <w:t>standing</w:t>
      </w:r>
      <w:r w:rsidRPr="00A06061">
        <w:rPr>
          <w:rFonts w:ascii="Arial" w:hAnsi="Arial" w:cs="Arial"/>
          <w:color w:val="000000" w:themeColor="text1"/>
          <w:sz w:val="22"/>
        </w:rPr>
        <w:t xml:space="preserve"> for being specific (what will be accomplished), with </w:t>
      </w:r>
      <w:r w:rsidR="00825C8E" w:rsidRPr="00A06061">
        <w:rPr>
          <w:rFonts w:ascii="Arial" w:hAnsi="Arial" w:cs="Arial"/>
          <w:color w:val="000000" w:themeColor="text1"/>
          <w:sz w:val="22"/>
        </w:rPr>
        <w:t>‘</w:t>
      </w:r>
      <w:r w:rsidRPr="00A06061">
        <w:rPr>
          <w:rFonts w:ascii="Arial" w:hAnsi="Arial" w:cs="Arial"/>
          <w:color w:val="000000" w:themeColor="text1"/>
          <w:sz w:val="22"/>
        </w:rPr>
        <w:t>m</w:t>
      </w:r>
      <w:r w:rsidR="00825C8E" w:rsidRPr="00A06061">
        <w:rPr>
          <w:rFonts w:ascii="Arial" w:hAnsi="Arial" w:cs="Arial"/>
          <w:color w:val="000000" w:themeColor="text1"/>
          <w:sz w:val="22"/>
        </w:rPr>
        <w:t>’</w:t>
      </w:r>
      <w:r w:rsidRPr="00A06061">
        <w:rPr>
          <w:rFonts w:ascii="Arial" w:hAnsi="Arial" w:cs="Arial"/>
          <w:color w:val="000000" w:themeColor="text1"/>
          <w:sz w:val="22"/>
        </w:rPr>
        <w:t xml:space="preserve"> </w:t>
      </w:r>
      <w:r w:rsidR="00825C8E" w:rsidRPr="00A06061">
        <w:rPr>
          <w:rFonts w:ascii="Arial" w:hAnsi="Arial" w:cs="Arial"/>
          <w:color w:val="000000" w:themeColor="text1"/>
          <w:sz w:val="22"/>
        </w:rPr>
        <w:t>standing</w:t>
      </w:r>
      <w:r w:rsidRPr="00A06061">
        <w:rPr>
          <w:rFonts w:ascii="Arial" w:hAnsi="Arial" w:cs="Arial"/>
          <w:color w:val="000000" w:themeColor="text1"/>
          <w:sz w:val="22"/>
        </w:rPr>
        <w:t xml:space="preserve"> for being measurable (what is the measure to monitor the marketing progress and benchmark), with </w:t>
      </w:r>
      <w:r w:rsidR="00825C8E" w:rsidRPr="00A06061">
        <w:rPr>
          <w:rFonts w:ascii="Arial" w:hAnsi="Arial" w:cs="Arial"/>
          <w:color w:val="000000" w:themeColor="text1"/>
          <w:sz w:val="22"/>
        </w:rPr>
        <w:t>‘a’ standing</w:t>
      </w:r>
      <w:r w:rsidRPr="00A06061">
        <w:rPr>
          <w:rFonts w:ascii="Arial" w:hAnsi="Arial" w:cs="Arial"/>
          <w:color w:val="000000" w:themeColor="text1"/>
          <w:sz w:val="22"/>
        </w:rPr>
        <w:t xml:space="preserve"> for being achievable </w:t>
      </w:r>
      <w:r w:rsidR="00825C8E" w:rsidRPr="00A06061">
        <w:rPr>
          <w:rFonts w:ascii="Arial" w:hAnsi="Arial" w:cs="Arial"/>
          <w:color w:val="000000" w:themeColor="text1"/>
          <w:sz w:val="22"/>
        </w:rPr>
        <w:t>(is the objective doable with necessary resources and competences), with ‘r’ stands for being relevant ( does the objective align with broader strategic goals?), and with ‘t’ stands for being time-bound (what is the time-frame for achieving the goal?)</w:t>
      </w:r>
      <w:r w:rsidR="00AD1348" w:rsidRPr="00A06061">
        <w:rPr>
          <w:rFonts w:ascii="Arial" w:hAnsi="Arial" w:cs="Arial"/>
          <w:color w:val="000000" w:themeColor="text1"/>
          <w:sz w:val="22"/>
        </w:rPr>
        <w:t xml:space="preserve"> </w:t>
      </w:r>
      <w:r w:rsidR="00AD1348" w:rsidRPr="00A06061">
        <w:rPr>
          <w:rFonts w:ascii="Arial" w:hAnsi="Arial" w:cs="Arial"/>
          <w:color w:val="000000" w:themeColor="text1"/>
          <w:sz w:val="22"/>
        </w:rPr>
        <w:fldChar w:fldCharType="begin" w:fldLock="1"/>
      </w:r>
      <w:r w:rsidR="00AD1348" w:rsidRPr="00A06061">
        <w:rPr>
          <w:rFonts w:ascii="Arial" w:hAnsi="Arial" w:cs="Arial"/>
          <w:color w:val="000000" w:themeColor="text1"/>
          <w:sz w:val="22"/>
        </w:rPr>
        <w:instrText>ADDIN CSL_CITATION {"citationItems":[{"id":"ITEM-1","itemData":{"ISBN":"0956106854","author":[{"dropping-particle":"","family":"Smith","given":"Paul R","non-dropping-particle":"","parse-names":false,"suffix":""}],"id":"ITEM-1","issued":{"date-parts":[["2019"]]},"publisher":"PR Smith","title":"The SOSTAC Guide to your perfect digital marketing plan","type":"book"},"uris":["http://www.mendeley.com/documents/?uuid=e8e014a1-3ada-4f0c-9719-3d2308e5727a"]}],"mendeley":{"formattedCitation":"(Smith, 2019)","plainTextFormattedCitation":"(Smith, 2019)","previouslyFormattedCitation":"(Smith, 2019)"},"properties":{"noteIndex":0},"schema":"https://github.com/citation-style-language/schema/raw/master/csl-citation.json"}</w:instrText>
      </w:r>
      <w:r w:rsidR="00AD1348" w:rsidRPr="00A06061">
        <w:rPr>
          <w:rFonts w:ascii="Arial" w:hAnsi="Arial" w:cs="Arial"/>
          <w:color w:val="000000" w:themeColor="text1"/>
          <w:sz w:val="22"/>
        </w:rPr>
        <w:fldChar w:fldCharType="separate"/>
      </w:r>
      <w:r w:rsidR="00AD1348" w:rsidRPr="00A06061">
        <w:rPr>
          <w:rFonts w:ascii="Arial" w:hAnsi="Arial" w:cs="Arial"/>
          <w:noProof/>
          <w:color w:val="000000" w:themeColor="text1"/>
          <w:sz w:val="22"/>
        </w:rPr>
        <w:t>(Smith, 2019)</w:t>
      </w:r>
      <w:r w:rsidR="00AD1348" w:rsidRPr="00A06061">
        <w:rPr>
          <w:rFonts w:ascii="Arial" w:hAnsi="Arial" w:cs="Arial"/>
          <w:color w:val="000000" w:themeColor="text1"/>
          <w:sz w:val="22"/>
        </w:rPr>
        <w:fldChar w:fldCharType="end"/>
      </w:r>
      <w:r w:rsidR="00CE4335" w:rsidRPr="00A06061">
        <w:rPr>
          <w:rFonts w:ascii="Arial" w:hAnsi="Arial" w:cs="Arial"/>
          <w:color w:val="000000" w:themeColor="text1"/>
          <w:sz w:val="22"/>
        </w:rPr>
        <w:t>. Given the above situation analysis, the marketing objective here is to boost the hotel room occupancy rate to</w:t>
      </w:r>
      <w:r w:rsidR="00FA5705" w:rsidRPr="00A06061">
        <w:rPr>
          <w:rFonts w:ascii="Arial" w:hAnsi="Arial" w:cs="Arial"/>
          <w:color w:val="000000" w:themeColor="text1"/>
          <w:sz w:val="22"/>
        </w:rPr>
        <w:t xml:space="preserve"> 75</w:t>
      </w:r>
      <w:r w:rsidR="00CE4335" w:rsidRPr="00A06061">
        <w:rPr>
          <w:rFonts w:ascii="Arial" w:hAnsi="Arial" w:cs="Arial"/>
          <w:color w:val="000000" w:themeColor="text1"/>
          <w:sz w:val="22"/>
        </w:rPr>
        <w:t>%</w:t>
      </w:r>
      <w:r w:rsidR="00FA5705" w:rsidRPr="00A06061">
        <w:rPr>
          <w:rFonts w:ascii="Arial" w:hAnsi="Arial" w:cs="Arial"/>
          <w:color w:val="000000" w:themeColor="text1"/>
          <w:sz w:val="22"/>
        </w:rPr>
        <w:t xml:space="preserve"> (monthly average)</w:t>
      </w:r>
      <w:r w:rsidR="00CE4335" w:rsidRPr="00A06061">
        <w:rPr>
          <w:rFonts w:ascii="Arial" w:hAnsi="Arial" w:cs="Arial"/>
          <w:color w:val="000000" w:themeColor="text1"/>
          <w:sz w:val="22"/>
        </w:rPr>
        <w:t xml:space="preserve"> overall at the group level, and 8</w:t>
      </w:r>
      <w:r w:rsidR="00FA5705" w:rsidRPr="00A06061">
        <w:rPr>
          <w:rFonts w:ascii="Arial" w:hAnsi="Arial" w:cs="Arial"/>
          <w:color w:val="000000" w:themeColor="text1"/>
          <w:sz w:val="22"/>
        </w:rPr>
        <w:t>0</w:t>
      </w:r>
      <w:r w:rsidR="00CE4335" w:rsidRPr="00A06061">
        <w:rPr>
          <w:rFonts w:ascii="Arial" w:hAnsi="Arial" w:cs="Arial"/>
          <w:color w:val="000000" w:themeColor="text1"/>
          <w:sz w:val="22"/>
        </w:rPr>
        <w:t xml:space="preserve">% </w:t>
      </w:r>
      <w:r w:rsidR="00FA5705" w:rsidRPr="00A06061">
        <w:rPr>
          <w:rFonts w:ascii="Arial" w:hAnsi="Arial" w:cs="Arial"/>
          <w:color w:val="000000" w:themeColor="text1"/>
          <w:sz w:val="22"/>
        </w:rPr>
        <w:t>(monthly average) at</w:t>
      </w:r>
      <w:r w:rsidR="00CE4335" w:rsidRPr="00A06061">
        <w:rPr>
          <w:rFonts w:ascii="Arial" w:hAnsi="Arial" w:cs="Arial"/>
          <w:color w:val="000000" w:themeColor="text1"/>
          <w:sz w:val="22"/>
        </w:rPr>
        <w:t xml:space="preserve"> the leisure brands under Radisson</w:t>
      </w:r>
      <w:r w:rsidR="00AE336A" w:rsidRPr="00A06061">
        <w:rPr>
          <w:rFonts w:ascii="Arial" w:hAnsi="Arial" w:cs="Arial"/>
          <w:color w:val="000000" w:themeColor="text1"/>
          <w:sz w:val="22"/>
        </w:rPr>
        <w:t xml:space="preserve"> (such as Radisson Plaza, Radisson Individuals, etc.) by the end of 2022. The effectiveness of the marketing objective is further justified as follows:</w:t>
      </w:r>
    </w:p>
    <w:p w14:paraId="3A834487" w14:textId="254B63F1" w:rsidR="00AE336A" w:rsidRPr="00A06061" w:rsidRDefault="00AE336A" w:rsidP="00C00F09">
      <w:pPr>
        <w:pStyle w:val="a5"/>
        <w:numPr>
          <w:ilvl w:val="0"/>
          <w:numId w:val="2"/>
        </w:numPr>
        <w:spacing w:beforeLines="100" w:before="312" w:afterLines="100" w:after="312" w:line="360" w:lineRule="auto"/>
        <w:ind w:firstLineChars="0"/>
        <w:rPr>
          <w:rFonts w:ascii="Arial" w:hAnsi="Arial" w:cs="Arial"/>
          <w:color w:val="000000" w:themeColor="text1"/>
          <w:sz w:val="22"/>
        </w:rPr>
      </w:pPr>
      <w:r w:rsidRPr="00A06061">
        <w:rPr>
          <w:rFonts w:ascii="Arial" w:hAnsi="Arial" w:cs="Arial"/>
          <w:color w:val="000000" w:themeColor="text1"/>
          <w:sz w:val="22"/>
        </w:rPr>
        <w:t xml:space="preserve">Specific: </w:t>
      </w:r>
      <w:r w:rsidR="00BC32DE" w:rsidRPr="00A06061">
        <w:rPr>
          <w:rFonts w:ascii="Arial" w:hAnsi="Arial" w:cs="Arial"/>
          <w:color w:val="000000" w:themeColor="text1"/>
          <w:sz w:val="22"/>
        </w:rPr>
        <w:t xml:space="preserve">The room occupancy rate is calculated by the number of the occupied room by the total available room at the specific time, thereby the higher the occupancy rates the better (more guests in-horse, more opportunities to generate revenue and build loyalty). </w:t>
      </w:r>
      <w:r w:rsidR="00FA5705" w:rsidRPr="00A06061">
        <w:rPr>
          <w:rFonts w:ascii="Arial" w:hAnsi="Arial" w:cs="Arial"/>
          <w:color w:val="000000" w:themeColor="text1"/>
          <w:sz w:val="22"/>
        </w:rPr>
        <w:t xml:space="preserve">The industry average room occupancy rate was around 70% before the covid-19, and Radisson delivered an above-than-average performance with a rate of 75%. </w:t>
      </w:r>
      <w:r w:rsidR="00BC32DE" w:rsidRPr="00A06061">
        <w:rPr>
          <w:rFonts w:ascii="Arial" w:hAnsi="Arial" w:cs="Arial"/>
          <w:color w:val="000000" w:themeColor="text1"/>
          <w:sz w:val="22"/>
        </w:rPr>
        <w:t>A special light is placed on the leisure value propositions under Radisson as the sector witnessed a complete recovery from covid-19 and will continue to be driven by demands.</w:t>
      </w:r>
    </w:p>
    <w:p w14:paraId="0C3A8844" w14:textId="48E62230" w:rsidR="00BC32DE" w:rsidRPr="00A06061" w:rsidRDefault="00BC32DE" w:rsidP="00C00F09">
      <w:pPr>
        <w:pStyle w:val="a5"/>
        <w:spacing w:beforeLines="100" w:before="312" w:afterLines="100" w:after="312" w:line="360" w:lineRule="auto"/>
        <w:ind w:left="360" w:firstLineChars="0" w:firstLine="0"/>
        <w:rPr>
          <w:rFonts w:ascii="Arial" w:hAnsi="Arial" w:cs="Arial"/>
          <w:color w:val="000000" w:themeColor="text1"/>
          <w:sz w:val="22"/>
        </w:rPr>
      </w:pPr>
      <w:r w:rsidRPr="00A06061">
        <w:rPr>
          <w:rFonts w:ascii="Arial" w:hAnsi="Arial" w:cs="Arial"/>
          <w:noProof/>
          <w:color w:val="000000" w:themeColor="text1"/>
          <w:sz w:val="22"/>
        </w:rPr>
        <w:lastRenderedPageBreak/>
        <w:drawing>
          <wp:inline distT="0" distB="0" distL="0" distR="0" wp14:anchorId="190838E9" wp14:editId="6D2F57E4">
            <wp:extent cx="5943600" cy="2364105"/>
            <wp:effectExtent l="0" t="0" r="0" b="17145"/>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FBA70AA" w14:textId="2A722B82" w:rsidR="00BC32DE" w:rsidRPr="00CD0EB0" w:rsidRDefault="00BC32DE" w:rsidP="00C00F09">
      <w:pPr>
        <w:pStyle w:val="a5"/>
        <w:spacing w:beforeLines="100" w:before="312" w:afterLines="100" w:after="312" w:line="360" w:lineRule="auto"/>
        <w:ind w:left="360" w:firstLineChars="0" w:firstLine="0"/>
        <w:rPr>
          <w:rFonts w:ascii="Arial" w:hAnsi="Arial" w:cs="Arial"/>
          <w:i/>
          <w:iCs/>
          <w:color w:val="000000" w:themeColor="text1"/>
          <w:sz w:val="22"/>
        </w:rPr>
      </w:pPr>
      <w:r w:rsidRPr="00CD0EB0">
        <w:rPr>
          <w:rFonts w:ascii="Arial" w:hAnsi="Arial" w:cs="Arial"/>
          <w:i/>
          <w:iCs/>
          <w:color w:val="000000" w:themeColor="text1"/>
          <w:sz w:val="22"/>
        </w:rPr>
        <w:t xml:space="preserve">Figure </w:t>
      </w:r>
      <w:r w:rsidR="00CD0EB0">
        <w:rPr>
          <w:rFonts w:ascii="Arial" w:hAnsi="Arial" w:cs="Arial"/>
          <w:i/>
          <w:iCs/>
          <w:color w:val="000000" w:themeColor="text1"/>
          <w:sz w:val="22"/>
        </w:rPr>
        <w:t>2</w:t>
      </w:r>
      <w:r w:rsidRPr="00CD0EB0">
        <w:rPr>
          <w:rFonts w:ascii="Arial" w:hAnsi="Arial" w:cs="Arial"/>
          <w:i/>
          <w:iCs/>
          <w:color w:val="000000" w:themeColor="text1"/>
          <w:sz w:val="22"/>
        </w:rPr>
        <w:t>: Hotel occupancy rate across regions from 2018 to 2020</w:t>
      </w:r>
    </w:p>
    <w:p w14:paraId="7E45AA15" w14:textId="3DB43942" w:rsidR="00BC32DE" w:rsidRPr="00CD0EB0" w:rsidRDefault="00BC32DE" w:rsidP="00C00F09">
      <w:pPr>
        <w:pStyle w:val="a5"/>
        <w:spacing w:beforeLines="100" w:before="312" w:afterLines="100" w:after="312" w:line="360" w:lineRule="auto"/>
        <w:ind w:left="360" w:firstLineChars="0" w:firstLine="0"/>
        <w:rPr>
          <w:rFonts w:ascii="Arial" w:hAnsi="Arial" w:cs="Arial"/>
          <w:i/>
          <w:iCs/>
          <w:color w:val="000000" w:themeColor="text1"/>
          <w:sz w:val="22"/>
        </w:rPr>
      </w:pPr>
      <w:r w:rsidRPr="00CD0EB0">
        <w:rPr>
          <w:rFonts w:ascii="Arial" w:hAnsi="Arial" w:cs="Arial"/>
          <w:i/>
          <w:iCs/>
          <w:color w:val="000000" w:themeColor="text1"/>
          <w:sz w:val="22"/>
        </w:rPr>
        <w:t xml:space="preserve">Source: </w:t>
      </w:r>
      <w:r w:rsidRPr="00CD0EB0">
        <w:rPr>
          <w:rFonts w:ascii="Arial" w:hAnsi="Arial" w:cs="Arial"/>
          <w:i/>
          <w:iCs/>
          <w:color w:val="000000" w:themeColor="text1"/>
          <w:sz w:val="22"/>
        </w:rPr>
        <w:fldChar w:fldCharType="begin" w:fldLock="1"/>
      </w:r>
      <w:r w:rsidR="00DB5C0D" w:rsidRPr="00CD0EB0">
        <w:rPr>
          <w:rFonts w:ascii="Arial" w:hAnsi="Arial" w:cs="Arial"/>
          <w:i/>
          <w:iCs/>
          <w:color w:val="000000" w:themeColor="text1"/>
          <w:sz w:val="22"/>
        </w:rPr>
        <w:instrText>ADDIN CSL_CITATION {"citationItems":[{"id":"ITEM-1","itemData":{"URL":"https://www-statista-com.uoelibrary.idm.oclc.org/statistics/206825/hotel-occupancy-rate-by-region/","accessed":{"date-parts":[["2022","4","25"]]},"author":[{"dropping-particle":"","family":"Statista","given":"","non-dropping-particle":"","parse-names":false,"suffix":""}],"id":"ITEM-1","issued":{"date-parts":[["2021"]]},"title":"• Average hotel occupancy rate ","type":"webpage"},"uris":["http://www.mendeley.com/documents/?uuid=214166b2-4980-3434-8add-b6f8b8e61cf7"]}],"mendeley":{"formattedCitation":"(Statista, 2021)","plainTextFormattedCitation":"(Statista, 2021)","previouslyFormattedCitation":"(Statista, 2021)"},"properties":{"noteIndex":0},"schema":"https://github.com/citation-style-language/schema/raw/master/csl-citation.json"}</w:instrText>
      </w:r>
      <w:r w:rsidRPr="00CD0EB0">
        <w:rPr>
          <w:rFonts w:ascii="Arial" w:hAnsi="Arial" w:cs="Arial"/>
          <w:i/>
          <w:iCs/>
          <w:color w:val="000000" w:themeColor="text1"/>
          <w:sz w:val="22"/>
        </w:rPr>
        <w:fldChar w:fldCharType="separate"/>
      </w:r>
      <w:r w:rsidRPr="00CD0EB0">
        <w:rPr>
          <w:rFonts w:ascii="Arial" w:hAnsi="Arial" w:cs="Arial"/>
          <w:i/>
          <w:iCs/>
          <w:noProof/>
          <w:color w:val="000000" w:themeColor="text1"/>
          <w:sz w:val="22"/>
        </w:rPr>
        <w:t>(Statista, 2021)</w:t>
      </w:r>
      <w:r w:rsidRPr="00CD0EB0">
        <w:rPr>
          <w:rFonts w:ascii="Arial" w:hAnsi="Arial" w:cs="Arial"/>
          <w:i/>
          <w:iCs/>
          <w:color w:val="000000" w:themeColor="text1"/>
          <w:sz w:val="22"/>
        </w:rPr>
        <w:fldChar w:fldCharType="end"/>
      </w:r>
    </w:p>
    <w:p w14:paraId="1334A575" w14:textId="73BDEE21" w:rsidR="00D84536" w:rsidRPr="00A06061" w:rsidRDefault="00D84536" w:rsidP="00C00F09">
      <w:pPr>
        <w:pStyle w:val="a5"/>
        <w:numPr>
          <w:ilvl w:val="0"/>
          <w:numId w:val="2"/>
        </w:numPr>
        <w:spacing w:beforeLines="100" w:before="312" w:afterLines="100" w:after="312" w:line="360" w:lineRule="auto"/>
        <w:ind w:firstLineChars="0"/>
        <w:rPr>
          <w:rFonts w:ascii="Arial" w:hAnsi="Arial" w:cs="Arial"/>
          <w:color w:val="000000" w:themeColor="text1"/>
          <w:sz w:val="22"/>
        </w:rPr>
      </w:pPr>
      <w:r w:rsidRPr="00A06061">
        <w:rPr>
          <w:rFonts w:ascii="Arial" w:hAnsi="Arial" w:cs="Arial"/>
          <w:color w:val="000000" w:themeColor="text1"/>
          <w:sz w:val="22"/>
        </w:rPr>
        <w:t xml:space="preserve">Measurable: the objective can be measured as it has clear indicators, 75% of occupancy rate in the corporate level, and 80% of occupancy rate in the leisure hotel offerings. The indicators can be benchmarked against the previous performance, against the competitors’ performance, and against the industrial leverage as shown in the </w:t>
      </w:r>
      <w:r w:rsidR="00CD0EB0">
        <w:rPr>
          <w:rFonts w:ascii="Arial" w:hAnsi="Arial" w:cs="Arial"/>
          <w:color w:val="000000" w:themeColor="text1"/>
          <w:sz w:val="22"/>
        </w:rPr>
        <w:t>F</w:t>
      </w:r>
      <w:r w:rsidRPr="00A06061">
        <w:rPr>
          <w:rFonts w:ascii="Arial" w:hAnsi="Arial" w:cs="Arial"/>
          <w:color w:val="000000" w:themeColor="text1"/>
          <w:sz w:val="22"/>
        </w:rPr>
        <w:t xml:space="preserve">igure </w:t>
      </w:r>
      <w:r w:rsidR="00CD0EB0">
        <w:rPr>
          <w:rFonts w:ascii="Arial" w:hAnsi="Arial" w:cs="Arial"/>
          <w:color w:val="000000" w:themeColor="text1"/>
          <w:sz w:val="22"/>
        </w:rPr>
        <w:t>2</w:t>
      </w:r>
      <w:r w:rsidRPr="00A06061">
        <w:rPr>
          <w:rFonts w:ascii="Arial" w:hAnsi="Arial" w:cs="Arial"/>
          <w:color w:val="000000" w:themeColor="text1"/>
          <w:sz w:val="22"/>
        </w:rPr>
        <w:t xml:space="preserve">. </w:t>
      </w:r>
    </w:p>
    <w:p w14:paraId="6C9E16C5" w14:textId="57FB201F" w:rsidR="00D84536" w:rsidRPr="00A06061" w:rsidRDefault="00D84536" w:rsidP="00C00F09">
      <w:pPr>
        <w:pStyle w:val="a5"/>
        <w:numPr>
          <w:ilvl w:val="0"/>
          <w:numId w:val="2"/>
        </w:numPr>
        <w:spacing w:beforeLines="100" w:before="312" w:afterLines="100" w:after="312" w:line="360" w:lineRule="auto"/>
        <w:ind w:firstLineChars="0"/>
        <w:rPr>
          <w:rFonts w:ascii="Arial" w:hAnsi="Arial" w:cs="Arial"/>
          <w:color w:val="000000" w:themeColor="text1"/>
          <w:sz w:val="22"/>
        </w:rPr>
      </w:pPr>
      <w:r w:rsidRPr="00A06061">
        <w:rPr>
          <w:rFonts w:ascii="Arial" w:hAnsi="Arial" w:cs="Arial"/>
          <w:color w:val="000000" w:themeColor="text1"/>
          <w:sz w:val="22"/>
        </w:rPr>
        <w:t>Achievable: the objective is perceived as achievable as the hotel industry has gradually recovered from the covid-19 pandemic, and is expected to recovery to the pre-covid-19 level soon due to macro level factors indicated above (such as the ease of travel restrictions, the desire for leisure travel, etc.)</w:t>
      </w:r>
      <w:r w:rsidR="004E2020">
        <w:rPr>
          <w:rFonts w:ascii="Arial" w:hAnsi="Arial" w:cs="Arial"/>
          <w:color w:val="000000" w:themeColor="text1"/>
          <w:sz w:val="22"/>
        </w:rPr>
        <w:t xml:space="preserve">, especially in the leisure travel sector and the coming summer vacations. </w:t>
      </w:r>
    </w:p>
    <w:p w14:paraId="038E8331" w14:textId="72AAD99F" w:rsidR="00D84536" w:rsidRPr="00A06061" w:rsidRDefault="00D84536" w:rsidP="00C00F09">
      <w:pPr>
        <w:pStyle w:val="a5"/>
        <w:numPr>
          <w:ilvl w:val="0"/>
          <w:numId w:val="2"/>
        </w:numPr>
        <w:spacing w:beforeLines="100" w:before="312" w:afterLines="100" w:after="312" w:line="360" w:lineRule="auto"/>
        <w:ind w:firstLineChars="0"/>
        <w:rPr>
          <w:rFonts w:ascii="Arial" w:hAnsi="Arial" w:cs="Arial"/>
          <w:color w:val="000000" w:themeColor="text1"/>
          <w:sz w:val="22"/>
        </w:rPr>
      </w:pPr>
      <w:r w:rsidRPr="00A06061">
        <w:rPr>
          <w:rFonts w:ascii="Arial" w:hAnsi="Arial" w:cs="Arial"/>
          <w:color w:val="000000" w:themeColor="text1"/>
          <w:sz w:val="22"/>
        </w:rPr>
        <w:t xml:space="preserve">Relevant: the objective is perceived as highly relevant, as the occupancy rate is a highly essential rate to measure the operational efficiency in the hotel industry, and is highly associated with the profitability. </w:t>
      </w:r>
      <w:r w:rsidR="00DB5C0D" w:rsidRPr="00A06061">
        <w:rPr>
          <w:rFonts w:ascii="Arial" w:hAnsi="Arial" w:cs="Arial"/>
          <w:color w:val="000000" w:themeColor="text1"/>
          <w:sz w:val="22"/>
        </w:rPr>
        <w:t xml:space="preserve">The track on the occupancy rate also allows Radisson to predict stay patterns, schedule stay, and plan for other operational activities. </w:t>
      </w:r>
    </w:p>
    <w:p w14:paraId="10C3FE8A" w14:textId="0C259774" w:rsidR="00DB5C0D" w:rsidRPr="00A06061" w:rsidRDefault="00DB5C0D" w:rsidP="00C00F09">
      <w:pPr>
        <w:pStyle w:val="a5"/>
        <w:numPr>
          <w:ilvl w:val="0"/>
          <w:numId w:val="2"/>
        </w:numPr>
        <w:spacing w:beforeLines="100" w:before="312" w:afterLines="100" w:after="312" w:line="360" w:lineRule="auto"/>
        <w:ind w:firstLineChars="0"/>
        <w:rPr>
          <w:rFonts w:ascii="Arial" w:hAnsi="Arial" w:cs="Arial"/>
          <w:color w:val="000000" w:themeColor="text1"/>
          <w:sz w:val="22"/>
        </w:rPr>
      </w:pPr>
      <w:r w:rsidRPr="00A06061">
        <w:rPr>
          <w:rFonts w:ascii="Arial" w:hAnsi="Arial" w:cs="Arial"/>
          <w:color w:val="000000" w:themeColor="text1"/>
          <w:sz w:val="22"/>
        </w:rPr>
        <w:t xml:space="preserve">Time-bound: the marketing objective is expected to be realized by the end of 2022. As indicated by </w:t>
      </w:r>
      <w:r w:rsidRPr="00A06061">
        <w:rPr>
          <w:rFonts w:ascii="Arial" w:hAnsi="Arial" w:cs="Arial"/>
          <w:color w:val="000000" w:themeColor="text1"/>
          <w:sz w:val="22"/>
        </w:rPr>
        <w:fldChar w:fldCharType="begin" w:fldLock="1"/>
      </w:r>
      <w:r w:rsidR="00552DFC" w:rsidRPr="00A06061">
        <w:rPr>
          <w:rFonts w:ascii="Arial" w:hAnsi="Arial" w:cs="Arial"/>
          <w:color w:val="000000" w:themeColor="text1"/>
          <w:sz w:val="22"/>
        </w:rPr>
        <w:instrText>ADDIN CSL_CITATION {"citationItems":[{"id":"ITEM-1","itemData":{"author":[{"dropping-particle":"","family":"Accenture","given":"","non-dropping-particle":"","parse-names":false,"suffix":""}],"id":"ITEM-1","issued":{"date-parts":[["2022"]]},"title":"Post-Pandemic Travel: Business or Leisure? ","type":"article-journal"},"uris":["http://www.mendeley.com/documents/?uuid=67d8e8eb-e449-3c1d-8cc3-8a61a011d8ae"]}],"mendeley":{"formattedCitation":"(Accenture, 2022)","manualFormatting":"Accenture ( 2022)","plainTextFormattedCitation":"(Accenture, 2022)","previouslyFormattedCitation":"(Accenture, 2022)"},"properties":{"noteIndex":0},"schema":"https://github.com/citation-style-language/schema/raw/master/csl-citation.json"}</w:instrText>
      </w:r>
      <w:r w:rsidRPr="00A06061">
        <w:rPr>
          <w:rFonts w:ascii="Arial" w:hAnsi="Arial" w:cs="Arial"/>
          <w:color w:val="000000" w:themeColor="text1"/>
          <w:sz w:val="22"/>
        </w:rPr>
        <w:fldChar w:fldCharType="separate"/>
      </w:r>
      <w:r w:rsidRPr="00A06061">
        <w:rPr>
          <w:rFonts w:ascii="Arial" w:hAnsi="Arial" w:cs="Arial"/>
          <w:noProof/>
          <w:color w:val="000000" w:themeColor="text1"/>
          <w:sz w:val="22"/>
        </w:rPr>
        <w:t>Accenture ( 2022)</w:t>
      </w:r>
      <w:r w:rsidRPr="00A06061">
        <w:rPr>
          <w:rFonts w:ascii="Arial" w:hAnsi="Arial" w:cs="Arial"/>
          <w:color w:val="000000" w:themeColor="text1"/>
          <w:sz w:val="22"/>
        </w:rPr>
        <w:fldChar w:fldCharType="end"/>
      </w:r>
      <w:r w:rsidRPr="00A06061">
        <w:rPr>
          <w:rFonts w:ascii="Arial" w:hAnsi="Arial" w:cs="Arial"/>
          <w:color w:val="000000" w:themeColor="text1"/>
          <w:sz w:val="22"/>
        </w:rPr>
        <w:t xml:space="preserve">, the hospitality industry is expected to witness a full recovery from the covid-19 by the same time. </w:t>
      </w:r>
    </w:p>
    <w:p w14:paraId="04BE76DF" w14:textId="7A7589B5" w:rsidR="00DB5C0D" w:rsidRPr="006A1B54" w:rsidRDefault="00DB5C0D" w:rsidP="00C00F09">
      <w:pPr>
        <w:pStyle w:val="2"/>
        <w:spacing w:beforeLines="100" w:before="312" w:afterLines="100" w:after="312" w:line="360" w:lineRule="auto"/>
        <w:rPr>
          <w:rFonts w:ascii="Arial" w:hAnsi="Arial" w:cs="Arial"/>
          <w:color w:val="000000" w:themeColor="text1"/>
        </w:rPr>
      </w:pPr>
      <w:bookmarkStart w:id="6" w:name="_Toc101793023"/>
      <w:r w:rsidRPr="006A1B54">
        <w:rPr>
          <w:rFonts w:ascii="Arial" w:hAnsi="Arial" w:cs="Arial"/>
          <w:color w:val="000000" w:themeColor="text1"/>
        </w:rPr>
        <w:lastRenderedPageBreak/>
        <w:t>2.3 Strategies</w:t>
      </w:r>
      <w:bookmarkEnd w:id="6"/>
      <w:r w:rsidRPr="006A1B54">
        <w:rPr>
          <w:rFonts w:ascii="Arial" w:hAnsi="Arial" w:cs="Arial"/>
          <w:color w:val="000000" w:themeColor="text1"/>
        </w:rPr>
        <w:t xml:space="preserve"> </w:t>
      </w:r>
    </w:p>
    <w:p w14:paraId="7E675125" w14:textId="767EDD9B" w:rsidR="00F85932" w:rsidRPr="00A06061" w:rsidRDefault="00124B4C" w:rsidP="00C00F09">
      <w:pPr>
        <w:spacing w:beforeLines="100" w:before="312" w:afterLines="100" w:after="312" w:line="360" w:lineRule="auto"/>
        <w:rPr>
          <w:rFonts w:ascii="Arial" w:hAnsi="Arial" w:cs="Arial"/>
          <w:color w:val="000000" w:themeColor="text1"/>
          <w:sz w:val="22"/>
          <w:szCs w:val="24"/>
        </w:rPr>
      </w:pPr>
      <w:r w:rsidRPr="00A06061">
        <w:rPr>
          <w:rFonts w:ascii="Arial" w:hAnsi="Arial" w:cs="Arial"/>
          <w:color w:val="000000" w:themeColor="text1"/>
          <w:sz w:val="22"/>
          <w:szCs w:val="24"/>
        </w:rPr>
        <w:t xml:space="preserve">The difference between new media and traditional media is that it is the product of digital technology and Internet upgrade. New media usually refers to digital products such as the Internet, digital technology, smart phones, computers, etc. </w:t>
      </w:r>
      <w:r w:rsidR="00AD1348" w:rsidRPr="00A06061">
        <w:rPr>
          <w:rFonts w:ascii="Arial" w:hAnsi="Arial" w:cs="Arial"/>
          <w:color w:val="000000" w:themeColor="text1"/>
          <w:sz w:val="22"/>
          <w:szCs w:val="24"/>
        </w:rPr>
        <w:fldChar w:fldCharType="begin" w:fldLock="1"/>
      </w:r>
      <w:r w:rsidR="00472EE9" w:rsidRPr="00A06061">
        <w:rPr>
          <w:rFonts w:ascii="Arial" w:hAnsi="Arial" w:cs="Arial"/>
          <w:color w:val="000000" w:themeColor="text1"/>
          <w:sz w:val="22"/>
          <w:szCs w:val="24"/>
        </w:rPr>
        <w:instrText>ADDIN CSL_CITATION {"citationItems":[{"id":"ITEM-1","itemData":{"ISBN":"1118179129","author":[{"dropping-particle":"","family":"Wertime","given":"Kent","non-dropping-particle":"","parse-names":false,"suffix":""},{"dropping-particle":"","family":"Fenwick","given":"Ian","non-dropping-particle":"","parse-names":false,"suffix":""}],"id":"ITEM-1","issued":{"date-parts":[["2011"]]},"publisher":"John Wiley &amp; Sons","title":"DigiMarketing: The essential guide to new media and digital marketing","type":"book"},"uris":["http://www.mendeley.com/documents/?uuid=9f4f513d-c8cd-4ad8-900b-56bf42c44fbc"]}],"mendeley":{"formattedCitation":"(Wertime and Fenwick, 2011)","plainTextFormattedCitation":"(Wertime and Fenwick, 2011)","previouslyFormattedCitation":"(Wertime and Fenwick, 2011)"},"properties":{"noteIndex":0},"schema":"https://github.com/citation-style-language/schema/raw/master/csl-citation.json"}</w:instrText>
      </w:r>
      <w:r w:rsidR="00AD1348" w:rsidRPr="00A06061">
        <w:rPr>
          <w:rFonts w:ascii="Arial" w:hAnsi="Arial" w:cs="Arial"/>
          <w:color w:val="000000" w:themeColor="text1"/>
          <w:sz w:val="22"/>
          <w:szCs w:val="24"/>
        </w:rPr>
        <w:fldChar w:fldCharType="separate"/>
      </w:r>
      <w:r w:rsidR="00472EE9" w:rsidRPr="00A06061">
        <w:rPr>
          <w:rFonts w:ascii="Arial" w:hAnsi="Arial" w:cs="Arial"/>
          <w:noProof/>
          <w:color w:val="000000" w:themeColor="text1"/>
          <w:sz w:val="22"/>
          <w:szCs w:val="24"/>
        </w:rPr>
        <w:t>(Wertime and Fenwick, 2011)</w:t>
      </w:r>
      <w:r w:rsidR="00AD1348" w:rsidRPr="00A06061">
        <w:rPr>
          <w:rFonts w:ascii="Arial" w:hAnsi="Arial" w:cs="Arial"/>
          <w:color w:val="000000" w:themeColor="text1"/>
          <w:sz w:val="22"/>
          <w:szCs w:val="24"/>
        </w:rPr>
        <w:fldChar w:fldCharType="end"/>
      </w:r>
      <w:r w:rsidR="00AD1348" w:rsidRPr="00A06061">
        <w:rPr>
          <w:rFonts w:ascii="Arial" w:hAnsi="Arial" w:cs="Arial"/>
          <w:color w:val="000000" w:themeColor="text1"/>
          <w:sz w:val="22"/>
          <w:szCs w:val="24"/>
        </w:rPr>
        <w:t xml:space="preserve"> </w:t>
      </w:r>
      <w:r w:rsidRPr="00A06061">
        <w:rPr>
          <w:rFonts w:ascii="Arial" w:hAnsi="Arial" w:cs="Arial"/>
          <w:color w:val="000000" w:themeColor="text1"/>
          <w:sz w:val="22"/>
          <w:szCs w:val="24"/>
        </w:rPr>
        <w:t>With the rapid development and extensive use of the Internet, various new media have emerged one after another, such as Instagram, Facebook, Tik Tok, etc. Nowadays, the new media rely more on cell phone mobile terminals, which have a wider range of communication, faster communication speed, more flexible operation, higher efficiency and lower cost required for enterprises than the traditional sense of media</w:t>
      </w:r>
      <w:r w:rsidR="00AD1348" w:rsidRPr="00A06061">
        <w:rPr>
          <w:rFonts w:ascii="Arial" w:hAnsi="Arial" w:cs="Arial"/>
          <w:color w:val="000000" w:themeColor="text1"/>
          <w:sz w:val="22"/>
          <w:szCs w:val="24"/>
        </w:rPr>
        <w:t xml:space="preserve"> </w:t>
      </w:r>
      <w:r w:rsidR="00AD1348" w:rsidRPr="00A06061">
        <w:rPr>
          <w:rFonts w:ascii="Arial" w:hAnsi="Arial" w:cs="Arial"/>
          <w:color w:val="000000" w:themeColor="text1"/>
          <w:sz w:val="22"/>
          <w:szCs w:val="24"/>
        </w:rPr>
        <w:fldChar w:fldCharType="begin" w:fldLock="1"/>
      </w:r>
      <w:r w:rsidR="00472EE9" w:rsidRPr="00A06061">
        <w:rPr>
          <w:rFonts w:ascii="Arial" w:hAnsi="Arial" w:cs="Arial"/>
          <w:color w:val="000000" w:themeColor="text1"/>
          <w:sz w:val="22"/>
          <w:szCs w:val="24"/>
        </w:rPr>
        <w:instrText>ADDIN CSL_CITATION {"citationItems":[{"id":"ITEM-1","itemData":{"author":[{"dropping-particle":"","family":"Evans","given":"Dave","non-dropping-particle":"","parse-names":false,"suffix":""},{"dropping-particle":"","family":"Bratton","given":"Susan","non-dropping-particle":"","parse-names":false,"suffix":""},{"dropping-particle":"","family":"McKee","given":"Jake","non-dropping-particle":"","parse-names":false,"suffix":""}],"id":"ITEM-1","issued":{"date-parts":[["2021"]]},"publisher":"AG Printing &amp; Publishing","title":"Social media marketing","type":"book"},"uris":["http://www.mendeley.com/documents/?uuid=25fc0c76-137d-4419-acdf-9aba558d7a5f"]}],"mendeley":{"formattedCitation":"(Evans, Bratton and McKee, 2021)","plainTextFormattedCitation":"(Evans, Bratton and McKee, 2021)","previouslyFormattedCitation":"(Evans, Bratton and McKee, 2021)"},"properties":{"noteIndex":0},"schema":"https://github.com/citation-style-language/schema/raw/master/csl-citation.json"}</w:instrText>
      </w:r>
      <w:r w:rsidR="00AD1348" w:rsidRPr="00A06061">
        <w:rPr>
          <w:rFonts w:ascii="Arial" w:hAnsi="Arial" w:cs="Arial"/>
          <w:color w:val="000000" w:themeColor="text1"/>
          <w:sz w:val="22"/>
          <w:szCs w:val="24"/>
        </w:rPr>
        <w:fldChar w:fldCharType="separate"/>
      </w:r>
      <w:r w:rsidR="00472EE9" w:rsidRPr="00A06061">
        <w:rPr>
          <w:rFonts w:ascii="Arial" w:hAnsi="Arial" w:cs="Arial"/>
          <w:noProof/>
          <w:color w:val="000000" w:themeColor="text1"/>
          <w:sz w:val="22"/>
          <w:szCs w:val="24"/>
        </w:rPr>
        <w:t>(Evans, Bratton and McKee, 2021)</w:t>
      </w:r>
      <w:r w:rsidR="00AD1348" w:rsidRPr="00A06061">
        <w:rPr>
          <w:rFonts w:ascii="Arial" w:hAnsi="Arial" w:cs="Arial"/>
          <w:color w:val="000000" w:themeColor="text1"/>
          <w:sz w:val="22"/>
          <w:szCs w:val="24"/>
        </w:rPr>
        <w:fldChar w:fldCharType="end"/>
      </w:r>
      <w:r w:rsidRPr="00A06061">
        <w:rPr>
          <w:rFonts w:ascii="Arial" w:hAnsi="Arial" w:cs="Arial"/>
          <w:color w:val="000000" w:themeColor="text1"/>
          <w:sz w:val="22"/>
          <w:szCs w:val="24"/>
        </w:rPr>
        <w:t>. In recent years, with the wide application of new media in the tourism industry, the hotel industry, which is one of the important components of the tourism industry, has also tried to apply new media technology to industry marketing</w:t>
      </w:r>
      <w:r w:rsidR="00AD1348" w:rsidRPr="00A06061">
        <w:rPr>
          <w:rFonts w:ascii="Arial" w:hAnsi="Arial" w:cs="Arial"/>
          <w:color w:val="000000" w:themeColor="text1"/>
          <w:sz w:val="22"/>
          <w:szCs w:val="24"/>
        </w:rPr>
        <w:t xml:space="preserve"> </w:t>
      </w:r>
      <w:r w:rsidR="00AD1348" w:rsidRPr="00A06061">
        <w:rPr>
          <w:rFonts w:ascii="Arial" w:hAnsi="Arial" w:cs="Arial"/>
          <w:color w:val="000000" w:themeColor="text1"/>
          <w:sz w:val="22"/>
          <w:szCs w:val="24"/>
        </w:rPr>
        <w:fldChar w:fldCharType="begin" w:fldLock="1"/>
      </w:r>
      <w:r w:rsidR="00472EE9" w:rsidRPr="00A06061">
        <w:rPr>
          <w:rFonts w:ascii="Arial" w:hAnsi="Arial" w:cs="Arial"/>
          <w:color w:val="000000" w:themeColor="text1"/>
          <w:sz w:val="22"/>
          <w:szCs w:val="24"/>
        </w:rPr>
        <w:instrText>ADDIN CSL_CITATION {"citationItems":[{"id":"ITEM-1","itemData":{"ISSN":"0742-6046","author":[{"dropping-particle":"","family":"Alves","given":"Helena","non-dropping-particle":"","parse-names":false,"suffix":""},{"dropping-particle":"","family":"Fernandes","given":"Cristina","non-dropping-particle":"","parse-names":false,"suffix":""},{"dropping-particle":"","family":"Raposo","given":"M</w:instrText>
      </w:r>
      <w:r w:rsidR="00472EE9" w:rsidRPr="00A06061">
        <w:rPr>
          <w:rFonts w:ascii="Malgun Gothic" w:hAnsi="Malgun Gothic" w:cs="Malgun Gothic"/>
          <w:color w:val="000000" w:themeColor="text1"/>
          <w:sz w:val="22"/>
          <w:szCs w:val="24"/>
        </w:rPr>
        <w:instrText>��</w:instrText>
      </w:r>
      <w:r w:rsidR="00472EE9" w:rsidRPr="00A06061">
        <w:rPr>
          <w:rFonts w:ascii="Arial" w:hAnsi="Arial" w:cs="Arial"/>
          <w:color w:val="000000" w:themeColor="text1"/>
          <w:sz w:val="22"/>
          <w:szCs w:val="24"/>
        </w:rPr>
        <w:instrText>rio","non-dropping-particle":"","parse-names":false,"suffix":""}],"container-title":"Psychology &amp; Marketing","id":"ITEM-1","issue":"12","issued":{"date-parts":[["2016"]]},"page":"1029-1038","publisher":"Wiley Online Library","title":"Social media marketing: a literature review and implications","type":"article-journal","volume":"33"},"uris":["http://www.mendeley.com/documents/?uuid=7de064d6-a192-471a-be9c-8191e7149cf5"]}],"mendeley":{"formattedCitation":"(Alves, Fernandes and Raposo, 2016)","plainTextFormattedCitation":"(Alves, Fernandes and Raposo, 2016)","previouslyFormattedCitation":"(Alves, Fernandes and Raposo, 2016)"},"properties":{"noteIndex":0},"schema":"https://github.com/citation-style-language/schema/raw/master/csl-citation.json"}</w:instrText>
      </w:r>
      <w:r w:rsidR="00AD1348" w:rsidRPr="00A06061">
        <w:rPr>
          <w:rFonts w:ascii="Arial" w:hAnsi="Arial" w:cs="Arial"/>
          <w:color w:val="000000" w:themeColor="text1"/>
          <w:sz w:val="22"/>
          <w:szCs w:val="24"/>
        </w:rPr>
        <w:fldChar w:fldCharType="separate"/>
      </w:r>
      <w:r w:rsidR="00472EE9" w:rsidRPr="00A06061">
        <w:rPr>
          <w:rFonts w:ascii="Arial" w:hAnsi="Arial" w:cs="Arial"/>
          <w:noProof/>
          <w:color w:val="000000" w:themeColor="text1"/>
          <w:sz w:val="22"/>
          <w:szCs w:val="24"/>
        </w:rPr>
        <w:t>(Alves, Fernandes and Raposo, 2016)</w:t>
      </w:r>
      <w:r w:rsidR="00AD1348" w:rsidRPr="00A06061">
        <w:rPr>
          <w:rFonts w:ascii="Arial" w:hAnsi="Arial" w:cs="Arial"/>
          <w:color w:val="000000" w:themeColor="text1"/>
          <w:sz w:val="22"/>
          <w:szCs w:val="24"/>
        </w:rPr>
        <w:fldChar w:fldCharType="end"/>
      </w:r>
      <w:r w:rsidRPr="00A06061">
        <w:rPr>
          <w:rFonts w:ascii="Arial" w:hAnsi="Arial" w:cs="Arial"/>
          <w:color w:val="000000" w:themeColor="text1"/>
          <w:sz w:val="22"/>
          <w:szCs w:val="24"/>
        </w:rPr>
        <w:t xml:space="preserve">. Affected by the epidemic, more convenient, safer and contactless marketing methods are more </w:t>
      </w:r>
      <w:proofErr w:type="spellStart"/>
      <w:r w:rsidRPr="00A06061">
        <w:rPr>
          <w:rFonts w:ascii="Arial" w:hAnsi="Arial" w:cs="Arial"/>
          <w:color w:val="000000" w:themeColor="text1"/>
          <w:sz w:val="22"/>
          <w:szCs w:val="24"/>
        </w:rPr>
        <w:t>favored</w:t>
      </w:r>
      <w:proofErr w:type="spellEnd"/>
      <w:r w:rsidRPr="00A06061">
        <w:rPr>
          <w:rFonts w:ascii="Arial" w:hAnsi="Arial" w:cs="Arial"/>
          <w:color w:val="000000" w:themeColor="text1"/>
          <w:sz w:val="22"/>
          <w:szCs w:val="24"/>
        </w:rPr>
        <w:t xml:space="preserve"> by customers, and new media marketing can precisely meet the needs of customers in this special context</w:t>
      </w:r>
      <w:r w:rsidR="00AD1348" w:rsidRPr="00A06061">
        <w:rPr>
          <w:rFonts w:ascii="Arial" w:hAnsi="Arial" w:cs="Arial"/>
          <w:color w:val="000000" w:themeColor="text1"/>
          <w:sz w:val="22"/>
          <w:szCs w:val="24"/>
        </w:rPr>
        <w:t xml:space="preserve"> </w:t>
      </w:r>
      <w:r w:rsidR="00AD1348" w:rsidRPr="00A06061">
        <w:rPr>
          <w:rFonts w:ascii="Arial" w:hAnsi="Arial" w:cs="Arial"/>
          <w:color w:val="000000" w:themeColor="text1"/>
          <w:sz w:val="22"/>
          <w:szCs w:val="24"/>
        </w:rPr>
        <w:fldChar w:fldCharType="begin" w:fldLock="1"/>
      </w:r>
      <w:r w:rsidR="00472EE9" w:rsidRPr="00A06061">
        <w:rPr>
          <w:rFonts w:ascii="Arial" w:hAnsi="Arial" w:cs="Arial"/>
          <w:color w:val="000000" w:themeColor="text1"/>
          <w:sz w:val="22"/>
          <w:szCs w:val="24"/>
        </w:rPr>
        <w:instrText>ADDIN CSL_CITATION {"citationItems":[{"id":"ITEM-1","itemData":{"ISSN":"1096-3480","author":[{"dropping-particle":"","family":"Leung","given":"Xi Y","non-dropping-particle":"","parse-names":false,"suffix":""},{"dropping-particle":"","family":"Bai","given":"Billy","non-dropping-particle":"","parse-names":false,"suffix":""},{"dropping-particle":"","family":"Stahura","given":"Kurt A","non-dropping-particle":"","parse-names":false,"suffix":""}],"container-title":"Journal of Hospitality &amp; Tourism Research","id":"ITEM-1","issue":"2","issued":{"date-parts":[["2015"]]},"page":"147-169","publisher":"SAGE Publications Sage CA: Los Angeles, CA","title":"The marketing effectiveness of social media in the hotel industry: A comparison of Facebook and Twitter","type":"article-journal","volume":"39"},"uris":["http://www.mendeley.com/documents/?uuid=c7aa0815-bc63-421d-b808-d933fd9d0a7b"]}],"mendeley":{"formattedCitation":"(Leung, Bai and Stahura, 2015)","plainTextFormattedCitation":"(Leung, Bai and Stahura, 2015)","previouslyFormattedCitation":"(Leung, Bai and Stahura, 2015)"},"properties":{"noteIndex":0},"schema":"https://github.com/citation-style-language/schema/raw/master/csl-citation.json"}</w:instrText>
      </w:r>
      <w:r w:rsidR="00AD1348" w:rsidRPr="00A06061">
        <w:rPr>
          <w:rFonts w:ascii="Arial" w:hAnsi="Arial" w:cs="Arial"/>
          <w:color w:val="000000" w:themeColor="text1"/>
          <w:sz w:val="22"/>
          <w:szCs w:val="24"/>
        </w:rPr>
        <w:fldChar w:fldCharType="separate"/>
      </w:r>
      <w:r w:rsidR="00472EE9" w:rsidRPr="00A06061">
        <w:rPr>
          <w:rFonts w:ascii="Arial" w:hAnsi="Arial" w:cs="Arial"/>
          <w:noProof/>
          <w:color w:val="000000" w:themeColor="text1"/>
          <w:sz w:val="22"/>
          <w:szCs w:val="24"/>
        </w:rPr>
        <w:t>(Leung, Bai and Stahura, 2015)</w:t>
      </w:r>
      <w:r w:rsidR="00AD1348" w:rsidRPr="00A06061">
        <w:rPr>
          <w:rFonts w:ascii="Arial" w:hAnsi="Arial" w:cs="Arial"/>
          <w:color w:val="000000" w:themeColor="text1"/>
          <w:sz w:val="22"/>
          <w:szCs w:val="24"/>
        </w:rPr>
        <w:fldChar w:fldCharType="end"/>
      </w:r>
      <w:r w:rsidRPr="00A06061">
        <w:rPr>
          <w:rFonts w:ascii="Arial" w:hAnsi="Arial" w:cs="Arial"/>
          <w:color w:val="000000" w:themeColor="text1"/>
          <w:sz w:val="22"/>
          <w:szCs w:val="24"/>
        </w:rPr>
        <w:t>.</w:t>
      </w:r>
      <w:r w:rsidR="00F85932" w:rsidRPr="00A06061">
        <w:rPr>
          <w:rFonts w:ascii="Arial" w:hAnsi="Arial" w:cs="Arial"/>
          <w:color w:val="000000" w:themeColor="text1"/>
          <w:sz w:val="22"/>
          <w:szCs w:val="24"/>
        </w:rPr>
        <w:t xml:space="preserve"> Therefore, the strategy promoted here for Radisson is to use new media, with differences across markets, to perform online marketing activities.  The reshape in marketing is just promotion aspect of 4P, and it will be supplemented by transformation in other marketing aspects, such as the refinement of the product, place pricing aspects of value propositions.</w:t>
      </w:r>
    </w:p>
    <w:p w14:paraId="4290FC5F" w14:textId="5E96C638" w:rsidR="00F85932" w:rsidRPr="006A1B54" w:rsidRDefault="00F85932" w:rsidP="00C00F09">
      <w:pPr>
        <w:pStyle w:val="2"/>
        <w:spacing w:beforeLines="100" w:before="312" w:afterLines="100" w:after="312" w:line="360" w:lineRule="auto"/>
        <w:rPr>
          <w:rFonts w:ascii="Arial" w:hAnsi="Arial" w:cs="Arial"/>
          <w:color w:val="000000" w:themeColor="text1"/>
        </w:rPr>
      </w:pPr>
      <w:bookmarkStart w:id="7" w:name="_Toc101793024"/>
      <w:r w:rsidRPr="006A1B54">
        <w:rPr>
          <w:rFonts w:ascii="Arial" w:hAnsi="Arial" w:cs="Arial"/>
          <w:color w:val="000000" w:themeColor="text1"/>
        </w:rPr>
        <w:t>2.4 Tactics</w:t>
      </w:r>
      <w:bookmarkEnd w:id="7"/>
      <w:r w:rsidRPr="006A1B54">
        <w:rPr>
          <w:rFonts w:ascii="Arial" w:hAnsi="Arial" w:cs="Arial"/>
          <w:color w:val="000000" w:themeColor="text1"/>
        </w:rPr>
        <w:t xml:space="preserve"> </w:t>
      </w:r>
    </w:p>
    <w:p w14:paraId="593F3E04" w14:textId="0A020F1A" w:rsidR="00F85932" w:rsidRPr="00A06061" w:rsidRDefault="00F85932" w:rsidP="00C00F09">
      <w:pPr>
        <w:spacing w:beforeLines="100" w:before="312" w:afterLines="100" w:after="312" w:line="360" w:lineRule="auto"/>
        <w:rPr>
          <w:rFonts w:ascii="Arial" w:hAnsi="Arial" w:cs="Arial"/>
          <w:color w:val="000000" w:themeColor="text1"/>
          <w:sz w:val="22"/>
          <w:szCs w:val="24"/>
        </w:rPr>
      </w:pPr>
      <w:r w:rsidRPr="00A06061">
        <w:rPr>
          <w:rFonts w:ascii="Arial" w:hAnsi="Arial" w:cs="Arial"/>
          <w:color w:val="000000" w:themeColor="text1"/>
          <w:sz w:val="22"/>
          <w:szCs w:val="24"/>
        </w:rPr>
        <w:t xml:space="preserve">4P marketing mix, refers to product, price, place and promotion, provides a united and integrated framework to foster and promote brand value and facilitate the realization of the marketing objective. </w:t>
      </w:r>
    </w:p>
    <w:p w14:paraId="21A815DD" w14:textId="03376E1F" w:rsidR="00F85932" w:rsidRPr="00A06061" w:rsidRDefault="00F85932" w:rsidP="00C00F09">
      <w:pPr>
        <w:spacing w:beforeLines="100" w:before="312" w:afterLines="100" w:after="312" w:line="360" w:lineRule="auto"/>
        <w:rPr>
          <w:rFonts w:ascii="Arial" w:hAnsi="Arial" w:cs="Arial"/>
          <w:color w:val="000000" w:themeColor="text1"/>
          <w:sz w:val="22"/>
          <w:szCs w:val="24"/>
        </w:rPr>
      </w:pPr>
      <w:r w:rsidRPr="00A06061">
        <w:rPr>
          <w:rFonts w:ascii="Arial" w:hAnsi="Arial" w:cs="Arial"/>
          <w:b/>
          <w:bCs/>
          <w:color w:val="000000" w:themeColor="text1"/>
          <w:sz w:val="22"/>
          <w:szCs w:val="24"/>
        </w:rPr>
        <w:t>Product:</w:t>
      </w:r>
      <w:r w:rsidR="00141B3F" w:rsidRPr="00A06061">
        <w:rPr>
          <w:rFonts w:ascii="Arial" w:hAnsi="Arial" w:cs="Arial"/>
          <w:color w:val="000000" w:themeColor="text1"/>
          <w:sz w:val="22"/>
          <w:szCs w:val="24"/>
        </w:rPr>
        <w:t xml:space="preserve"> besides the normal accommodation offerings, various technologies (such as mobile payment, mobile check-in and check-out, online room service order, chatbot, air sanitization technology, etc.) should be integrated in the service delivery process to ensure a contactless stay for guests. </w:t>
      </w:r>
      <w:r w:rsidR="00AD1348" w:rsidRPr="00A06061">
        <w:rPr>
          <w:rFonts w:ascii="Arial" w:hAnsi="Arial" w:cs="Arial"/>
          <w:color w:val="000000" w:themeColor="text1"/>
          <w:sz w:val="22"/>
          <w:szCs w:val="24"/>
        </w:rPr>
        <w:t xml:space="preserve">Radisson should also use marketing communication though information disclosure in multiple channels to communicate its cleanliness and hygiene efforts. </w:t>
      </w:r>
      <w:r w:rsidR="00141B3F" w:rsidRPr="00A06061">
        <w:rPr>
          <w:rFonts w:ascii="Arial" w:hAnsi="Arial" w:cs="Arial"/>
          <w:color w:val="000000" w:themeColor="text1"/>
          <w:sz w:val="22"/>
          <w:szCs w:val="24"/>
        </w:rPr>
        <w:t xml:space="preserve">At the same time, Radisson can, based </w:t>
      </w:r>
      <w:r w:rsidR="00141B3F" w:rsidRPr="00A06061">
        <w:rPr>
          <w:rFonts w:ascii="Arial" w:hAnsi="Arial" w:cs="Arial"/>
          <w:color w:val="000000" w:themeColor="text1"/>
          <w:sz w:val="22"/>
          <w:szCs w:val="24"/>
        </w:rPr>
        <w:lastRenderedPageBreak/>
        <w:t xml:space="preserve">on the demand of customers after the epidemic, provide epidemic prevention supplies such as masks and alcohol, broaden the self-purchase channel of "minibar" and launch quality </w:t>
      </w:r>
      <w:r w:rsidR="00AD1348" w:rsidRPr="00A06061">
        <w:rPr>
          <w:rFonts w:ascii="Arial" w:hAnsi="Arial" w:cs="Arial"/>
          <w:color w:val="000000" w:themeColor="text1"/>
          <w:sz w:val="22"/>
          <w:szCs w:val="24"/>
        </w:rPr>
        <w:t>amenity</w:t>
      </w:r>
      <w:r w:rsidR="00141B3F" w:rsidRPr="00A06061">
        <w:rPr>
          <w:rFonts w:ascii="Arial" w:hAnsi="Arial" w:cs="Arial"/>
          <w:color w:val="000000" w:themeColor="text1"/>
          <w:sz w:val="22"/>
          <w:szCs w:val="24"/>
        </w:rPr>
        <w:t xml:space="preserve"> sets to enrich the connotation and extension of </w:t>
      </w:r>
      <w:r w:rsidR="00AD1348" w:rsidRPr="00A06061">
        <w:rPr>
          <w:rFonts w:ascii="Arial" w:hAnsi="Arial" w:cs="Arial"/>
          <w:color w:val="000000" w:themeColor="text1"/>
          <w:sz w:val="22"/>
          <w:szCs w:val="24"/>
        </w:rPr>
        <w:t>stays</w:t>
      </w:r>
      <w:r w:rsidR="00141B3F" w:rsidRPr="00A06061">
        <w:rPr>
          <w:rFonts w:ascii="Arial" w:hAnsi="Arial" w:cs="Arial"/>
          <w:color w:val="000000" w:themeColor="text1"/>
          <w:sz w:val="22"/>
          <w:szCs w:val="24"/>
        </w:rPr>
        <w:t xml:space="preserve">. At the same, based on the insights of customer preferences and </w:t>
      </w:r>
      <w:r w:rsidR="00F76286" w:rsidRPr="00A06061">
        <w:rPr>
          <w:rFonts w:ascii="Arial" w:hAnsi="Arial" w:cs="Arial"/>
          <w:color w:val="000000" w:themeColor="text1"/>
          <w:sz w:val="22"/>
          <w:szCs w:val="24"/>
        </w:rPr>
        <w:t xml:space="preserve">patterns, Radisson could induce some differentiation based on the standard accommodation offerings. These can be realized allocate the room with the preferred attributes to customers, theme hotel rooms, etc. </w:t>
      </w:r>
    </w:p>
    <w:p w14:paraId="7AC555C7" w14:textId="4221CEB4" w:rsidR="00F76286" w:rsidRPr="00A06061" w:rsidRDefault="00F76286" w:rsidP="00C00F09">
      <w:pPr>
        <w:spacing w:beforeLines="100" w:before="312" w:afterLines="100" w:after="312" w:line="360" w:lineRule="auto"/>
        <w:rPr>
          <w:rFonts w:ascii="Arial" w:hAnsi="Arial" w:cs="Arial"/>
          <w:color w:val="000000" w:themeColor="text1"/>
          <w:sz w:val="22"/>
          <w:szCs w:val="24"/>
        </w:rPr>
      </w:pPr>
      <w:r w:rsidRPr="00A06061">
        <w:rPr>
          <w:rFonts w:ascii="Arial" w:hAnsi="Arial" w:cs="Arial"/>
          <w:b/>
          <w:bCs/>
          <w:color w:val="000000" w:themeColor="text1"/>
          <w:sz w:val="22"/>
          <w:szCs w:val="24"/>
        </w:rPr>
        <w:t>Price:</w:t>
      </w:r>
      <w:r w:rsidRPr="00A06061">
        <w:rPr>
          <w:rFonts w:ascii="Arial" w:hAnsi="Arial" w:cs="Arial"/>
          <w:color w:val="000000" w:themeColor="text1"/>
          <w:sz w:val="22"/>
          <w:szCs w:val="24"/>
        </w:rPr>
        <w:t xml:space="preserve"> Radisson should develop a competitive price system based on the analysis of the local hotel market competition pattern, </w:t>
      </w:r>
      <w:r w:rsidR="006A1B54" w:rsidRPr="00A06061">
        <w:rPr>
          <w:rFonts w:ascii="Arial" w:hAnsi="Arial" w:cs="Arial"/>
          <w:color w:val="000000" w:themeColor="text1"/>
          <w:sz w:val="22"/>
          <w:szCs w:val="24"/>
        </w:rPr>
        <w:t xml:space="preserve">combined with the dynamic accommodation needs all the time to promote the elasticity of the pricing that is affordable enough to attract travellers but high enough to remain profitability. The dynamic pricing can be supported with the data technologies with predictive and prescriptive functions to simulate the price movement and formulate the optimal pricing level. The dynamic pricing is proved to be highly effective in promoting room occupancy </w:t>
      </w:r>
      <w:r w:rsidR="00472EE9" w:rsidRPr="00A06061">
        <w:rPr>
          <w:rFonts w:ascii="Arial" w:hAnsi="Arial" w:cs="Arial"/>
          <w:color w:val="000000" w:themeColor="text1"/>
          <w:sz w:val="22"/>
          <w:szCs w:val="24"/>
        </w:rPr>
        <w:fldChar w:fldCharType="begin" w:fldLock="1"/>
      </w:r>
      <w:r w:rsidR="00472EE9" w:rsidRPr="00A06061">
        <w:rPr>
          <w:rFonts w:ascii="Arial" w:hAnsi="Arial" w:cs="Arial"/>
          <w:color w:val="000000" w:themeColor="text1"/>
          <w:sz w:val="22"/>
          <w:szCs w:val="24"/>
        </w:rPr>
        <w:instrText>ADDIN CSL_CITATION {"citationItems":[{"id":"ITEM-1","itemData":{"ISSN":"0278-4319","author":[{"dropping-particle":"","family":"Hung","given":"Wei-Ting","non-dropping-particle":"","parse-names":false,"suffix":""},{"dropping-particle":"","family":"Shang","given":"Jui-Kou","non-dropping-particle":"","parse-names":false,"suffix":""},{"dropping-particle":"","family":"Wang","given":"Fei-Ching","non-dropping-particle":"","parse-names":false,"suffix":""}],"container-title":"International Journal of Hospitality Management","id":"ITEM-1","issue":"3","issued":{"date-parts":[["2010"]]},"page":"378-384","publisher":"Elsevier","title":"Pricing determinants in the hotel industry: Quantile regression analysis","type":"article-journal","volume":"29"},"uris":["http://www.mendeley.com/documents/?uuid=bbe48390-f31e-4d62-8b04-fceebdd1b932"]}],"mendeley":{"formattedCitation":"(Hung, Shang and Wang, 2010)","plainTextFormattedCitation":"(Hung, Shang and Wang, 2010)","previouslyFormattedCitation":"(Hung, Shang and Wang, 2010)"},"properties":{"noteIndex":0},"schema":"https://github.com/citation-style-language/schema/raw/master/csl-citation.json"}</w:instrText>
      </w:r>
      <w:r w:rsidR="00472EE9" w:rsidRPr="00A06061">
        <w:rPr>
          <w:rFonts w:ascii="Arial" w:hAnsi="Arial" w:cs="Arial"/>
          <w:color w:val="000000" w:themeColor="text1"/>
          <w:sz w:val="22"/>
          <w:szCs w:val="24"/>
        </w:rPr>
        <w:fldChar w:fldCharType="separate"/>
      </w:r>
      <w:r w:rsidR="00472EE9" w:rsidRPr="00A06061">
        <w:rPr>
          <w:rFonts w:ascii="Arial" w:hAnsi="Arial" w:cs="Arial"/>
          <w:noProof/>
          <w:color w:val="000000" w:themeColor="text1"/>
          <w:sz w:val="22"/>
          <w:szCs w:val="24"/>
        </w:rPr>
        <w:t>(Hung, Shang and Wang, 2010)</w:t>
      </w:r>
      <w:r w:rsidR="00472EE9" w:rsidRPr="00A06061">
        <w:rPr>
          <w:rFonts w:ascii="Arial" w:hAnsi="Arial" w:cs="Arial"/>
          <w:color w:val="000000" w:themeColor="text1"/>
          <w:sz w:val="22"/>
          <w:szCs w:val="24"/>
        </w:rPr>
        <w:fldChar w:fldCharType="end"/>
      </w:r>
      <w:r w:rsidR="00472EE9" w:rsidRPr="00A06061">
        <w:rPr>
          <w:rFonts w:ascii="Arial" w:hAnsi="Arial" w:cs="Arial"/>
          <w:color w:val="000000" w:themeColor="text1"/>
          <w:sz w:val="22"/>
          <w:szCs w:val="24"/>
        </w:rPr>
        <w:t>.</w:t>
      </w:r>
    </w:p>
    <w:p w14:paraId="5F55FF09" w14:textId="33A80F5D" w:rsidR="00F76286" w:rsidRPr="00A06061" w:rsidRDefault="00F76286" w:rsidP="00C00F09">
      <w:pPr>
        <w:spacing w:beforeLines="100" w:before="312" w:afterLines="100" w:after="312" w:line="360" w:lineRule="auto"/>
        <w:rPr>
          <w:rFonts w:ascii="Arial" w:hAnsi="Arial" w:cs="Arial"/>
          <w:color w:val="000000" w:themeColor="text1"/>
          <w:sz w:val="22"/>
          <w:szCs w:val="24"/>
        </w:rPr>
      </w:pPr>
      <w:r w:rsidRPr="00A06061">
        <w:rPr>
          <w:rFonts w:ascii="Arial" w:hAnsi="Arial" w:cs="Arial"/>
          <w:b/>
          <w:bCs/>
          <w:color w:val="000000" w:themeColor="text1"/>
          <w:sz w:val="22"/>
          <w:szCs w:val="24"/>
        </w:rPr>
        <w:t>Place:</w:t>
      </w:r>
      <w:r w:rsidRPr="00A06061">
        <w:rPr>
          <w:rFonts w:ascii="Arial" w:hAnsi="Arial" w:cs="Arial"/>
          <w:color w:val="000000" w:themeColor="text1"/>
          <w:sz w:val="22"/>
          <w:szCs w:val="24"/>
        </w:rPr>
        <w:t xml:space="preserve"> The marketing channels of hotels have undergone more transformation after the epidemic. The traditional hotel booking system has been less preferred by the generation due to the inherent lack of comparability. Although Radisson has collaborated with over-the-air booking agencies such as Booking.com to increase its service abilities</w:t>
      </w:r>
      <w:r w:rsidR="00472EE9" w:rsidRPr="00A06061">
        <w:rPr>
          <w:rFonts w:ascii="Arial" w:hAnsi="Arial" w:cs="Arial"/>
          <w:color w:val="000000" w:themeColor="text1"/>
          <w:sz w:val="22"/>
          <w:szCs w:val="24"/>
        </w:rPr>
        <w:t xml:space="preserve"> </w:t>
      </w:r>
      <w:r w:rsidR="00472EE9" w:rsidRPr="00A06061">
        <w:rPr>
          <w:rFonts w:ascii="Arial" w:hAnsi="Arial" w:cs="Arial"/>
          <w:color w:val="000000" w:themeColor="text1"/>
          <w:sz w:val="22"/>
          <w:szCs w:val="24"/>
        </w:rPr>
        <w:fldChar w:fldCharType="begin" w:fldLock="1"/>
      </w:r>
      <w:r w:rsidR="00472EE9" w:rsidRPr="00A06061">
        <w:rPr>
          <w:rFonts w:ascii="Arial" w:hAnsi="Arial" w:cs="Arial"/>
          <w:color w:val="000000" w:themeColor="text1"/>
          <w:sz w:val="22"/>
          <w:szCs w:val="24"/>
        </w:rPr>
        <w:instrText>ADDIN CSL_CITATION {"citationItems":[{"id":"ITEM-1","itemData":{"DOI":"10.1108/JHTT-10-2016-0069","ISSN":"17579899","abstract":"Purpose: Hoteliers are often frustrated by the significant fees charged for bookings by Online Travel Agents (OTAs), and they try to encourage more direct bookings that circumvent the OTA system. However, there are billions of dollars of room revenues generated by OTAs every year; and many companies in other industries sell their products through multiple channels. The purpose of this study is to investigate how hotel revenue managers can collaborate successfully with OTAs. Design/methodology/approach: Qualitative methods are applied in this study, specifically focus groups and in-person interviews with market managers of a leading OTA. Content analysis is performed, using ATLASti 5, to discover emerging themes and categories from the transcripts. Findings: This study highlights several OTA value propositions and how hotels can benefit from them. Additionally, the findings of this study reveal that effective two-way communication between OTAs and revenue managers is the key to success. An “optimization loop” is established, which specifies that partnership and collaboration between OTAs and hotels must occur in a circular sequence of communication, engagement, collaboration and strategy. Research limitations/implications: A major limitation for this study is that interviews were conducted only with market managers, limiting the perspective to that of OTAs. Originality/value: There is a paucity of research and dialogue discussing productive relationships between OTAs and hotel firms. Through in-depth in-person interviews with a diverse set of market managers from a leading OTA, this study brings to light an array of perspectives of what is required to optimize the OTA/hotelier relationship.","author":[{"dropping-particle":"","family":"Raab","given":"Carola","non-dropping-particle":"","parse-names":false,"suffix":""},{"dropping-particle":"","family":"Berezan","given":"Orie","non-dropping-particle":"","parse-names":false,"suffix":""},{"dropping-particle":"","family":"Christodoulidou","given":"Natasa","non-dropping-particle":"","parse-names":false,"suffix":""},{"dropping-particle":"","family":"Jiang","given":"Lan","non-dropping-particle":"","parse-names":false,"suffix":""},{"dropping-particle":"","family":"Shoemaker","given":"Stowe","non-dropping-particle":"","parse-names":false,"suffix":""}],"container-title":"Journal of Hospitality and Tourism Technology","id":"ITEM-1","issue":"1","issued":{"date-parts":[["2018"]]},"page":"121-135","publisher":"Emerald Group Publishing Ltd.","title":"Creating strategic relationships with online travel agents to drive hotel room revenue: An OTA perspective","type":"article-journal","volume":"9"},"uris":["http://www.mendeley.com/documents/?uuid=b257f576-3de8-3ee8-960b-eff9cd8ebc48"]}],"mendeley":{"formattedCitation":"(Raab &lt;i&gt;et al.&lt;/i&gt;, 2018)","plainTextFormattedCitation":"(Raab et al., 2018)","previouslyFormattedCitation":"(Raab &lt;i&gt;et al.&lt;/i&gt;, 2018)"},"properties":{"noteIndex":0},"schema":"https://github.com/citation-style-language/schema/raw/master/csl-citation.json"}</w:instrText>
      </w:r>
      <w:r w:rsidR="00472EE9" w:rsidRPr="00A06061">
        <w:rPr>
          <w:rFonts w:ascii="Arial" w:hAnsi="Arial" w:cs="Arial"/>
          <w:color w:val="000000" w:themeColor="text1"/>
          <w:sz w:val="22"/>
          <w:szCs w:val="24"/>
        </w:rPr>
        <w:fldChar w:fldCharType="separate"/>
      </w:r>
      <w:r w:rsidR="00472EE9" w:rsidRPr="00A06061">
        <w:rPr>
          <w:rFonts w:ascii="Arial" w:hAnsi="Arial" w:cs="Arial"/>
          <w:noProof/>
          <w:color w:val="000000" w:themeColor="text1"/>
          <w:sz w:val="22"/>
          <w:szCs w:val="24"/>
        </w:rPr>
        <w:t xml:space="preserve">(Raab </w:t>
      </w:r>
      <w:r w:rsidR="00472EE9" w:rsidRPr="00A06061">
        <w:rPr>
          <w:rFonts w:ascii="Arial" w:hAnsi="Arial" w:cs="Arial"/>
          <w:i/>
          <w:noProof/>
          <w:color w:val="000000" w:themeColor="text1"/>
          <w:sz w:val="22"/>
          <w:szCs w:val="24"/>
        </w:rPr>
        <w:t>et al.</w:t>
      </w:r>
      <w:r w:rsidR="00472EE9" w:rsidRPr="00A06061">
        <w:rPr>
          <w:rFonts w:ascii="Arial" w:hAnsi="Arial" w:cs="Arial"/>
          <w:noProof/>
          <w:color w:val="000000" w:themeColor="text1"/>
          <w:sz w:val="22"/>
          <w:szCs w:val="24"/>
        </w:rPr>
        <w:t>, 2018)</w:t>
      </w:r>
      <w:r w:rsidR="00472EE9" w:rsidRPr="00A06061">
        <w:rPr>
          <w:rFonts w:ascii="Arial" w:hAnsi="Arial" w:cs="Arial"/>
          <w:color w:val="000000" w:themeColor="text1"/>
          <w:sz w:val="22"/>
          <w:szCs w:val="24"/>
        </w:rPr>
        <w:fldChar w:fldCharType="end"/>
      </w:r>
      <w:r w:rsidRPr="00A06061">
        <w:rPr>
          <w:rFonts w:ascii="Arial" w:hAnsi="Arial" w:cs="Arial"/>
          <w:color w:val="000000" w:themeColor="text1"/>
          <w:sz w:val="22"/>
          <w:szCs w:val="24"/>
        </w:rPr>
        <w:t xml:space="preserve">, the presence of Radisson can be further enhanced through </w:t>
      </w:r>
      <w:r w:rsidR="00A60FE2" w:rsidRPr="00A06061">
        <w:rPr>
          <w:rFonts w:ascii="Arial" w:hAnsi="Arial" w:cs="Arial"/>
          <w:color w:val="000000" w:themeColor="text1"/>
          <w:sz w:val="22"/>
          <w:szCs w:val="24"/>
        </w:rPr>
        <w:t xml:space="preserve">a </w:t>
      </w:r>
      <w:r w:rsidRPr="00A06061">
        <w:rPr>
          <w:rFonts w:ascii="Arial" w:hAnsi="Arial" w:cs="Arial"/>
          <w:color w:val="000000" w:themeColor="text1"/>
          <w:sz w:val="22"/>
          <w:szCs w:val="24"/>
        </w:rPr>
        <w:t xml:space="preserve">partnership with </w:t>
      </w:r>
      <w:r w:rsidR="00A60FE2" w:rsidRPr="00A06061">
        <w:rPr>
          <w:rFonts w:ascii="Arial" w:hAnsi="Arial" w:cs="Arial"/>
          <w:color w:val="000000" w:themeColor="text1"/>
          <w:sz w:val="22"/>
          <w:szCs w:val="24"/>
        </w:rPr>
        <w:t>other stakeholders in the same ecosystem, such as airline companies (such as Ryanair, Norwegian, SAS, etc.) to offer packaged services, while increasing its exposures</w:t>
      </w:r>
      <w:r w:rsidR="00472EE9" w:rsidRPr="00A06061">
        <w:rPr>
          <w:rFonts w:ascii="Arial" w:hAnsi="Arial" w:cs="Arial"/>
          <w:color w:val="000000" w:themeColor="text1"/>
          <w:sz w:val="22"/>
          <w:szCs w:val="24"/>
        </w:rPr>
        <w:t xml:space="preserve"> </w:t>
      </w:r>
      <w:r w:rsidR="00472EE9" w:rsidRPr="00A06061">
        <w:rPr>
          <w:rFonts w:ascii="Arial" w:hAnsi="Arial" w:cs="Arial"/>
          <w:color w:val="000000" w:themeColor="text1"/>
          <w:sz w:val="22"/>
          <w:szCs w:val="24"/>
        </w:rPr>
        <w:fldChar w:fldCharType="begin" w:fldLock="1"/>
      </w:r>
      <w:r w:rsidR="00472EE9" w:rsidRPr="00A06061">
        <w:rPr>
          <w:rFonts w:ascii="Arial" w:hAnsi="Arial" w:cs="Arial"/>
          <w:color w:val="000000" w:themeColor="text1"/>
          <w:sz w:val="22"/>
          <w:szCs w:val="24"/>
        </w:rPr>
        <w:instrText>ADDIN CSL_CITATION {"citationItems":[{"id":"ITEM-1","itemData":{"ISSN":"1452-4864","author":[{"dropping-particle":"","family":"Tabaku","given":"Elvira","non-dropping-particle":"","parse-names":false,"suffix":""},{"dropping-particle":"","family":"Kruja","given":"Drita","non-dropping-particle":"","parse-names":false,"suffix":""}],"container-title":"Serbian Journal of Management","id":"ITEM-1","issue":"1","issued":{"date-parts":[["2019"]]},"page":"205-221","title":"An integrated framework for customer loyalty in the hotel sector","type":"article-journal","volume":"14"},"uris":["http://www.mendeley.com/documents/?uuid=e1c73abc-7738-4c4e-b31b-456b42348b37"]}],"mendeley":{"formattedCitation":"(Tabaku and Kruja, 2019)","plainTextFormattedCitation":"(Tabaku and Kruja, 2019)","previouslyFormattedCitation":"(Tabaku and Kruja, 2019)"},"properties":{"noteIndex":0},"schema":"https://github.com/citation-style-language/schema/raw/master/csl-citation.json"}</w:instrText>
      </w:r>
      <w:r w:rsidR="00472EE9" w:rsidRPr="00A06061">
        <w:rPr>
          <w:rFonts w:ascii="Arial" w:hAnsi="Arial" w:cs="Arial"/>
          <w:color w:val="000000" w:themeColor="text1"/>
          <w:sz w:val="22"/>
          <w:szCs w:val="24"/>
        </w:rPr>
        <w:fldChar w:fldCharType="separate"/>
      </w:r>
      <w:r w:rsidR="00472EE9" w:rsidRPr="00A06061">
        <w:rPr>
          <w:rFonts w:ascii="Arial" w:hAnsi="Arial" w:cs="Arial"/>
          <w:noProof/>
          <w:color w:val="000000" w:themeColor="text1"/>
          <w:sz w:val="22"/>
          <w:szCs w:val="24"/>
        </w:rPr>
        <w:t>(Tabaku and Kruja, 2019)</w:t>
      </w:r>
      <w:r w:rsidR="00472EE9" w:rsidRPr="00A06061">
        <w:rPr>
          <w:rFonts w:ascii="Arial" w:hAnsi="Arial" w:cs="Arial"/>
          <w:color w:val="000000" w:themeColor="text1"/>
          <w:sz w:val="22"/>
          <w:szCs w:val="24"/>
        </w:rPr>
        <w:fldChar w:fldCharType="end"/>
      </w:r>
      <w:r w:rsidR="00A60FE2" w:rsidRPr="00A06061">
        <w:rPr>
          <w:rFonts w:ascii="Arial" w:hAnsi="Arial" w:cs="Arial"/>
          <w:color w:val="000000" w:themeColor="text1"/>
          <w:sz w:val="22"/>
          <w:szCs w:val="24"/>
        </w:rPr>
        <w:t>. At the same time, the “</w:t>
      </w:r>
      <w:proofErr w:type="spellStart"/>
      <w:r w:rsidR="00A60FE2" w:rsidRPr="00A06061">
        <w:rPr>
          <w:rFonts w:ascii="Arial" w:hAnsi="Arial" w:cs="Arial"/>
          <w:color w:val="000000" w:themeColor="text1"/>
          <w:sz w:val="22"/>
          <w:szCs w:val="24"/>
        </w:rPr>
        <w:t>Glocal</w:t>
      </w:r>
      <w:proofErr w:type="spellEnd"/>
      <w:r w:rsidR="00A60FE2" w:rsidRPr="00A06061">
        <w:rPr>
          <w:rFonts w:ascii="Arial" w:hAnsi="Arial" w:cs="Arial"/>
          <w:color w:val="000000" w:themeColor="text1"/>
          <w:sz w:val="22"/>
          <w:szCs w:val="24"/>
        </w:rPr>
        <w:t xml:space="preserve">” strategy above indicates the potentiality of collaborating with local travel agencies to boost the local demands, such as </w:t>
      </w:r>
      <w:proofErr w:type="spellStart"/>
      <w:r w:rsidR="00A60FE2" w:rsidRPr="00A06061">
        <w:rPr>
          <w:rFonts w:ascii="Arial" w:hAnsi="Arial" w:cs="Arial"/>
          <w:color w:val="000000" w:themeColor="text1"/>
          <w:sz w:val="22"/>
          <w:szCs w:val="24"/>
        </w:rPr>
        <w:t>Qyer</w:t>
      </w:r>
      <w:proofErr w:type="spellEnd"/>
      <w:r w:rsidR="00A60FE2" w:rsidRPr="00A06061">
        <w:rPr>
          <w:rFonts w:ascii="Arial" w:hAnsi="Arial" w:cs="Arial"/>
          <w:color w:val="000000" w:themeColor="text1"/>
          <w:sz w:val="22"/>
          <w:szCs w:val="24"/>
        </w:rPr>
        <w:t xml:space="preserve"> in China, etc. </w:t>
      </w:r>
      <w:r w:rsidR="00472EE9" w:rsidRPr="00A06061">
        <w:rPr>
          <w:rFonts w:ascii="Arial" w:hAnsi="Arial" w:cs="Arial"/>
          <w:color w:val="000000" w:themeColor="text1"/>
          <w:sz w:val="22"/>
          <w:szCs w:val="24"/>
        </w:rPr>
        <w:fldChar w:fldCharType="begin" w:fldLock="1"/>
      </w:r>
      <w:r w:rsidR="00472EE9" w:rsidRPr="00A06061">
        <w:rPr>
          <w:rFonts w:ascii="Arial" w:hAnsi="Arial" w:cs="Arial"/>
          <w:color w:val="000000" w:themeColor="text1"/>
          <w:sz w:val="22"/>
          <w:szCs w:val="24"/>
        </w:rPr>
        <w:instrText>ADDIN CSL_CITATION {"citationItems":[{"id":"ITEM-1","itemData":{"ISBN":"1845414071","author":[{"dropping-particle":"","family":"Cave","given":"Jenny","non-dropping-particle":"","parse-names":false,"suffix":""},{"dropping-particle":"","family":"Jolliffe","given":"Lee","non-dropping-particle":"","parse-names":false,"suffix":""}],"id":"ITEM-1","issued":{"date-parts":[["2013"]]},"publisher":"Channel View Publications","title":"Tourism and souvenirs: Glocal perspectives from the margins","type":"book","volume":"33"},"uris":["http://www.mendeley.com/documents/?uuid=0e4e4854-db3c-41eb-90b1-62b9b5c4b768"]}],"mendeley":{"formattedCitation":"(Cave and Jolliffe, 2013)","plainTextFormattedCitation":"(Cave and Jolliffe, 2013)","previouslyFormattedCitation":"(Cave and Jolliffe, 2013)"},"properties":{"noteIndex":0},"schema":"https://github.com/citation-style-language/schema/raw/master/csl-citation.json"}</w:instrText>
      </w:r>
      <w:r w:rsidR="00472EE9" w:rsidRPr="00A06061">
        <w:rPr>
          <w:rFonts w:ascii="Arial" w:hAnsi="Arial" w:cs="Arial"/>
          <w:color w:val="000000" w:themeColor="text1"/>
          <w:sz w:val="22"/>
          <w:szCs w:val="24"/>
        </w:rPr>
        <w:fldChar w:fldCharType="separate"/>
      </w:r>
      <w:r w:rsidR="00472EE9" w:rsidRPr="00A06061">
        <w:rPr>
          <w:rFonts w:ascii="Arial" w:hAnsi="Arial" w:cs="Arial"/>
          <w:noProof/>
          <w:color w:val="000000" w:themeColor="text1"/>
          <w:sz w:val="22"/>
          <w:szCs w:val="24"/>
        </w:rPr>
        <w:t>(Cave and Jolliffe, 2013)</w:t>
      </w:r>
      <w:r w:rsidR="00472EE9" w:rsidRPr="00A06061">
        <w:rPr>
          <w:rFonts w:ascii="Arial" w:hAnsi="Arial" w:cs="Arial"/>
          <w:color w:val="000000" w:themeColor="text1"/>
          <w:sz w:val="22"/>
          <w:szCs w:val="24"/>
        </w:rPr>
        <w:fldChar w:fldCharType="end"/>
      </w:r>
    </w:p>
    <w:p w14:paraId="47909B6B" w14:textId="31E7C60F" w:rsidR="00A60FE2" w:rsidRPr="00A06061" w:rsidRDefault="00A60FE2" w:rsidP="00C00F09">
      <w:pPr>
        <w:spacing w:beforeLines="100" w:before="312" w:afterLines="100" w:after="312" w:line="360" w:lineRule="auto"/>
        <w:rPr>
          <w:rFonts w:ascii="Arial" w:hAnsi="Arial" w:cs="Arial"/>
          <w:color w:val="000000" w:themeColor="text1"/>
          <w:sz w:val="22"/>
          <w:szCs w:val="24"/>
        </w:rPr>
      </w:pPr>
      <w:r w:rsidRPr="00A06061">
        <w:rPr>
          <w:rFonts w:ascii="Arial" w:hAnsi="Arial" w:cs="Arial"/>
          <w:b/>
          <w:bCs/>
          <w:color w:val="000000" w:themeColor="text1"/>
          <w:sz w:val="22"/>
          <w:szCs w:val="24"/>
        </w:rPr>
        <w:t>Promotion:</w:t>
      </w:r>
      <w:r w:rsidRPr="00A06061">
        <w:rPr>
          <w:rFonts w:ascii="Arial" w:hAnsi="Arial" w:cs="Arial"/>
          <w:color w:val="000000" w:themeColor="text1"/>
          <w:sz w:val="22"/>
          <w:szCs w:val="24"/>
        </w:rPr>
        <w:t xml:space="preserve"> The use of new media platforms across platforms to deliver creative marketing demands will be used to derive the demands as a whole, and drive the leisure traveling desire specifically. On the one hand</w:t>
      </w:r>
      <w:r w:rsidR="00975084" w:rsidRPr="00A06061">
        <w:rPr>
          <w:rFonts w:ascii="Arial" w:hAnsi="Arial" w:cs="Arial"/>
          <w:color w:val="000000" w:themeColor="text1"/>
          <w:sz w:val="22"/>
          <w:szCs w:val="24"/>
        </w:rPr>
        <w:t>, t</w:t>
      </w:r>
      <w:r w:rsidRPr="00A06061">
        <w:rPr>
          <w:rFonts w:ascii="Arial" w:hAnsi="Arial" w:cs="Arial"/>
          <w:color w:val="000000" w:themeColor="text1"/>
          <w:sz w:val="22"/>
          <w:szCs w:val="24"/>
        </w:rPr>
        <w:t>he data technologies should be leveraged by Radisson to precisely locate its target customer segment, deliver tailored marketing contents</w:t>
      </w:r>
      <w:r w:rsidR="00975084" w:rsidRPr="00A06061">
        <w:rPr>
          <w:rFonts w:ascii="Arial" w:hAnsi="Arial" w:cs="Arial"/>
          <w:color w:val="000000" w:themeColor="text1"/>
          <w:sz w:val="22"/>
          <w:szCs w:val="24"/>
        </w:rPr>
        <w:t xml:space="preserve"> in the preferred channels of customers. On the other hand, the </w:t>
      </w:r>
      <w:proofErr w:type="spellStart"/>
      <w:r w:rsidR="00975084" w:rsidRPr="00A06061">
        <w:rPr>
          <w:rFonts w:ascii="Arial" w:hAnsi="Arial" w:cs="Arial"/>
          <w:color w:val="000000" w:themeColor="text1"/>
          <w:sz w:val="22"/>
          <w:szCs w:val="24"/>
        </w:rPr>
        <w:t>Glocal</w:t>
      </w:r>
      <w:proofErr w:type="spellEnd"/>
      <w:r w:rsidR="00975084" w:rsidRPr="00A06061">
        <w:rPr>
          <w:rFonts w:ascii="Arial" w:hAnsi="Arial" w:cs="Arial"/>
          <w:color w:val="000000" w:themeColor="text1"/>
          <w:sz w:val="22"/>
          <w:szCs w:val="24"/>
        </w:rPr>
        <w:t xml:space="preserve"> strategy indicates the actively leverage of local network to create brand </w:t>
      </w:r>
      <w:r w:rsidR="00975084" w:rsidRPr="00A06061">
        <w:rPr>
          <w:rFonts w:ascii="Arial" w:hAnsi="Arial" w:cs="Arial"/>
          <w:color w:val="000000" w:themeColor="text1"/>
          <w:sz w:val="22"/>
          <w:szCs w:val="24"/>
        </w:rPr>
        <w:lastRenderedPageBreak/>
        <w:t>awareness, which means the leverage of social marketing channels with a high level of prevalence and popularity (such as WeChat in China, Instagram in the EU, etc.)</w:t>
      </w:r>
      <w:r w:rsidR="00472EE9" w:rsidRPr="00A06061">
        <w:rPr>
          <w:rFonts w:ascii="Arial" w:hAnsi="Arial" w:cs="Arial"/>
          <w:color w:val="000000" w:themeColor="text1"/>
          <w:sz w:val="22"/>
          <w:szCs w:val="24"/>
        </w:rPr>
        <w:t xml:space="preserve"> </w:t>
      </w:r>
      <w:r w:rsidR="00472EE9" w:rsidRPr="00A06061">
        <w:rPr>
          <w:rFonts w:ascii="Arial" w:hAnsi="Arial" w:cs="Arial"/>
          <w:color w:val="000000" w:themeColor="text1"/>
          <w:sz w:val="22"/>
          <w:szCs w:val="24"/>
        </w:rPr>
        <w:fldChar w:fldCharType="begin" w:fldLock="1"/>
      </w:r>
      <w:r w:rsidR="00472EE9" w:rsidRPr="00A06061">
        <w:rPr>
          <w:rFonts w:ascii="Arial" w:hAnsi="Arial" w:cs="Arial"/>
          <w:color w:val="000000" w:themeColor="text1"/>
          <w:sz w:val="22"/>
          <w:szCs w:val="24"/>
        </w:rPr>
        <w:instrText>ADDIN CSL_CITATION {"citationItems":[{"id":"ITEM-1","itemData":{"ISSN":"1938-9655","author":[{"dropping-particle":"","family":"Wilson","given":"Alan","non-dropping-particle":"","parse-names":false,"suffix":""},{"dropping-particle":"","family":"Murphy","given":"Hilary","non-dropping-particle":"","parse-names":false,"suffix":""},{"dropping-particle":"","family":"Fierro","given":"Jesus Cambra","non-dropping-particle":"","parse-names":false,"suffix":""}],"container-title":"Cornell hospitality quarterly","id":"ITEM-1","issue":"3","issued":{"date-parts":[["2012"]]},"page":"220-228","publisher":"Sage Publications Sage CA: Los Angeles, CA","title":"Hospitality and travel: The nature and implications of user-generated content","type":"article-journal","volume":"53"},"uris":["http://www.mendeley.com/documents/?uuid=1e3d6ec7-89a1-4820-8a40-3e54ec22df2e"]}],"mendeley":{"formattedCitation":"(Wilson, Murphy and Fierro, 2012)","plainTextFormattedCitation":"(Wilson, Murphy and Fierro, 2012)","previouslyFormattedCitation":"(Wilson, Murphy and Fierro, 2012)"},"properties":{"noteIndex":0},"schema":"https://github.com/citation-style-language/schema/raw/master/csl-citation.json"}</w:instrText>
      </w:r>
      <w:r w:rsidR="00472EE9" w:rsidRPr="00A06061">
        <w:rPr>
          <w:rFonts w:ascii="Arial" w:hAnsi="Arial" w:cs="Arial"/>
          <w:color w:val="000000" w:themeColor="text1"/>
          <w:sz w:val="22"/>
          <w:szCs w:val="24"/>
        </w:rPr>
        <w:fldChar w:fldCharType="separate"/>
      </w:r>
      <w:r w:rsidR="00472EE9" w:rsidRPr="00A06061">
        <w:rPr>
          <w:rFonts w:ascii="Arial" w:hAnsi="Arial" w:cs="Arial"/>
          <w:noProof/>
          <w:color w:val="000000" w:themeColor="text1"/>
          <w:sz w:val="22"/>
          <w:szCs w:val="24"/>
        </w:rPr>
        <w:t>(Wilson, Murphy and Fierro, 2012)</w:t>
      </w:r>
      <w:r w:rsidR="00472EE9" w:rsidRPr="00A06061">
        <w:rPr>
          <w:rFonts w:ascii="Arial" w:hAnsi="Arial" w:cs="Arial"/>
          <w:color w:val="000000" w:themeColor="text1"/>
          <w:sz w:val="22"/>
          <w:szCs w:val="24"/>
        </w:rPr>
        <w:fldChar w:fldCharType="end"/>
      </w:r>
      <w:r w:rsidR="00975084" w:rsidRPr="00A06061">
        <w:rPr>
          <w:rFonts w:ascii="Arial" w:hAnsi="Arial" w:cs="Arial"/>
          <w:color w:val="000000" w:themeColor="text1"/>
          <w:sz w:val="22"/>
          <w:szCs w:val="24"/>
        </w:rPr>
        <w:t xml:space="preserve">. The collaboration with local influencers on the respective platforms to deliver the original and creative content can be effective in stimulating impulse </w:t>
      </w:r>
      <w:r w:rsidR="00EB0481" w:rsidRPr="00A06061">
        <w:rPr>
          <w:rFonts w:ascii="Arial" w:hAnsi="Arial" w:cs="Arial"/>
          <w:color w:val="000000" w:themeColor="text1"/>
          <w:sz w:val="22"/>
          <w:szCs w:val="24"/>
        </w:rPr>
        <w:t>traveling</w:t>
      </w:r>
      <w:r w:rsidR="00975084" w:rsidRPr="00A06061">
        <w:rPr>
          <w:rFonts w:ascii="Arial" w:hAnsi="Arial" w:cs="Arial"/>
          <w:color w:val="000000" w:themeColor="text1"/>
          <w:sz w:val="22"/>
          <w:szCs w:val="24"/>
        </w:rPr>
        <w:t xml:space="preserve"> demands. Alternatively, previous customers of Radisson can be invited to showcase their experiences with Radisson to create </w:t>
      </w:r>
      <w:r w:rsidR="00EB0481" w:rsidRPr="00A06061">
        <w:rPr>
          <w:rFonts w:ascii="Arial" w:hAnsi="Arial" w:cs="Arial"/>
          <w:color w:val="000000" w:themeColor="text1"/>
          <w:sz w:val="22"/>
          <w:szCs w:val="24"/>
        </w:rPr>
        <w:t>an</w:t>
      </w:r>
      <w:r w:rsidR="00975084" w:rsidRPr="00A06061">
        <w:rPr>
          <w:rFonts w:ascii="Arial" w:hAnsi="Arial" w:cs="Arial"/>
          <w:color w:val="000000" w:themeColor="text1"/>
          <w:sz w:val="22"/>
          <w:szCs w:val="24"/>
        </w:rPr>
        <w:t xml:space="preserve"> online word-of-mouth effect (</w:t>
      </w:r>
      <w:r w:rsidR="00EB0481" w:rsidRPr="00A06061">
        <w:rPr>
          <w:rFonts w:ascii="Arial" w:hAnsi="Arial" w:cs="Arial"/>
          <w:color w:val="000000" w:themeColor="text1"/>
          <w:sz w:val="22"/>
          <w:szCs w:val="24"/>
        </w:rPr>
        <w:t>guests are easier to gain the trust of potential customers as they do not have any potential benefit overlaps or conflicts)</w:t>
      </w:r>
      <w:r w:rsidR="00472EE9" w:rsidRPr="00A06061">
        <w:rPr>
          <w:rFonts w:ascii="Arial" w:hAnsi="Arial" w:cs="Arial"/>
          <w:color w:val="000000" w:themeColor="text1"/>
          <w:sz w:val="22"/>
          <w:szCs w:val="24"/>
        </w:rPr>
        <w:t xml:space="preserve"> </w:t>
      </w:r>
      <w:r w:rsidR="00472EE9" w:rsidRPr="00A06061">
        <w:rPr>
          <w:rFonts w:ascii="Arial" w:hAnsi="Arial" w:cs="Arial"/>
          <w:color w:val="000000" w:themeColor="text1"/>
          <w:sz w:val="22"/>
          <w:szCs w:val="24"/>
        </w:rPr>
        <w:fldChar w:fldCharType="begin" w:fldLock="1"/>
      </w:r>
      <w:r w:rsidR="00472EE9" w:rsidRPr="00A06061">
        <w:rPr>
          <w:rFonts w:ascii="Arial" w:hAnsi="Arial" w:cs="Arial"/>
          <w:color w:val="000000" w:themeColor="text1"/>
          <w:sz w:val="22"/>
          <w:szCs w:val="24"/>
        </w:rPr>
        <w:instrText>ADDIN CSL_CITATION {"citationItems":[{"id":"ITEM-1","itemData":{"ISSN":"1478-3363","author":[{"dropping-particle":"","family":"Riel","given":"Allard C R","non-dropping-particle":"Van","parse-names":false,"suffix":""},{"dropping-particle":"","family":"Semeijn","given":"Janjaap","non-dropping-particle":"","parse-names":false,"suffix":""},{"dropping-particle":"","family":"Pauwels","given":"Pieter","non-dropping-particle":"","parse-names":false,"suffix":""}],"container-title":"Total Quality Management &amp; Business Excellence","id":"ITEM-1","issue":"4","issued":{"date-parts":[["2004"]]},"page":"475-493","publisher":"Taylor &amp; Francis","title":"Online travel service quality: the role of pre-transaction services","type":"article-journal","volume":"15"},"uris":["http://www.mendeley.com/documents/?uuid=3e2bf692-56df-49b7-9dc0-fc893a010f7b"]}],"mendeley":{"formattedCitation":"(Van Riel, Semeijn and Pauwels, 2004)","plainTextFormattedCitation":"(Van Riel, Semeijn and Pauwels, 2004)","previouslyFormattedCitation":"(Van Riel, Semeijn and Pauwels, 2004)"},"properties":{"noteIndex":0},"schema":"https://github.com/citation-style-language/schema/raw/master/csl-citation.json"}</w:instrText>
      </w:r>
      <w:r w:rsidR="00472EE9" w:rsidRPr="00A06061">
        <w:rPr>
          <w:rFonts w:ascii="Arial" w:hAnsi="Arial" w:cs="Arial"/>
          <w:color w:val="000000" w:themeColor="text1"/>
          <w:sz w:val="22"/>
          <w:szCs w:val="24"/>
        </w:rPr>
        <w:fldChar w:fldCharType="separate"/>
      </w:r>
      <w:r w:rsidR="00472EE9" w:rsidRPr="00A06061">
        <w:rPr>
          <w:rFonts w:ascii="Arial" w:hAnsi="Arial" w:cs="Arial"/>
          <w:noProof/>
          <w:color w:val="000000" w:themeColor="text1"/>
          <w:sz w:val="22"/>
          <w:szCs w:val="24"/>
        </w:rPr>
        <w:t>(Van Riel, Semeijn and Pauwels, 2004)</w:t>
      </w:r>
      <w:r w:rsidR="00472EE9" w:rsidRPr="00A06061">
        <w:rPr>
          <w:rFonts w:ascii="Arial" w:hAnsi="Arial" w:cs="Arial"/>
          <w:color w:val="000000" w:themeColor="text1"/>
          <w:sz w:val="22"/>
          <w:szCs w:val="24"/>
        </w:rPr>
        <w:fldChar w:fldCharType="end"/>
      </w:r>
      <w:r w:rsidR="00EB0481" w:rsidRPr="00A06061">
        <w:rPr>
          <w:rFonts w:ascii="Arial" w:hAnsi="Arial" w:cs="Arial"/>
          <w:color w:val="000000" w:themeColor="text1"/>
          <w:sz w:val="22"/>
          <w:szCs w:val="24"/>
        </w:rPr>
        <w:t>.</w:t>
      </w:r>
    </w:p>
    <w:p w14:paraId="208D83AD" w14:textId="260BB2C4" w:rsidR="00AA30F8" w:rsidRPr="006A1B54" w:rsidRDefault="00EB0481" w:rsidP="00C00F09">
      <w:pPr>
        <w:pStyle w:val="2"/>
        <w:spacing w:beforeLines="100" w:before="312" w:afterLines="100" w:after="312" w:line="360" w:lineRule="auto"/>
        <w:rPr>
          <w:rFonts w:ascii="Arial" w:hAnsi="Arial" w:cs="Arial"/>
          <w:color w:val="000000" w:themeColor="text1"/>
        </w:rPr>
      </w:pPr>
      <w:bookmarkStart w:id="8" w:name="_Toc101793025"/>
      <w:r w:rsidRPr="006A1B54">
        <w:rPr>
          <w:rFonts w:ascii="Arial" w:hAnsi="Arial" w:cs="Arial"/>
          <w:color w:val="000000" w:themeColor="text1"/>
        </w:rPr>
        <w:t xml:space="preserve">2.5 </w:t>
      </w:r>
      <w:r w:rsidR="00AA30F8" w:rsidRPr="006A1B54">
        <w:rPr>
          <w:rFonts w:ascii="Arial" w:hAnsi="Arial" w:cs="Arial"/>
          <w:color w:val="000000" w:themeColor="text1"/>
        </w:rPr>
        <w:t>Action</w:t>
      </w:r>
      <w:bookmarkEnd w:id="8"/>
    </w:p>
    <w:p w14:paraId="6B73A30E" w14:textId="37DBB72B" w:rsidR="00AA30F8" w:rsidRPr="00A06061" w:rsidRDefault="00AA30F8" w:rsidP="00C00F09">
      <w:pPr>
        <w:spacing w:beforeLines="100" w:before="312" w:afterLines="100" w:after="312" w:line="360" w:lineRule="auto"/>
        <w:rPr>
          <w:rFonts w:ascii="Arial" w:hAnsi="Arial" w:cs="Arial"/>
          <w:color w:val="000000" w:themeColor="text1"/>
          <w:sz w:val="22"/>
          <w:szCs w:val="24"/>
        </w:rPr>
      </w:pPr>
      <w:r w:rsidRPr="00A06061">
        <w:rPr>
          <w:rFonts w:ascii="Arial" w:hAnsi="Arial" w:cs="Arial"/>
          <w:color w:val="000000" w:themeColor="text1"/>
          <w:sz w:val="22"/>
          <w:szCs w:val="24"/>
        </w:rPr>
        <w:t>The marketing objective</w:t>
      </w:r>
      <w:r w:rsidR="00FE35D2" w:rsidRPr="00A06061">
        <w:rPr>
          <w:rFonts w:ascii="Arial" w:hAnsi="Arial" w:cs="Arial"/>
          <w:color w:val="000000" w:themeColor="text1"/>
          <w:sz w:val="22"/>
          <w:szCs w:val="24"/>
        </w:rPr>
        <w:t xml:space="preserve"> as well as the marketing plan</w:t>
      </w:r>
      <w:r w:rsidRPr="00A06061">
        <w:rPr>
          <w:rFonts w:ascii="Arial" w:hAnsi="Arial" w:cs="Arial"/>
          <w:color w:val="000000" w:themeColor="text1"/>
          <w:sz w:val="22"/>
          <w:szCs w:val="24"/>
        </w:rPr>
        <w:t xml:space="preserve"> will first communicated to the marketing team in the headquarter, and to the marketing team under different brands.</w:t>
      </w:r>
      <w:r w:rsidR="00FE35D2" w:rsidRPr="00A06061">
        <w:rPr>
          <w:rFonts w:ascii="Arial" w:hAnsi="Arial" w:cs="Arial"/>
          <w:color w:val="000000" w:themeColor="text1"/>
          <w:sz w:val="22"/>
          <w:szCs w:val="24"/>
        </w:rPr>
        <w:t xml:space="preserve"> Together with each marketing team, the resource allocation, including budgets, will be negotiated and allocated collectively. Especially, a relatively higher budget will be allocated to the leisure sector due to Radisson’s ambition to boost room occupancy rate till 80% by 2022. As the cultural and political factors vary from one market to another, a higher autonomy will be endowed to each marketing team to allow them unfold their own marketing activities based on the compressive understanding on the local market</w:t>
      </w:r>
      <w:r w:rsidR="00C575FB" w:rsidRPr="00A06061">
        <w:rPr>
          <w:rFonts w:ascii="Arial" w:hAnsi="Arial" w:cs="Arial"/>
          <w:color w:val="000000" w:themeColor="text1"/>
          <w:sz w:val="22"/>
          <w:szCs w:val="24"/>
        </w:rPr>
        <w:t xml:space="preserve"> </w:t>
      </w:r>
      <w:r w:rsidR="00B01A40" w:rsidRPr="00A06061">
        <w:rPr>
          <w:rFonts w:ascii="Arial" w:hAnsi="Arial" w:cs="Arial"/>
          <w:color w:val="000000" w:themeColor="text1"/>
          <w:sz w:val="22"/>
          <w:szCs w:val="24"/>
        </w:rPr>
        <w:t>(as</w:t>
      </w:r>
      <w:r w:rsidR="00C575FB" w:rsidRPr="00A06061">
        <w:rPr>
          <w:rFonts w:ascii="Arial" w:hAnsi="Arial" w:cs="Arial"/>
          <w:color w:val="000000" w:themeColor="text1"/>
          <w:sz w:val="22"/>
          <w:szCs w:val="24"/>
        </w:rPr>
        <w:t xml:space="preserve"> covid-19 policies vary)</w:t>
      </w:r>
      <w:r w:rsidR="00FE35D2" w:rsidRPr="00A06061">
        <w:rPr>
          <w:rFonts w:ascii="Arial" w:hAnsi="Arial" w:cs="Arial"/>
          <w:color w:val="000000" w:themeColor="text1"/>
          <w:sz w:val="22"/>
          <w:szCs w:val="24"/>
        </w:rPr>
        <w:t xml:space="preserve"> to ensure the </w:t>
      </w:r>
      <w:proofErr w:type="spellStart"/>
      <w:r w:rsidR="00FE35D2" w:rsidRPr="00A06061">
        <w:rPr>
          <w:rFonts w:ascii="Arial" w:hAnsi="Arial" w:cs="Arial"/>
          <w:color w:val="000000" w:themeColor="text1"/>
          <w:sz w:val="22"/>
          <w:szCs w:val="24"/>
        </w:rPr>
        <w:t>Glocal</w:t>
      </w:r>
      <w:proofErr w:type="spellEnd"/>
      <w:r w:rsidR="00FE35D2" w:rsidRPr="00A06061">
        <w:rPr>
          <w:rFonts w:ascii="Arial" w:hAnsi="Arial" w:cs="Arial"/>
          <w:color w:val="000000" w:themeColor="text1"/>
          <w:sz w:val="22"/>
          <w:szCs w:val="24"/>
        </w:rPr>
        <w:t xml:space="preserve"> of Radisson.</w:t>
      </w:r>
    </w:p>
    <w:p w14:paraId="4271A24F" w14:textId="3AB75384" w:rsidR="00EB0481" w:rsidRPr="006A1B54" w:rsidRDefault="00AA30F8" w:rsidP="00C00F09">
      <w:pPr>
        <w:pStyle w:val="2"/>
        <w:spacing w:beforeLines="100" w:before="312" w:afterLines="100" w:after="312" w:line="360" w:lineRule="auto"/>
        <w:rPr>
          <w:rFonts w:ascii="Arial" w:hAnsi="Arial" w:cs="Arial"/>
          <w:color w:val="000000" w:themeColor="text1"/>
        </w:rPr>
      </w:pPr>
      <w:bookmarkStart w:id="9" w:name="_Toc101793026"/>
      <w:r w:rsidRPr="006A1B54">
        <w:rPr>
          <w:rFonts w:ascii="Arial" w:hAnsi="Arial" w:cs="Arial"/>
          <w:color w:val="000000" w:themeColor="text1"/>
        </w:rPr>
        <w:t>2.6 Control</w:t>
      </w:r>
      <w:bookmarkEnd w:id="9"/>
      <w:r w:rsidRPr="006A1B54">
        <w:rPr>
          <w:rFonts w:ascii="Arial" w:hAnsi="Arial" w:cs="Arial"/>
          <w:color w:val="000000" w:themeColor="text1"/>
        </w:rPr>
        <w:t xml:space="preserve"> </w:t>
      </w:r>
      <w:r w:rsidR="00EB0481" w:rsidRPr="006A1B54">
        <w:rPr>
          <w:rFonts w:ascii="Arial" w:hAnsi="Arial" w:cs="Arial"/>
          <w:color w:val="000000" w:themeColor="text1"/>
        </w:rPr>
        <w:t xml:space="preserve"> </w:t>
      </w:r>
    </w:p>
    <w:p w14:paraId="301555FE" w14:textId="6194397F" w:rsidR="00EB0481" w:rsidRPr="00A06061" w:rsidRDefault="00EB0481" w:rsidP="00C00F09">
      <w:pPr>
        <w:spacing w:beforeLines="100" w:before="312" w:afterLines="100" w:after="312" w:line="360" w:lineRule="auto"/>
        <w:rPr>
          <w:rFonts w:ascii="Arial" w:hAnsi="Arial" w:cs="Arial"/>
          <w:color w:val="000000" w:themeColor="text1"/>
          <w:sz w:val="22"/>
          <w:szCs w:val="24"/>
        </w:rPr>
      </w:pPr>
      <w:r w:rsidRPr="00A06061">
        <w:rPr>
          <w:rFonts w:ascii="Arial" w:hAnsi="Arial" w:cs="Arial"/>
          <w:color w:val="000000" w:themeColor="text1"/>
          <w:sz w:val="22"/>
          <w:szCs w:val="24"/>
        </w:rPr>
        <w:t xml:space="preserve">Sole pursuit of higher occupancy rate may result in the ignorance of the customer experiences. Therefore, the occupancy rate must be evaluated and monitored with other key performance indicators, including customer satisfaction rate, the revenue generated per room, </w:t>
      </w:r>
      <w:r w:rsidR="00AA30F8" w:rsidRPr="00A06061">
        <w:rPr>
          <w:rFonts w:ascii="Arial" w:hAnsi="Arial" w:cs="Arial"/>
          <w:color w:val="000000" w:themeColor="text1"/>
          <w:sz w:val="22"/>
          <w:szCs w:val="24"/>
        </w:rPr>
        <w:t xml:space="preserve">the cost incurred per room, etc. Since the social media will be used by Radisson as the major marketing channel, some specific key performance indicators such as leads, contacts, visits, forwards, etc. should be closely monitored too. </w:t>
      </w:r>
      <w:r w:rsidR="0051409C" w:rsidRPr="00A06061">
        <w:rPr>
          <w:rFonts w:ascii="Arial" w:hAnsi="Arial" w:cs="Arial"/>
          <w:color w:val="000000" w:themeColor="text1"/>
          <w:sz w:val="22"/>
          <w:szCs w:val="24"/>
        </w:rPr>
        <w:t xml:space="preserve">All performance indicators will be monitored weekly, monthly and quarterly, with vertical comparisons with previous performance indictors and horizontal comparisons with competitors’ performance indicators. All marketing results will be communicated from bottom to up to form a full picture of operational efficiency and afford insights regarding any deviations. Furthermore, deviations </w:t>
      </w:r>
      <w:r w:rsidR="0051409C" w:rsidRPr="00A06061">
        <w:rPr>
          <w:rFonts w:ascii="Arial" w:hAnsi="Arial" w:cs="Arial"/>
          <w:color w:val="000000" w:themeColor="text1"/>
          <w:sz w:val="22"/>
          <w:szCs w:val="24"/>
        </w:rPr>
        <w:lastRenderedPageBreak/>
        <w:t xml:space="preserve">(such as costs exceed the allocated budget, results do not align with expectations, etc.) will by thoroughly analysed, based on which actionable remedies will be developed to eliminate deviations or seize the emerging opportunities neglected by the team. </w:t>
      </w:r>
    </w:p>
    <w:p w14:paraId="0E6EB181" w14:textId="53E007ED" w:rsidR="00D000A5" w:rsidRPr="006A1B54" w:rsidRDefault="00EF1BA8" w:rsidP="00C00F09">
      <w:pPr>
        <w:pStyle w:val="1"/>
        <w:spacing w:beforeLines="100" w:before="312" w:afterLines="100" w:after="312" w:line="360" w:lineRule="auto"/>
        <w:rPr>
          <w:rFonts w:ascii="Arial" w:hAnsi="Arial" w:cs="Arial"/>
          <w:color w:val="000000" w:themeColor="text1"/>
        </w:rPr>
      </w:pPr>
      <w:bookmarkStart w:id="10" w:name="_Toc101793027"/>
      <w:r w:rsidRPr="006A1B54">
        <w:rPr>
          <w:rFonts w:ascii="Arial" w:hAnsi="Arial" w:cs="Arial"/>
          <w:color w:val="000000" w:themeColor="text1"/>
        </w:rPr>
        <w:t>3.</w:t>
      </w:r>
      <w:r w:rsidR="00D000A5" w:rsidRPr="006A1B54">
        <w:rPr>
          <w:rFonts w:ascii="Arial" w:hAnsi="Arial" w:cs="Arial"/>
          <w:color w:val="000000" w:themeColor="text1"/>
        </w:rPr>
        <w:t>Recommendations</w:t>
      </w:r>
      <w:bookmarkEnd w:id="10"/>
      <w:r w:rsidR="00D000A5" w:rsidRPr="006A1B54">
        <w:rPr>
          <w:rFonts w:ascii="Arial" w:hAnsi="Arial" w:cs="Arial"/>
          <w:color w:val="000000" w:themeColor="text1"/>
        </w:rPr>
        <w:t xml:space="preserve"> </w:t>
      </w:r>
    </w:p>
    <w:p w14:paraId="4C0D544F" w14:textId="5A7DB9FB" w:rsidR="00D000A5" w:rsidRPr="00A06061" w:rsidRDefault="00D000A5" w:rsidP="00C00F09">
      <w:pPr>
        <w:spacing w:beforeLines="100" w:before="312" w:afterLines="100" w:after="312" w:line="360" w:lineRule="auto"/>
        <w:rPr>
          <w:rFonts w:ascii="Arial" w:hAnsi="Arial" w:cs="Arial"/>
          <w:color w:val="000000" w:themeColor="text1"/>
          <w:sz w:val="22"/>
          <w:szCs w:val="24"/>
        </w:rPr>
      </w:pPr>
      <w:r w:rsidRPr="00A06061">
        <w:rPr>
          <w:rFonts w:ascii="Arial" w:hAnsi="Arial" w:cs="Arial"/>
          <w:color w:val="000000" w:themeColor="text1"/>
          <w:sz w:val="22"/>
          <w:szCs w:val="24"/>
        </w:rPr>
        <w:t>In the context of the normalization of the epidemic, hotels, as a service industry, are greatly affected. New media marketing can help hotels communicate with customers better, enhance customer stickiness and strengthen the core competitiveness of hotels. Although the hotel new media marketing is facing many difficulties and challenges, but if we can combine the actual situation of the hotel and the market environment to make appropriate marketing measures, it is very beneficial to the development of the hotel</w:t>
      </w:r>
      <w:r w:rsidR="00A06061">
        <w:rPr>
          <w:rFonts w:ascii="Arial" w:hAnsi="Arial" w:cs="Arial"/>
          <w:color w:val="000000" w:themeColor="text1"/>
          <w:sz w:val="22"/>
          <w:szCs w:val="24"/>
        </w:rPr>
        <w:t xml:space="preserve"> </w:t>
      </w:r>
      <w:r w:rsidR="00A06061">
        <w:rPr>
          <w:rFonts w:ascii="Arial" w:hAnsi="Arial" w:cs="Arial"/>
          <w:color w:val="000000" w:themeColor="text1"/>
          <w:sz w:val="22"/>
          <w:szCs w:val="24"/>
        </w:rPr>
        <w:fldChar w:fldCharType="begin" w:fldLock="1"/>
      </w:r>
      <w:r w:rsidR="00A06061">
        <w:rPr>
          <w:rFonts w:ascii="Arial" w:hAnsi="Arial" w:cs="Arial"/>
          <w:color w:val="000000" w:themeColor="text1"/>
          <w:sz w:val="22"/>
          <w:szCs w:val="24"/>
        </w:rPr>
        <w:instrText>ADDIN CSL_CITATION {"citationItems":[{"id":"ITEM-1","itemData":{"DOI":"10.1080/10548408.2015.1064337","ISSN":"10548408","abstract":"The purpose of this study is to evaluate hotel companies’ social media marketing efforts using the “6Is” social media monitoring framework. More specifically, in this study we set out to understand how hotels disseminate information, engage with consumers, and distribute products through social media. We investigate the presence of the top 133 hotel brands in China on the top domestic Chinese social media sites in order to identify to what extent the hotel industry in China recognizes the potential of this marketing tool. The findings indicate that the majority of the hotels actively and consistently use the Sina Weibo and Wechat platforms for their social media marketing.","author":[{"dropping-particle":"","family":"Denizci Guillet","given":"Basak","non-dropping-particle":"","parse-names":false,"suffix":""},{"dropping-particle":"","family":"Kucukusta","given":"Deniz","non-dropping-particle":"","parse-names":false,"suffix":""},{"dropping-particle":"","family":"Liu","given":"Lu Lucy","non-dropping-particle":"","parse-names":false,"suffix":""}],"container-title":"Journal of Travel and Tourism Marketing","id":"ITEM-1","issue":"6","issued":{"date-parts":[["2016"]]},"page":"783-805","publisher":"Taylor &amp; Francis","title":"An Examination of Social Media Marketing in China: How do the Top 133 Hotel Brands Perform on the Top Four Chinese Social Media Sites?","type":"article-journal","volume":"33"},"uris":["http://www.mendeley.com/documents/?uuid=d3308a2c-2ad2-4cae-9a19-cc100ee416ed"]},{"id":"ITEM-2","itemData":{"ISSN":"1936-8623","author":[{"dropping-particle":"","family":"Choi","given":"Eun-kyong","non-dropping-particle":"","parse-names":false,"suffix":""},{"dropping-particle":"","family":"Fowler","given":"Deborah","non-dropping-particle":"","parse-names":false,"suffix":""},{"dropping-particle":"","family":"Goh","given":"Ben","non-dropping-particle":"","parse-names":false,"suffix":""},{"dropping-particle":"","family":"Yuan","given":"Jingxue","non-dropping-particle":"","parse-names":false,"suffix":""}],"container-title":"Journal of Hospitality Marketing &amp; Management","id":"ITEM-2","issue":"7","issued":{"date-parts":[["2016"]]},"page":"771-796","publisher":"Taylor &amp; Francis","title":"Social media marketing: applying the uses and gratifications theory in the hotel industry","type":"article-journal","volume":"25"},"uris":["http://www.mendeley.com/documents/?uuid=e682c43f-a6f7-46fd-9ba6-6c255cb290e6"]},{"id":"ITEM-3","itemData":{"ISSN":"1054-8408","author":[{"dropping-particle":"","family":"Chan","given":"Nga Ling","non-dropping-particle":"","parse-names":false,"suffix":""},{"dropping-particle":"","family":"Guillet","given":"Basak Denizci","non-dropping-particle":"","parse-names":false,"suffix":""}],"container-title":"Journal of Travel &amp; Tourism Marketing","id":"ITEM-3","issue":"4","issued":{"date-parts":[["2011"]]},"page":"345-368","publisher":"Taylor &amp; Francis","title":"Investigation of social media marketing: how does the hotel industry in Hong Kong perform in marketing on social media websites?","type":"article-journal","volume":"28"},"uris":["http://www.mendeley.com/documents/?uuid=08fdd984-6ba5-4bd9-b18c-47ee13a6f527"]}],"mendeley":{"formattedCitation":"(Chan and Guillet, 2011; Choi &lt;i&gt;et al.&lt;/i&gt;, 2016; Denizci Guillet, Kucukusta and Liu, 2016)","plainTextFormattedCitation":"(Chan and Guillet, 2011; Choi et al., 2016; Denizci Guillet, Kucukusta and Liu, 2016)"},"properties":{"noteIndex":0},"schema":"https://github.com/citation-style-language/schema/raw/master/csl-citation.json"}</w:instrText>
      </w:r>
      <w:r w:rsidR="00A06061">
        <w:rPr>
          <w:rFonts w:ascii="Arial" w:hAnsi="Arial" w:cs="Arial"/>
          <w:color w:val="000000" w:themeColor="text1"/>
          <w:sz w:val="22"/>
          <w:szCs w:val="24"/>
        </w:rPr>
        <w:fldChar w:fldCharType="separate"/>
      </w:r>
      <w:r w:rsidR="00A06061" w:rsidRPr="00A06061">
        <w:rPr>
          <w:rFonts w:ascii="Arial" w:hAnsi="Arial" w:cs="Arial"/>
          <w:noProof/>
          <w:color w:val="000000" w:themeColor="text1"/>
          <w:sz w:val="22"/>
          <w:szCs w:val="24"/>
        </w:rPr>
        <w:t xml:space="preserve">(Chan and Guillet, 2011; Choi </w:t>
      </w:r>
      <w:r w:rsidR="00A06061" w:rsidRPr="00A06061">
        <w:rPr>
          <w:rFonts w:ascii="Arial" w:hAnsi="Arial" w:cs="Arial"/>
          <w:i/>
          <w:noProof/>
          <w:color w:val="000000" w:themeColor="text1"/>
          <w:sz w:val="22"/>
          <w:szCs w:val="24"/>
        </w:rPr>
        <w:t>et al.</w:t>
      </w:r>
      <w:r w:rsidR="00A06061" w:rsidRPr="00A06061">
        <w:rPr>
          <w:rFonts w:ascii="Arial" w:hAnsi="Arial" w:cs="Arial"/>
          <w:noProof/>
          <w:color w:val="000000" w:themeColor="text1"/>
          <w:sz w:val="22"/>
          <w:szCs w:val="24"/>
        </w:rPr>
        <w:t>, 2016; Denizci Guillet, Kucukusta and Liu, 2016)</w:t>
      </w:r>
      <w:r w:rsidR="00A06061">
        <w:rPr>
          <w:rFonts w:ascii="Arial" w:hAnsi="Arial" w:cs="Arial"/>
          <w:color w:val="000000" w:themeColor="text1"/>
          <w:sz w:val="22"/>
          <w:szCs w:val="24"/>
        </w:rPr>
        <w:fldChar w:fldCharType="end"/>
      </w:r>
      <w:r w:rsidRPr="00A06061">
        <w:rPr>
          <w:rFonts w:ascii="Arial" w:hAnsi="Arial" w:cs="Arial"/>
          <w:color w:val="000000" w:themeColor="text1"/>
          <w:sz w:val="22"/>
          <w:szCs w:val="24"/>
        </w:rPr>
        <w:t xml:space="preserve">. New media can help hotels achieve multi-dimensional development and give them more ways to respond when the environment suddenly changes. It is therefore, </w:t>
      </w:r>
      <w:r w:rsidR="00EC432A" w:rsidRPr="00A06061">
        <w:rPr>
          <w:rFonts w:ascii="Arial" w:hAnsi="Arial" w:cs="Arial"/>
          <w:color w:val="000000" w:themeColor="text1"/>
          <w:sz w:val="22"/>
          <w:szCs w:val="24"/>
        </w:rPr>
        <w:t>recommended</w:t>
      </w:r>
      <w:r w:rsidRPr="00A06061">
        <w:rPr>
          <w:rFonts w:ascii="Arial" w:hAnsi="Arial" w:cs="Arial"/>
          <w:color w:val="000000" w:themeColor="text1"/>
          <w:sz w:val="22"/>
          <w:szCs w:val="24"/>
        </w:rPr>
        <w:t xml:space="preserve"> Radisson to </w:t>
      </w:r>
      <w:r w:rsidR="00EC432A" w:rsidRPr="00A06061">
        <w:rPr>
          <w:rFonts w:ascii="Arial" w:hAnsi="Arial" w:cs="Arial"/>
          <w:color w:val="000000" w:themeColor="text1"/>
          <w:sz w:val="22"/>
          <w:szCs w:val="24"/>
        </w:rPr>
        <w:t>prioritized</w:t>
      </w:r>
      <w:r w:rsidRPr="00A06061">
        <w:rPr>
          <w:rFonts w:ascii="Arial" w:hAnsi="Arial" w:cs="Arial"/>
          <w:color w:val="000000" w:themeColor="text1"/>
          <w:sz w:val="22"/>
          <w:szCs w:val="24"/>
        </w:rPr>
        <w:t xml:space="preserve"> new media marketing in their marketing scheme, and use data technologies as </w:t>
      </w:r>
      <w:r w:rsidR="00C575FB" w:rsidRPr="00A06061">
        <w:rPr>
          <w:rFonts w:ascii="Arial" w:hAnsi="Arial" w:cs="Arial"/>
          <w:color w:val="000000" w:themeColor="text1"/>
          <w:sz w:val="22"/>
          <w:szCs w:val="24"/>
        </w:rPr>
        <w:t>an</w:t>
      </w:r>
      <w:r w:rsidRPr="00A06061">
        <w:rPr>
          <w:rFonts w:ascii="Arial" w:hAnsi="Arial" w:cs="Arial"/>
          <w:color w:val="000000" w:themeColor="text1"/>
          <w:sz w:val="22"/>
          <w:szCs w:val="24"/>
        </w:rPr>
        <w:t xml:space="preserve"> underlying supporting </w:t>
      </w:r>
      <w:r w:rsidR="00EC432A" w:rsidRPr="00A06061">
        <w:rPr>
          <w:rFonts w:ascii="Arial" w:hAnsi="Arial" w:cs="Arial"/>
          <w:color w:val="000000" w:themeColor="text1"/>
          <w:sz w:val="22"/>
          <w:szCs w:val="24"/>
        </w:rPr>
        <w:t>facilitator</w:t>
      </w:r>
      <w:r w:rsidRPr="00A06061">
        <w:rPr>
          <w:rFonts w:ascii="Arial" w:hAnsi="Arial" w:cs="Arial"/>
          <w:color w:val="000000" w:themeColor="text1"/>
          <w:sz w:val="22"/>
          <w:szCs w:val="24"/>
        </w:rPr>
        <w:t xml:space="preserve"> to support </w:t>
      </w:r>
      <w:r w:rsidR="00EC432A" w:rsidRPr="00A06061">
        <w:rPr>
          <w:rFonts w:ascii="Arial" w:hAnsi="Arial" w:cs="Arial"/>
          <w:color w:val="000000" w:themeColor="text1"/>
          <w:sz w:val="22"/>
          <w:szCs w:val="24"/>
        </w:rPr>
        <w:t>intelligent</w:t>
      </w:r>
      <w:r w:rsidRPr="00A06061">
        <w:rPr>
          <w:rFonts w:ascii="Arial" w:hAnsi="Arial" w:cs="Arial"/>
          <w:color w:val="000000" w:themeColor="text1"/>
          <w:sz w:val="22"/>
          <w:szCs w:val="24"/>
        </w:rPr>
        <w:t xml:space="preserve"> new media </w:t>
      </w:r>
      <w:r w:rsidR="00EC432A" w:rsidRPr="00A06061">
        <w:rPr>
          <w:rFonts w:ascii="Arial" w:hAnsi="Arial" w:cs="Arial"/>
          <w:color w:val="000000" w:themeColor="text1"/>
          <w:sz w:val="22"/>
          <w:szCs w:val="24"/>
        </w:rPr>
        <w:t>marketing to boost customer travel desires</w:t>
      </w:r>
      <w:r w:rsidR="00C575FB" w:rsidRPr="00A06061">
        <w:rPr>
          <w:rFonts w:ascii="Arial" w:hAnsi="Arial" w:cs="Arial"/>
          <w:color w:val="000000" w:themeColor="text1"/>
          <w:sz w:val="22"/>
          <w:szCs w:val="24"/>
        </w:rPr>
        <w:t xml:space="preserve">. </w:t>
      </w:r>
    </w:p>
    <w:p w14:paraId="687161C6" w14:textId="39620499" w:rsidR="00D000A5" w:rsidRPr="006A1B54" w:rsidRDefault="00EF1BA8" w:rsidP="00C00F09">
      <w:pPr>
        <w:pStyle w:val="1"/>
        <w:spacing w:beforeLines="100" w:before="312" w:afterLines="100" w:after="312" w:line="360" w:lineRule="auto"/>
        <w:rPr>
          <w:rFonts w:ascii="Arial" w:hAnsi="Arial" w:cs="Arial"/>
          <w:color w:val="000000" w:themeColor="text1"/>
        </w:rPr>
      </w:pPr>
      <w:bookmarkStart w:id="11" w:name="_Toc101793028"/>
      <w:r w:rsidRPr="006A1B54">
        <w:rPr>
          <w:rFonts w:ascii="Arial" w:hAnsi="Arial" w:cs="Arial"/>
          <w:color w:val="000000" w:themeColor="text1"/>
        </w:rPr>
        <w:t>4.</w:t>
      </w:r>
      <w:r w:rsidR="00D000A5" w:rsidRPr="006A1B54">
        <w:rPr>
          <w:rFonts w:ascii="Arial" w:hAnsi="Arial" w:cs="Arial"/>
          <w:color w:val="000000" w:themeColor="text1"/>
        </w:rPr>
        <w:t>Conclusion</w:t>
      </w:r>
      <w:bookmarkEnd w:id="11"/>
      <w:r w:rsidR="00D000A5" w:rsidRPr="006A1B54">
        <w:rPr>
          <w:rFonts w:ascii="Arial" w:hAnsi="Arial" w:cs="Arial"/>
          <w:color w:val="000000" w:themeColor="text1"/>
        </w:rPr>
        <w:t xml:space="preserve"> </w:t>
      </w:r>
    </w:p>
    <w:p w14:paraId="7C63920B" w14:textId="290AFF81" w:rsidR="00C575FB" w:rsidRPr="00A06061" w:rsidRDefault="00C575FB" w:rsidP="00C00F09">
      <w:pPr>
        <w:spacing w:beforeLines="100" w:before="312" w:afterLines="100" w:after="312" w:line="360" w:lineRule="auto"/>
        <w:rPr>
          <w:rFonts w:ascii="Arial" w:hAnsi="Arial" w:cs="Arial"/>
          <w:color w:val="000000" w:themeColor="text1"/>
          <w:sz w:val="22"/>
          <w:szCs w:val="24"/>
        </w:rPr>
      </w:pPr>
      <w:r w:rsidRPr="00A06061">
        <w:rPr>
          <w:rFonts w:ascii="Arial" w:hAnsi="Arial" w:cs="Arial"/>
          <w:color w:val="000000" w:themeColor="text1"/>
          <w:sz w:val="22"/>
          <w:szCs w:val="24"/>
        </w:rPr>
        <w:t xml:space="preserve">The environment audit of Radisson indicates the adoption of technology, and the divergence of policies, as well as the growth momentum of leisure travel. A marketing plan centred on using new media directed by the </w:t>
      </w:r>
      <w:proofErr w:type="spellStart"/>
      <w:r w:rsidRPr="00A06061">
        <w:rPr>
          <w:rFonts w:ascii="Arial" w:hAnsi="Arial" w:cs="Arial"/>
          <w:color w:val="000000" w:themeColor="text1"/>
          <w:sz w:val="22"/>
          <w:szCs w:val="24"/>
        </w:rPr>
        <w:t>Glocal</w:t>
      </w:r>
      <w:proofErr w:type="spellEnd"/>
      <w:r w:rsidRPr="00A06061">
        <w:rPr>
          <w:rFonts w:ascii="Arial" w:hAnsi="Arial" w:cs="Arial"/>
          <w:color w:val="000000" w:themeColor="text1"/>
          <w:sz w:val="22"/>
          <w:szCs w:val="24"/>
        </w:rPr>
        <w:t xml:space="preserve"> strategy in each market to boost the customer travel desire is promoted with an aim to realize the objective of realizing 75% of occupancy rate as a whole, and 80% in the leisure sector. </w:t>
      </w:r>
    </w:p>
    <w:p w14:paraId="25F8C87D" w14:textId="543027F8" w:rsidR="00472EE9" w:rsidRDefault="00472EE9" w:rsidP="00C00F09">
      <w:pPr>
        <w:spacing w:beforeLines="100" w:before="312" w:afterLines="100" w:after="312" w:line="360" w:lineRule="auto"/>
        <w:rPr>
          <w:rFonts w:ascii="Arial" w:hAnsi="Arial" w:cs="Arial"/>
          <w:color w:val="000000" w:themeColor="text1"/>
        </w:rPr>
      </w:pPr>
    </w:p>
    <w:p w14:paraId="567A36A6" w14:textId="298F6B2D" w:rsidR="00472EE9" w:rsidRDefault="00472EE9" w:rsidP="00C00F09">
      <w:pPr>
        <w:spacing w:beforeLines="100" w:before="312" w:afterLines="100" w:after="312" w:line="360" w:lineRule="auto"/>
        <w:rPr>
          <w:rFonts w:ascii="Arial" w:hAnsi="Arial" w:cs="Arial"/>
          <w:color w:val="000000" w:themeColor="text1"/>
        </w:rPr>
      </w:pPr>
    </w:p>
    <w:p w14:paraId="2DAE8763" w14:textId="549E58A2" w:rsidR="00472EE9" w:rsidRDefault="00472EE9" w:rsidP="00C00F09">
      <w:pPr>
        <w:widowControl/>
        <w:spacing w:beforeLines="100" w:before="312" w:afterLines="100" w:after="312" w:line="360" w:lineRule="auto"/>
        <w:jc w:val="left"/>
        <w:rPr>
          <w:rFonts w:ascii="Arial" w:hAnsi="Arial" w:cs="Arial"/>
          <w:color w:val="000000" w:themeColor="text1"/>
        </w:rPr>
      </w:pPr>
    </w:p>
    <w:p w14:paraId="5538AC46" w14:textId="064C9576" w:rsidR="00472EE9" w:rsidRDefault="00472EE9" w:rsidP="00C00F09">
      <w:pPr>
        <w:pStyle w:val="1"/>
        <w:spacing w:beforeLines="100" w:before="312" w:afterLines="100" w:after="312" w:line="360" w:lineRule="auto"/>
      </w:pPr>
      <w:r>
        <w:lastRenderedPageBreak/>
        <w:t>References:</w:t>
      </w:r>
    </w:p>
    <w:p w14:paraId="49BBAD32" w14:textId="26D75E90" w:rsidR="00A06061" w:rsidRPr="00A06061" w:rsidRDefault="00472EE9" w:rsidP="00A06061">
      <w:pPr>
        <w:autoSpaceDE w:val="0"/>
        <w:autoSpaceDN w:val="0"/>
        <w:adjustRightInd w:val="0"/>
        <w:spacing w:before="320" w:after="320" w:line="360" w:lineRule="auto"/>
        <w:jc w:val="left"/>
        <w:rPr>
          <w:rFonts w:ascii="Arial" w:hAnsi="Arial" w:cs="Arial"/>
          <w:noProof/>
          <w:kern w:val="0"/>
          <w:sz w:val="22"/>
          <w:szCs w:val="24"/>
        </w:rPr>
      </w:pPr>
      <w:r w:rsidRPr="00A06061">
        <w:rPr>
          <w:rFonts w:ascii="Arial" w:hAnsi="Arial" w:cs="Arial"/>
          <w:color w:val="000000" w:themeColor="text1"/>
          <w:sz w:val="22"/>
        </w:rPr>
        <w:fldChar w:fldCharType="begin" w:fldLock="1"/>
      </w:r>
      <w:r w:rsidRPr="00A06061">
        <w:rPr>
          <w:rFonts w:ascii="Arial" w:hAnsi="Arial" w:cs="Arial"/>
          <w:color w:val="000000" w:themeColor="text1"/>
          <w:sz w:val="22"/>
        </w:rPr>
        <w:instrText xml:space="preserve">ADDIN Mendeley Bibliography CSL_BIBLIOGRAPHY </w:instrText>
      </w:r>
      <w:r w:rsidRPr="00A06061">
        <w:rPr>
          <w:rFonts w:ascii="Arial" w:hAnsi="Arial" w:cs="Arial"/>
          <w:color w:val="000000" w:themeColor="text1"/>
          <w:sz w:val="22"/>
        </w:rPr>
        <w:fldChar w:fldCharType="separate"/>
      </w:r>
      <w:r w:rsidR="00A06061" w:rsidRPr="00A06061">
        <w:rPr>
          <w:rFonts w:ascii="Arial" w:hAnsi="Arial" w:cs="Arial"/>
          <w:noProof/>
          <w:kern w:val="0"/>
          <w:sz w:val="22"/>
          <w:szCs w:val="24"/>
        </w:rPr>
        <w:t>Accenture (2022) ‘Post-Pandemic Travel: Business or Leisure? ’.</w:t>
      </w:r>
    </w:p>
    <w:p w14:paraId="3FF02923" w14:textId="77777777" w:rsidR="00A06061" w:rsidRPr="00A06061" w:rsidRDefault="00A06061" w:rsidP="00A06061">
      <w:pPr>
        <w:autoSpaceDE w:val="0"/>
        <w:autoSpaceDN w:val="0"/>
        <w:adjustRightInd w:val="0"/>
        <w:spacing w:before="320" w:after="320" w:line="360" w:lineRule="auto"/>
        <w:jc w:val="left"/>
        <w:rPr>
          <w:rFonts w:ascii="Arial" w:hAnsi="Arial" w:cs="Arial"/>
          <w:noProof/>
          <w:kern w:val="0"/>
          <w:sz w:val="22"/>
          <w:szCs w:val="24"/>
        </w:rPr>
      </w:pPr>
      <w:r w:rsidRPr="00A06061">
        <w:rPr>
          <w:rFonts w:ascii="Arial" w:hAnsi="Arial" w:cs="Arial"/>
          <w:noProof/>
          <w:kern w:val="0"/>
          <w:sz w:val="22"/>
          <w:szCs w:val="24"/>
        </w:rPr>
        <w:t xml:space="preserve">Alves, H., Fernandes, C. and Raposo, M. (2016) ‘Social media marketing: a literature review and implications’, </w:t>
      </w:r>
      <w:r w:rsidRPr="00A06061">
        <w:rPr>
          <w:rFonts w:ascii="Arial" w:hAnsi="Arial" w:cs="Arial"/>
          <w:i/>
          <w:iCs/>
          <w:noProof/>
          <w:kern w:val="0"/>
          <w:sz w:val="22"/>
          <w:szCs w:val="24"/>
        </w:rPr>
        <w:t>Psychology &amp; Marketing</w:t>
      </w:r>
      <w:r w:rsidRPr="00A06061">
        <w:rPr>
          <w:rFonts w:ascii="Arial" w:hAnsi="Arial" w:cs="Arial"/>
          <w:noProof/>
          <w:kern w:val="0"/>
          <w:sz w:val="22"/>
          <w:szCs w:val="24"/>
        </w:rPr>
        <w:t>, 33(12), pp. 1029–1038.</w:t>
      </w:r>
    </w:p>
    <w:p w14:paraId="7B66F29C" w14:textId="77777777" w:rsidR="00A06061" w:rsidRPr="00A06061" w:rsidRDefault="00A06061" w:rsidP="00A06061">
      <w:pPr>
        <w:autoSpaceDE w:val="0"/>
        <w:autoSpaceDN w:val="0"/>
        <w:adjustRightInd w:val="0"/>
        <w:spacing w:before="320" w:after="320" w:line="360" w:lineRule="auto"/>
        <w:jc w:val="left"/>
        <w:rPr>
          <w:rFonts w:ascii="Arial" w:hAnsi="Arial" w:cs="Arial"/>
          <w:noProof/>
          <w:kern w:val="0"/>
          <w:sz w:val="22"/>
          <w:szCs w:val="24"/>
        </w:rPr>
      </w:pPr>
      <w:r w:rsidRPr="00A06061">
        <w:rPr>
          <w:rFonts w:ascii="Arial" w:hAnsi="Arial" w:cs="Arial"/>
          <w:noProof/>
          <w:kern w:val="0"/>
          <w:sz w:val="22"/>
          <w:szCs w:val="24"/>
        </w:rPr>
        <w:t xml:space="preserve">Cave, J. and Jolliffe, L. (2013) </w:t>
      </w:r>
      <w:r w:rsidRPr="00A06061">
        <w:rPr>
          <w:rFonts w:ascii="Arial" w:hAnsi="Arial" w:cs="Arial"/>
          <w:i/>
          <w:iCs/>
          <w:noProof/>
          <w:kern w:val="0"/>
          <w:sz w:val="22"/>
          <w:szCs w:val="24"/>
        </w:rPr>
        <w:t>Tourism and souvenirs: Glocal perspectives from the margins</w:t>
      </w:r>
      <w:r w:rsidRPr="00A06061">
        <w:rPr>
          <w:rFonts w:ascii="Arial" w:hAnsi="Arial" w:cs="Arial"/>
          <w:noProof/>
          <w:kern w:val="0"/>
          <w:sz w:val="22"/>
          <w:szCs w:val="24"/>
        </w:rPr>
        <w:t>. Channel View Publications.</w:t>
      </w:r>
    </w:p>
    <w:p w14:paraId="37765524" w14:textId="77777777" w:rsidR="00A06061" w:rsidRPr="00A06061" w:rsidRDefault="00A06061" w:rsidP="00A06061">
      <w:pPr>
        <w:autoSpaceDE w:val="0"/>
        <w:autoSpaceDN w:val="0"/>
        <w:adjustRightInd w:val="0"/>
        <w:spacing w:before="320" w:after="320" w:line="360" w:lineRule="auto"/>
        <w:jc w:val="left"/>
        <w:rPr>
          <w:rFonts w:ascii="Arial" w:hAnsi="Arial" w:cs="Arial"/>
          <w:noProof/>
          <w:kern w:val="0"/>
          <w:sz w:val="22"/>
          <w:szCs w:val="24"/>
        </w:rPr>
      </w:pPr>
      <w:r w:rsidRPr="00A06061">
        <w:rPr>
          <w:rFonts w:ascii="Arial" w:hAnsi="Arial" w:cs="Arial"/>
          <w:noProof/>
          <w:kern w:val="0"/>
          <w:sz w:val="22"/>
          <w:szCs w:val="24"/>
        </w:rPr>
        <w:t xml:space="preserve">Chan, N. L. and Guillet, B. D. (2011) ‘Investigation of social media marketing: how does the hotel industry in Hong Kong perform in marketing on social media websites?’, </w:t>
      </w:r>
      <w:r w:rsidRPr="00A06061">
        <w:rPr>
          <w:rFonts w:ascii="Arial" w:hAnsi="Arial" w:cs="Arial"/>
          <w:i/>
          <w:iCs/>
          <w:noProof/>
          <w:kern w:val="0"/>
          <w:sz w:val="22"/>
          <w:szCs w:val="24"/>
        </w:rPr>
        <w:t>Journal of Travel &amp; Tourism Marketing</w:t>
      </w:r>
      <w:r w:rsidRPr="00A06061">
        <w:rPr>
          <w:rFonts w:ascii="Arial" w:hAnsi="Arial" w:cs="Arial"/>
          <w:noProof/>
          <w:kern w:val="0"/>
          <w:sz w:val="22"/>
          <w:szCs w:val="24"/>
        </w:rPr>
        <w:t>, 28(4), pp. 345–368.</w:t>
      </w:r>
    </w:p>
    <w:p w14:paraId="51AD1354" w14:textId="77777777" w:rsidR="00A06061" w:rsidRPr="00A06061" w:rsidRDefault="00A06061" w:rsidP="00A06061">
      <w:pPr>
        <w:autoSpaceDE w:val="0"/>
        <w:autoSpaceDN w:val="0"/>
        <w:adjustRightInd w:val="0"/>
        <w:spacing w:before="320" w:after="320" w:line="360" w:lineRule="auto"/>
        <w:jc w:val="left"/>
        <w:rPr>
          <w:rFonts w:ascii="Arial" w:hAnsi="Arial" w:cs="Arial"/>
          <w:noProof/>
          <w:kern w:val="0"/>
          <w:sz w:val="22"/>
          <w:szCs w:val="24"/>
        </w:rPr>
      </w:pPr>
      <w:r w:rsidRPr="00A06061">
        <w:rPr>
          <w:rFonts w:ascii="Arial" w:hAnsi="Arial" w:cs="Arial"/>
          <w:noProof/>
          <w:kern w:val="0"/>
          <w:sz w:val="22"/>
          <w:szCs w:val="24"/>
        </w:rPr>
        <w:t xml:space="preserve">Chen, S. H. </w:t>
      </w:r>
      <w:r w:rsidRPr="00A06061">
        <w:rPr>
          <w:rFonts w:ascii="Arial" w:hAnsi="Arial" w:cs="Arial"/>
          <w:i/>
          <w:iCs/>
          <w:noProof/>
          <w:kern w:val="0"/>
          <w:sz w:val="22"/>
          <w:szCs w:val="24"/>
        </w:rPr>
        <w:t>et al.</w:t>
      </w:r>
      <w:r w:rsidRPr="00A06061">
        <w:rPr>
          <w:rFonts w:ascii="Arial" w:hAnsi="Arial" w:cs="Arial"/>
          <w:noProof/>
          <w:kern w:val="0"/>
          <w:sz w:val="22"/>
          <w:szCs w:val="24"/>
        </w:rPr>
        <w:t xml:space="preserve"> (2021) ‘Hospitality services in the post COVID-19 era: Are we ready for high-tech and no touch service delivery in smart hotels?’, </w:t>
      </w:r>
      <w:r w:rsidRPr="00A06061">
        <w:rPr>
          <w:rFonts w:ascii="Arial" w:hAnsi="Arial" w:cs="Arial"/>
          <w:i/>
          <w:iCs/>
          <w:noProof/>
          <w:kern w:val="0"/>
          <w:sz w:val="22"/>
          <w:szCs w:val="24"/>
        </w:rPr>
        <w:t>Journal of Hospitality Marketing and Management</w:t>
      </w:r>
      <w:r w:rsidRPr="00A06061">
        <w:rPr>
          <w:rFonts w:ascii="Arial" w:hAnsi="Arial" w:cs="Arial"/>
          <w:noProof/>
          <w:kern w:val="0"/>
          <w:sz w:val="22"/>
          <w:szCs w:val="24"/>
        </w:rPr>
        <w:t>, 30(8), pp. 905–928. doi: 10.1080/19368623.2021.1916669.</w:t>
      </w:r>
    </w:p>
    <w:p w14:paraId="77CB61C4" w14:textId="77777777" w:rsidR="00A06061" w:rsidRPr="00A06061" w:rsidRDefault="00A06061" w:rsidP="00A06061">
      <w:pPr>
        <w:autoSpaceDE w:val="0"/>
        <w:autoSpaceDN w:val="0"/>
        <w:adjustRightInd w:val="0"/>
        <w:spacing w:before="320" w:after="320" w:line="360" w:lineRule="auto"/>
        <w:jc w:val="left"/>
        <w:rPr>
          <w:rFonts w:ascii="Arial" w:hAnsi="Arial" w:cs="Arial"/>
          <w:noProof/>
          <w:kern w:val="0"/>
          <w:sz w:val="22"/>
          <w:szCs w:val="24"/>
        </w:rPr>
      </w:pPr>
      <w:r w:rsidRPr="00A06061">
        <w:rPr>
          <w:rFonts w:ascii="Arial" w:hAnsi="Arial" w:cs="Arial"/>
          <w:noProof/>
          <w:kern w:val="0"/>
          <w:sz w:val="22"/>
          <w:szCs w:val="24"/>
        </w:rPr>
        <w:t xml:space="preserve">Choi, E. </w:t>
      </w:r>
      <w:r w:rsidRPr="00A06061">
        <w:rPr>
          <w:rFonts w:ascii="Arial" w:hAnsi="Arial" w:cs="Arial"/>
          <w:i/>
          <w:iCs/>
          <w:noProof/>
          <w:kern w:val="0"/>
          <w:sz w:val="22"/>
          <w:szCs w:val="24"/>
        </w:rPr>
        <w:t>et al.</w:t>
      </w:r>
      <w:r w:rsidRPr="00A06061">
        <w:rPr>
          <w:rFonts w:ascii="Arial" w:hAnsi="Arial" w:cs="Arial"/>
          <w:noProof/>
          <w:kern w:val="0"/>
          <w:sz w:val="22"/>
          <w:szCs w:val="24"/>
        </w:rPr>
        <w:t xml:space="preserve"> (2016) ‘Social media marketing: applying the uses and gratifications theory in the hotel industry’, </w:t>
      </w:r>
      <w:r w:rsidRPr="00A06061">
        <w:rPr>
          <w:rFonts w:ascii="Arial" w:hAnsi="Arial" w:cs="Arial"/>
          <w:i/>
          <w:iCs/>
          <w:noProof/>
          <w:kern w:val="0"/>
          <w:sz w:val="22"/>
          <w:szCs w:val="24"/>
        </w:rPr>
        <w:t>Journal of Hospitality Marketing &amp; Management</w:t>
      </w:r>
      <w:r w:rsidRPr="00A06061">
        <w:rPr>
          <w:rFonts w:ascii="Arial" w:hAnsi="Arial" w:cs="Arial"/>
          <w:noProof/>
          <w:kern w:val="0"/>
          <w:sz w:val="22"/>
          <w:szCs w:val="24"/>
        </w:rPr>
        <w:t>, 25(7), pp. 771–796.</w:t>
      </w:r>
    </w:p>
    <w:p w14:paraId="50729DC1" w14:textId="77777777" w:rsidR="00A06061" w:rsidRPr="00A06061" w:rsidRDefault="00A06061" w:rsidP="00A06061">
      <w:pPr>
        <w:autoSpaceDE w:val="0"/>
        <w:autoSpaceDN w:val="0"/>
        <w:adjustRightInd w:val="0"/>
        <w:spacing w:before="320" w:after="320" w:line="360" w:lineRule="auto"/>
        <w:jc w:val="left"/>
        <w:rPr>
          <w:rFonts w:ascii="Arial" w:hAnsi="Arial" w:cs="Arial"/>
          <w:noProof/>
          <w:kern w:val="0"/>
          <w:sz w:val="22"/>
          <w:szCs w:val="24"/>
        </w:rPr>
      </w:pPr>
      <w:r w:rsidRPr="00A06061">
        <w:rPr>
          <w:rFonts w:ascii="Arial" w:hAnsi="Arial" w:cs="Arial"/>
          <w:noProof/>
          <w:kern w:val="0"/>
          <w:sz w:val="22"/>
          <w:szCs w:val="24"/>
        </w:rPr>
        <w:t xml:space="preserve">Davahli, M. R. </w:t>
      </w:r>
      <w:r w:rsidRPr="00A06061">
        <w:rPr>
          <w:rFonts w:ascii="Arial" w:hAnsi="Arial" w:cs="Arial"/>
          <w:i/>
          <w:iCs/>
          <w:noProof/>
          <w:kern w:val="0"/>
          <w:sz w:val="22"/>
          <w:szCs w:val="24"/>
        </w:rPr>
        <w:t>et al.</w:t>
      </w:r>
      <w:r w:rsidRPr="00A06061">
        <w:rPr>
          <w:rFonts w:ascii="Arial" w:hAnsi="Arial" w:cs="Arial"/>
          <w:noProof/>
          <w:kern w:val="0"/>
          <w:sz w:val="22"/>
          <w:szCs w:val="24"/>
        </w:rPr>
        <w:t xml:space="preserve"> (2020) ‘The hospitality industry in the face of the COVID-19 pandemic: Current topics and research methods’, </w:t>
      </w:r>
      <w:r w:rsidRPr="00A06061">
        <w:rPr>
          <w:rFonts w:ascii="Arial" w:hAnsi="Arial" w:cs="Arial"/>
          <w:i/>
          <w:iCs/>
          <w:noProof/>
          <w:kern w:val="0"/>
          <w:sz w:val="22"/>
          <w:szCs w:val="24"/>
        </w:rPr>
        <w:t>International Journal of Environmental Research and Public Health</w:t>
      </w:r>
      <w:r w:rsidRPr="00A06061">
        <w:rPr>
          <w:rFonts w:ascii="Arial" w:hAnsi="Arial" w:cs="Arial"/>
          <w:noProof/>
          <w:kern w:val="0"/>
          <w:sz w:val="22"/>
          <w:szCs w:val="24"/>
        </w:rPr>
        <w:t>, 17(20), pp. 7366–7382.</w:t>
      </w:r>
    </w:p>
    <w:p w14:paraId="581AD133" w14:textId="77777777" w:rsidR="00A06061" w:rsidRPr="00A06061" w:rsidRDefault="00A06061" w:rsidP="00A06061">
      <w:pPr>
        <w:autoSpaceDE w:val="0"/>
        <w:autoSpaceDN w:val="0"/>
        <w:adjustRightInd w:val="0"/>
        <w:spacing w:before="320" w:after="320" w:line="360" w:lineRule="auto"/>
        <w:jc w:val="left"/>
        <w:rPr>
          <w:rFonts w:ascii="Arial" w:hAnsi="Arial" w:cs="Arial"/>
          <w:noProof/>
          <w:kern w:val="0"/>
          <w:sz w:val="22"/>
          <w:szCs w:val="24"/>
        </w:rPr>
      </w:pPr>
      <w:r w:rsidRPr="00A06061">
        <w:rPr>
          <w:rFonts w:ascii="Arial" w:hAnsi="Arial" w:cs="Arial"/>
          <w:noProof/>
          <w:kern w:val="0"/>
          <w:sz w:val="22"/>
          <w:szCs w:val="24"/>
        </w:rPr>
        <w:t xml:space="preserve">Denizci Guillet, B., Kucukusta, D. and Liu, L. L. (2016) ‘An Examination of Social Media Marketing in China: How do the Top 133 Hotel Brands Perform on the Top Four Chinese Social Media Sites?’, </w:t>
      </w:r>
      <w:r w:rsidRPr="00A06061">
        <w:rPr>
          <w:rFonts w:ascii="Arial" w:hAnsi="Arial" w:cs="Arial"/>
          <w:i/>
          <w:iCs/>
          <w:noProof/>
          <w:kern w:val="0"/>
          <w:sz w:val="22"/>
          <w:szCs w:val="24"/>
        </w:rPr>
        <w:t>Journal of Travel and Tourism Marketing</w:t>
      </w:r>
      <w:r w:rsidRPr="00A06061">
        <w:rPr>
          <w:rFonts w:ascii="Arial" w:hAnsi="Arial" w:cs="Arial"/>
          <w:noProof/>
          <w:kern w:val="0"/>
          <w:sz w:val="22"/>
          <w:szCs w:val="24"/>
        </w:rPr>
        <w:t>, 33(6), pp. 783–805. doi: 10.1080/10548408.2015.1064337.</w:t>
      </w:r>
    </w:p>
    <w:p w14:paraId="17D8746F" w14:textId="77777777" w:rsidR="00A06061" w:rsidRPr="00A06061" w:rsidRDefault="00A06061" w:rsidP="00A06061">
      <w:pPr>
        <w:autoSpaceDE w:val="0"/>
        <w:autoSpaceDN w:val="0"/>
        <w:adjustRightInd w:val="0"/>
        <w:spacing w:before="320" w:after="320" w:line="360" w:lineRule="auto"/>
        <w:jc w:val="left"/>
        <w:rPr>
          <w:rFonts w:ascii="Arial" w:hAnsi="Arial" w:cs="Arial"/>
          <w:noProof/>
          <w:kern w:val="0"/>
          <w:sz w:val="22"/>
          <w:szCs w:val="24"/>
        </w:rPr>
      </w:pPr>
      <w:r w:rsidRPr="00A06061">
        <w:rPr>
          <w:rFonts w:ascii="Arial" w:hAnsi="Arial" w:cs="Arial"/>
          <w:noProof/>
          <w:kern w:val="0"/>
          <w:sz w:val="22"/>
          <w:szCs w:val="24"/>
        </w:rPr>
        <w:t xml:space="preserve">Evans, D., Bratton, S. and McKee, J. (2021) </w:t>
      </w:r>
      <w:r w:rsidRPr="00A06061">
        <w:rPr>
          <w:rFonts w:ascii="Arial" w:hAnsi="Arial" w:cs="Arial"/>
          <w:i/>
          <w:iCs/>
          <w:noProof/>
          <w:kern w:val="0"/>
          <w:sz w:val="22"/>
          <w:szCs w:val="24"/>
        </w:rPr>
        <w:t>Social media marketing</w:t>
      </w:r>
      <w:r w:rsidRPr="00A06061">
        <w:rPr>
          <w:rFonts w:ascii="Arial" w:hAnsi="Arial" w:cs="Arial"/>
          <w:noProof/>
          <w:kern w:val="0"/>
          <w:sz w:val="22"/>
          <w:szCs w:val="24"/>
        </w:rPr>
        <w:t>. AG Printing &amp; Publishing.</w:t>
      </w:r>
    </w:p>
    <w:p w14:paraId="65F7972B" w14:textId="77777777" w:rsidR="00A06061" w:rsidRPr="00A06061" w:rsidRDefault="00A06061" w:rsidP="00A06061">
      <w:pPr>
        <w:autoSpaceDE w:val="0"/>
        <w:autoSpaceDN w:val="0"/>
        <w:adjustRightInd w:val="0"/>
        <w:spacing w:before="320" w:after="320" w:line="360" w:lineRule="auto"/>
        <w:jc w:val="left"/>
        <w:rPr>
          <w:rFonts w:ascii="Arial" w:hAnsi="Arial" w:cs="Arial"/>
          <w:noProof/>
          <w:kern w:val="0"/>
          <w:sz w:val="22"/>
          <w:szCs w:val="24"/>
        </w:rPr>
      </w:pPr>
      <w:r w:rsidRPr="00A06061">
        <w:rPr>
          <w:rFonts w:ascii="Arial" w:hAnsi="Arial" w:cs="Arial"/>
          <w:noProof/>
          <w:kern w:val="0"/>
          <w:sz w:val="22"/>
          <w:szCs w:val="24"/>
        </w:rPr>
        <w:lastRenderedPageBreak/>
        <w:t xml:space="preserve">Gursoy, D. and Chi, C. G. (2020) ‘Effects of COVID-19 pandemic on hospitality industry: review of the current situations and a research agenda’, </w:t>
      </w:r>
      <w:r w:rsidRPr="00A06061">
        <w:rPr>
          <w:rFonts w:ascii="Arial" w:hAnsi="Arial" w:cs="Arial"/>
          <w:i/>
          <w:iCs/>
          <w:noProof/>
          <w:kern w:val="0"/>
          <w:sz w:val="22"/>
          <w:szCs w:val="24"/>
        </w:rPr>
        <w:t>Journal of Hospitality Marketing &amp; Management</w:t>
      </w:r>
      <w:r w:rsidRPr="00A06061">
        <w:rPr>
          <w:rFonts w:ascii="Arial" w:hAnsi="Arial" w:cs="Arial"/>
          <w:noProof/>
          <w:kern w:val="0"/>
          <w:sz w:val="22"/>
          <w:szCs w:val="24"/>
        </w:rPr>
        <w:t>, 29(5), pp. 527–529.</w:t>
      </w:r>
    </w:p>
    <w:p w14:paraId="666F4C72" w14:textId="77777777" w:rsidR="00A06061" w:rsidRPr="00A06061" w:rsidRDefault="00A06061" w:rsidP="00A06061">
      <w:pPr>
        <w:autoSpaceDE w:val="0"/>
        <w:autoSpaceDN w:val="0"/>
        <w:adjustRightInd w:val="0"/>
        <w:spacing w:before="320" w:after="320" w:line="360" w:lineRule="auto"/>
        <w:jc w:val="left"/>
        <w:rPr>
          <w:rFonts w:ascii="Arial" w:hAnsi="Arial" w:cs="Arial"/>
          <w:noProof/>
          <w:kern w:val="0"/>
          <w:sz w:val="22"/>
          <w:szCs w:val="24"/>
        </w:rPr>
      </w:pPr>
      <w:r w:rsidRPr="00A06061">
        <w:rPr>
          <w:rFonts w:ascii="Arial" w:hAnsi="Arial" w:cs="Arial"/>
          <w:noProof/>
          <w:kern w:val="0"/>
          <w:sz w:val="22"/>
          <w:szCs w:val="24"/>
        </w:rPr>
        <w:t xml:space="preserve">Hung, W.-T., Shang, J.-K. and Wang, F.-C. (2010) ‘Pricing determinants in the hotel industry: Quantile regression analysis’, </w:t>
      </w:r>
      <w:r w:rsidRPr="00A06061">
        <w:rPr>
          <w:rFonts w:ascii="Arial" w:hAnsi="Arial" w:cs="Arial"/>
          <w:i/>
          <w:iCs/>
          <w:noProof/>
          <w:kern w:val="0"/>
          <w:sz w:val="22"/>
          <w:szCs w:val="24"/>
        </w:rPr>
        <w:t>International Journal of Hospitality Management</w:t>
      </w:r>
      <w:r w:rsidRPr="00A06061">
        <w:rPr>
          <w:rFonts w:ascii="Arial" w:hAnsi="Arial" w:cs="Arial"/>
          <w:noProof/>
          <w:kern w:val="0"/>
          <w:sz w:val="22"/>
          <w:szCs w:val="24"/>
        </w:rPr>
        <w:t>, 29(3), pp. 378–384.</w:t>
      </w:r>
    </w:p>
    <w:p w14:paraId="56D4ACF8" w14:textId="77777777" w:rsidR="00A06061" w:rsidRPr="00A06061" w:rsidRDefault="00A06061" w:rsidP="00A06061">
      <w:pPr>
        <w:autoSpaceDE w:val="0"/>
        <w:autoSpaceDN w:val="0"/>
        <w:adjustRightInd w:val="0"/>
        <w:spacing w:before="320" w:after="320" w:line="360" w:lineRule="auto"/>
        <w:jc w:val="left"/>
        <w:rPr>
          <w:rFonts w:ascii="Arial" w:hAnsi="Arial" w:cs="Arial"/>
          <w:noProof/>
          <w:kern w:val="0"/>
          <w:sz w:val="22"/>
          <w:szCs w:val="24"/>
        </w:rPr>
      </w:pPr>
      <w:r w:rsidRPr="00A06061">
        <w:rPr>
          <w:rFonts w:ascii="Arial" w:hAnsi="Arial" w:cs="Arial"/>
          <w:noProof/>
          <w:kern w:val="0"/>
          <w:sz w:val="22"/>
          <w:szCs w:val="24"/>
        </w:rPr>
        <w:t xml:space="preserve">Leung, X. Y., Bai, B. and Stahura, K. A. (2015) ‘The marketing effectiveness of social media in the hotel industry: A comparison of Facebook and Twitter’, </w:t>
      </w:r>
      <w:r w:rsidRPr="00A06061">
        <w:rPr>
          <w:rFonts w:ascii="Arial" w:hAnsi="Arial" w:cs="Arial"/>
          <w:i/>
          <w:iCs/>
          <w:noProof/>
          <w:kern w:val="0"/>
          <w:sz w:val="22"/>
          <w:szCs w:val="24"/>
        </w:rPr>
        <w:t>Journal of Hospitality &amp; Tourism Research</w:t>
      </w:r>
      <w:r w:rsidRPr="00A06061">
        <w:rPr>
          <w:rFonts w:ascii="Arial" w:hAnsi="Arial" w:cs="Arial"/>
          <w:noProof/>
          <w:kern w:val="0"/>
          <w:sz w:val="22"/>
          <w:szCs w:val="24"/>
        </w:rPr>
        <w:t>, 39(2), pp. 147–169.</w:t>
      </w:r>
    </w:p>
    <w:p w14:paraId="37FC9417" w14:textId="77777777" w:rsidR="00A06061" w:rsidRPr="00A06061" w:rsidRDefault="00A06061" w:rsidP="00A06061">
      <w:pPr>
        <w:autoSpaceDE w:val="0"/>
        <w:autoSpaceDN w:val="0"/>
        <w:adjustRightInd w:val="0"/>
        <w:spacing w:before="320" w:after="320" w:line="360" w:lineRule="auto"/>
        <w:jc w:val="left"/>
        <w:rPr>
          <w:rFonts w:ascii="Arial" w:hAnsi="Arial" w:cs="Arial"/>
          <w:noProof/>
          <w:kern w:val="0"/>
          <w:sz w:val="22"/>
          <w:szCs w:val="24"/>
        </w:rPr>
      </w:pPr>
      <w:r w:rsidRPr="00A06061">
        <w:rPr>
          <w:rFonts w:ascii="Arial" w:hAnsi="Arial" w:cs="Arial"/>
          <w:noProof/>
          <w:kern w:val="0"/>
          <w:sz w:val="22"/>
          <w:szCs w:val="24"/>
        </w:rPr>
        <w:t xml:space="preserve">Liu, J., Liu, M. and Liang, W. (2022) ‘The Dynamic COVID-Zero Strategy in China’, </w:t>
      </w:r>
      <w:r w:rsidRPr="00A06061">
        <w:rPr>
          <w:rFonts w:ascii="Arial" w:hAnsi="Arial" w:cs="Arial"/>
          <w:i/>
          <w:iCs/>
          <w:noProof/>
          <w:kern w:val="0"/>
          <w:sz w:val="22"/>
          <w:szCs w:val="24"/>
        </w:rPr>
        <w:t>China CDC Weekly</w:t>
      </w:r>
      <w:r w:rsidRPr="00A06061">
        <w:rPr>
          <w:rFonts w:ascii="Arial" w:hAnsi="Arial" w:cs="Arial"/>
          <w:noProof/>
          <w:kern w:val="0"/>
          <w:sz w:val="22"/>
          <w:szCs w:val="24"/>
        </w:rPr>
        <w:t>, 4(4), pp. 74–75.</w:t>
      </w:r>
    </w:p>
    <w:p w14:paraId="6FCA02B4" w14:textId="77777777" w:rsidR="00A06061" w:rsidRPr="00A06061" w:rsidRDefault="00A06061" w:rsidP="00A06061">
      <w:pPr>
        <w:autoSpaceDE w:val="0"/>
        <w:autoSpaceDN w:val="0"/>
        <w:adjustRightInd w:val="0"/>
        <w:spacing w:before="320" w:after="320" w:line="360" w:lineRule="auto"/>
        <w:jc w:val="left"/>
        <w:rPr>
          <w:rFonts w:ascii="Arial" w:hAnsi="Arial" w:cs="Arial"/>
          <w:noProof/>
          <w:kern w:val="0"/>
          <w:sz w:val="22"/>
          <w:szCs w:val="24"/>
        </w:rPr>
      </w:pPr>
      <w:r w:rsidRPr="00A06061">
        <w:rPr>
          <w:rFonts w:ascii="Arial" w:hAnsi="Arial" w:cs="Arial"/>
          <w:noProof/>
          <w:kern w:val="0"/>
          <w:sz w:val="22"/>
          <w:szCs w:val="24"/>
        </w:rPr>
        <w:t xml:space="preserve">Morrone, D. </w:t>
      </w:r>
      <w:r w:rsidRPr="00A06061">
        <w:rPr>
          <w:rFonts w:ascii="Arial" w:hAnsi="Arial" w:cs="Arial"/>
          <w:i/>
          <w:iCs/>
          <w:noProof/>
          <w:kern w:val="0"/>
          <w:sz w:val="22"/>
          <w:szCs w:val="24"/>
        </w:rPr>
        <w:t>et al.</w:t>
      </w:r>
      <w:r w:rsidRPr="00A06061">
        <w:rPr>
          <w:rFonts w:ascii="Arial" w:hAnsi="Arial" w:cs="Arial"/>
          <w:noProof/>
          <w:kern w:val="0"/>
          <w:sz w:val="22"/>
          <w:szCs w:val="24"/>
        </w:rPr>
        <w:t xml:space="preserve"> (2021) ‘Digitalisation in the hospitality industry: motivations, effects and role of Covid-19’, </w:t>
      </w:r>
      <w:r w:rsidRPr="00A06061">
        <w:rPr>
          <w:rFonts w:ascii="Arial" w:hAnsi="Arial" w:cs="Arial"/>
          <w:i/>
          <w:iCs/>
          <w:noProof/>
          <w:kern w:val="0"/>
          <w:sz w:val="22"/>
          <w:szCs w:val="24"/>
        </w:rPr>
        <w:t>International Journal of Digital Culture and Electronic Tourism</w:t>
      </w:r>
      <w:r w:rsidRPr="00A06061">
        <w:rPr>
          <w:rFonts w:ascii="Arial" w:hAnsi="Arial" w:cs="Arial"/>
          <w:noProof/>
          <w:kern w:val="0"/>
          <w:sz w:val="22"/>
          <w:szCs w:val="24"/>
        </w:rPr>
        <w:t>, 3(3/4), p. 257. doi: 10.1504/ijdcet.2021.116475.</w:t>
      </w:r>
    </w:p>
    <w:p w14:paraId="33D6B71E" w14:textId="3E95C9FF" w:rsidR="00A06061" w:rsidRPr="00A06061" w:rsidRDefault="00A06061" w:rsidP="00A06061">
      <w:pPr>
        <w:autoSpaceDE w:val="0"/>
        <w:autoSpaceDN w:val="0"/>
        <w:adjustRightInd w:val="0"/>
        <w:spacing w:before="320" w:after="320" w:line="360" w:lineRule="auto"/>
        <w:jc w:val="left"/>
        <w:rPr>
          <w:rFonts w:ascii="Arial" w:hAnsi="Arial" w:cs="Arial"/>
          <w:noProof/>
          <w:kern w:val="0"/>
          <w:sz w:val="22"/>
          <w:szCs w:val="24"/>
        </w:rPr>
      </w:pPr>
      <w:r w:rsidRPr="00A06061">
        <w:rPr>
          <w:rFonts w:ascii="Arial" w:hAnsi="Arial" w:cs="Arial"/>
          <w:noProof/>
          <w:kern w:val="0"/>
          <w:sz w:val="22"/>
          <w:szCs w:val="24"/>
        </w:rPr>
        <w:t>Orlowski, E. J. W. and Goldsmith, D. J. A. (2020) ‘Four months into the COVID-19 pandemic, Sweden</w:t>
      </w:r>
      <w:r>
        <w:rPr>
          <w:rFonts w:ascii="Malgun Gothic" w:hAnsi="Malgun Gothic" w:cs="Malgun Gothic"/>
          <w:noProof/>
          <w:kern w:val="0"/>
          <w:sz w:val="22"/>
          <w:szCs w:val="24"/>
        </w:rPr>
        <w:t>'</w:t>
      </w:r>
      <w:r w:rsidRPr="00A06061">
        <w:rPr>
          <w:rFonts w:ascii="Arial" w:hAnsi="Arial" w:cs="Arial"/>
          <w:noProof/>
          <w:kern w:val="0"/>
          <w:sz w:val="22"/>
          <w:szCs w:val="24"/>
        </w:rPr>
        <w:t xml:space="preserve">s prized herd immunity is nowhere in sight’, </w:t>
      </w:r>
      <w:r w:rsidRPr="00A06061">
        <w:rPr>
          <w:rFonts w:ascii="Arial" w:hAnsi="Arial" w:cs="Arial"/>
          <w:i/>
          <w:iCs/>
          <w:noProof/>
          <w:kern w:val="0"/>
          <w:sz w:val="22"/>
          <w:szCs w:val="24"/>
        </w:rPr>
        <w:t>Journal of the Royal Society of Medicine</w:t>
      </w:r>
      <w:r w:rsidRPr="00A06061">
        <w:rPr>
          <w:rFonts w:ascii="Arial" w:hAnsi="Arial" w:cs="Arial"/>
          <w:noProof/>
          <w:kern w:val="0"/>
          <w:sz w:val="22"/>
          <w:szCs w:val="24"/>
        </w:rPr>
        <w:t>, 113(8), pp. 292–298.</w:t>
      </w:r>
    </w:p>
    <w:p w14:paraId="4F3BB9F6" w14:textId="77777777" w:rsidR="00A06061" w:rsidRPr="00A06061" w:rsidRDefault="00A06061" w:rsidP="00A06061">
      <w:pPr>
        <w:autoSpaceDE w:val="0"/>
        <w:autoSpaceDN w:val="0"/>
        <w:adjustRightInd w:val="0"/>
        <w:spacing w:before="320" w:after="320" w:line="360" w:lineRule="auto"/>
        <w:jc w:val="left"/>
        <w:rPr>
          <w:rFonts w:ascii="Arial" w:hAnsi="Arial" w:cs="Arial"/>
          <w:noProof/>
          <w:kern w:val="0"/>
          <w:sz w:val="22"/>
          <w:szCs w:val="24"/>
        </w:rPr>
      </w:pPr>
      <w:r w:rsidRPr="00A06061">
        <w:rPr>
          <w:rFonts w:ascii="Arial" w:hAnsi="Arial" w:cs="Arial"/>
          <w:noProof/>
          <w:kern w:val="0"/>
          <w:sz w:val="22"/>
          <w:szCs w:val="24"/>
        </w:rPr>
        <w:t xml:space="preserve">Raab, C. </w:t>
      </w:r>
      <w:r w:rsidRPr="00A06061">
        <w:rPr>
          <w:rFonts w:ascii="Arial" w:hAnsi="Arial" w:cs="Arial"/>
          <w:i/>
          <w:iCs/>
          <w:noProof/>
          <w:kern w:val="0"/>
          <w:sz w:val="22"/>
          <w:szCs w:val="24"/>
        </w:rPr>
        <w:t>et al.</w:t>
      </w:r>
      <w:r w:rsidRPr="00A06061">
        <w:rPr>
          <w:rFonts w:ascii="Arial" w:hAnsi="Arial" w:cs="Arial"/>
          <w:noProof/>
          <w:kern w:val="0"/>
          <w:sz w:val="22"/>
          <w:szCs w:val="24"/>
        </w:rPr>
        <w:t xml:space="preserve"> (2018) ‘Creating strategic relationships with online travel agents to drive hotel room revenue: An OTA perspective’, </w:t>
      </w:r>
      <w:r w:rsidRPr="00A06061">
        <w:rPr>
          <w:rFonts w:ascii="Arial" w:hAnsi="Arial" w:cs="Arial"/>
          <w:i/>
          <w:iCs/>
          <w:noProof/>
          <w:kern w:val="0"/>
          <w:sz w:val="22"/>
          <w:szCs w:val="24"/>
        </w:rPr>
        <w:t>Journal of Hospitality and Tourism Technology</w:t>
      </w:r>
      <w:r w:rsidRPr="00A06061">
        <w:rPr>
          <w:rFonts w:ascii="Arial" w:hAnsi="Arial" w:cs="Arial"/>
          <w:noProof/>
          <w:kern w:val="0"/>
          <w:sz w:val="22"/>
          <w:szCs w:val="24"/>
        </w:rPr>
        <w:t>, 9(1), pp. 121–135. doi: 10.1108/JHTT-10-2016-0069.</w:t>
      </w:r>
    </w:p>
    <w:p w14:paraId="4159F7D2" w14:textId="77777777" w:rsidR="00A06061" w:rsidRPr="00A06061" w:rsidRDefault="00A06061" w:rsidP="00A06061">
      <w:pPr>
        <w:autoSpaceDE w:val="0"/>
        <w:autoSpaceDN w:val="0"/>
        <w:adjustRightInd w:val="0"/>
        <w:spacing w:before="320" w:after="320" w:line="360" w:lineRule="auto"/>
        <w:jc w:val="left"/>
        <w:rPr>
          <w:rFonts w:ascii="Arial" w:hAnsi="Arial" w:cs="Arial"/>
          <w:noProof/>
          <w:kern w:val="0"/>
          <w:sz w:val="22"/>
          <w:szCs w:val="24"/>
        </w:rPr>
      </w:pPr>
      <w:r w:rsidRPr="00A06061">
        <w:rPr>
          <w:rFonts w:ascii="Arial" w:hAnsi="Arial" w:cs="Arial"/>
          <w:noProof/>
          <w:kern w:val="0"/>
          <w:sz w:val="22"/>
          <w:szCs w:val="24"/>
        </w:rPr>
        <w:t xml:space="preserve">Rahimizhian, S. and Irani, F. (2021) ‘Contactless hospitality in a post-Covid-19 world’, </w:t>
      </w:r>
      <w:r w:rsidRPr="00A06061">
        <w:rPr>
          <w:rFonts w:ascii="Arial" w:hAnsi="Arial" w:cs="Arial"/>
          <w:i/>
          <w:iCs/>
          <w:noProof/>
          <w:kern w:val="0"/>
          <w:sz w:val="22"/>
          <w:szCs w:val="24"/>
        </w:rPr>
        <w:t>International Hospitality Review</w:t>
      </w:r>
      <w:r w:rsidRPr="00A06061">
        <w:rPr>
          <w:rFonts w:ascii="Arial" w:hAnsi="Arial" w:cs="Arial"/>
          <w:noProof/>
          <w:kern w:val="0"/>
          <w:sz w:val="22"/>
          <w:szCs w:val="24"/>
        </w:rPr>
        <w:t>, 35(2), pp. 293–304. doi: 10.1108/ihr-08-2020-0041.</w:t>
      </w:r>
    </w:p>
    <w:p w14:paraId="33850AE2" w14:textId="77777777" w:rsidR="00A06061" w:rsidRPr="00A06061" w:rsidRDefault="00A06061" w:rsidP="00A06061">
      <w:pPr>
        <w:autoSpaceDE w:val="0"/>
        <w:autoSpaceDN w:val="0"/>
        <w:adjustRightInd w:val="0"/>
        <w:spacing w:before="320" w:after="320" w:line="360" w:lineRule="auto"/>
        <w:jc w:val="left"/>
        <w:rPr>
          <w:rFonts w:ascii="Arial" w:hAnsi="Arial" w:cs="Arial"/>
          <w:noProof/>
          <w:kern w:val="0"/>
          <w:sz w:val="22"/>
          <w:szCs w:val="24"/>
        </w:rPr>
      </w:pPr>
      <w:r w:rsidRPr="00A06061">
        <w:rPr>
          <w:rFonts w:ascii="Arial" w:hAnsi="Arial" w:cs="Arial"/>
          <w:noProof/>
          <w:kern w:val="0"/>
          <w:sz w:val="22"/>
          <w:szCs w:val="24"/>
        </w:rPr>
        <w:t xml:space="preserve">Reed, F. (2014) ‘SOSTAC: The guide to the perfect digital marketing plan’, </w:t>
      </w:r>
      <w:r w:rsidRPr="00A06061">
        <w:rPr>
          <w:rFonts w:ascii="Arial" w:hAnsi="Arial" w:cs="Arial"/>
          <w:i/>
          <w:iCs/>
          <w:noProof/>
          <w:kern w:val="0"/>
          <w:sz w:val="22"/>
          <w:szCs w:val="24"/>
        </w:rPr>
        <w:t>Journal of Direct, Data and Digital Marketing Practice</w:t>
      </w:r>
      <w:r w:rsidRPr="00A06061">
        <w:rPr>
          <w:rFonts w:ascii="Arial" w:hAnsi="Arial" w:cs="Arial"/>
          <w:noProof/>
          <w:kern w:val="0"/>
          <w:sz w:val="22"/>
          <w:szCs w:val="24"/>
        </w:rPr>
        <w:t>, 16(2), pp. 146–147.</w:t>
      </w:r>
    </w:p>
    <w:p w14:paraId="11FF408B" w14:textId="77777777" w:rsidR="00A06061" w:rsidRPr="00A06061" w:rsidRDefault="00A06061" w:rsidP="00A06061">
      <w:pPr>
        <w:autoSpaceDE w:val="0"/>
        <w:autoSpaceDN w:val="0"/>
        <w:adjustRightInd w:val="0"/>
        <w:spacing w:before="320" w:after="320" w:line="360" w:lineRule="auto"/>
        <w:jc w:val="left"/>
        <w:rPr>
          <w:rFonts w:ascii="Arial" w:hAnsi="Arial" w:cs="Arial"/>
          <w:noProof/>
          <w:kern w:val="0"/>
          <w:sz w:val="22"/>
          <w:szCs w:val="24"/>
        </w:rPr>
      </w:pPr>
      <w:r w:rsidRPr="00A06061">
        <w:rPr>
          <w:rFonts w:ascii="Arial" w:hAnsi="Arial" w:cs="Arial"/>
          <w:noProof/>
          <w:kern w:val="0"/>
          <w:sz w:val="22"/>
          <w:szCs w:val="24"/>
        </w:rPr>
        <w:lastRenderedPageBreak/>
        <w:t xml:space="preserve">Van Riel, A. C. R., Semeijn, J. and Pauwels, P. (2004) ‘Online travel service quality: the role of pre-transaction services’, </w:t>
      </w:r>
      <w:r w:rsidRPr="00A06061">
        <w:rPr>
          <w:rFonts w:ascii="Arial" w:hAnsi="Arial" w:cs="Arial"/>
          <w:i/>
          <w:iCs/>
          <w:noProof/>
          <w:kern w:val="0"/>
          <w:sz w:val="22"/>
          <w:szCs w:val="24"/>
        </w:rPr>
        <w:t>Total Quality Management &amp; Business Excellence</w:t>
      </w:r>
      <w:r w:rsidRPr="00A06061">
        <w:rPr>
          <w:rFonts w:ascii="Arial" w:hAnsi="Arial" w:cs="Arial"/>
          <w:noProof/>
          <w:kern w:val="0"/>
          <w:sz w:val="22"/>
          <w:szCs w:val="24"/>
        </w:rPr>
        <w:t>, 15(4), pp. 475–493.</w:t>
      </w:r>
    </w:p>
    <w:p w14:paraId="085BD011" w14:textId="77777777" w:rsidR="00A06061" w:rsidRPr="00A06061" w:rsidRDefault="00A06061" w:rsidP="00A06061">
      <w:pPr>
        <w:autoSpaceDE w:val="0"/>
        <w:autoSpaceDN w:val="0"/>
        <w:adjustRightInd w:val="0"/>
        <w:spacing w:before="320" w:after="320" w:line="360" w:lineRule="auto"/>
        <w:jc w:val="left"/>
        <w:rPr>
          <w:rFonts w:ascii="Arial" w:hAnsi="Arial" w:cs="Arial"/>
          <w:noProof/>
          <w:kern w:val="0"/>
          <w:sz w:val="22"/>
          <w:szCs w:val="24"/>
        </w:rPr>
      </w:pPr>
      <w:r w:rsidRPr="00A06061">
        <w:rPr>
          <w:rFonts w:ascii="Arial" w:hAnsi="Arial" w:cs="Arial"/>
          <w:noProof/>
          <w:kern w:val="0"/>
          <w:sz w:val="22"/>
          <w:szCs w:val="24"/>
        </w:rPr>
        <w:t xml:space="preserve">Smith, P. R. (2019) </w:t>
      </w:r>
      <w:r w:rsidRPr="00A06061">
        <w:rPr>
          <w:rFonts w:ascii="Arial" w:hAnsi="Arial" w:cs="Arial"/>
          <w:i/>
          <w:iCs/>
          <w:noProof/>
          <w:kern w:val="0"/>
          <w:sz w:val="22"/>
          <w:szCs w:val="24"/>
        </w:rPr>
        <w:t>The SOSTAC Guide to your perfect digital marketing plan</w:t>
      </w:r>
      <w:r w:rsidRPr="00A06061">
        <w:rPr>
          <w:rFonts w:ascii="Arial" w:hAnsi="Arial" w:cs="Arial"/>
          <w:noProof/>
          <w:kern w:val="0"/>
          <w:sz w:val="22"/>
          <w:szCs w:val="24"/>
        </w:rPr>
        <w:t>. PR Smith.</w:t>
      </w:r>
    </w:p>
    <w:p w14:paraId="4549DF29" w14:textId="77777777" w:rsidR="00A06061" w:rsidRPr="00A06061" w:rsidRDefault="00A06061" w:rsidP="00A06061">
      <w:pPr>
        <w:autoSpaceDE w:val="0"/>
        <w:autoSpaceDN w:val="0"/>
        <w:adjustRightInd w:val="0"/>
        <w:spacing w:before="320" w:after="320" w:line="360" w:lineRule="auto"/>
        <w:jc w:val="left"/>
        <w:rPr>
          <w:rFonts w:ascii="Arial" w:hAnsi="Arial" w:cs="Arial"/>
          <w:noProof/>
          <w:kern w:val="0"/>
          <w:sz w:val="22"/>
          <w:szCs w:val="24"/>
        </w:rPr>
      </w:pPr>
      <w:r w:rsidRPr="00A06061">
        <w:rPr>
          <w:rFonts w:ascii="Arial" w:hAnsi="Arial" w:cs="Arial"/>
          <w:noProof/>
          <w:kern w:val="0"/>
          <w:sz w:val="22"/>
          <w:szCs w:val="24"/>
        </w:rPr>
        <w:t xml:space="preserve">Statista (2021) </w:t>
      </w:r>
      <w:r w:rsidRPr="00A06061">
        <w:rPr>
          <w:rFonts w:ascii="Arial" w:hAnsi="Arial" w:cs="Arial"/>
          <w:i/>
          <w:iCs/>
          <w:noProof/>
          <w:kern w:val="0"/>
          <w:sz w:val="22"/>
          <w:szCs w:val="24"/>
        </w:rPr>
        <w:t xml:space="preserve">• Average hotel occupancy rate </w:t>
      </w:r>
      <w:r w:rsidRPr="00A06061">
        <w:rPr>
          <w:rFonts w:ascii="Arial" w:hAnsi="Arial" w:cs="Arial"/>
          <w:noProof/>
          <w:kern w:val="0"/>
          <w:sz w:val="22"/>
          <w:szCs w:val="24"/>
        </w:rPr>
        <w:t>. Available at: https://www-statista-com.uoelibrary.idm.oclc.org/statistics/206825/hotel-occupancy-rate-by-region/ (Accessed: 25 April 2022).</w:t>
      </w:r>
    </w:p>
    <w:p w14:paraId="3E031092" w14:textId="77777777" w:rsidR="00A06061" w:rsidRPr="00A06061" w:rsidRDefault="00A06061" w:rsidP="00A06061">
      <w:pPr>
        <w:autoSpaceDE w:val="0"/>
        <w:autoSpaceDN w:val="0"/>
        <w:adjustRightInd w:val="0"/>
        <w:spacing w:before="320" w:after="320" w:line="360" w:lineRule="auto"/>
        <w:jc w:val="left"/>
        <w:rPr>
          <w:rFonts w:ascii="Arial" w:hAnsi="Arial" w:cs="Arial"/>
          <w:noProof/>
          <w:kern w:val="0"/>
          <w:sz w:val="22"/>
          <w:szCs w:val="24"/>
        </w:rPr>
      </w:pPr>
      <w:r w:rsidRPr="00A06061">
        <w:rPr>
          <w:rFonts w:ascii="Arial" w:hAnsi="Arial" w:cs="Arial"/>
          <w:noProof/>
          <w:kern w:val="0"/>
          <w:sz w:val="22"/>
          <w:szCs w:val="24"/>
        </w:rPr>
        <w:t xml:space="preserve">Svensson, G. (2001) ‘“Glocalization” of business activities: A “glocal strategy” approach’, </w:t>
      </w:r>
      <w:r w:rsidRPr="00A06061">
        <w:rPr>
          <w:rFonts w:ascii="Arial" w:hAnsi="Arial" w:cs="Arial"/>
          <w:i/>
          <w:iCs/>
          <w:noProof/>
          <w:kern w:val="0"/>
          <w:sz w:val="22"/>
          <w:szCs w:val="24"/>
        </w:rPr>
        <w:t>Management Decision</w:t>
      </w:r>
      <w:r w:rsidRPr="00A06061">
        <w:rPr>
          <w:rFonts w:ascii="Arial" w:hAnsi="Arial" w:cs="Arial"/>
          <w:noProof/>
          <w:kern w:val="0"/>
          <w:sz w:val="22"/>
          <w:szCs w:val="24"/>
        </w:rPr>
        <w:t>, 39(1), pp. 6–18. doi: 10.1108/EUM0000000005403/FULL/HTML.</w:t>
      </w:r>
    </w:p>
    <w:p w14:paraId="169F815D" w14:textId="77777777" w:rsidR="00A06061" w:rsidRPr="00A06061" w:rsidRDefault="00A06061" w:rsidP="00A06061">
      <w:pPr>
        <w:autoSpaceDE w:val="0"/>
        <w:autoSpaceDN w:val="0"/>
        <w:adjustRightInd w:val="0"/>
        <w:spacing w:before="320" w:after="320" w:line="360" w:lineRule="auto"/>
        <w:jc w:val="left"/>
        <w:rPr>
          <w:rFonts w:ascii="Arial" w:hAnsi="Arial" w:cs="Arial"/>
          <w:noProof/>
          <w:kern w:val="0"/>
          <w:sz w:val="22"/>
          <w:szCs w:val="24"/>
        </w:rPr>
      </w:pPr>
      <w:r w:rsidRPr="00A06061">
        <w:rPr>
          <w:rFonts w:ascii="Arial" w:hAnsi="Arial" w:cs="Arial"/>
          <w:noProof/>
          <w:kern w:val="0"/>
          <w:sz w:val="22"/>
          <w:szCs w:val="24"/>
        </w:rPr>
        <w:t xml:space="preserve">Tabaku, E. and Kruja, D. (2019) ‘An integrated framework for customer loyalty in the hotel sector’, </w:t>
      </w:r>
      <w:r w:rsidRPr="00A06061">
        <w:rPr>
          <w:rFonts w:ascii="Arial" w:hAnsi="Arial" w:cs="Arial"/>
          <w:i/>
          <w:iCs/>
          <w:noProof/>
          <w:kern w:val="0"/>
          <w:sz w:val="22"/>
          <w:szCs w:val="24"/>
        </w:rPr>
        <w:t>Serbian Journal of Management</w:t>
      </w:r>
      <w:r w:rsidRPr="00A06061">
        <w:rPr>
          <w:rFonts w:ascii="Arial" w:hAnsi="Arial" w:cs="Arial"/>
          <w:noProof/>
          <w:kern w:val="0"/>
          <w:sz w:val="22"/>
          <w:szCs w:val="24"/>
        </w:rPr>
        <w:t>, 14(1), pp. 205–221.</w:t>
      </w:r>
    </w:p>
    <w:p w14:paraId="00329BD7" w14:textId="77777777" w:rsidR="00A06061" w:rsidRPr="00A06061" w:rsidRDefault="00A06061" w:rsidP="00A06061">
      <w:pPr>
        <w:autoSpaceDE w:val="0"/>
        <w:autoSpaceDN w:val="0"/>
        <w:adjustRightInd w:val="0"/>
        <w:spacing w:before="320" w:after="320" w:line="360" w:lineRule="auto"/>
        <w:jc w:val="left"/>
        <w:rPr>
          <w:rFonts w:ascii="Arial" w:hAnsi="Arial" w:cs="Arial"/>
          <w:noProof/>
          <w:kern w:val="0"/>
          <w:sz w:val="22"/>
          <w:szCs w:val="24"/>
        </w:rPr>
      </w:pPr>
      <w:r w:rsidRPr="00A06061">
        <w:rPr>
          <w:rFonts w:ascii="Arial" w:hAnsi="Arial" w:cs="Arial"/>
          <w:noProof/>
          <w:kern w:val="0"/>
          <w:sz w:val="22"/>
          <w:szCs w:val="24"/>
        </w:rPr>
        <w:t xml:space="preserve">Wang, J. and Xia, L. (2021) ‘Revenge travel: nostalgia and desire for leisure travel post COVID-19’, </w:t>
      </w:r>
      <w:r w:rsidRPr="00A06061">
        <w:rPr>
          <w:rFonts w:ascii="Arial" w:hAnsi="Arial" w:cs="Arial"/>
          <w:i/>
          <w:iCs/>
          <w:noProof/>
          <w:kern w:val="0"/>
          <w:sz w:val="22"/>
          <w:szCs w:val="24"/>
        </w:rPr>
        <w:t>Journal of Travel and Tourism Marketing</w:t>
      </w:r>
      <w:r w:rsidRPr="00A06061">
        <w:rPr>
          <w:rFonts w:ascii="Arial" w:hAnsi="Arial" w:cs="Arial"/>
          <w:noProof/>
          <w:kern w:val="0"/>
          <w:sz w:val="22"/>
          <w:szCs w:val="24"/>
        </w:rPr>
        <w:t>, 38(9), pp. 935–955. doi: 10.1080/10548408.2021.2006858.</w:t>
      </w:r>
    </w:p>
    <w:p w14:paraId="30912C6C" w14:textId="77777777" w:rsidR="00A06061" w:rsidRPr="00A06061" w:rsidRDefault="00A06061" w:rsidP="00A06061">
      <w:pPr>
        <w:autoSpaceDE w:val="0"/>
        <w:autoSpaceDN w:val="0"/>
        <w:adjustRightInd w:val="0"/>
        <w:spacing w:before="320" w:after="320" w:line="360" w:lineRule="auto"/>
        <w:jc w:val="left"/>
        <w:rPr>
          <w:rFonts w:ascii="Arial" w:hAnsi="Arial" w:cs="Arial"/>
          <w:noProof/>
          <w:kern w:val="0"/>
          <w:sz w:val="22"/>
          <w:szCs w:val="24"/>
        </w:rPr>
      </w:pPr>
      <w:r w:rsidRPr="00A06061">
        <w:rPr>
          <w:rFonts w:ascii="Arial" w:hAnsi="Arial" w:cs="Arial"/>
          <w:noProof/>
          <w:kern w:val="0"/>
          <w:sz w:val="22"/>
          <w:szCs w:val="24"/>
        </w:rPr>
        <w:t xml:space="preserve">Wertime, K. and Fenwick, I. (2011) </w:t>
      </w:r>
      <w:r w:rsidRPr="00A06061">
        <w:rPr>
          <w:rFonts w:ascii="Arial" w:hAnsi="Arial" w:cs="Arial"/>
          <w:i/>
          <w:iCs/>
          <w:noProof/>
          <w:kern w:val="0"/>
          <w:sz w:val="22"/>
          <w:szCs w:val="24"/>
        </w:rPr>
        <w:t>DigiMarketing: The essential guide to new media and digital marketing</w:t>
      </w:r>
      <w:r w:rsidRPr="00A06061">
        <w:rPr>
          <w:rFonts w:ascii="Arial" w:hAnsi="Arial" w:cs="Arial"/>
          <w:noProof/>
          <w:kern w:val="0"/>
          <w:sz w:val="22"/>
          <w:szCs w:val="24"/>
        </w:rPr>
        <w:t>. John Wiley &amp; Sons.</w:t>
      </w:r>
    </w:p>
    <w:p w14:paraId="4C61F03F" w14:textId="77777777" w:rsidR="00A06061" w:rsidRPr="00A06061" w:rsidRDefault="00A06061" w:rsidP="00A06061">
      <w:pPr>
        <w:autoSpaceDE w:val="0"/>
        <w:autoSpaceDN w:val="0"/>
        <w:adjustRightInd w:val="0"/>
        <w:spacing w:before="320" w:after="320" w:line="360" w:lineRule="auto"/>
        <w:jc w:val="left"/>
        <w:rPr>
          <w:rFonts w:ascii="Arial" w:hAnsi="Arial" w:cs="Arial"/>
          <w:noProof/>
          <w:kern w:val="0"/>
          <w:sz w:val="22"/>
          <w:szCs w:val="24"/>
        </w:rPr>
      </w:pPr>
      <w:r w:rsidRPr="00A06061">
        <w:rPr>
          <w:rFonts w:ascii="Arial" w:hAnsi="Arial" w:cs="Arial"/>
          <w:noProof/>
          <w:kern w:val="0"/>
          <w:sz w:val="22"/>
          <w:szCs w:val="24"/>
        </w:rPr>
        <w:t xml:space="preserve">Wilson, A., Murphy, H. and Fierro, J. C. (2012) ‘Hospitality and travel: The nature and implications of user-generated content’, </w:t>
      </w:r>
      <w:r w:rsidRPr="00A06061">
        <w:rPr>
          <w:rFonts w:ascii="Arial" w:hAnsi="Arial" w:cs="Arial"/>
          <w:i/>
          <w:iCs/>
          <w:noProof/>
          <w:kern w:val="0"/>
          <w:sz w:val="22"/>
          <w:szCs w:val="24"/>
        </w:rPr>
        <w:t>Cornell hospitality quarterly</w:t>
      </w:r>
      <w:r w:rsidRPr="00A06061">
        <w:rPr>
          <w:rFonts w:ascii="Arial" w:hAnsi="Arial" w:cs="Arial"/>
          <w:noProof/>
          <w:kern w:val="0"/>
          <w:sz w:val="22"/>
          <w:szCs w:val="24"/>
        </w:rPr>
        <w:t>, 53(3), pp. 220–228.</w:t>
      </w:r>
    </w:p>
    <w:p w14:paraId="644A6DE9" w14:textId="77777777" w:rsidR="00A06061" w:rsidRPr="00A06061" w:rsidRDefault="00A06061" w:rsidP="00A06061">
      <w:pPr>
        <w:autoSpaceDE w:val="0"/>
        <w:autoSpaceDN w:val="0"/>
        <w:adjustRightInd w:val="0"/>
        <w:spacing w:before="320" w:after="320" w:line="360" w:lineRule="auto"/>
        <w:jc w:val="left"/>
        <w:rPr>
          <w:rFonts w:ascii="Arial" w:hAnsi="Arial" w:cs="Arial"/>
          <w:noProof/>
          <w:sz w:val="22"/>
        </w:rPr>
      </w:pPr>
      <w:r w:rsidRPr="00A06061">
        <w:rPr>
          <w:rFonts w:ascii="Arial" w:hAnsi="Arial" w:cs="Arial"/>
          <w:noProof/>
          <w:kern w:val="0"/>
          <w:sz w:val="22"/>
          <w:szCs w:val="24"/>
        </w:rPr>
        <w:t xml:space="preserve">Zeng, Z., Chen, P. J. and Lew, A. A. (2020) ‘From high-touch to high-tech: COVID-19 drives robotics adoption’, </w:t>
      </w:r>
      <w:r w:rsidRPr="00A06061">
        <w:rPr>
          <w:rFonts w:ascii="Arial" w:hAnsi="Arial" w:cs="Arial"/>
          <w:i/>
          <w:iCs/>
          <w:noProof/>
          <w:kern w:val="0"/>
          <w:sz w:val="22"/>
          <w:szCs w:val="24"/>
        </w:rPr>
        <w:t>Tourism Geographies</w:t>
      </w:r>
      <w:r w:rsidRPr="00A06061">
        <w:rPr>
          <w:rFonts w:ascii="Arial" w:hAnsi="Arial" w:cs="Arial"/>
          <w:noProof/>
          <w:kern w:val="0"/>
          <w:sz w:val="22"/>
          <w:szCs w:val="24"/>
        </w:rPr>
        <w:t>, 22(3), pp. 724–734. doi: 10.1080/14616688.2020.1762118.</w:t>
      </w:r>
    </w:p>
    <w:p w14:paraId="430E740F" w14:textId="70841D31" w:rsidR="00472EE9" w:rsidRPr="00A06061" w:rsidRDefault="00472EE9" w:rsidP="00C00F09">
      <w:pPr>
        <w:spacing w:beforeLines="100" w:before="312" w:afterLines="100" w:after="312" w:line="360" w:lineRule="auto"/>
        <w:rPr>
          <w:rFonts w:ascii="Arial" w:hAnsi="Arial" w:cs="Arial"/>
          <w:color w:val="000000" w:themeColor="text1"/>
          <w:sz w:val="22"/>
        </w:rPr>
      </w:pPr>
      <w:r w:rsidRPr="00A06061">
        <w:rPr>
          <w:rFonts w:ascii="Arial" w:hAnsi="Arial" w:cs="Arial"/>
          <w:color w:val="000000" w:themeColor="text1"/>
          <w:sz w:val="22"/>
        </w:rPr>
        <w:fldChar w:fldCharType="end"/>
      </w:r>
    </w:p>
    <w:sectPr w:rsidR="00472EE9" w:rsidRPr="00A06061" w:rsidSect="00EF1BA8">
      <w:footerReference w:type="default" r:id="rId11"/>
      <w:pgSz w:w="11906" w:h="16838"/>
      <w:pgMar w:top="1440" w:right="1080" w:bottom="1440" w:left="108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A4007" w14:textId="77777777" w:rsidR="00556287" w:rsidRDefault="00556287" w:rsidP="00EF1BA8">
      <w:r>
        <w:separator/>
      </w:r>
    </w:p>
  </w:endnote>
  <w:endnote w:type="continuationSeparator" w:id="0">
    <w:p w14:paraId="1AAD5253" w14:textId="77777777" w:rsidR="00556287" w:rsidRDefault="00556287" w:rsidP="00EF1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ndara">
    <w:panose1 w:val="020E0502030303020204"/>
    <w:charset w:val="00"/>
    <w:family w:val="swiss"/>
    <w:pitch w:val="variable"/>
    <w:sig w:usb0="A00002EF" w:usb1="4000A44B" w:usb2="00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0B90B" w14:textId="69C2BC38" w:rsidR="00EF1BA8" w:rsidRDefault="00EF1BA8">
    <w:pPr>
      <w:pStyle w:val="a8"/>
      <w:jc w:val="center"/>
    </w:pPr>
  </w:p>
  <w:p w14:paraId="0931036E" w14:textId="77777777" w:rsidR="00EF1BA8" w:rsidRDefault="00EF1BA8">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7689304"/>
      <w:docPartObj>
        <w:docPartGallery w:val="Page Numbers (Bottom of Page)"/>
        <w:docPartUnique/>
      </w:docPartObj>
    </w:sdtPr>
    <w:sdtEndPr/>
    <w:sdtContent>
      <w:p w14:paraId="4D8AAAD7" w14:textId="77777777" w:rsidR="00EF1BA8" w:rsidRDefault="00EF1BA8">
        <w:pPr>
          <w:pStyle w:val="a8"/>
          <w:jc w:val="center"/>
        </w:pPr>
        <w:r>
          <w:fldChar w:fldCharType="begin"/>
        </w:r>
        <w:r>
          <w:instrText>PAGE   \* MERGEFORMAT</w:instrText>
        </w:r>
        <w:r>
          <w:fldChar w:fldCharType="separate"/>
        </w:r>
        <w:r>
          <w:rPr>
            <w:lang w:val="zh-CN"/>
          </w:rPr>
          <w:t>2</w:t>
        </w:r>
        <w:r>
          <w:fldChar w:fldCharType="end"/>
        </w:r>
      </w:p>
    </w:sdtContent>
  </w:sdt>
  <w:p w14:paraId="5BC8E1F4" w14:textId="77777777" w:rsidR="00EF1BA8" w:rsidRDefault="00EF1BA8">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F3671" w14:textId="77777777" w:rsidR="00556287" w:rsidRDefault="00556287" w:rsidP="00EF1BA8">
      <w:r>
        <w:separator/>
      </w:r>
    </w:p>
  </w:footnote>
  <w:footnote w:type="continuationSeparator" w:id="0">
    <w:p w14:paraId="458387DB" w14:textId="77777777" w:rsidR="00556287" w:rsidRDefault="00556287" w:rsidP="00EF1B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E309B4"/>
    <w:multiLevelType w:val="hybridMultilevel"/>
    <w:tmpl w:val="952E9664"/>
    <w:lvl w:ilvl="0" w:tplc="6D48C246">
      <w:start w:val="2"/>
      <w:numFmt w:val="bullet"/>
      <w:lvlText w:val="-"/>
      <w:lvlJc w:val="left"/>
      <w:pPr>
        <w:ind w:left="360" w:hanging="360"/>
      </w:pPr>
      <w:rPr>
        <w:rFonts w:ascii="Candara" w:eastAsiaTheme="minorEastAsia" w:hAnsi="Candara" w:cstheme="minorBidi"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620F1934"/>
    <w:multiLevelType w:val="hybridMultilevel"/>
    <w:tmpl w:val="DD4EA636"/>
    <w:lvl w:ilvl="0" w:tplc="37307BC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7F1E6907"/>
    <w:multiLevelType w:val="hybridMultilevel"/>
    <w:tmpl w:val="7FA8C3C8"/>
    <w:lvl w:ilvl="0" w:tplc="6530802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2140757969">
    <w:abstractNumId w:val="1"/>
  </w:num>
  <w:num w:numId="2" w16cid:durableId="229927537">
    <w:abstractNumId w:val="0"/>
  </w:num>
  <w:num w:numId="3" w16cid:durableId="11786908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527"/>
    <w:rsid w:val="000C046A"/>
    <w:rsid w:val="00124B4C"/>
    <w:rsid w:val="00141B3F"/>
    <w:rsid w:val="001A514F"/>
    <w:rsid w:val="00207863"/>
    <w:rsid w:val="002148A8"/>
    <w:rsid w:val="00235C2C"/>
    <w:rsid w:val="003212A2"/>
    <w:rsid w:val="004125A2"/>
    <w:rsid w:val="00472EE9"/>
    <w:rsid w:val="004E2020"/>
    <w:rsid w:val="0051409C"/>
    <w:rsid w:val="00552DFC"/>
    <w:rsid w:val="00556287"/>
    <w:rsid w:val="00575151"/>
    <w:rsid w:val="005F0EDC"/>
    <w:rsid w:val="00603389"/>
    <w:rsid w:val="00685CDF"/>
    <w:rsid w:val="006A1B54"/>
    <w:rsid w:val="00825C8E"/>
    <w:rsid w:val="008B05E9"/>
    <w:rsid w:val="00924527"/>
    <w:rsid w:val="00971B60"/>
    <w:rsid w:val="00975084"/>
    <w:rsid w:val="00A06061"/>
    <w:rsid w:val="00A60FE2"/>
    <w:rsid w:val="00AA30F8"/>
    <w:rsid w:val="00AD1348"/>
    <w:rsid w:val="00AE336A"/>
    <w:rsid w:val="00B01A40"/>
    <w:rsid w:val="00BC32DE"/>
    <w:rsid w:val="00C00F09"/>
    <w:rsid w:val="00C53CEC"/>
    <w:rsid w:val="00C575FB"/>
    <w:rsid w:val="00C57E77"/>
    <w:rsid w:val="00CD085D"/>
    <w:rsid w:val="00CD0EB0"/>
    <w:rsid w:val="00CE4335"/>
    <w:rsid w:val="00D000A5"/>
    <w:rsid w:val="00D84536"/>
    <w:rsid w:val="00DB5C0D"/>
    <w:rsid w:val="00DE25F3"/>
    <w:rsid w:val="00E22243"/>
    <w:rsid w:val="00EB0481"/>
    <w:rsid w:val="00EC432A"/>
    <w:rsid w:val="00EF1BA8"/>
    <w:rsid w:val="00F07B44"/>
    <w:rsid w:val="00F33C5C"/>
    <w:rsid w:val="00F76286"/>
    <w:rsid w:val="00F85932"/>
    <w:rsid w:val="00FA113C"/>
    <w:rsid w:val="00FA5705"/>
    <w:rsid w:val="00FE35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6BE6E6"/>
  <w15:chartTrackingRefBased/>
  <w15:docId w15:val="{3A33BFF9-1402-4D92-AA58-F7CB35F24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lang w:val="en-GB"/>
    </w:rPr>
  </w:style>
  <w:style w:type="paragraph" w:styleId="1">
    <w:name w:val="heading 1"/>
    <w:basedOn w:val="a"/>
    <w:next w:val="a"/>
    <w:link w:val="10"/>
    <w:uiPriority w:val="9"/>
    <w:qFormat/>
    <w:rsid w:val="00E22243"/>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E22243"/>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924527"/>
    <w:pPr>
      <w:spacing w:before="240" w:after="60"/>
      <w:jc w:val="center"/>
      <w:outlineLvl w:val="0"/>
    </w:pPr>
    <w:rPr>
      <w:rFonts w:asciiTheme="majorHAnsi" w:eastAsiaTheme="majorEastAsia" w:hAnsiTheme="majorHAnsi" w:cstheme="majorBidi"/>
      <w:b/>
      <w:bCs/>
      <w:sz w:val="32"/>
      <w:szCs w:val="32"/>
    </w:rPr>
  </w:style>
  <w:style w:type="character" w:customStyle="1" w:styleId="a4">
    <w:name w:val="标题 字符"/>
    <w:basedOn w:val="a0"/>
    <w:link w:val="a3"/>
    <w:uiPriority w:val="10"/>
    <w:rsid w:val="00924527"/>
    <w:rPr>
      <w:rFonts w:asciiTheme="majorHAnsi" w:eastAsiaTheme="majorEastAsia" w:hAnsiTheme="majorHAnsi" w:cstheme="majorBidi"/>
      <w:b/>
      <w:bCs/>
      <w:sz w:val="32"/>
      <w:szCs w:val="32"/>
      <w:lang w:val="en-GB"/>
    </w:rPr>
  </w:style>
  <w:style w:type="paragraph" w:styleId="a5">
    <w:name w:val="List Paragraph"/>
    <w:basedOn w:val="a"/>
    <w:uiPriority w:val="34"/>
    <w:qFormat/>
    <w:rsid w:val="00971B60"/>
    <w:pPr>
      <w:ind w:firstLineChars="200" w:firstLine="420"/>
    </w:pPr>
  </w:style>
  <w:style w:type="character" w:customStyle="1" w:styleId="10">
    <w:name w:val="标题 1 字符"/>
    <w:basedOn w:val="a0"/>
    <w:link w:val="1"/>
    <w:uiPriority w:val="9"/>
    <w:rsid w:val="00E22243"/>
    <w:rPr>
      <w:b/>
      <w:bCs/>
      <w:kern w:val="44"/>
      <w:sz w:val="44"/>
      <w:szCs w:val="44"/>
      <w:lang w:val="en-GB"/>
    </w:rPr>
  </w:style>
  <w:style w:type="character" w:customStyle="1" w:styleId="20">
    <w:name w:val="标题 2 字符"/>
    <w:basedOn w:val="a0"/>
    <w:link w:val="2"/>
    <w:uiPriority w:val="9"/>
    <w:rsid w:val="00E22243"/>
    <w:rPr>
      <w:rFonts w:asciiTheme="majorHAnsi" w:eastAsiaTheme="majorEastAsia" w:hAnsiTheme="majorHAnsi" w:cstheme="majorBidi"/>
      <w:b/>
      <w:bCs/>
      <w:sz w:val="32"/>
      <w:szCs w:val="32"/>
      <w:lang w:val="en-GB"/>
    </w:rPr>
  </w:style>
  <w:style w:type="paragraph" w:styleId="a6">
    <w:name w:val="header"/>
    <w:basedOn w:val="a"/>
    <w:link w:val="a7"/>
    <w:uiPriority w:val="99"/>
    <w:unhideWhenUsed/>
    <w:rsid w:val="00EF1BA8"/>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EF1BA8"/>
    <w:rPr>
      <w:sz w:val="18"/>
      <w:szCs w:val="18"/>
      <w:lang w:val="en-GB"/>
    </w:rPr>
  </w:style>
  <w:style w:type="paragraph" w:styleId="a8">
    <w:name w:val="footer"/>
    <w:basedOn w:val="a"/>
    <w:link w:val="a9"/>
    <w:uiPriority w:val="99"/>
    <w:unhideWhenUsed/>
    <w:rsid w:val="00EF1BA8"/>
    <w:pPr>
      <w:tabs>
        <w:tab w:val="center" w:pos="4153"/>
        <w:tab w:val="right" w:pos="8306"/>
      </w:tabs>
      <w:snapToGrid w:val="0"/>
      <w:jc w:val="left"/>
    </w:pPr>
    <w:rPr>
      <w:sz w:val="18"/>
      <w:szCs w:val="18"/>
    </w:rPr>
  </w:style>
  <w:style w:type="character" w:customStyle="1" w:styleId="a9">
    <w:name w:val="页脚 字符"/>
    <w:basedOn w:val="a0"/>
    <w:link w:val="a8"/>
    <w:uiPriority w:val="99"/>
    <w:rsid w:val="00EF1BA8"/>
    <w:rPr>
      <w:sz w:val="18"/>
      <w:szCs w:val="18"/>
      <w:lang w:val="en-GB"/>
    </w:rPr>
  </w:style>
  <w:style w:type="paragraph" w:styleId="TOC">
    <w:name w:val="TOC Heading"/>
    <w:basedOn w:val="1"/>
    <w:next w:val="a"/>
    <w:uiPriority w:val="39"/>
    <w:unhideWhenUsed/>
    <w:qFormat/>
    <w:rsid w:val="00EF1BA8"/>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rPr>
  </w:style>
  <w:style w:type="paragraph" w:styleId="TOC2">
    <w:name w:val="toc 2"/>
    <w:basedOn w:val="a"/>
    <w:next w:val="a"/>
    <w:autoRedefine/>
    <w:uiPriority w:val="39"/>
    <w:unhideWhenUsed/>
    <w:rsid w:val="00EF1BA8"/>
    <w:pPr>
      <w:widowControl/>
      <w:spacing w:after="100" w:line="259" w:lineRule="auto"/>
      <w:ind w:left="220"/>
      <w:jc w:val="left"/>
    </w:pPr>
    <w:rPr>
      <w:rFonts w:cs="Times New Roman"/>
      <w:kern w:val="0"/>
      <w:sz w:val="22"/>
      <w:lang w:val="en-US"/>
    </w:rPr>
  </w:style>
  <w:style w:type="paragraph" w:styleId="TOC1">
    <w:name w:val="toc 1"/>
    <w:basedOn w:val="a"/>
    <w:next w:val="a"/>
    <w:autoRedefine/>
    <w:uiPriority w:val="39"/>
    <w:unhideWhenUsed/>
    <w:rsid w:val="00EF1BA8"/>
    <w:pPr>
      <w:widowControl/>
      <w:spacing w:after="100" w:line="259" w:lineRule="auto"/>
      <w:jc w:val="left"/>
    </w:pPr>
    <w:rPr>
      <w:rFonts w:cs="Times New Roman"/>
      <w:kern w:val="0"/>
      <w:sz w:val="22"/>
      <w:lang w:val="en-US"/>
    </w:rPr>
  </w:style>
  <w:style w:type="paragraph" w:styleId="TOC3">
    <w:name w:val="toc 3"/>
    <w:basedOn w:val="a"/>
    <w:next w:val="a"/>
    <w:autoRedefine/>
    <w:uiPriority w:val="39"/>
    <w:unhideWhenUsed/>
    <w:rsid w:val="00EF1BA8"/>
    <w:pPr>
      <w:widowControl/>
      <w:spacing w:after="100" w:line="259" w:lineRule="auto"/>
      <w:ind w:left="440"/>
      <w:jc w:val="left"/>
    </w:pPr>
    <w:rPr>
      <w:rFonts w:cs="Times New Roman"/>
      <w:kern w:val="0"/>
      <w:sz w:val="22"/>
      <w:lang w:val="en-US"/>
    </w:rPr>
  </w:style>
  <w:style w:type="character" w:styleId="aa">
    <w:name w:val="Hyperlink"/>
    <w:basedOn w:val="a0"/>
    <w:uiPriority w:val="99"/>
    <w:unhideWhenUsed/>
    <w:rsid w:val="00EF1BA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Asia Pacific</c:v>
                </c:pt>
              </c:strCache>
            </c:strRef>
          </c:tx>
          <c:spPr>
            <a:ln>
              <a:solidFill>
                <a:srgbClr val="2875DD"/>
              </a:solidFill>
            </a:ln>
          </c:spPr>
          <c:marker>
            <c:symbol val="circle"/>
            <c:size val="5"/>
            <c:spPr>
              <a:solidFill>
                <a:srgbClr val="2875DD"/>
              </a:solidFill>
              <a:ln>
                <a:solidFill>
                  <a:srgbClr val="2875DD"/>
                </a:solidFill>
              </a:ln>
            </c:spPr>
          </c:marker>
          <c:cat>
            <c:strRef>
              <c:f>Sheet1!$A$2:$A$30</c:f>
              <c:strCache>
                <c:ptCount val="29"/>
                <c:pt idx="0">
                  <c:v>Jan 18</c:v>
                </c:pt>
                <c:pt idx="1">
                  <c:v>Feb 18</c:v>
                </c:pt>
                <c:pt idx="2">
                  <c:v>Mar 18</c:v>
                </c:pt>
                <c:pt idx="3">
                  <c:v>Apr 18</c:v>
                </c:pt>
                <c:pt idx="4">
                  <c:v>May 18</c:v>
                </c:pt>
                <c:pt idx="5">
                  <c:v>Jun 18</c:v>
                </c:pt>
                <c:pt idx="6">
                  <c:v>Jul 18</c:v>
                </c:pt>
                <c:pt idx="7">
                  <c:v>Aug 18</c:v>
                </c:pt>
                <c:pt idx="8">
                  <c:v>Sep 18</c:v>
                </c:pt>
                <c:pt idx="9">
                  <c:v>Oct 18</c:v>
                </c:pt>
                <c:pt idx="10">
                  <c:v>Nov 18</c:v>
                </c:pt>
                <c:pt idx="11">
                  <c:v>Dec 18</c:v>
                </c:pt>
                <c:pt idx="12">
                  <c:v>Jan 19</c:v>
                </c:pt>
                <c:pt idx="13">
                  <c:v>Feb 19</c:v>
                </c:pt>
                <c:pt idx="14">
                  <c:v>Mar 19</c:v>
                </c:pt>
                <c:pt idx="15">
                  <c:v>Apr 19</c:v>
                </c:pt>
                <c:pt idx="16">
                  <c:v>May 19</c:v>
                </c:pt>
                <c:pt idx="17">
                  <c:v>Jun 19</c:v>
                </c:pt>
                <c:pt idx="18">
                  <c:v>Jul 19</c:v>
                </c:pt>
                <c:pt idx="19">
                  <c:v>Aug 19</c:v>
                </c:pt>
                <c:pt idx="20">
                  <c:v>Sep 19</c:v>
                </c:pt>
                <c:pt idx="21">
                  <c:v>Oct 19</c:v>
                </c:pt>
                <c:pt idx="22">
                  <c:v>Nov 19</c:v>
                </c:pt>
                <c:pt idx="23">
                  <c:v>Dec 19</c:v>
                </c:pt>
                <c:pt idx="24">
                  <c:v>Jan 20</c:v>
                </c:pt>
                <c:pt idx="25">
                  <c:v>Feb 20</c:v>
                </c:pt>
                <c:pt idx="26">
                  <c:v>Mar 20</c:v>
                </c:pt>
                <c:pt idx="27">
                  <c:v>Apr 20</c:v>
                </c:pt>
                <c:pt idx="28">
                  <c:v>May 20</c:v>
                </c:pt>
              </c:strCache>
            </c:strRef>
          </c:cat>
          <c:val>
            <c:numRef>
              <c:f>Sheet1!$B$2:$B$30</c:f>
              <c:numCache>
                <c:formatCode>General</c:formatCode>
                <c:ptCount val="29"/>
                <c:pt idx="0">
                  <c:v>0.67500000000000004</c:v>
                </c:pt>
                <c:pt idx="1">
                  <c:v>0.67100000000000004</c:v>
                </c:pt>
                <c:pt idx="2">
                  <c:v>0.72499999999999998</c:v>
                </c:pt>
                <c:pt idx="3">
                  <c:v>0.73199999999999998</c:v>
                </c:pt>
                <c:pt idx="4">
                  <c:v>0.68899999999999995</c:v>
                </c:pt>
                <c:pt idx="5">
                  <c:v>0.69499999999999995</c:v>
                </c:pt>
                <c:pt idx="6">
                  <c:v>0.73599999999999999</c:v>
                </c:pt>
                <c:pt idx="7">
                  <c:v>0.75700000000000001</c:v>
                </c:pt>
                <c:pt idx="8">
                  <c:v>0.69199999999999995</c:v>
                </c:pt>
                <c:pt idx="9">
                  <c:v>0.72499999999999998</c:v>
                </c:pt>
                <c:pt idx="10">
                  <c:v>0.72799999999999998</c:v>
                </c:pt>
                <c:pt idx="11">
                  <c:v>0.69399999999999995</c:v>
                </c:pt>
                <c:pt idx="12">
                  <c:v>0.65900000000000003</c:v>
                </c:pt>
                <c:pt idx="13">
                  <c:v>0.66600000000000004</c:v>
                </c:pt>
                <c:pt idx="14">
                  <c:v>0.70299999999999996</c:v>
                </c:pt>
                <c:pt idx="15">
                  <c:v>0.71</c:v>
                </c:pt>
                <c:pt idx="16">
                  <c:v>0.68500000000000005</c:v>
                </c:pt>
                <c:pt idx="17">
                  <c:v>0.68400000000000005</c:v>
                </c:pt>
                <c:pt idx="18">
                  <c:v>0.73199999999999998</c:v>
                </c:pt>
                <c:pt idx="19">
                  <c:v>0.73399999999999999</c:v>
                </c:pt>
                <c:pt idx="20">
                  <c:v>0.66600000000000004</c:v>
                </c:pt>
                <c:pt idx="21">
                  <c:v>0.71</c:v>
                </c:pt>
                <c:pt idx="22">
                  <c:v>0.72499999999999998</c:v>
                </c:pt>
                <c:pt idx="23">
                  <c:v>0.67800000000000005</c:v>
                </c:pt>
                <c:pt idx="24">
                  <c:v>0.57799999999999996</c:v>
                </c:pt>
                <c:pt idx="25">
                  <c:v>0.41199999999999998</c:v>
                </c:pt>
                <c:pt idx="26">
                  <c:v>0.28299999999999997</c:v>
                </c:pt>
                <c:pt idx="27">
                  <c:v>0.28000000000000003</c:v>
                </c:pt>
                <c:pt idx="28">
                  <c:v>0.35799999999999998</c:v>
                </c:pt>
              </c:numCache>
            </c:numRef>
          </c:val>
          <c:smooth val="0"/>
          <c:extLst>
            <c:ext xmlns:c16="http://schemas.microsoft.com/office/drawing/2014/chart" uri="{C3380CC4-5D6E-409C-BE32-E72D297353CC}">
              <c16:uniqueId val="{00000000-1098-42A9-94CA-44269B1C0485}"/>
            </c:ext>
          </c:extLst>
        </c:ser>
        <c:ser>
          <c:idx val="1"/>
          <c:order val="1"/>
          <c:tx>
            <c:strRef>
              <c:f>Sheet1!$C$1</c:f>
              <c:strCache>
                <c:ptCount val="1"/>
                <c:pt idx="0">
                  <c:v>Americas</c:v>
                </c:pt>
              </c:strCache>
            </c:strRef>
          </c:tx>
          <c:spPr>
            <a:ln>
              <a:solidFill>
                <a:srgbClr val="0F283E"/>
              </a:solidFill>
            </a:ln>
          </c:spPr>
          <c:marker>
            <c:symbol val="circle"/>
            <c:size val="5"/>
            <c:spPr>
              <a:solidFill>
                <a:srgbClr val="0F283E"/>
              </a:solidFill>
              <a:ln>
                <a:solidFill>
                  <a:srgbClr val="0F283E"/>
                </a:solidFill>
              </a:ln>
            </c:spPr>
          </c:marker>
          <c:cat>
            <c:strRef>
              <c:f>Sheet1!$A$2:$A$30</c:f>
              <c:strCache>
                <c:ptCount val="29"/>
                <c:pt idx="0">
                  <c:v>Jan 18</c:v>
                </c:pt>
                <c:pt idx="1">
                  <c:v>Feb 18</c:v>
                </c:pt>
                <c:pt idx="2">
                  <c:v>Mar 18</c:v>
                </c:pt>
                <c:pt idx="3">
                  <c:v>Apr 18</c:v>
                </c:pt>
                <c:pt idx="4">
                  <c:v>May 18</c:v>
                </c:pt>
                <c:pt idx="5">
                  <c:v>Jun 18</c:v>
                </c:pt>
                <c:pt idx="6">
                  <c:v>Jul 18</c:v>
                </c:pt>
                <c:pt idx="7">
                  <c:v>Aug 18</c:v>
                </c:pt>
                <c:pt idx="8">
                  <c:v>Sep 18</c:v>
                </c:pt>
                <c:pt idx="9">
                  <c:v>Oct 18</c:v>
                </c:pt>
                <c:pt idx="10">
                  <c:v>Nov 18</c:v>
                </c:pt>
                <c:pt idx="11">
                  <c:v>Dec 18</c:v>
                </c:pt>
                <c:pt idx="12">
                  <c:v>Jan 19</c:v>
                </c:pt>
                <c:pt idx="13">
                  <c:v>Feb 19</c:v>
                </c:pt>
                <c:pt idx="14">
                  <c:v>Mar 19</c:v>
                </c:pt>
                <c:pt idx="15">
                  <c:v>Apr 19</c:v>
                </c:pt>
                <c:pt idx="16">
                  <c:v>May 19</c:v>
                </c:pt>
                <c:pt idx="17">
                  <c:v>Jun 19</c:v>
                </c:pt>
                <c:pt idx="18">
                  <c:v>Jul 19</c:v>
                </c:pt>
                <c:pt idx="19">
                  <c:v>Aug 19</c:v>
                </c:pt>
                <c:pt idx="20">
                  <c:v>Sep 19</c:v>
                </c:pt>
                <c:pt idx="21">
                  <c:v>Oct 19</c:v>
                </c:pt>
                <c:pt idx="22">
                  <c:v>Nov 19</c:v>
                </c:pt>
                <c:pt idx="23">
                  <c:v>Dec 19</c:v>
                </c:pt>
                <c:pt idx="24">
                  <c:v>Jan 20</c:v>
                </c:pt>
                <c:pt idx="25">
                  <c:v>Feb 20</c:v>
                </c:pt>
                <c:pt idx="26">
                  <c:v>Mar 20</c:v>
                </c:pt>
                <c:pt idx="27">
                  <c:v>Apr 20</c:v>
                </c:pt>
                <c:pt idx="28">
                  <c:v>May 20</c:v>
                </c:pt>
              </c:strCache>
            </c:strRef>
          </c:cat>
          <c:val>
            <c:numRef>
              <c:f>Sheet1!$C$2:$C$30</c:f>
              <c:numCache>
                <c:formatCode>General</c:formatCode>
                <c:ptCount val="29"/>
                <c:pt idx="0">
                  <c:v>0.54700000000000004</c:v>
                </c:pt>
                <c:pt idx="1">
                  <c:v>0.61699999999999999</c:v>
                </c:pt>
                <c:pt idx="2">
                  <c:v>0.68</c:v>
                </c:pt>
                <c:pt idx="3">
                  <c:v>0.67400000000000004</c:v>
                </c:pt>
                <c:pt idx="4">
                  <c:v>0.67600000000000005</c:v>
                </c:pt>
                <c:pt idx="5">
                  <c:v>0.73499999999999999</c:v>
                </c:pt>
                <c:pt idx="6">
                  <c:v>0.73</c:v>
                </c:pt>
                <c:pt idx="7">
                  <c:v>0.71199999999999997</c:v>
                </c:pt>
                <c:pt idx="8">
                  <c:v>0.67600000000000005</c:v>
                </c:pt>
                <c:pt idx="9">
                  <c:v>0.69199999999999995</c:v>
                </c:pt>
                <c:pt idx="10">
                  <c:v>0.62</c:v>
                </c:pt>
                <c:pt idx="11">
                  <c:v>0.54</c:v>
                </c:pt>
                <c:pt idx="12">
                  <c:v>0.54800000000000004</c:v>
                </c:pt>
                <c:pt idx="13">
                  <c:v>0.621</c:v>
                </c:pt>
                <c:pt idx="14">
                  <c:v>0.67800000000000005</c:v>
                </c:pt>
                <c:pt idx="15">
                  <c:v>0.67300000000000004</c:v>
                </c:pt>
                <c:pt idx="16">
                  <c:v>0.68100000000000005</c:v>
                </c:pt>
                <c:pt idx="17">
                  <c:v>0.72499999999999998</c:v>
                </c:pt>
                <c:pt idx="18">
                  <c:v>0.73099999999999998</c:v>
                </c:pt>
                <c:pt idx="19">
                  <c:v>0.70899999999999996</c:v>
                </c:pt>
                <c:pt idx="20">
                  <c:v>0.66900000000000004</c:v>
                </c:pt>
                <c:pt idx="21">
                  <c:v>0.68500000000000005</c:v>
                </c:pt>
                <c:pt idx="22">
                  <c:v>0.62</c:v>
                </c:pt>
                <c:pt idx="23">
                  <c:v>0.54300000000000004</c:v>
                </c:pt>
                <c:pt idx="24">
                  <c:v>0.55100000000000005</c:v>
                </c:pt>
                <c:pt idx="25">
                  <c:v>0.62</c:v>
                </c:pt>
                <c:pt idx="26">
                  <c:v>0.38600000000000001</c:v>
                </c:pt>
                <c:pt idx="27">
                  <c:v>0.23499999999999999</c:v>
                </c:pt>
                <c:pt idx="28">
                  <c:v>0.31900000000000001</c:v>
                </c:pt>
              </c:numCache>
            </c:numRef>
          </c:val>
          <c:smooth val="0"/>
          <c:extLst>
            <c:ext xmlns:c16="http://schemas.microsoft.com/office/drawing/2014/chart" uri="{C3380CC4-5D6E-409C-BE32-E72D297353CC}">
              <c16:uniqueId val="{00000001-1098-42A9-94CA-44269B1C0485}"/>
            </c:ext>
          </c:extLst>
        </c:ser>
        <c:ser>
          <c:idx val="2"/>
          <c:order val="2"/>
          <c:tx>
            <c:strRef>
              <c:f>Sheet1!$D$1</c:f>
              <c:strCache>
                <c:ptCount val="1"/>
                <c:pt idx="0">
                  <c:v>Europe</c:v>
                </c:pt>
              </c:strCache>
            </c:strRef>
          </c:tx>
          <c:spPr>
            <a:ln>
              <a:solidFill>
                <a:srgbClr val="BABABA"/>
              </a:solidFill>
            </a:ln>
          </c:spPr>
          <c:marker>
            <c:symbol val="circle"/>
            <c:size val="5"/>
            <c:spPr>
              <a:solidFill>
                <a:srgbClr val="BABABA"/>
              </a:solidFill>
              <a:ln>
                <a:solidFill>
                  <a:srgbClr val="BABABA"/>
                </a:solidFill>
              </a:ln>
            </c:spPr>
          </c:marker>
          <c:cat>
            <c:strRef>
              <c:f>Sheet1!$A$2:$A$30</c:f>
              <c:strCache>
                <c:ptCount val="29"/>
                <c:pt idx="0">
                  <c:v>Jan 18</c:v>
                </c:pt>
                <c:pt idx="1">
                  <c:v>Feb 18</c:v>
                </c:pt>
                <c:pt idx="2">
                  <c:v>Mar 18</c:v>
                </c:pt>
                <c:pt idx="3">
                  <c:v>Apr 18</c:v>
                </c:pt>
                <c:pt idx="4">
                  <c:v>May 18</c:v>
                </c:pt>
                <c:pt idx="5">
                  <c:v>Jun 18</c:v>
                </c:pt>
                <c:pt idx="6">
                  <c:v>Jul 18</c:v>
                </c:pt>
                <c:pt idx="7">
                  <c:v>Aug 18</c:v>
                </c:pt>
                <c:pt idx="8">
                  <c:v>Sep 18</c:v>
                </c:pt>
                <c:pt idx="9">
                  <c:v>Oct 18</c:v>
                </c:pt>
                <c:pt idx="10">
                  <c:v>Nov 18</c:v>
                </c:pt>
                <c:pt idx="11">
                  <c:v>Dec 18</c:v>
                </c:pt>
                <c:pt idx="12">
                  <c:v>Jan 19</c:v>
                </c:pt>
                <c:pt idx="13">
                  <c:v>Feb 19</c:v>
                </c:pt>
                <c:pt idx="14">
                  <c:v>Mar 19</c:v>
                </c:pt>
                <c:pt idx="15">
                  <c:v>Apr 19</c:v>
                </c:pt>
                <c:pt idx="16">
                  <c:v>May 19</c:v>
                </c:pt>
                <c:pt idx="17">
                  <c:v>Jun 19</c:v>
                </c:pt>
                <c:pt idx="18">
                  <c:v>Jul 19</c:v>
                </c:pt>
                <c:pt idx="19">
                  <c:v>Aug 19</c:v>
                </c:pt>
                <c:pt idx="20">
                  <c:v>Sep 19</c:v>
                </c:pt>
                <c:pt idx="21">
                  <c:v>Oct 19</c:v>
                </c:pt>
                <c:pt idx="22">
                  <c:v>Nov 19</c:v>
                </c:pt>
                <c:pt idx="23">
                  <c:v>Dec 19</c:v>
                </c:pt>
                <c:pt idx="24">
                  <c:v>Jan 20</c:v>
                </c:pt>
                <c:pt idx="25">
                  <c:v>Feb 20</c:v>
                </c:pt>
                <c:pt idx="26">
                  <c:v>Mar 20</c:v>
                </c:pt>
                <c:pt idx="27">
                  <c:v>Apr 20</c:v>
                </c:pt>
                <c:pt idx="28">
                  <c:v>May 20</c:v>
                </c:pt>
              </c:strCache>
            </c:strRef>
          </c:cat>
          <c:val>
            <c:numRef>
              <c:f>Sheet1!$D$2:$D$30</c:f>
              <c:numCache>
                <c:formatCode>General</c:formatCode>
                <c:ptCount val="29"/>
                <c:pt idx="0">
                  <c:v>0.58599999999999997</c:v>
                </c:pt>
                <c:pt idx="1">
                  <c:v>0.65500000000000003</c:v>
                </c:pt>
                <c:pt idx="2">
                  <c:v>0.69599999999999995</c:v>
                </c:pt>
                <c:pt idx="3">
                  <c:v>0.73199999999999998</c:v>
                </c:pt>
                <c:pt idx="4">
                  <c:v>0.74399999999999999</c:v>
                </c:pt>
                <c:pt idx="5">
                  <c:v>0.79300000000000004</c:v>
                </c:pt>
                <c:pt idx="6">
                  <c:v>0.78600000000000003</c:v>
                </c:pt>
                <c:pt idx="7">
                  <c:v>0.77900000000000003</c:v>
                </c:pt>
                <c:pt idx="8">
                  <c:v>0.80700000000000005</c:v>
                </c:pt>
                <c:pt idx="9">
                  <c:v>0.77400000000000002</c:v>
                </c:pt>
                <c:pt idx="10">
                  <c:v>0.71799999999999997</c:v>
                </c:pt>
                <c:pt idx="11">
                  <c:v>0.63200000000000001</c:v>
                </c:pt>
                <c:pt idx="12">
                  <c:v>0.58099999999999996</c:v>
                </c:pt>
                <c:pt idx="13">
                  <c:v>0.65</c:v>
                </c:pt>
                <c:pt idx="14">
                  <c:v>0.68600000000000005</c:v>
                </c:pt>
                <c:pt idx="15">
                  <c:v>0.72</c:v>
                </c:pt>
                <c:pt idx="16">
                  <c:v>0.749</c:v>
                </c:pt>
                <c:pt idx="17">
                  <c:v>0.79900000000000004</c:v>
                </c:pt>
                <c:pt idx="18">
                  <c:v>0.79</c:v>
                </c:pt>
                <c:pt idx="19">
                  <c:v>0.77700000000000002</c:v>
                </c:pt>
                <c:pt idx="20">
                  <c:v>0.80700000000000005</c:v>
                </c:pt>
                <c:pt idx="21">
                  <c:v>0.76800000000000002</c:v>
                </c:pt>
                <c:pt idx="22">
                  <c:v>0.72199999999999998</c:v>
                </c:pt>
                <c:pt idx="23">
                  <c:v>0.626</c:v>
                </c:pt>
                <c:pt idx="24">
                  <c:v>0.58499999999999996</c:v>
                </c:pt>
                <c:pt idx="25">
                  <c:v>0.63600000000000001</c:v>
                </c:pt>
                <c:pt idx="26">
                  <c:v>0.26300000000000001</c:v>
                </c:pt>
                <c:pt idx="27">
                  <c:v>0.111</c:v>
                </c:pt>
                <c:pt idx="28">
                  <c:v>0.13300000000000001</c:v>
                </c:pt>
              </c:numCache>
            </c:numRef>
          </c:val>
          <c:smooth val="0"/>
          <c:extLst>
            <c:ext xmlns:c16="http://schemas.microsoft.com/office/drawing/2014/chart" uri="{C3380CC4-5D6E-409C-BE32-E72D297353CC}">
              <c16:uniqueId val="{00000002-1098-42A9-94CA-44269B1C0485}"/>
            </c:ext>
          </c:extLst>
        </c:ser>
        <c:ser>
          <c:idx val="3"/>
          <c:order val="3"/>
          <c:tx>
            <c:strRef>
              <c:f>Sheet1!$E$1</c:f>
              <c:strCache>
                <c:ptCount val="1"/>
                <c:pt idx="0">
                  <c:v>Middle East and Africa</c:v>
                </c:pt>
              </c:strCache>
            </c:strRef>
          </c:tx>
          <c:spPr>
            <a:ln>
              <a:solidFill>
                <a:srgbClr val="A60B0B"/>
              </a:solidFill>
            </a:ln>
          </c:spPr>
          <c:marker>
            <c:symbol val="circle"/>
            <c:size val="5"/>
            <c:spPr>
              <a:solidFill>
                <a:srgbClr val="A60B0B"/>
              </a:solidFill>
              <a:ln>
                <a:solidFill>
                  <a:srgbClr val="A60B0B"/>
                </a:solidFill>
              </a:ln>
            </c:spPr>
          </c:marker>
          <c:cat>
            <c:strRef>
              <c:f>Sheet1!$A$2:$A$30</c:f>
              <c:strCache>
                <c:ptCount val="29"/>
                <c:pt idx="0">
                  <c:v>Jan 18</c:v>
                </c:pt>
                <c:pt idx="1">
                  <c:v>Feb 18</c:v>
                </c:pt>
                <c:pt idx="2">
                  <c:v>Mar 18</c:v>
                </c:pt>
                <c:pt idx="3">
                  <c:v>Apr 18</c:v>
                </c:pt>
                <c:pt idx="4">
                  <c:v>May 18</c:v>
                </c:pt>
                <c:pt idx="5">
                  <c:v>Jun 18</c:v>
                </c:pt>
                <c:pt idx="6">
                  <c:v>Jul 18</c:v>
                </c:pt>
                <c:pt idx="7">
                  <c:v>Aug 18</c:v>
                </c:pt>
                <c:pt idx="8">
                  <c:v>Sep 18</c:v>
                </c:pt>
                <c:pt idx="9">
                  <c:v>Oct 18</c:v>
                </c:pt>
                <c:pt idx="10">
                  <c:v>Nov 18</c:v>
                </c:pt>
                <c:pt idx="11">
                  <c:v>Dec 18</c:v>
                </c:pt>
                <c:pt idx="12">
                  <c:v>Jan 19</c:v>
                </c:pt>
                <c:pt idx="13">
                  <c:v>Feb 19</c:v>
                </c:pt>
                <c:pt idx="14">
                  <c:v>Mar 19</c:v>
                </c:pt>
                <c:pt idx="15">
                  <c:v>Apr 19</c:v>
                </c:pt>
                <c:pt idx="16">
                  <c:v>May 19</c:v>
                </c:pt>
                <c:pt idx="17">
                  <c:v>Jun 19</c:v>
                </c:pt>
                <c:pt idx="18">
                  <c:v>Jul 19</c:v>
                </c:pt>
                <c:pt idx="19">
                  <c:v>Aug 19</c:v>
                </c:pt>
                <c:pt idx="20">
                  <c:v>Sep 19</c:v>
                </c:pt>
                <c:pt idx="21">
                  <c:v>Oct 19</c:v>
                </c:pt>
                <c:pt idx="22">
                  <c:v>Nov 19</c:v>
                </c:pt>
                <c:pt idx="23">
                  <c:v>Dec 19</c:v>
                </c:pt>
                <c:pt idx="24">
                  <c:v>Jan 20</c:v>
                </c:pt>
                <c:pt idx="25">
                  <c:v>Feb 20</c:v>
                </c:pt>
                <c:pt idx="26">
                  <c:v>Mar 20</c:v>
                </c:pt>
                <c:pt idx="27">
                  <c:v>Apr 20</c:v>
                </c:pt>
                <c:pt idx="28">
                  <c:v>May 20</c:v>
                </c:pt>
              </c:strCache>
            </c:strRef>
          </c:cat>
          <c:val>
            <c:numRef>
              <c:f>Sheet1!$E$2:$E$30</c:f>
              <c:numCache>
                <c:formatCode>General</c:formatCode>
                <c:ptCount val="29"/>
                <c:pt idx="0">
                  <c:v>0.629</c:v>
                </c:pt>
                <c:pt idx="1">
                  <c:v>0.66800000000000004</c:v>
                </c:pt>
                <c:pt idx="2">
                  <c:v>0.68600000000000005</c:v>
                </c:pt>
                <c:pt idx="3">
                  <c:v>0.67900000000000005</c:v>
                </c:pt>
                <c:pt idx="4">
                  <c:v>0.56000000000000005</c:v>
                </c:pt>
                <c:pt idx="5">
                  <c:v>0.52500000000000002</c:v>
                </c:pt>
                <c:pt idx="6">
                  <c:v>0.60199999999999998</c:v>
                </c:pt>
                <c:pt idx="7">
                  <c:v>0.63300000000000001</c:v>
                </c:pt>
                <c:pt idx="8">
                  <c:v>0.61899999999999999</c:v>
                </c:pt>
                <c:pt idx="9">
                  <c:v>0.64700000000000002</c:v>
                </c:pt>
                <c:pt idx="10">
                  <c:v>0.69099999999999995</c:v>
                </c:pt>
                <c:pt idx="11">
                  <c:v>0.64900000000000002</c:v>
                </c:pt>
                <c:pt idx="12">
                  <c:v>0.625</c:v>
                </c:pt>
                <c:pt idx="13">
                  <c:v>0.68300000000000005</c:v>
                </c:pt>
                <c:pt idx="14">
                  <c:v>0.69799999999999995</c:v>
                </c:pt>
                <c:pt idx="15">
                  <c:v>0.69799999999999995</c:v>
                </c:pt>
                <c:pt idx="16">
                  <c:v>0.51700000000000002</c:v>
                </c:pt>
                <c:pt idx="17">
                  <c:v>0.59399999999999997</c:v>
                </c:pt>
                <c:pt idx="18">
                  <c:v>0.61499999999999999</c:v>
                </c:pt>
                <c:pt idx="19">
                  <c:v>0.63200000000000001</c:v>
                </c:pt>
                <c:pt idx="20">
                  <c:v>0.64400000000000002</c:v>
                </c:pt>
                <c:pt idx="21">
                  <c:v>0.66900000000000004</c:v>
                </c:pt>
                <c:pt idx="22">
                  <c:v>0.70599999999999996</c:v>
                </c:pt>
                <c:pt idx="23">
                  <c:v>0.65500000000000003</c:v>
                </c:pt>
                <c:pt idx="24">
                  <c:v>0.66200000000000003</c:v>
                </c:pt>
                <c:pt idx="25">
                  <c:v>0.66700000000000004</c:v>
                </c:pt>
                <c:pt idx="26">
                  <c:v>0.33900000000000002</c:v>
                </c:pt>
                <c:pt idx="27">
                  <c:v>0.26500000000000001</c:v>
                </c:pt>
                <c:pt idx="28">
                  <c:v>0.30599999999999999</c:v>
                </c:pt>
              </c:numCache>
            </c:numRef>
          </c:val>
          <c:smooth val="0"/>
          <c:extLst>
            <c:ext xmlns:c16="http://schemas.microsoft.com/office/drawing/2014/chart" uri="{C3380CC4-5D6E-409C-BE32-E72D297353CC}">
              <c16:uniqueId val="{00000003-1098-42A9-94CA-44269B1C0485}"/>
            </c:ext>
          </c:extLst>
        </c:ser>
        <c:dLbls>
          <c:showLegendKey val="0"/>
          <c:showVal val="0"/>
          <c:showCatName val="0"/>
          <c:showSerName val="0"/>
          <c:showPercent val="0"/>
          <c:showBubbleSize val="0"/>
        </c:dLbls>
        <c:marker val="1"/>
        <c:smooth val="0"/>
        <c:axId val="67451136"/>
        <c:axId val="66437120"/>
      </c:lineChart>
      <c:catAx>
        <c:axId val="67451136"/>
        <c:scaling>
          <c:orientation val="minMax"/>
        </c:scaling>
        <c:delete val="0"/>
        <c:axPos val="b"/>
        <c:numFmt formatCode="General" sourceLinked="0"/>
        <c:majorTickMark val="none"/>
        <c:minorTickMark val="none"/>
        <c:tickLblPos val="low"/>
        <c:spPr>
          <a:ln w="25400">
            <a:solidFill>
              <a:srgbClr val="000000"/>
            </a:solidFill>
          </a:ln>
        </c:spPr>
        <c:crossAx val="66437120"/>
        <c:crosses val="autoZero"/>
        <c:auto val="0"/>
        <c:lblAlgn val="ctr"/>
        <c:lblOffset val="100"/>
        <c:noMultiLvlLbl val="0"/>
      </c:catAx>
      <c:valAx>
        <c:axId val="66437120"/>
        <c:scaling>
          <c:orientation val="minMax"/>
          <c:min val="0"/>
        </c:scaling>
        <c:delete val="0"/>
        <c:axPos val="l"/>
        <c:majorGridlines>
          <c:spPr>
            <a:ln w="9525">
              <a:solidFill>
                <a:srgbClr val="2F2F2F"/>
              </a:solidFill>
              <a:prstDash val="dot"/>
            </a:ln>
          </c:spPr>
        </c:majorGridlines>
        <c:title>
          <c:tx>
            <c:rich>
              <a:bodyPr/>
              <a:lstStyle/>
              <a:p>
                <a:pPr>
                  <a:defRPr/>
                </a:pPr>
                <a:r>
                  <a:rPr lang="en-US"/>
                  <a:t>Occupancy rate</a:t>
                </a:r>
              </a:p>
            </c:rich>
          </c:tx>
          <c:overlay val="0"/>
        </c:title>
        <c:numFmt formatCode="#,##0%" sourceLinked="0"/>
        <c:majorTickMark val="none"/>
        <c:minorTickMark val="none"/>
        <c:tickLblPos val="low"/>
        <c:spPr>
          <a:ln>
            <a:noFill/>
          </a:ln>
        </c:spPr>
        <c:crossAx val="67451136"/>
        <c:crosses val="autoZero"/>
        <c:crossBetween val="between"/>
      </c:valAx>
    </c:plotArea>
    <c:legend>
      <c:legendPos val="t"/>
      <c:overlay val="0"/>
    </c:legend>
    <c:plotVisOnly val="1"/>
    <c:dispBlanksAs val="gap"/>
    <c:showDLblsOverMax val="1"/>
  </c:chart>
  <c:txPr>
    <a:bodyPr/>
    <a:lstStyle/>
    <a:p>
      <a:pPr>
        <a:defRPr sz="700" smtId="4294967295"/>
      </a:pPr>
      <a:endParaRPr lang="zh-CN"/>
    </a:p>
  </c:txPr>
  <c:externalData r:id="rId1">
    <c:autoUpdate val="0"/>
  </c:externalData>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F78EBC-1A77-4B72-B7F7-7A4733C98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9587</Words>
  <Characters>54647</Characters>
  <Application>Microsoft Office Word</Application>
  <DocSecurity>0</DocSecurity>
  <Lines>455</Lines>
  <Paragraphs>128</Paragraphs>
  <ScaleCrop>false</ScaleCrop>
  <Company/>
  <LinksUpToDate>false</LinksUpToDate>
  <CharactersWithSpaces>64106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admin</dc:creator>
  <cp:keywords/>
  <dc:description/>
  <cp:lastModifiedBy>admin admin</cp:lastModifiedBy>
  <cp:revision>2</cp:revision>
  <dcterms:created xsi:type="dcterms:W3CDTF">2022-05-08T17:26:00Z</dcterms:created>
  <dcterms:modified xsi:type="dcterms:W3CDTF">2022-05-08T17:26:00Z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http://www.zotero.org/styles/apa</vt:lpwstr>
  </property>
  <property fmtid="{D5CDD505-2E9C-101B-9397-08002B2CF9AE}" pid="3" name="Mendeley Recent Style Name 0_1">
    <vt:lpwstr>American Psychological Association 7th edition</vt:lpwstr>
  </property>
  <property fmtid="{D5CDD505-2E9C-101B-9397-08002B2CF9AE}" pid="4" name="Mendeley Recent Style Id 1_1">
    <vt:lpwstr>http://www.zotero.org/styles/american-sociological-association</vt:lpwstr>
  </property>
  <property fmtid="{D5CDD505-2E9C-101B-9397-08002B2CF9AE}" pid="5" name="Mendeley Recent Style Name 1_1">
    <vt:lpwstr>American Sociological Association</vt:lpwstr>
  </property>
  <property fmtid="{D5CDD505-2E9C-101B-9397-08002B2CF9AE}" pid="6" name="Mendeley Recent Style Id 2_1">
    <vt:lpwstr>http://www.zotero.org/styles/chicago-author-date</vt:lpwstr>
  </property>
  <property fmtid="{D5CDD505-2E9C-101B-9397-08002B2CF9AE}" pid="7" name="Mendeley Recent Style Name 2_1">
    <vt:lpwstr>Chicago Manual of Style 17th edition (author-date)</vt:lpwstr>
  </property>
  <property fmtid="{D5CDD505-2E9C-101B-9397-08002B2CF9AE}" pid="8" name="Mendeley Recent Style Id 3_1">
    <vt:lpwstr>http://www.zotero.org/styles/chicago-fullnote-bibliography</vt:lpwstr>
  </property>
  <property fmtid="{D5CDD505-2E9C-101B-9397-08002B2CF9AE}" pid="9" name="Mendeley Recent Style Name 3_1">
    <vt:lpwstr>Chicago Manual of Style 17th edition (full note)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http://www.zotero.org/styles/harvard-coventry-university</vt:lpwstr>
  </property>
  <property fmtid="{D5CDD505-2E9C-101B-9397-08002B2CF9AE}" pid="13" name="Mendeley Recent Style Name 5_1">
    <vt:lpwstr>Coventry University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http://www.zotero.org/styles/harvard-university-of-leeds</vt:lpwstr>
  </property>
  <property fmtid="{D5CDD505-2E9C-101B-9397-08002B2CF9AE}" pid="19" name="Mendeley Recent Style Name 8_1">
    <vt:lpwstr>University of Leeds - Harvard</vt:lpwstr>
  </property>
  <property fmtid="{D5CDD505-2E9C-101B-9397-08002B2CF9AE}" pid="20" name="Mendeley Recent Style Id 9_1">
    <vt:lpwstr>http://www.zotero.org/styles/harvard-university-of-westminster</vt:lpwstr>
  </property>
  <property fmtid="{D5CDD505-2E9C-101B-9397-08002B2CF9AE}" pid="21" name="Mendeley Recent Style Name 9_1">
    <vt:lpwstr>University of Westminster - Harvard</vt:lpwstr>
  </property>
  <property fmtid="{D5CDD505-2E9C-101B-9397-08002B2CF9AE}" pid="22" name="Mendeley Document_1">
    <vt:lpwstr>True</vt:lpwstr>
  </property>
  <property fmtid="{D5CDD505-2E9C-101B-9397-08002B2CF9AE}" pid="23" name="Mendeley Unique User Id_1">
    <vt:lpwstr>dc7538be-bcd6-3be4-b1f3-3329b185610b</vt:lpwstr>
  </property>
  <property fmtid="{D5CDD505-2E9C-101B-9397-08002B2CF9AE}" pid="24" name="Mendeley Citation Style_1">
    <vt:lpwstr>http://www.zotero.org/styles/harvard-cite-them-right</vt:lpwstr>
  </property>
</Properties>
</file>