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674" w:rsidRPr="00B82358" w:rsidRDefault="004C3674" w:rsidP="004C3674">
      <w:pPr>
        <w:jc w:val="center"/>
        <w:rPr>
          <w:rFonts w:ascii="Arial" w:hAnsi="Arial" w:cs="Arial"/>
          <w:b/>
          <w:bCs/>
          <w:color w:val="F79646"/>
        </w:rPr>
      </w:pPr>
      <w:r w:rsidRPr="00B82358">
        <w:rPr>
          <w:rFonts w:ascii="Arial" w:hAnsi="Arial" w:cs="Arial"/>
          <w:b/>
          <w:bCs/>
          <w:color w:val="F79646"/>
        </w:rPr>
        <w:t xml:space="preserve">Genesis 12 – 25:  The Story </w:t>
      </w:r>
      <w:proofErr w:type="gramStart"/>
      <w:r w:rsidRPr="00B82358">
        <w:rPr>
          <w:rFonts w:ascii="Arial" w:hAnsi="Arial" w:cs="Arial"/>
          <w:b/>
          <w:bCs/>
          <w:color w:val="F79646"/>
        </w:rPr>
        <w:t>of  Abraham</w:t>
      </w:r>
      <w:proofErr w:type="gramEnd"/>
    </w:p>
    <w:p w:rsidR="004C3674" w:rsidRDefault="004C3674" w:rsidP="004C3674">
      <w:pPr>
        <w:rPr>
          <w:rFonts w:ascii="Arial" w:hAnsi="Arial" w:cs="Arial"/>
        </w:rPr>
      </w:pPr>
    </w:p>
    <w:p w:rsidR="004C3674" w:rsidRDefault="004C3674" w:rsidP="004C3674">
      <w:pPr>
        <w:pStyle w:val="BodyText"/>
      </w:pPr>
      <w:r>
        <w:t xml:space="preserve">The story of Abraham begins (11:27-32) and ends (25:1-18) with genealogical notices about the families of </w:t>
      </w:r>
      <w:proofErr w:type="spellStart"/>
      <w:r>
        <w:t>Terah</w:t>
      </w:r>
      <w:proofErr w:type="spellEnd"/>
      <w:r>
        <w:t xml:space="preserve"> and Abraham. 12:1-9 acts as an overture introducing the key themes for the rest of the section (</w:t>
      </w:r>
      <w:proofErr w:type="spellStart"/>
      <w:r>
        <w:t>chs</w:t>
      </w:r>
      <w:proofErr w:type="spellEnd"/>
      <w:r>
        <w:t>. 12-25). The Abraham-Lot cycle takes up most of chapters 13-14+19 and between these chapters, promises predominate (</w:t>
      </w:r>
      <w:proofErr w:type="spellStart"/>
      <w:r>
        <w:t>chs</w:t>
      </w:r>
      <w:proofErr w:type="spellEnd"/>
      <w:r>
        <w:t>. 15</w:t>
      </w:r>
      <w:proofErr w:type="gramStart"/>
      <w:r>
        <w:t>,16,17</w:t>
      </w:r>
      <w:proofErr w:type="gramEnd"/>
      <w:r>
        <w:t xml:space="preserve"> and 18:1-16).  Chapters 20-24 conclude the unit by telling of the fulfilment of the promise of the son and heir (21:1-7), Abraham’s obedience regarding his heir (22:1-19) and his heir’s marriage (</w:t>
      </w:r>
      <w:proofErr w:type="spellStart"/>
      <w:r>
        <w:t>ch</w:t>
      </w:r>
      <w:proofErr w:type="spellEnd"/>
      <w:r>
        <w:t xml:space="preserve">. 24) and the fulfilment of the promise of the land by Abraham’s acquiring a small plot and well (21:22-34 and ch.23). Reading the various episodes in chapters 12-25 causes the reader to ponder the issues raised in chapter 12.  The characterisation is also more complex, and not only of the major characters such as Abraham, Sarah and </w:t>
      </w:r>
      <w:smartTag w:uri="urn:schemas-microsoft-com:office:smarttags" w:element="place">
        <w:r>
          <w:t>Lot</w:t>
        </w:r>
      </w:smartTag>
      <w:proofErr w:type="gramStart"/>
      <w:r>
        <w:t>;  we</w:t>
      </w:r>
      <w:proofErr w:type="gramEnd"/>
      <w:r>
        <w:t xml:space="preserve"> are also provided with detailed cameos of minor characters such as Pharaoh, Hagar and </w:t>
      </w:r>
      <w:proofErr w:type="spellStart"/>
      <w:r>
        <w:t>Abimelech</w:t>
      </w:r>
      <w:proofErr w:type="spellEnd"/>
      <w:r>
        <w:t xml:space="preserve">.  An overarching plot is more discernible than in </w:t>
      </w:r>
      <w:proofErr w:type="spellStart"/>
      <w:r>
        <w:t>chs</w:t>
      </w:r>
      <w:proofErr w:type="spellEnd"/>
      <w:r>
        <w:t xml:space="preserve"> 1-11 but the expectations of the characters, and with them those of the readers, are regularly raised and then disappointed (See Turner, </w:t>
      </w:r>
      <w:r>
        <w:rPr>
          <w:i/>
          <w:iCs/>
        </w:rPr>
        <w:t>Genesis</w:t>
      </w:r>
      <w:proofErr w:type="gramStart"/>
      <w:r>
        <w:t>,  p.17</w:t>
      </w:r>
      <w:proofErr w:type="gramEnd"/>
      <w:r>
        <w:t>).</w:t>
      </w:r>
    </w:p>
    <w:p w:rsidR="004C3674" w:rsidRDefault="004C3674" w:rsidP="004C3674">
      <w:pPr>
        <w:rPr>
          <w:rFonts w:ascii="Arial" w:hAnsi="Arial" w:cs="Arial"/>
        </w:rPr>
      </w:pPr>
    </w:p>
    <w:p w:rsidR="004C3674" w:rsidRDefault="004C3674" w:rsidP="004C3674">
      <w:pPr>
        <w:rPr>
          <w:rFonts w:ascii="Arial" w:hAnsi="Arial" w:cs="Arial"/>
        </w:rPr>
      </w:pPr>
      <w:r>
        <w:rPr>
          <w:rFonts w:ascii="Arial" w:hAnsi="Arial" w:cs="Arial"/>
        </w:rPr>
        <w:t xml:space="preserve">Some commentators </w:t>
      </w:r>
      <w:proofErr w:type="gramStart"/>
      <w:r>
        <w:rPr>
          <w:rFonts w:ascii="Arial" w:hAnsi="Arial" w:cs="Arial"/>
        </w:rPr>
        <w:t>( R.E</w:t>
      </w:r>
      <w:proofErr w:type="gramEnd"/>
      <w:r>
        <w:rPr>
          <w:rFonts w:ascii="Arial" w:hAnsi="Arial" w:cs="Arial"/>
        </w:rPr>
        <w:t xml:space="preserve">. Murphy in </w:t>
      </w:r>
      <w:r>
        <w:rPr>
          <w:rFonts w:ascii="Arial" w:hAnsi="Arial" w:cs="Arial"/>
          <w:i/>
          <w:iCs/>
        </w:rPr>
        <w:t>The New Jerome Biblical Commentary</w:t>
      </w:r>
      <w:r>
        <w:rPr>
          <w:rFonts w:ascii="Arial" w:hAnsi="Arial" w:cs="Arial"/>
        </w:rPr>
        <w:t>) see in this section a series of ten trials, each of which is followed by consolation:</w:t>
      </w:r>
    </w:p>
    <w:p w:rsidR="004C3674" w:rsidRDefault="004C3674" w:rsidP="004C3674">
      <w:pPr>
        <w:rPr>
          <w:rFonts w:ascii="Arial" w:hAnsi="Arial" w:cs="Arial"/>
        </w:rPr>
      </w:pPr>
    </w:p>
    <w:p w:rsidR="004C3674" w:rsidRDefault="004C3674" w:rsidP="004C3674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Migration from country and family (12:1-4)</w:t>
      </w:r>
    </w:p>
    <w:p w:rsidR="004C3674" w:rsidRDefault="004C3674" w:rsidP="004C3674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Dangerous journey to </w:t>
      </w:r>
      <w:smartTag w:uri="urn:schemas-microsoft-com:office:smarttags" w:element="country-region">
        <w:smartTag w:uri="urn:schemas-microsoft-com:office:smarttags" w:element="place">
          <w:r>
            <w:rPr>
              <w:rFonts w:ascii="Arial" w:hAnsi="Arial" w:cs="Arial"/>
            </w:rPr>
            <w:t>Egypt</w:t>
          </w:r>
        </w:smartTag>
      </w:smartTag>
      <w:r>
        <w:rPr>
          <w:rFonts w:ascii="Arial" w:hAnsi="Arial" w:cs="Arial"/>
        </w:rPr>
        <w:t xml:space="preserve"> (12:10-13:1)</w:t>
      </w:r>
    </w:p>
    <w:p w:rsidR="004C3674" w:rsidRDefault="004C3674" w:rsidP="004C3674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Yielding to </w:t>
      </w:r>
      <w:smartTag w:uri="urn:schemas-microsoft-com:office:smarttags" w:element="place">
        <w:r>
          <w:rPr>
            <w:rFonts w:ascii="Arial" w:hAnsi="Arial" w:cs="Arial"/>
          </w:rPr>
          <w:t>Lot</w:t>
        </w:r>
      </w:smartTag>
      <w:r>
        <w:rPr>
          <w:rFonts w:ascii="Arial" w:hAnsi="Arial" w:cs="Arial"/>
        </w:rPr>
        <w:t xml:space="preserve"> (13:2-8)</w:t>
      </w:r>
    </w:p>
    <w:p w:rsidR="004C3674" w:rsidRDefault="004C3674" w:rsidP="004C3674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Rescue of </w:t>
      </w:r>
      <w:smartTag w:uri="urn:schemas-microsoft-com:office:smarttags" w:element="place">
        <w:r>
          <w:rPr>
            <w:rFonts w:ascii="Arial" w:hAnsi="Arial" w:cs="Arial"/>
          </w:rPr>
          <w:t>Lot</w:t>
        </w:r>
      </w:smartTag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chs</w:t>
      </w:r>
      <w:proofErr w:type="spellEnd"/>
      <w:r>
        <w:rPr>
          <w:rFonts w:ascii="Arial" w:hAnsi="Arial" w:cs="Arial"/>
        </w:rPr>
        <w:t xml:space="preserve"> 14-15)</w:t>
      </w:r>
    </w:p>
    <w:p w:rsidR="004C3674" w:rsidRDefault="004C3674" w:rsidP="004C3674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Danger of loss of Ishmael (</w:t>
      </w:r>
      <w:proofErr w:type="spellStart"/>
      <w:r>
        <w:rPr>
          <w:rFonts w:ascii="Arial" w:hAnsi="Arial" w:cs="Arial"/>
        </w:rPr>
        <w:t>chs</w:t>
      </w:r>
      <w:proofErr w:type="spellEnd"/>
      <w:r>
        <w:rPr>
          <w:rFonts w:ascii="Arial" w:hAnsi="Arial" w:cs="Arial"/>
        </w:rPr>
        <w:t xml:space="preserve"> 16-17)</w:t>
      </w:r>
    </w:p>
    <w:p w:rsidR="004C3674" w:rsidRDefault="004C3674" w:rsidP="004C3674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Testing through circumcision (18:1-15)</w:t>
      </w:r>
    </w:p>
    <w:p w:rsidR="004C3674" w:rsidRDefault="004C3674" w:rsidP="004C3674">
      <w:pPr>
        <w:numPr>
          <w:ilvl w:val="0"/>
          <w:numId w:val="1"/>
        </w:numPr>
        <w:rPr>
          <w:rFonts w:ascii="Arial" w:hAnsi="Arial" w:cs="Arial"/>
        </w:rPr>
      </w:pPr>
      <w:smartTag w:uri="urn:schemas-microsoft-com:office:smarttags" w:element="place">
        <w:r>
          <w:rPr>
            <w:rFonts w:ascii="Arial" w:hAnsi="Arial" w:cs="Arial"/>
          </w:rPr>
          <w:t>Lot</w:t>
        </w:r>
      </w:smartTag>
      <w:r>
        <w:rPr>
          <w:rFonts w:ascii="Arial" w:hAnsi="Arial" w:cs="Arial"/>
        </w:rPr>
        <w:t xml:space="preserve"> in jeopardy from wickedness of neighbours (18:16-19:29)</w:t>
      </w:r>
    </w:p>
    <w:p w:rsidR="004C3674" w:rsidRDefault="004C3674" w:rsidP="004C3674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Abraham again in danger from foreign king (20:1-21:7)</w:t>
      </w:r>
    </w:p>
    <w:p w:rsidR="004C3674" w:rsidRDefault="004C3674" w:rsidP="004C3674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Birth of Isaac (21:8-34)</w:t>
      </w:r>
    </w:p>
    <w:p w:rsidR="004C3674" w:rsidRDefault="004C3674" w:rsidP="004C3674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Offering of Isaac (</w:t>
      </w:r>
      <w:proofErr w:type="spellStart"/>
      <w:r>
        <w:rPr>
          <w:rFonts w:ascii="Arial" w:hAnsi="Arial" w:cs="Arial"/>
        </w:rPr>
        <w:t>ch</w:t>
      </w:r>
      <w:proofErr w:type="spellEnd"/>
      <w:r>
        <w:rPr>
          <w:rFonts w:ascii="Arial" w:hAnsi="Arial" w:cs="Arial"/>
        </w:rPr>
        <w:t>. 22)</w:t>
      </w:r>
    </w:p>
    <w:p w:rsidR="004C3674" w:rsidRDefault="004C3674" w:rsidP="004C3674">
      <w:pPr>
        <w:rPr>
          <w:rFonts w:ascii="Arial" w:hAnsi="Arial" w:cs="Arial"/>
        </w:rPr>
      </w:pPr>
    </w:p>
    <w:p w:rsidR="004C3674" w:rsidRDefault="004C3674" w:rsidP="004C3674">
      <w:pPr>
        <w:pStyle w:val="BodyText"/>
      </w:pPr>
      <w:r>
        <w:t xml:space="preserve">The most striking characteristic of Abraham’s portrayal in the Genesis narrative – and for which it is most admired in later tradition – is his passive obedience to the divine directives he receives. At the beginning of the story, he is told to leave his homeland and travel to a distant land.  That he seems to accept this summons without question or hesitation may be a consequence of the literal economy of the narrative, but in post-biblical interpretation his passive acceptance has been seen as a paradigm of the unquestioning obedience that arises from trust in </w:t>
      </w:r>
      <w:proofErr w:type="gramStart"/>
      <w:r>
        <w:t>God  (</w:t>
      </w:r>
      <w:proofErr w:type="spellStart"/>
      <w:proofErr w:type="gramEnd"/>
      <w:r>
        <w:rPr>
          <w:i/>
          <w:iCs/>
        </w:rPr>
        <w:t>Eerdmans</w:t>
      </w:r>
      <w:proofErr w:type="spellEnd"/>
      <w:r>
        <w:rPr>
          <w:i/>
          <w:iCs/>
        </w:rPr>
        <w:t xml:space="preserve"> Dictionary of the Bible</w:t>
      </w:r>
      <w:r>
        <w:t>, p.10).</w:t>
      </w:r>
    </w:p>
    <w:p w:rsidR="004C3674" w:rsidRDefault="004C3674" w:rsidP="004C3674">
      <w:pPr>
        <w:rPr>
          <w:rFonts w:ascii="Arial" w:hAnsi="Arial" w:cs="Arial"/>
        </w:rPr>
      </w:pPr>
    </w:p>
    <w:p w:rsidR="002F30FF" w:rsidRDefault="002F30FF" w:rsidP="004C3674">
      <w:pPr>
        <w:rPr>
          <w:rFonts w:ascii="Arial" w:hAnsi="Arial" w:cs="Arial"/>
        </w:rPr>
      </w:pPr>
    </w:p>
    <w:p w:rsidR="00E54371" w:rsidRDefault="00E54371" w:rsidP="004C3674">
      <w:pPr>
        <w:pStyle w:val="NormalWeb"/>
        <w:spacing w:before="0" w:beforeAutospacing="0" w:after="0" w:afterAutospacing="0"/>
        <w:rPr>
          <w:rFonts w:ascii="Arial" w:hAnsi="Arial" w:cs="Arial"/>
          <w:b/>
          <w:color w:val="1F497D" w:themeColor="text2"/>
          <w:u w:val="single"/>
        </w:rPr>
      </w:pPr>
    </w:p>
    <w:p w:rsidR="004C3674" w:rsidRDefault="00E54371" w:rsidP="004C3674">
      <w:pPr>
        <w:pStyle w:val="NormalWeb"/>
        <w:spacing w:before="0" w:beforeAutospacing="0" w:after="0" w:afterAutospacing="0"/>
        <w:rPr>
          <w:rFonts w:asciiTheme="minorHAnsi" w:hAnsiTheme="minorHAnsi" w:cs="Arial"/>
          <w:b/>
          <w:color w:val="000000" w:themeColor="text1"/>
          <w:u w:val="single"/>
        </w:rPr>
      </w:pPr>
      <w:r w:rsidRPr="004152CB">
        <w:rPr>
          <w:rFonts w:asciiTheme="minorHAnsi" w:hAnsiTheme="minorHAnsi" w:cs="Arial"/>
          <w:b/>
          <w:color w:val="000000" w:themeColor="text1"/>
          <w:u w:val="single"/>
        </w:rPr>
        <w:t>READING:</w:t>
      </w:r>
    </w:p>
    <w:p w:rsidR="002F30FF" w:rsidRPr="004152CB" w:rsidRDefault="002F30FF" w:rsidP="004C3674">
      <w:pPr>
        <w:pStyle w:val="NormalWeb"/>
        <w:spacing w:before="0" w:beforeAutospacing="0" w:after="0" w:afterAutospacing="0"/>
        <w:rPr>
          <w:rFonts w:asciiTheme="minorHAnsi" w:hAnsiTheme="minorHAnsi" w:cs="Arial"/>
          <w:b/>
          <w:color w:val="000000" w:themeColor="text1"/>
          <w:u w:val="single"/>
        </w:rPr>
      </w:pPr>
    </w:p>
    <w:p w:rsidR="002F30FF" w:rsidRDefault="002F30FF" w:rsidP="002F30FF">
      <w:pPr>
        <w:rPr>
          <w:rFonts w:ascii="Arial" w:hAnsi="Arial" w:cs="Arial"/>
        </w:rPr>
      </w:pPr>
      <w:r>
        <w:rPr>
          <w:rFonts w:ascii="Arial" w:hAnsi="Arial" w:cs="Arial"/>
        </w:rPr>
        <w:t xml:space="preserve">Walter Moberly in </w:t>
      </w:r>
      <w:r w:rsidRPr="002F30FF">
        <w:rPr>
          <w:rFonts w:ascii="Arial" w:hAnsi="Arial" w:cs="Arial"/>
          <w:i/>
        </w:rPr>
        <w:t>Genesis and Exodus</w:t>
      </w:r>
      <w:r>
        <w:rPr>
          <w:rFonts w:ascii="Arial" w:hAnsi="Arial" w:cs="Arial"/>
        </w:rPr>
        <w:t xml:space="preserve"> (ed. John </w:t>
      </w:r>
      <w:proofErr w:type="spellStart"/>
      <w:r>
        <w:rPr>
          <w:rFonts w:ascii="Arial" w:hAnsi="Arial" w:cs="Arial"/>
        </w:rPr>
        <w:t>Rogerson</w:t>
      </w:r>
      <w:proofErr w:type="spellEnd"/>
      <w:r>
        <w:rPr>
          <w:rFonts w:ascii="Arial" w:hAnsi="Arial" w:cs="Arial"/>
        </w:rPr>
        <w:t>) explores the moral dilemma presented by Genesis 22. [</w:t>
      </w:r>
      <w:proofErr w:type="gramStart"/>
      <w:r>
        <w:rPr>
          <w:rFonts w:ascii="Arial" w:hAnsi="Arial" w:cs="Arial"/>
        </w:rPr>
        <w:t>file</w:t>
      </w:r>
      <w:proofErr w:type="gramEnd"/>
      <w:r>
        <w:rPr>
          <w:rFonts w:ascii="Arial" w:hAnsi="Arial" w:cs="Arial"/>
        </w:rPr>
        <w:t xml:space="preserve"> attached].</w:t>
      </w:r>
    </w:p>
    <w:p w:rsidR="002F30FF" w:rsidRDefault="002F30FF" w:rsidP="002F30FF">
      <w:pPr>
        <w:rPr>
          <w:rFonts w:ascii="Arial" w:hAnsi="Arial" w:cs="Arial"/>
        </w:rPr>
      </w:pPr>
    </w:p>
    <w:p w:rsidR="002F30FF" w:rsidRPr="002F30FF" w:rsidRDefault="002F30FF" w:rsidP="002F30FF">
      <w:pPr>
        <w:rPr>
          <w:rFonts w:ascii="Arial" w:hAnsi="Arial" w:cs="Arial"/>
          <w:u w:val="single"/>
        </w:rPr>
      </w:pPr>
      <w:r w:rsidRPr="002F30FF">
        <w:rPr>
          <w:rFonts w:ascii="Arial" w:hAnsi="Arial" w:cs="Arial"/>
          <w:u w:val="single"/>
        </w:rPr>
        <w:t>Other reading:</w:t>
      </w:r>
    </w:p>
    <w:p w:rsidR="00E54371" w:rsidRPr="004152CB" w:rsidRDefault="00E54371" w:rsidP="004C3674">
      <w:pPr>
        <w:pStyle w:val="NormalWeb"/>
        <w:spacing w:before="0" w:beforeAutospacing="0" w:after="0" w:afterAutospacing="0"/>
        <w:rPr>
          <w:rFonts w:asciiTheme="minorHAnsi" w:hAnsiTheme="minorHAnsi" w:cs="Arial"/>
          <w:color w:val="000000" w:themeColor="text1"/>
        </w:rPr>
      </w:pPr>
    </w:p>
    <w:p w:rsidR="00E54371" w:rsidRPr="004152CB" w:rsidRDefault="006B6135" w:rsidP="00E54371">
      <w:pPr>
        <w:numPr>
          <w:ilvl w:val="0"/>
          <w:numId w:val="2"/>
        </w:numPr>
        <w:shd w:val="clear" w:color="auto" w:fill="EDEFF4"/>
        <w:spacing w:beforeAutospacing="1" w:afterAutospacing="1" w:line="408" w:lineRule="atLeast"/>
        <w:ind w:left="0"/>
        <w:rPr>
          <w:rFonts w:asciiTheme="minorHAnsi" w:hAnsiTheme="minorHAnsi" w:cs="Arial"/>
          <w:color w:val="000000" w:themeColor="text1"/>
        </w:rPr>
      </w:pPr>
      <w:hyperlink r:id="rId5" w:history="1">
        <w:r w:rsidR="00E54371" w:rsidRPr="004152CB">
          <w:rPr>
            <w:rStyle w:val="Hyperlink"/>
            <w:rFonts w:asciiTheme="minorHAnsi" w:hAnsiTheme="minorHAnsi" w:cs="Arial"/>
            <w:color w:val="000000" w:themeColor="text1"/>
          </w:rPr>
          <w:t xml:space="preserve">L. </w:t>
        </w:r>
        <w:proofErr w:type="spellStart"/>
        <w:r w:rsidR="00E54371" w:rsidRPr="004152CB">
          <w:rPr>
            <w:rStyle w:val="Hyperlink"/>
            <w:rFonts w:asciiTheme="minorHAnsi" w:hAnsiTheme="minorHAnsi" w:cs="Arial"/>
            <w:color w:val="000000" w:themeColor="text1"/>
          </w:rPr>
          <w:t>Eslinger</w:t>
        </w:r>
        <w:proofErr w:type="spellEnd"/>
        <w:r w:rsidR="00E54371" w:rsidRPr="004152CB">
          <w:rPr>
            <w:rStyle w:val="Hyperlink"/>
            <w:rFonts w:asciiTheme="minorHAnsi" w:hAnsiTheme="minorHAnsi" w:cs="Arial"/>
            <w:color w:val="000000" w:themeColor="text1"/>
          </w:rPr>
          <w:t xml:space="preserve"> (</w:t>
        </w:r>
        <w:r w:rsidR="00E54371" w:rsidRPr="004152CB">
          <w:rPr>
            <w:rStyle w:val="Hyperlink"/>
            <w:rFonts w:asciiTheme="minorHAnsi" w:hAnsiTheme="minorHAnsi" w:cs="Arial"/>
            <w:i/>
            <w:color w:val="000000" w:themeColor="text1"/>
          </w:rPr>
          <w:t>Prehistory in the Call of Abraham)</w:t>
        </w:r>
        <w:r w:rsidR="00E54371" w:rsidRPr="004152CB">
          <w:rPr>
            <w:rStyle w:val="accesshide1"/>
            <w:rFonts w:asciiTheme="minorHAnsi" w:hAnsiTheme="minorHAnsi" w:cs="Arial"/>
            <w:color w:val="000000" w:themeColor="text1"/>
          </w:rPr>
          <w:t xml:space="preserve"> </w:t>
        </w:r>
      </w:hyperlink>
    </w:p>
    <w:p w:rsidR="00E54371" w:rsidRPr="004152CB" w:rsidRDefault="006B6135" w:rsidP="00E54371">
      <w:pPr>
        <w:numPr>
          <w:ilvl w:val="0"/>
          <w:numId w:val="2"/>
        </w:numPr>
        <w:shd w:val="clear" w:color="auto" w:fill="EDEFF4"/>
        <w:spacing w:beforeAutospacing="1" w:afterAutospacing="1" w:line="408" w:lineRule="atLeast"/>
        <w:ind w:left="0"/>
        <w:rPr>
          <w:rFonts w:asciiTheme="minorHAnsi" w:hAnsiTheme="minorHAnsi" w:cs="Arial"/>
          <w:color w:val="000000" w:themeColor="text1"/>
        </w:rPr>
      </w:pPr>
      <w:hyperlink r:id="rId6" w:history="1">
        <w:r w:rsidR="00E54371" w:rsidRPr="004152CB">
          <w:rPr>
            <w:rStyle w:val="Hyperlink"/>
            <w:rFonts w:asciiTheme="minorHAnsi" w:hAnsiTheme="minorHAnsi" w:cs="Arial"/>
            <w:color w:val="000000" w:themeColor="text1"/>
          </w:rPr>
          <w:t>M. Bergmann (</w:t>
        </w:r>
        <w:r w:rsidR="00E54371" w:rsidRPr="004152CB">
          <w:rPr>
            <w:rStyle w:val="Hyperlink"/>
            <w:rFonts w:asciiTheme="minorHAnsi" w:hAnsiTheme="minorHAnsi" w:cs="Arial"/>
            <w:i/>
            <w:color w:val="000000" w:themeColor="text1"/>
          </w:rPr>
          <w:t>Divine Evil? Moral Character of God of Abraham)</w:t>
        </w:r>
        <w:r w:rsidR="00E54371" w:rsidRPr="004152CB">
          <w:rPr>
            <w:rStyle w:val="accesshide1"/>
            <w:rFonts w:asciiTheme="minorHAnsi" w:hAnsiTheme="minorHAnsi" w:cs="Arial"/>
            <w:i/>
            <w:color w:val="000000" w:themeColor="text1"/>
          </w:rPr>
          <w:t xml:space="preserve"> </w:t>
        </w:r>
      </w:hyperlink>
    </w:p>
    <w:p w:rsidR="0095710E" w:rsidRPr="004152CB" w:rsidRDefault="006B6135" w:rsidP="00E54371">
      <w:pPr>
        <w:numPr>
          <w:ilvl w:val="0"/>
          <w:numId w:val="2"/>
        </w:numPr>
        <w:shd w:val="clear" w:color="auto" w:fill="EDEFF4"/>
        <w:spacing w:beforeAutospacing="1" w:afterAutospacing="1" w:line="408" w:lineRule="atLeast"/>
        <w:ind w:left="0"/>
        <w:rPr>
          <w:rFonts w:asciiTheme="minorHAnsi" w:hAnsiTheme="minorHAnsi"/>
          <w:color w:val="000000" w:themeColor="text1"/>
        </w:rPr>
      </w:pPr>
      <w:hyperlink r:id="rId7" w:history="1">
        <w:r w:rsidR="00E54371" w:rsidRPr="004152CB">
          <w:rPr>
            <w:rStyle w:val="Hyperlink"/>
            <w:rFonts w:asciiTheme="minorHAnsi" w:hAnsiTheme="minorHAnsi" w:cs="Arial"/>
            <w:color w:val="000000" w:themeColor="text1"/>
          </w:rPr>
          <w:t>Bechtel (</w:t>
        </w:r>
        <w:r w:rsidR="00E54371" w:rsidRPr="004152CB">
          <w:rPr>
            <w:rStyle w:val="Hyperlink"/>
            <w:rFonts w:asciiTheme="minorHAnsi" w:hAnsiTheme="minorHAnsi" w:cs="Arial"/>
            <w:i/>
            <w:color w:val="000000" w:themeColor="text1"/>
          </w:rPr>
          <w:t>Boundary Issues in Genesis 19</w:t>
        </w:r>
        <w:r w:rsidR="00E54371" w:rsidRPr="004152CB">
          <w:rPr>
            <w:rStyle w:val="Hyperlink"/>
            <w:rFonts w:asciiTheme="minorHAnsi" w:hAnsiTheme="minorHAnsi" w:cs="Arial"/>
            <w:color w:val="000000" w:themeColor="text1"/>
          </w:rPr>
          <w:t>)</w:t>
        </w:r>
        <w:r w:rsidR="00E54371" w:rsidRPr="004152CB">
          <w:rPr>
            <w:rStyle w:val="accesshide1"/>
            <w:rFonts w:asciiTheme="minorHAnsi" w:hAnsiTheme="minorHAnsi" w:cs="Arial"/>
            <w:color w:val="000000" w:themeColor="text1"/>
          </w:rPr>
          <w:t xml:space="preserve"> </w:t>
        </w:r>
      </w:hyperlink>
    </w:p>
    <w:sectPr w:rsidR="0095710E" w:rsidRPr="004152CB" w:rsidSect="009571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E502B"/>
    <w:multiLevelType w:val="multilevel"/>
    <w:tmpl w:val="B5589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E1D1100"/>
    <w:multiLevelType w:val="hybridMultilevel"/>
    <w:tmpl w:val="E130881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C3674"/>
    <w:rsid w:val="002F30FF"/>
    <w:rsid w:val="004152CB"/>
    <w:rsid w:val="004C3674"/>
    <w:rsid w:val="006B6135"/>
    <w:rsid w:val="0072259F"/>
    <w:rsid w:val="0095710E"/>
    <w:rsid w:val="00CD3761"/>
    <w:rsid w:val="00E543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36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C3674"/>
    <w:pPr>
      <w:jc w:val="both"/>
    </w:pPr>
    <w:rPr>
      <w:rFonts w:ascii="Arial" w:hAnsi="Arial" w:cs="Arial"/>
    </w:rPr>
  </w:style>
  <w:style w:type="character" w:customStyle="1" w:styleId="BodyTextChar">
    <w:name w:val="Body Text Char"/>
    <w:basedOn w:val="DefaultParagraphFont"/>
    <w:link w:val="BodyText"/>
    <w:rsid w:val="004C3674"/>
    <w:rPr>
      <w:rFonts w:ascii="Arial" w:eastAsia="Times New Roman" w:hAnsi="Arial" w:cs="Arial"/>
      <w:sz w:val="24"/>
      <w:szCs w:val="24"/>
    </w:rPr>
  </w:style>
  <w:style w:type="paragraph" w:styleId="NormalWeb">
    <w:name w:val="Normal (Web)"/>
    <w:basedOn w:val="Normal"/>
    <w:uiPriority w:val="99"/>
    <w:rsid w:val="004C3674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E54371"/>
    <w:rPr>
      <w:rFonts w:ascii="Verdana" w:hAnsi="Verdana" w:hint="default"/>
      <w:b/>
      <w:bCs/>
      <w:strike w:val="0"/>
      <w:dstrike w:val="0"/>
      <w:color w:val="003366"/>
      <w:sz w:val="24"/>
      <w:szCs w:val="24"/>
      <w:u w:val="none"/>
      <w:effect w:val="none"/>
    </w:rPr>
  </w:style>
  <w:style w:type="character" w:customStyle="1" w:styleId="accesshide1">
    <w:name w:val="accesshide1"/>
    <w:basedOn w:val="DefaultParagraphFont"/>
    <w:rsid w:val="00E54371"/>
    <w:rPr>
      <w:b w:val="0"/>
      <w:bCs w:val="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43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437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53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04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86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06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521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ysgu.ydds.ac.uk/mod/resource/view.php?id=5611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ysgu.ydds.ac.uk/mod/resource/view.php?id=56105" TargetMode="External"/><Relationship Id="rId5" Type="http://schemas.openxmlformats.org/officeDocument/2006/relationships/hyperlink" Target="http://dysgu.ydds.ac.uk/mod/resource/view.php?id=5609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432</Words>
  <Characters>2465</Characters>
  <Application>Microsoft Office Word</Application>
  <DocSecurity>0</DocSecurity>
  <Lines>20</Lines>
  <Paragraphs>5</Paragraphs>
  <ScaleCrop>false</ScaleCrop>
  <Company/>
  <LinksUpToDate>false</LinksUpToDate>
  <CharactersWithSpaces>2892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sa002</dc:creator>
  <cp:keywords/>
  <dc:description/>
  <cp:lastModifiedBy>sa002</cp:lastModifiedBy>
  <cp:revision>4</cp:revision>
  <dcterms:created xsi:type="dcterms:W3CDTF">2012-09-10T08:52:00Z</dcterms:created>
  <dcterms:modified xsi:type="dcterms:W3CDTF">2012-09-11T09:35:00Z</dcterms:modified>
</cp:coreProperties>
</file>