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BA4D30" w:rsidRDefault="00BA4D30">
      <w:pPr>
        <w:spacing w:line="259" w:lineRule="auto"/>
        <w:jc w:val="center"/>
        <w:rPr>
          <w:b/>
          <w:sz w:val="36"/>
          <w:szCs w:val="36"/>
        </w:rPr>
      </w:pPr>
    </w:p>
    <w:p w14:paraId="0A37501D" w14:textId="77777777" w:rsidR="00BA4D30" w:rsidRDefault="00BA4D30">
      <w:pPr>
        <w:spacing w:line="259" w:lineRule="auto"/>
        <w:jc w:val="center"/>
        <w:rPr>
          <w:b/>
          <w:sz w:val="36"/>
          <w:szCs w:val="36"/>
        </w:rPr>
      </w:pPr>
    </w:p>
    <w:p w14:paraId="6A05A809" w14:textId="67BB4388" w:rsidR="00BA4D30" w:rsidRDefault="00BA4D30" w:rsidP="7319AA8C">
      <w:pPr>
        <w:spacing w:line="259" w:lineRule="auto"/>
        <w:jc w:val="center"/>
      </w:pPr>
    </w:p>
    <w:p w14:paraId="529AC47C" w14:textId="7D4987B1" w:rsidR="7319AA8C" w:rsidRDefault="7319AA8C" w:rsidP="7319AA8C">
      <w:pPr>
        <w:spacing w:line="259" w:lineRule="auto"/>
        <w:jc w:val="center"/>
      </w:pPr>
    </w:p>
    <w:p w14:paraId="4EE1F36F" w14:textId="5A19C148" w:rsidR="7319AA8C" w:rsidRDefault="7319AA8C" w:rsidP="7319AA8C">
      <w:pPr>
        <w:spacing w:line="259" w:lineRule="auto"/>
        <w:jc w:val="center"/>
      </w:pPr>
    </w:p>
    <w:p w14:paraId="24308860" w14:textId="73C2DFB2" w:rsidR="00BA4D30" w:rsidRDefault="00436ADD" w:rsidP="7319AA8C">
      <w:pPr>
        <w:spacing w:line="259" w:lineRule="auto"/>
        <w:jc w:val="center"/>
        <w:rPr>
          <w:b/>
          <w:bCs/>
          <w:sz w:val="40"/>
          <w:szCs w:val="40"/>
        </w:rPr>
      </w:pPr>
      <w:r w:rsidRPr="7319AA8C">
        <w:rPr>
          <w:b/>
          <w:bCs/>
          <w:sz w:val="40"/>
          <w:szCs w:val="40"/>
        </w:rPr>
        <w:t>Module Title: Strategic Management and Sustainability</w:t>
      </w:r>
    </w:p>
    <w:p w14:paraId="7389DF7E" w14:textId="77777777" w:rsidR="00BA4D30" w:rsidRDefault="00436ADD">
      <w:pPr>
        <w:spacing w:line="259" w:lineRule="auto"/>
        <w:jc w:val="center"/>
        <w:rPr>
          <w:b/>
          <w:sz w:val="40"/>
          <w:szCs w:val="40"/>
        </w:rPr>
      </w:pPr>
      <w:r>
        <w:rPr>
          <w:b/>
          <w:sz w:val="40"/>
          <w:szCs w:val="40"/>
        </w:rPr>
        <w:t>Module Code - LCBB6004</w:t>
      </w:r>
    </w:p>
    <w:p w14:paraId="5A39BBE3" w14:textId="77777777" w:rsidR="00BA4D30" w:rsidRDefault="00BA4D30">
      <w:pPr>
        <w:spacing w:line="259" w:lineRule="auto"/>
        <w:jc w:val="center"/>
        <w:rPr>
          <w:b/>
          <w:sz w:val="40"/>
          <w:szCs w:val="40"/>
        </w:rPr>
      </w:pPr>
    </w:p>
    <w:p w14:paraId="5FFCC965" w14:textId="77777777" w:rsidR="00BA4D30" w:rsidRDefault="00436ADD">
      <w:pPr>
        <w:spacing w:line="259" w:lineRule="auto"/>
        <w:jc w:val="center"/>
        <w:rPr>
          <w:b/>
          <w:sz w:val="40"/>
          <w:szCs w:val="40"/>
        </w:rPr>
      </w:pPr>
      <w:r>
        <w:rPr>
          <w:b/>
          <w:sz w:val="40"/>
          <w:szCs w:val="40"/>
        </w:rPr>
        <w:t>Topic: Strategic Adaptation of Jaguar Land Rover to the UK’s Electric Transition</w:t>
      </w:r>
    </w:p>
    <w:p w14:paraId="41C8F396" w14:textId="77777777" w:rsidR="00BA4D30" w:rsidRDefault="00BA4D30">
      <w:pPr>
        <w:spacing w:line="259" w:lineRule="auto"/>
        <w:jc w:val="center"/>
        <w:rPr>
          <w:b/>
          <w:sz w:val="40"/>
          <w:szCs w:val="40"/>
        </w:rPr>
      </w:pPr>
    </w:p>
    <w:p w14:paraId="72A3D3EC" w14:textId="77777777" w:rsidR="003B6F75" w:rsidRDefault="003B6F75">
      <w:pPr>
        <w:spacing w:line="259" w:lineRule="auto"/>
        <w:jc w:val="center"/>
        <w:rPr>
          <w:b/>
          <w:sz w:val="40"/>
          <w:szCs w:val="40"/>
        </w:rPr>
      </w:pPr>
    </w:p>
    <w:p w14:paraId="0D0B940D" w14:textId="77777777" w:rsidR="003B6F75" w:rsidRDefault="003B6F75">
      <w:pPr>
        <w:spacing w:line="259" w:lineRule="auto"/>
        <w:jc w:val="center"/>
        <w:rPr>
          <w:b/>
          <w:sz w:val="40"/>
          <w:szCs w:val="40"/>
        </w:rPr>
      </w:pPr>
    </w:p>
    <w:p w14:paraId="0E27B00A" w14:textId="77777777" w:rsidR="003B6F75" w:rsidRDefault="003B6F75">
      <w:pPr>
        <w:spacing w:line="259" w:lineRule="auto"/>
        <w:jc w:val="center"/>
        <w:rPr>
          <w:b/>
          <w:sz w:val="40"/>
          <w:szCs w:val="40"/>
        </w:rPr>
      </w:pPr>
    </w:p>
    <w:p w14:paraId="3D0973B8" w14:textId="427DACEB" w:rsidR="003B6F75" w:rsidRDefault="003B6F75" w:rsidP="7319AA8C">
      <w:pPr>
        <w:spacing w:line="259" w:lineRule="auto"/>
        <w:jc w:val="center"/>
        <w:rPr>
          <w:b/>
          <w:bCs/>
          <w:sz w:val="40"/>
          <w:szCs w:val="40"/>
        </w:rPr>
      </w:pPr>
      <w:r w:rsidRPr="7319AA8C">
        <w:rPr>
          <w:b/>
          <w:bCs/>
          <w:sz w:val="40"/>
          <w:szCs w:val="40"/>
        </w:rPr>
        <w:t>Student Name</w:t>
      </w:r>
      <w:r w:rsidR="782CEF1B" w:rsidRPr="7319AA8C">
        <w:rPr>
          <w:b/>
          <w:bCs/>
          <w:sz w:val="40"/>
          <w:szCs w:val="40"/>
        </w:rPr>
        <w:t>: Catalina Vilcea</w:t>
      </w:r>
    </w:p>
    <w:p w14:paraId="1A96C81D" w14:textId="79E3593A" w:rsidR="003B6F75" w:rsidRDefault="003B6F75" w:rsidP="7319AA8C">
      <w:pPr>
        <w:spacing w:line="259" w:lineRule="auto"/>
        <w:jc w:val="center"/>
        <w:rPr>
          <w:b/>
          <w:bCs/>
          <w:sz w:val="40"/>
          <w:szCs w:val="40"/>
        </w:rPr>
      </w:pPr>
      <w:r w:rsidRPr="7319AA8C">
        <w:rPr>
          <w:b/>
          <w:bCs/>
          <w:sz w:val="40"/>
          <w:szCs w:val="40"/>
        </w:rPr>
        <w:t>Student ID</w:t>
      </w:r>
      <w:r w:rsidR="5B64EC23" w:rsidRPr="7319AA8C">
        <w:rPr>
          <w:b/>
          <w:bCs/>
          <w:sz w:val="40"/>
          <w:szCs w:val="40"/>
        </w:rPr>
        <w:t>: 2228224</w:t>
      </w:r>
    </w:p>
    <w:p w14:paraId="37A318F8" w14:textId="7B8C4B34" w:rsidR="00F94EE7" w:rsidRDefault="00F94EE7" w:rsidP="7319AA8C">
      <w:pPr>
        <w:spacing w:line="259" w:lineRule="auto"/>
        <w:jc w:val="center"/>
        <w:rPr>
          <w:b/>
          <w:bCs/>
          <w:sz w:val="40"/>
          <w:szCs w:val="40"/>
        </w:rPr>
      </w:pPr>
      <w:r>
        <w:rPr>
          <w:b/>
          <w:bCs/>
          <w:sz w:val="40"/>
          <w:szCs w:val="40"/>
        </w:rPr>
        <w:t xml:space="preserve">Module Leader: Dr Seyed </w:t>
      </w:r>
      <w:proofErr w:type="spellStart"/>
      <w:r>
        <w:rPr>
          <w:b/>
          <w:bCs/>
          <w:sz w:val="40"/>
          <w:szCs w:val="40"/>
        </w:rPr>
        <w:t>Nasirpour</w:t>
      </w:r>
      <w:proofErr w:type="spellEnd"/>
    </w:p>
    <w:p w14:paraId="60061E4C" w14:textId="77777777" w:rsidR="00BA4D30" w:rsidRDefault="00BA4D30">
      <w:pPr>
        <w:spacing w:line="259" w:lineRule="auto"/>
        <w:jc w:val="center"/>
        <w:rPr>
          <w:b/>
          <w:sz w:val="40"/>
          <w:szCs w:val="40"/>
        </w:rPr>
      </w:pPr>
    </w:p>
    <w:p w14:paraId="44EAFD9C" w14:textId="77777777" w:rsidR="00BA4D30" w:rsidRDefault="00BA4D30"/>
    <w:p w14:paraId="4B94D5A5" w14:textId="77777777" w:rsidR="00BA4D30" w:rsidRDefault="00436ADD">
      <w:pPr>
        <w:spacing w:line="278" w:lineRule="auto"/>
        <w:jc w:val="left"/>
      </w:pPr>
      <w:r>
        <w:br w:type="page"/>
      </w:r>
    </w:p>
    <w:p w14:paraId="2664F4B3" w14:textId="77777777" w:rsidR="00BA4D30" w:rsidRDefault="00436ADD">
      <w:pPr>
        <w:rPr>
          <w:b/>
          <w:sz w:val="32"/>
          <w:szCs w:val="32"/>
          <w:u w:val="single"/>
        </w:rPr>
      </w:pPr>
      <w:r>
        <w:rPr>
          <w:b/>
          <w:sz w:val="32"/>
          <w:szCs w:val="32"/>
          <w:u w:val="single"/>
        </w:rPr>
        <w:lastRenderedPageBreak/>
        <w:t>Executive Summary</w:t>
      </w:r>
    </w:p>
    <w:p w14:paraId="39CCEBFF" w14:textId="405C774F" w:rsidR="00BA4D30" w:rsidRDefault="00436ADD">
      <w:r>
        <w:t xml:space="preserve">The report examines the steps Jaguar Land Rover (JLR) has taken to respond to the shift in the UK towards electric vehicles (EVs) as a result of sustainability goals, evolving consumer tastes and laws from the government. By 2039, JLR will be net-zero thanks to the support of its Tata Motors </w:t>
      </w:r>
      <w:r w:rsidR="00F94EE7">
        <w:t>owner,</w:t>
      </w:r>
      <w:r>
        <w:t xml:space="preserve"> and it will bring its first fully electric lines to market in 2025. First, the company is analysed from an outside view by looking at PESTLE and Porter’s Five Forces which reveal that there is more economic volatility, higher standards for the environment and pressure from new EV companies like Tesla and BYD. Analysis of Value Chain and VRIO shows that JLR has strong abilities in design, branding and technology inside the company.</w:t>
      </w:r>
    </w:p>
    <w:p w14:paraId="7F11841B" w14:textId="25C1AE98" w:rsidR="00BA4D30" w:rsidRDefault="00436ADD">
      <w:r>
        <w:t>The SWOT framework points out brand equity and R&amp;D strengths and electrification delays are seen as weaknesses. Because of these points, four options are introduced: selling premium EVs to the market, introducing inexpensive electric models, entering business partnerships to enhance technology and integrating sustainability with circular economy strategies. Using the SAF</w:t>
      </w:r>
      <w:r w:rsidR="00F94EE7">
        <w:t>e</w:t>
      </w:r>
      <w:r>
        <w:t xml:space="preserve"> model, now JLR can assess these options to determine if they are good enough, acceptable and doable with the available resources and strategies in place.</w:t>
      </w:r>
    </w:p>
    <w:p w14:paraId="52275B53" w14:textId="77777777" w:rsidR="00BA4D30" w:rsidRDefault="00436ADD">
      <w:r>
        <w:t>The conclusion is that JLR needs to work fast to have more electric cars, enhance its business alliances and integrate sustainability in daily operations to preserve its position and react to the rapid transformations in the auto industry.</w:t>
      </w:r>
      <w:r>
        <w:br w:type="page"/>
      </w:r>
    </w:p>
    <w:p w14:paraId="22E0FC93" w14:textId="77777777" w:rsidR="00BA4D30" w:rsidRDefault="00436ADD">
      <w:pPr>
        <w:keepNext/>
        <w:keepLines/>
        <w:pBdr>
          <w:top w:val="nil"/>
          <w:left w:val="nil"/>
          <w:bottom w:val="nil"/>
          <w:right w:val="nil"/>
          <w:between w:val="nil"/>
        </w:pBdr>
        <w:spacing w:before="240" w:after="240" w:line="259" w:lineRule="auto"/>
        <w:jc w:val="center"/>
        <w:rPr>
          <w:b/>
          <w:color w:val="000000"/>
          <w:sz w:val="32"/>
          <w:szCs w:val="32"/>
        </w:rPr>
      </w:pPr>
      <w:r>
        <w:rPr>
          <w:b/>
          <w:color w:val="000000"/>
          <w:sz w:val="32"/>
          <w:szCs w:val="32"/>
        </w:rPr>
        <w:lastRenderedPageBreak/>
        <w:t>Table of Contents</w:t>
      </w:r>
    </w:p>
    <w:sdt>
      <w:sdtPr>
        <w:id w:val="1004011341"/>
        <w:docPartObj>
          <w:docPartGallery w:val="Table of Contents"/>
          <w:docPartUnique/>
        </w:docPartObj>
      </w:sdtPr>
      <w:sdtContent>
        <w:p w14:paraId="598A7976" w14:textId="274BFAE8" w:rsidR="00AA4A0B" w:rsidRDefault="00770336">
          <w:pPr>
            <w:pStyle w:val="TOC1"/>
            <w:tabs>
              <w:tab w:val="right" w:leader="dot" w:pos="9016"/>
            </w:tabs>
            <w:rPr>
              <w:rFonts w:asciiTheme="minorHAnsi" w:eastAsiaTheme="minorEastAsia" w:hAnsiTheme="minorHAnsi" w:cstheme="minorBidi"/>
              <w:noProof/>
              <w:kern w:val="2"/>
              <w:lang w:eastAsia="en-GB" w:bidi="ar-SA"/>
              <w14:ligatures w14:val="standardContextual"/>
            </w:rPr>
          </w:pPr>
          <w:r>
            <w:fldChar w:fldCharType="begin"/>
          </w:r>
          <w:r w:rsidR="00436ADD">
            <w:instrText xml:space="preserve"> TOC \h \u \z \t "Heading 1,1,Heading 2,2,Heading 3,3,"</w:instrText>
          </w:r>
          <w:r>
            <w:fldChar w:fldCharType="separate"/>
          </w:r>
          <w:hyperlink w:anchor="_Toc201241882" w:history="1">
            <w:r w:rsidR="00AA4A0B" w:rsidRPr="006F5AD8">
              <w:rPr>
                <w:rStyle w:val="Hyperlink"/>
                <w:rFonts w:eastAsiaTheme="majorEastAsia"/>
                <w:noProof/>
              </w:rPr>
              <w:t>Introduction</w:t>
            </w:r>
            <w:r w:rsidR="00AA4A0B">
              <w:rPr>
                <w:noProof/>
                <w:webHidden/>
              </w:rPr>
              <w:tab/>
            </w:r>
            <w:r w:rsidR="00AA4A0B">
              <w:rPr>
                <w:noProof/>
                <w:webHidden/>
              </w:rPr>
              <w:fldChar w:fldCharType="begin"/>
            </w:r>
            <w:r w:rsidR="00AA4A0B">
              <w:rPr>
                <w:noProof/>
                <w:webHidden/>
              </w:rPr>
              <w:instrText xml:space="preserve"> PAGEREF _Toc201241882 \h </w:instrText>
            </w:r>
            <w:r w:rsidR="00AA4A0B">
              <w:rPr>
                <w:noProof/>
                <w:webHidden/>
              </w:rPr>
            </w:r>
            <w:r w:rsidR="00AA4A0B">
              <w:rPr>
                <w:noProof/>
                <w:webHidden/>
              </w:rPr>
              <w:fldChar w:fldCharType="separate"/>
            </w:r>
            <w:r w:rsidR="00AA4A0B">
              <w:rPr>
                <w:noProof/>
                <w:webHidden/>
              </w:rPr>
              <w:t>1</w:t>
            </w:r>
            <w:r w:rsidR="00AA4A0B">
              <w:rPr>
                <w:noProof/>
                <w:webHidden/>
              </w:rPr>
              <w:fldChar w:fldCharType="end"/>
            </w:r>
          </w:hyperlink>
        </w:p>
        <w:p w14:paraId="30628760" w14:textId="04C34A2C" w:rsidR="00AA4A0B" w:rsidRDefault="00AA4A0B">
          <w:pPr>
            <w:pStyle w:val="TOC1"/>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3" w:history="1">
            <w:r w:rsidRPr="006F5AD8">
              <w:rPr>
                <w:rStyle w:val="Hyperlink"/>
                <w:rFonts w:eastAsiaTheme="majorEastAsia"/>
                <w:noProof/>
              </w:rPr>
              <w:t>Strategy Analysis</w:t>
            </w:r>
            <w:r>
              <w:rPr>
                <w:noProof/>
                <w:webHidden/>
              </w:rPr>
              <w:tab/>
            </w:r>
            <w:r>
              <w:rPr>
                <w:noProof/>
                <w:webHidden/>
              </w:rPr>
              <w:fldChar w:fldCharType="begin"/>
            </w:r>
            <w:r>
              <w:rPr>
                <w:noProof/>
                <w:webHidden/>
              </w:rPr>
              <w:instrText xml:space="preserve"> PAGEREF _Toc201241883 \h </w:instrText>
            </w:r>
            <w:r>
              <w:rPr>
                <w:noProof/>
                <w:webHidden/>
              </w:rPr>
            </w:r>
            <w:r>
              <w:rPr>
                <w:noProof/>
                <w:webHidden/>
              </w:rPr>
              <w:fldChar w:fldCharType="separate"/>
            </w:r>
            <w:r>
              <w:rPr>
                <w:noProof/>
                <w:webHidden/>
              </w:rPr>
              <w:t>2</w:t>
            </w:r>
            <w:r>
              <w:rPr>
                <w:noProof/>
                <w:webHidden/>
              </w:rPr>
              <w:fldChar w:fldCharType="end"/>
            </w:r>
          </w:hyperlink>
        </w:p>
        <w:p w14:paraId="4EF029BE" w14:textId="6D59CF22" w:rsidR="00AA4A0B" w:rsidRDefault="00AA4A0B">
          <w:pPr>
            <w:pStyle w:val="TOC2"/>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4" w:history="1">
            <w:r w:rsidRPr="006F5AD8">
              <w:rPr>
                <w:rStyle w:val="Hyperlink"/>
                <w:rFonts w:eastAsiaTheme="majorEastAsia"/>
                <w:noProof/>
              </w:rPr>
              <w:t>External Environment Audit</w:t>
            </w:r>
            <w:r>
              <w:rPr>
                <w:noProof/>
                <w:webHidden/>
              </w:rPr>
              <w:tab/>
            </w:r>
            <w:r>
              <w:rPr>
                <w:noProof/>
                <w:webHidden/>
              </w:rPr>
              <w:fldChar w:fldCharType="begin"/>
            </w:r>
            <w:r>
              <w:rPr>
                <w:noProof/>
                <w:webHidden/>
              </w:rPr>
              <w:instrText xml:space="preserve"> PAGEREF _Toc201241884 \h </w:instrText>
            </w:r>
            <w:r>
              <w:rPr>
                <w:noProof/>
                <w:webHidden/>
              </w:rPr>
            </w:r>
            <w:r>
              <w:rPr>
                <w:noProof/>
                <w:webHidden/>
              </w:rPr>
              <w:fldChar w:fldCharType="separate"/>
            </w:r>
            <w:r>
              <w:rPr>
                <w:noProof/>
                <w:webHidden/>
              </w:rPr>
              <w:t>2</w:t>
            </w:r>
            <w:r>
              <w:rPr>
                <w:noProof/>
                <w:webHidden/>
              </w:rPr>
              <w:fldChar w:fldCharType="end"/>
            </w:r>
          </w:hyperlink>
        </w:p>
        <w:p w14:paraId="6E7E3CE1" w14:textId="3A30FD0B" w:rsidR="00AA4A0B" w:rsidRDefault="00AA4A0B">
          <w:pPr>
            <w:pStyle w:val="TOC3"/>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5" w:history="1">
            <w:r w:rsidRPr="006F5AD8">
              <w:rPr>
                <w:rStyle w:val="Hyperlink"/>
                <w:rFonts w:eastAsiaTheme="majorEastAsia"/>
                <w:noProof/>
              </w:rPr>
              <w:t>PESTLE Analysis</w:t>
            </w:r>
            <w:r>
              <w:rPr>
                <w:noProof/>
                <w:webHidden/>
              </w:rPr>
              <w:tab/>
            </w:r>
            <w:r>
              <w:rPr>
                <w:noProof/>
                <w:webHidden/>
              </w:rPr>
              <w:fldChar w:fldCharType="begin"/>
            </w:r>
            <w:r>
              <w:rPr>
                <w:noProof/>
                <w:webHidden/>
              </w:rPr>
              <w:instrText xml:space="preserve"> PAGEREF _Toc201241885 \h </w:instrText>
            </w:r>
            <w:r>
              <w:rPr>
                <w:noProof/>
                <w:webHidden/>
              </w:rPr>
            </w:r>
            <w:r>
              <w:rPr>
                <w:noProof/>
                <w:webHidden/>
              </w:rPr>
              <w:fldChar w:fldCharType="separate"/>
            </w:r>
            <w:r>
              <w:rPr>
                <w:noProof/>
                <w:webHidden/>
              </w:rPr>
              <w:t>2</w:t>
            </w:r>
            <w:r>
              <w:rPr>
                <w:noProof/>
                <w:webHidden/>
              </w:rPr>
              <w:fldChar w:fldCharType="end"/>
            </w:r>
          </w:hyperlink>
        </w:p>
        <w:p w14:paraId="7BF2824A" w14:textId="34540DDF" w:rsidR="00AA4A0B" w:rsidRDefault="00AA4A0B">
          <w:pPr>
            <w:pStyle w:val="TOC3"/>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6" w:history="1">
            <w:r w:rsidRPr="006F5AD8">
              <w:rPr>
                <w:rStyle w:val="Hyperlink"/>
                <w:rFonts w:eastAsiaTheme="majorEastAsia"/>
                <w:noProof/>
              </w:rPr>
              <w:t>Porter’s Five Forces</w:t>
            </w:r>
            <w:r>
              <w:rPr>
                <w:noProof/>
                <w:webHidden/>
              </w:rPr>
              <w:tab/>
            </w:r>
            <w:r>
              <w:rPr>
                <w:noProof/>
                <w:webHidden/>
              </w:rPr>
              <w:fldChar w:fldCharType="begin"/>
            </w:r>
            <w:r>
              <w:rPr>
                <w:noProof/>
                <w:webHidden/>
              </w:rPr>
              <w:instrText xml:space="preserve"> PAGEREF _Toc201241886 \h </w:instrText>
            </w:r>
            <w:r>
              <w:rPr>
                <w:noProof/>
                <w:webHidden/>
              </w:rPr>
            </w:r>
            <w:r>
              <w:rPr>
                <w:noProof/>
                <w:webHidden/>
              </w:rPr>
              <w:fldChar w:fldCharType="separate"/>
            </w:r>
            <w:r>
              <w:rPr>
                <w:noProof/>
                <w:webHidden/>
              </w:rPr>
              <w:t>3</w:t>
            </w:r>
            <w:r>
              <w:rPr>
                <w:noProof/>
                <w:webHidden/>
              </w:rPr>
              <w:fldChar w:fldCharType="end"/>
            </w:r>
          </w:hyperlink>
        </w:p>
        <w:p w14:paraId="217D4925" w14:textId="2FD683EE" w:rsidR="00AA4A0B" w:rsidRDefault="00AA4A0B">
          <w:pPr>
            <w:pStyle w:val="TOC2"/>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7" w:history="1">
            <w:r w:rsidRPr="006F5AD8">
              <w:rPr>
                <w:rStyle w:val="Hyperlink"/>
                <w:rFonts w:eastAsiaTheme="majorEastAsia"/>
                <w:noProof/>
              </w:rPr>
              <w:t>Internal Environment Audit</w:t>
            </w:r>
            <w:r>
              <w:rPr>
                <w:noProof/>
                <w:webHidden/>
              </w:rPr>
              <w:tab/>
            </w:r>
            <w:r>
              <w:rPr>
                <w:noProof/>
                <w:webHidden/>
              </w:rPr>
              <w:fldChar w:fldCharType="begin"/>
            </w:r>
            <w:r>
              <w:rPr>
                <w:noProof/>
                <w:webHidden/>
              </w:rPr>
              <w:instrText xml:space="preserve"> PAGEREF _Toc201241887 \h </w:instrText>
            </w:r>
            <w:r>
              <w:rPr>
                <w:noProof/>
                <w:webHidden/>
              </w:rPr>
            </w:r>
            <w:r>
              <w:rPr>
                <w:noProof/>
                <w:webHidden/>
              </w:rPr>
              <w:fldChar w:fldCharType="separate"/>
            </w:r>
            <w:r>
              <w:rPr>
                <w:noProof/>
                <w:webHidden/>
              </w:rPr>
              <w:t>4</w:t>
            </w:r>
            <w:r>
              <w:rPr>
                <w:noProof/>
                <w:webHidden/>
              </w:rPr>
              <w:fldChar w:fldCharType="end"/>
            </w:r>
          </w:hyperlink>
        </w:p>
        <w:p w14:paraId="5E6BD872" w14:textId="56DF33E6" w:rsidR="00AA4A0B" w:rsidRDefault="00AA4A0B">
          <w:pPr>
            <w:pStyle w:val="TOC3"/>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8" w:history="1">
            <w:r w:rsidRPr="006F5AD8">
              <w:rPr>
                <w:rStyle w:val="Hyperlink"/>
                <w:rFonts w:eastAsiaTheme="majorEastAsia"/>
                <w:noProof/>
              </w:rPr>
              <w:t>Value Chain Analysis</w:t>
            </w:r>
            <w:r>
              <w:rPr>
                <w:noProof/>
                <w:webHidden/>
              </w:rPr>
              <w:tab/>
            </w:r>
            <w:r>
              <w:rPr>
                <w:noProof/>
                <w:webHidden/>
              </w:rPr>
              <w:fldChar w:fldCharType="begin"/>
            </w:r>
            <w:r>
              <w:rPr>
                <w:noProof/>
                <w:webHidden/>
              </w:rPr>
              <w:instrText xml:space="preserve"> PAGEREF _Toc201241888 \h </w:instrText>
            </w:r>
            <w:r>
              <w:rPr>
                <w:noProof/>
                <w:webHidden/>
              </w:rPr>
            </w:r>
            <w:r>
              <w:rPr>
                <w:noProof/>
                <w:webHidden/>
              </w:rPr>
              <w:fldChar w:fldCharType="separate"/>
            </w:r>
            <w:r>
              <w:rPr>
                <w:noProof/>
                <w:webHidden/>
              </w:rPr>
              <w:t>4</w:t>
            </w:r>
            <w:r>
              <w:rPr>
                <w:noProof/>
                <w:webHidden/>
              </w:rPr>
              <w:fldChar w:fldCharType="end"/>
            </w:r>
          </w:hyperlink>
        </w:p>
        <w:p w14:paraId="6A5B7C9B" w14:textId="0DB0FB6D" w:rsidR="00AA4A0B" w:rsidRDefault="00AA4A0B">
          <w:pPr>
            <w:pStyle w:val="TOC2"/>
            <w:tabs>
              <w:tab w:val="right" w:leader="dot" w:pos="9016"/>
            </w:tabs>
            <w:rPr>
              <w:rFonts w:asciiTheme="minorHAnsi" w:eastAsiaTheme="minorEastAsia" w:hAnsiTheme="minorHAnsi" w:cstheme="minorBidi"/>
              <w:noProof/>
              <w:kern w:val="2"/>
              <w:lang w:eastAsia="en-GB" w:bidi="ar-SA"/>
              <w14:ligatures w14:val="standardContextual"/>
            </w:rPr>
          </w:pPr>
          <w:hyperlink w:anchor="_Toc201241889" w:history="1">
            <w:r w:rsidRPr="006F5AD8">
              <w:rPr>
                <w:rStyle w:val="Hyperlink"/>
                <w:rFonts w:eastAsiaTheme="majorEastAsia"/>
                <w:noProof/>
              </w:rPr>
              <w:t>SWOT Analysis</w:t>
            </w:r>
            <w:r>
              <w:rPr>
                <w:noProof/>
                <w:webHidden/>
              </w:rPr>
              <w:tab/>
            </w:r>
            <w:r>
              <w:rPr>
                <w:noProof/>
                <w:webHidden/>
              </w:rPr>
              <w:fldChar w:fldCharType="begin"/>
            </w:r>
            <w:r>
              <w:rPr>
                <w:noProof/>
                <w:webHidden/>
              </w:rPr>
              <w:instrText xml:space="preserve"> PAGEREF _Toc201241889 \h </w:instrText>
            </w:r>
            <w:r>
              <w:rPr>
                <w:noProof/>
                <w:webHidden/>
              </w:rPr>
            </w:r>
            <w:r>
              <w:rPr>
                <w:noProof/>
                <w:webHidden/>
              </w:rPr>
              <w:fldChar w:fldCharType="separate"/>
            </w:r>
            <w:r>
              <w:rPr>
                <w:noProof/>
                <w:webHidden/>
              </w:rPr>
              <w:t>6</w:t>
            </w:r>
            <w:r>
              <w:rPr>
                <w:noProof/>
                <w:webHidden/>
              </w:rPr>
              <w:fldChar w:fldCharType="end"/>
            </w:r>
          </w:hyperlink>
        </w:p>
        <w:p w14:paraId="52C8356D" w14:textId="71BA6822" w:rsidR="00AA4A0B" w:rsidRDefault="00AA4A0B">
          <w:pPr>
            <w:pStyle w:val="TOC3"/>
            <w:tabs>
              <w:tab w:val="right" w:leader="dot" w:pos="9016"/>
            </w:tabs>
            <w:rPr>
              <w:rFonts w:asciiTheme="minorHAnsi" w:eastAsiaTheme="minorEastAsia" w:hAnsiTheme="minorHAnsi" w:cstheme="minorBidi"/>
              <w:noProof/>
              <w:kern w:val="2"/>
              <w:lang w:eastAsia="en-GB" w:bidi="ar-SA"/>
              <w14:ligatures w14:val="standardContextual"/>
            </w:rPr>
          </w:pPr>
          <w:hyperlink w:anchor="_Toc201241890" w:history="1">
            <w:r w:rsidRPr="006F5AD8">
              <w:rPr>
                <w:rStyle w:val="Hyperlink"/>
                <w:rFonts w:eastAsiaTheme="majorEastAsia"/>
                <w:noProof/>
              </w:rPr>
              <w:t>VRIO Analysis</w:t>
            </w:r>
            <w:r>
              <w:rPr>
                <w:noProof/>
                <w:webHidden/>
              </w:rPr>
              <w:tab/>
            </w:r>
            <w:r>
              <w:rPr>
                <w:noProof/>
                <w:webHidden/>
              </w:rPr>
              <w:fldChar w:fldCharType="begin"/>
            </w:r>
            <w:r>
              <w:rPr>
                <w:noProof/>
                <w:webHidden/>
              </w:rPr>
              <w:instrText xml:space="preserve"> PAGEREF _Toc201241890 \h </w:instrText>
            </w:r>
            <w:r>
              <w:rPr>
                <w:noProof/>
                <w:webHidden/>
              </w:rPr>
            </w:r>
            <w:r>
              <w:rPr>
                <w:noProof/>
                <w:webHidden/>
              </w:rPr>
              <w:fldChar w:fldCharType="separate"/>
            </w:r>
            <w:r>
              <w:rPr>
                <w:noProof/>
                <w:webHidden/>
              </w:rPr>
              <w:t>7</w:t>
            </w:r>
            <w:r>
              <w:rPr>
                <w:noProof/>
                <w:webHidden/>
              </w:rPr>
              <w:fldChar w:fldCharType="end"/>
            </w:r>
          </w:hyperlink>
        </w:p>
        <w:p w14:paraId="65B67EBF" w14:textId="2026B341" w:rsidR="00AA4A0B" w:rsidRDefault="00AA4A0B">
          <w:pPr>
            <w:pStyle w:val="TOC1"/>
            <w:tabs>
              <w:tab w:val="right" w:leader="dot" w:pos="9016"/>
            </w:tabs>
            <w:rPr>
              <w:rFonts w:asciiTheme="minorHAnsi" w:eastAsiaTheme="minorEastAsia" w:hAnsiTheme="minorHAnsi" w:cstheme="minorBidi"/>
              <w:noProof/>
              <w:kern w:val="2"/>
              <w:lang w:eastAsia="en-GB" w:bidi="ar-SA"/>
              <w14:ligatures w14:val="standardContextual"/>
            </w:rPr>
          </w:pPr>
          <w:hyperlink w:anchor="_Toc201241891" w:history="1">
            <w:r w:rsidRPr="006F5AD8">
              <w:rPr>
                <w:rStyle w:val="Hyperlink"/>
                <w:rFonts w:eastAsiaTheme="majorEastAsia"/>
                <w:noProof/>
              </w:rPr>
              <w:t>Strategy Formulation</w:t>
            </w:r>
            <w:r>
              <w:rPr>
                <w:noProof/>
                <w:webHidden/>
              </w:rPr>
              <w:tab/>
            </w:r>
            <w:r>
              <w:rPr>
                <w:noProof/>
                <w:webHidden/>
              </w:rPr>
              <w:fldChar w:fldCharType="begin"/>
            </w:r>
            <w:r>
              <w:rPr>
                <w:noProof/>
                <w:webHidden/>
              </w:rPr>
              <w:instrText xml:space="preserve"> PAGEREF _Toc201241891 \h </w:instrText>
            </w:r>
            <w:r>
              <w:rPr>
                <w:noProof/>
                <w:webHidden/>
              </w:rPr>
            </w:r>
            <w:r>
              <w:rPr>
                <w:noProof/>
                <w:webHidden/>
              </w:rPr>
              <w:fldChar w:fldCharType="separate"/>
            </w:r>
            <w:r>
              <w:rPr>
                <w:noProof/>
                <w:webHidden/>
              </w:rPr>
              <w:t>8</w:t>
            </w:r>
            <w:r>
              <w:rPr>
                <w:noProof/>
                <w:webHidden/>
              </w:rPr>
              <w:fldChar w:fldCharType="end"/>
            </w:r>
          </w:hyperlink>
        </w:p>
        <w:p w14:paraId="252951A9" w14:textId="27DC959F" w:rsidR="00AA4A0B" w:rsidRDefault="00AA4A0B">
          <w:pPr>
            <w:pStyle w:val="TOC2"/>
            <w:tabs>
              <w:tab w:val="right" w:leader="dot" w:pos="9016"/>
            </w:tabs>
            <w:rPr>
              <w:rFonts w:asciiTheme="minorHAnsi" w:eastAsiaTheme="minorEastAsia" w:hAnsiTheme="minorHAnsi" w:cstheme="minorBidi"/>
              <w:noProof/>
              <w:kern w:val="2"/>
              <w:lang w:eastAsia="en-GB" w:bidi="ar-SA"/>
              <w14:ligatures w14:val="standardContextual"/>
            </w:rPr>
          </w:pPr>
          <w:hyperlink w:anchor="_Toc201241892" w:history="1">
            <w:r w:rsidRPr="006F5AD8">
              <w:rPr>
                <w:rStyle w:val="Hyperlink"/>
                <w:rFonts w:eastAsiaTheme="majorEastAsia"/>
                <w:noProof/>
              </w:rPr>
              <w:t>Strategic Alternatives</w:t>
            </w:r>
            <w:r>
              <w:rPr>
                <w:noProof/>
                <w:webHidden/>
              </w:rPr>
              <w:tab/>
            </w:r>
            <w:r>
              <w:rPr>
                <w:noProof/>
                <w:webHidden/>
              </w:rPr>
              <w:fldChar w:fldCharType="begin"/>
            </w:r>
            <w:r>
              <w:rPr>
                <w:noProof/>
                <w:webHidden/>
              </w:rPr>
              <w:instrText xml:space="preserve"> PAGEREF _Toc201241892 \h </w:instrText>
            </w:r>
            <w:r>
              <w:rPr>
                <w:noProof/>
                <w:webHidden/>
              </w:rPr>
            </w:r>
            <w:r>
              <w:rPr>
                <w:noProof/>
                <w:webHidden/>
              </w:rPr>
              <w:fldChar w:fldCharType="separate"/>
            </w:r>
            <w:r>
              <w:rPr>
                <w:noProof/>
                <w:webHidden/>
              </w:rPr>
              <w:t>8</w:t>
            </w:r>
            <w:r>
              <w:rPr>
                <w:noProof/>
                <w:webHidden/>
              </w:rPr>
              <w:fldChar w:fldCharType="end"/>
            </w:r>
          </w:hyperlink>
        </w:p>
        <w:p w14:paraId="3D2E85EE" w14:textId="35129846" w:rsidR="00AA4A0B" w:rsidRDefault="00AA4A0B">
          <w:pPr>
            <w:pStyle w:val="TOC2"/>
            <w:tabs>
              <w:tab w:val="right" w:leader="dot" w:pos="9016"/>
            </w:tabs>
            <w:rPr>
              <w:rFonts w:asciiTheme="minorHAnsi" w:eastAsiaTheme="minorEastAsia" w:hAnsiTheme="minorHAnsi" w:cstheme="minorBidi"/>
              <w:noProof/>
              <w:kern w:val="2"/>
              <w:lang w:eastAsia="en-GB" w:bidi="ar-SA"/>
              <w14:ligatures w14:val="standardContextual"/>
            </w:rPr>
          </w:pPr>
          <w:hyperlink w:anchor="_Toc201241893" w:history="1">
            <w:r w:rsidRPr="006F5AD8">
              <w:rPr>
                <w:rStyle w:val="Hyperlink"/>
                <w:rFonts w:eastAsiaTheme="majorEastAsia"/>
                <w:noProof/>
              </w:rPr>
              <w:t>Evaluation of Alternatives (SAFe Model)</w:t>
            </w:r>
            <w:r>
              <w:rPr>
                <w:noProof/>
                <w:webHidden/>
              </w:rPr>
              <w:tab/>
            </w:r>
            <w:r>
              <w:rPr>
                <w:noProof/>
                <w:webHidden/>
              </w:rPr>
              <w:fldChar w:fldCharType="begin"/>
            </w:r>
            <w:r>
              <w:rPr>
                <w:noProof/>
                <w:webHidden/>
              </w:rPr>
              <w:instrText xml:space="preserve"> PAGEREF _Toc201241893 \h </w:instrText>
            </w:r>
            <w:r>
              <w:rPr>
                <w:noProof/>
                <w:webHidden/>
              </w:rPr>
            </w:r>
            <w:r>
              <w:rPr>
                <w:noProof/>
                <w:webHidden/>
              </w:rPr>
              <w:fldChar w:fldCharType="separate"/>
            </w:r>
            <w:r>
              <w:rPr>
                <w:noProof/>
                <w:webHidden/>
              </w:rPr>
              <w:t>9</w:t>
            </w:r>
            <w:r>
              <w:rPr>
                <w:noProof/>
                <w:webHidden/>
              </w:rPr>
              <w:fldChar w:fldCharType="end"/>
            </w:r>
          </w:hyperlink>
        </w:p>
        <w:p w14:paraId="3CD4C484" w14:textId="33ACA583" w:rsidR="00AA4A0B" w:rsidRDefault="00AA4A0B">
          <w:pPr>
            <w:pStyle w:val="TOC1"/>
            <w:tabs>
              <w:tab w:val="right" w:leader="dot" w:pos="9016"/>
            </w:tabs>
            <w:rPr>
              <w:rFonts w:asciiTheme="minorHAnsi" w:eastAsiaTheme="minorEastAsia" w:hAnsiTheme="minorHAnsi" w:cstheme="minorBidi"/>
              <w:noProof/>
              <w:kern w:val="2"/>
              <w:lang w:eastAsia="en-GB" w:bidi="ar-SA"/>
              <w14:ligatures w14:val="standardContextual"/>
            </w:rPr>
          </w:pPr>
          <w:hyperlink w:anchor="_Toc201241894" w:history="1">
            <w:r w:rsidRPr="006F5AD8">
              <w:rPr>
                <w:rStyle w:val="Hyperlink"/>
                <w:rFonts w:eastAsiaTheme="majorEastAsia"/>
                <w:noProof/>
              </w:rPr>
              <w:t>Conclusion and Recommendations</w:t>
            </w:r>
            <w:r>
              <w:rPr>
                <w:noProof/>
                <w:webHidden/>
              </w:rPr>
              <w:tab/>
            </w:r>
            <w:r>
              <w:rPr>
                <w:noProof/>
                <w:webHidden/>
              </w:rPr>
              <w:fldChar w:fldCharType="begin"/>
            </w:r>
            <w:r>
              <w:rPr>
                <w:noProof/>
                <w:webHidden/>
              </w:rPr>
              <w:instrText xml:space="preserve"> PAGEREF _Toc201241894 \h </w:instrText>
            </w:r>
            <w:r>
              <w:rPr>
                <w:noProof/>
                <w:webHidden/>
              </w:rPr>
            </w:r>
            <w:r>
              <w:rPr>
                <w:noProof/>
                <w:webHidden/>
              </w:rPr>
              <w:fldChar w:fldCharType="separate"/>
            </w:r>
            <w:r>
              <w:rPr>
                <w:noProof/>
                <w:webHidden/>
              </w:rPr>
              <w:t>10</w:t>
            </w:r>
            <w:r>
              <w:rPr>
                <w:noProof/>
                <w:webHidden/>
              </w:rPr>
              <w:fldChar w:fldCharType="end"/>
            </w:r>
          </w:hyperlink>
        </w:p>
        <w:p w14:paraId="4983D99D" w14:textId="69BBBE74" w:rsidR="00AA4A0B" w:rsidRDefault="00AA4A0B">
          <w:pPr>
            <w:pStyle w:val="TOC1"/>
            <w:tabs>
              <w:tab w:val="right" w:leader="dot" w:pos="9016"/>
            </w:tabs>
            <w:rPr>
              <w:rFonts w:asciiTheme="minorHAnsi" w:eastAsiaTheme="minorEastAsia" w:hAnsiTheme="minorHAnsi" w:cstheme="minorBidi"/>
              <w:noProof/>
              <w:kern w:val="2"/>
              <w:lang w:eastAsia="en-GB" w:bidi="ar-SA"/>
              <w14:ligatures w14:val="standardContextual"/>
            </w:rPr>
          </w:pPr>
          <w:hyperlink w:anchor="_Toc201241895" w:history="1">
            <w:r w:rsidRPr="006F5AD8">
              <w:rPr>
                <w:rStyle w:val="Hyperlink"/>
                <w:rFonts w:eastAsiaTheme="majorEastAsia"/>
                <w:noProof/>
              </w:rPr>
              <w:t>References</w:t>
            </w:r>
            <w:r>
              <w:rPr>
                <w:noProof/>
                <w:webHidden/>
              </w:rPr>
              <w:tab/>
            </w:r>
            <w:r>
              <w:rPr>
                <w:noProof/>
                <w:webHidden/>
              </w:rPr>
              <w:fldChar w:fldCharType="begin"/>
            </w:r>
            <w:r>
              <w:rPr>
                <w:noProof/>
                <w:webHidden/>
              </w:rPr>
              <w:instrText xml:space="preserve"> PAGEREF _Toc201241895 \h </w:instrText>
            </w:r>
            <w:r>
              <w:rPr>
                <w:noProof/>
                <w:webHidden/>
              </w:rPr>
            </w:r>
            <w:r>
              <w:rPr>
                <w:noProof/>
                <w:webHidden/>
              </w:rPr>
              <w:fldChar w:fldCharType="separate"/>
            </w:r>
            <w:r>
              <w:rPr>
                <w:noProof/>
                <w:webHidden/>
              </w:rPr>
              <w:t>11</w:t>
            </w:r>
            <w:r>
              <w:rPr>
                <w:noProof/>
                <w:webHidden/>
              </w:rPr>
              <w:fldChar w:fldCharType="end"/>
            </w:r>
          </w:hyperlink>
        </w:p>
        <w:p w14:paraId="3DEEC669" w14:textId="624037D2" w:rsidR="00BA4D30" w:rsidRDefault="00770336">
          <w:r>
            <w:fldChar w:fldCharType="end"/>
          </w:r>
        </w:p>
      </w:sdtContent>
    </w:sdt>
    <w:p w14:paraId="3656B9AB" w14:textId="77777777" w:rsidR="00BA4D30" w:rsidRDefault="00BA4D30"/>
    <w:p w14:paraId="45FB0818" w14:textId="77777777" w:rsidR="00BA4D30" w:rsidRDefault="00436ADD">
      <w:pPr>
        <w:spacing w:line="278" w:lineRule="auto"/>
        <w:jc w:val="left"/>
        <w:sectPr w:rsidR="00BA4D30">
          <w:footerReference w:type="default" r:id="rId8"/>
          <w:pgSz w:w="11906" w:h="16838"/>
          <w:pgMar w:top="1440" w:right="1440" w:bottom="1440" w:left="1440" w:header="720" w:footer="720" w:gutter="0"/>
          <w:pgNumType w:start="1"/>
          <w:cols w:space="720"/>
        </w:sectPr>
      </w:pPr>
      <w:r>
        <w:br w:type="page"/>
      </w:r>
    </w:p>
    <w:p w14:paraId="3E7A9F1C" w14:textId="77777777" w:rsidR="00BA4D30" w:rsidRDefault="00436ADD">
      <w:pPr>
        <w:pStyle w:val="Heading1"/>
      </w:pPr>
      <w:bookmarkStart w:id="0" w:name="_Toc201241882"/>
      <w:r>
        <w:lastRenderedPageBreak/>
        <w:t>Introduction</w:t>
      </w:r>
      <w:bookmarkEnd w:id="0"/>
    </w:p>
    <w:p w14:paraId="6057541F" w14:textId="3199A060" w:rsidR="00BA4D30" w:rsidRDefault="00436ADD">
      <w:r>
        <w:t>Organisations today need strategic management to deal with sustainability issues and new technology</w:t>
      </w:r>
      <w:r w:rsidR="00F94EE7">
        <w:t xml:space="preserve"> (Whittington et. al, 2023)</w:t>
      </w:r>
      <w:r>
        <w:t>. Jaguar Land Rover (JLR) must use strategic approaches as the UK moves to electric vehicles to stay ahead and protect the environment</w:t>
      </w:r>
      <w:r w:rsidR="00AA4A0B">
        <w:t xml:space="preserve"> (JLR, 2023).</w:t>
      </w:r>
    </w:p>
    <w:p w14:paraId="049F31CB" w14:textId="77777777" w:rsidR="00BA4D30" w:rsidRDefault="00436ADD">
      <w:pPr>
        <w:keepNext/>
        <w:jc w:val="center"/>
      </w:pPr>
      <w:r>
        <w:rPr>
          <w:noProof/>
          <w:lang w:val="fr-FR" w:eastAsia="fr-FR" w:bidi="ar-SA"/>
        </w:rPr>
        <w:drawing>
          <wp:inline distT="0" distB="0" distL="0" distR="0" wp14:anchorId="3C93CF6E" wp14:editId="07777777">
            <wp:extent cx="3255264" cy="1828800"/>
            <wp:effectExtent l="0" t="0" r="0" b="0"/>
            <wp:docPr id="33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cstate="print"/>
                    <a:srcRect/>
                    <a:stretch>
                      <a:fillRect/>
                    </a:stretch>
                  </pic:blipFill>
                  <pic:spPr>
                    <a:xfrm>
                      <a:off x="0" y="0"/>
                      <a:ext cx="3255264" cy="1828800"/>
                    </a:xfrm>
                    <a:prstGeom prst="rect">
                      <a:avLst/>
                    </a:prstGeom>
                    <a:ln/>
                  </pic:spPr>
                </pic:pic>
              </a:graphicData>
            </a:graphic>
          </wp:inline>
        </w:drawing>
      </w:r>
    </w:p>
    <w:p w14:paraId="4CB930F7"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1: Jaguar Land Rover (JLR, 2023)</w:t>
      </w:r>
    </w:p>
    <w:p w14:paraId="6BE49B7C" w14:textId="19C5E9D7" w:rsidR="00BA4D30" w:rsidRDefault="00000000">
      <w:sdt>
        <w:sdtPr>
          <w:tag w:val="goog_rdk_0"/>
          <w:id w:val="-1030491378"/>
        </w:sdtPr>
        <w:sdtContent/>
      </w:sdt>
      <w:r w:rsidR="00436ADD">
        <w:t xml:space="preserve">JLR which belongs to Tata Motors, has luxury cars such as Jaguar, Range Rover and Defender in its fleet. JLR’s key production locations are in Solihull and Castle </w:t>
      </w:r>
      <w:r w:rsidR="0BCD1846">
        <w:t>Bromwich,</w:t>
      </w:r>
      <w:r w:rsidR="00436ADD">
        <w:t xml:space="preserve"> and it covers more than 100 areas worldwide. Everything the company does is focused on giving premium experiences by using sustainable </w:t>
      </w:r>
      <w:r w:rsidR="0C7DFC2C">
        <w:t>innovations (</w:t>
      </w:r>
      <w:r w:rsidR="00883795">
        <w:t>JLR, 2023)</w:t>
      </w:r>
      <w:r w:rsidR="00436ADD">
        <w:t xml:space="preserve">. The automaker focuses on electric vehicle (EV) advancements and keeping luxury and performance at the same time. JLR wishes to cut its carbon emissions in the whole supply chain to zero by 2039 and create zero tailpipe emissions by 2036. A key aspect of its strategy is switching to electric cars by 2025 so that sustainability and smart mobility remain its main </w:t>
      </w:r>
      <w:r w:rsidR="22F0FB82">
        <w:t>strengths (</w:t>
      </w:r>
      <w:r w:rsidR="00883795">
        <w:t>JLR, 2023)</w:t>
      </w:r>
      <w:r w:rsidR="00436ADD">
        <w:t>.</w:t>
      </w:r>
    </w:p>
    <w:p w14:paraId="53128261" w14:textId="77777777" w:rsidR="00BA4D30" w:rsidRDefault="00436ADD">
      <w:pPr>
        <w:spacing w:line="278" w:lineRule="auto"/>
        <w:jc w:val="left"/>
        <w:rPr>
          <w:b/>
          <w:sz w:val="32"/>
          <w:szCs w:val="32"/>
          <w:u w:val="single"/>
        </w:rPr>
      </w:pPr>
      <w:r>
        <w:br w:type="page"/>
      </w:r>
    </w:p>
    <w:p w14:paraId="24F9DDCA" w14:textId="77777777" w:rsidR="00BA4D30" w:rsidRDefault="00436ADD">
      <w:pPr>
        <w:pStyle w:val="Heading1"/>
      </w:pPr>
      <w:bookmarkStart w:id="1" w:name="_Toc201241883"/>
      <w:r>
        <w:lastRenderedPageBreak/>
        <w:t>Strategy Analysis</w:t>
      </w:r>
      <w:bookmarkEnd w:id="1"/>
    </w:p>
    <w:p w14:paraId="30883FC3" w14:textId="77777777" w:rsidR="00BA4D30" w:rsidRDefault="00436ADD">
      <w:pPr>
        <w:pStyle w:val="Heading2"/>
      </w:pPr>
      <w:bookmarkStart w:id="2" w:name="_Toc201241884"/>
      <w:r>
        <w:t>External Environment Audit</w:t>
      </w:r>
      <w:bookmarkEnd w:id="2"/>
    </w:p>
    <w:p w14:paraId="1CCA20AD" w14:textId="77777777" w:rsidR="00BA4D30" w:rsidRDefault="00436ADD">
      <w:r>
        <w:t>Examining the external environment helps Jaguar Land Rover understand what impacts its strategies. The PESTLE framework looks at the big factors outside of the company and Porter’s Five Forces studies the competition within the industry.</w:t>
      </w:r>
    </w:p>
    <w:p w14:paraId="7D7FC63F" w14:textId="77777777" w:rsidR="00BA4D30" w:rsidRDefault="00436ADD">
      <w:pPr>
        <w:pStyle w:val="Heading3"/>
      </w:pPr>
      <w:bookmarkStart w:id="3" w:name="_Toc201241885"/>
      <w:r>
        <w:t>PESTLE Analysis</w:t>
      </w:r>
      <w:bookmarkEnd w:id="3"/>
    </w:p>
    <w:p w14:paraId="476A43B8" w14:textId="40053A37" w:rsidR="00BA4D30" w:rsidRDefault="00436ADD">
      <w:r>
        <w:t>Key factors in the macro-environment have a big impact on strategy in the UK automotive industry</w:t>
      </w:r>
      <w:r w:rsidR="00AA4A0B">
        <w:t xml:space="preserve"> (</w:t>
      </w:r>
      <w:r w:rsidR="00AA4A0B">
        <w:rPr>
          <w:color w:val="000000"/>
        </w:rPr>
        <w:t xml:space="preserve">Begum &amp; Chowdary, 2024). </w:t>
      </w:r>
      <w:r>
        <w:t>To be competitive and fulfil its sustainability commitments, Jaguar Land Rover (JLR) needs to handle these external factors.</w:t>
      </w:r>
    </w:p>
    <w:p w14:paraId="0EF89114" w14:textId="1936F0EC" w:rsidR="00BA4D30" w:rsidRDefault="00E27B8B">
      <w:r>
        <w:rPr>
          <w:b/>
        </w:rPr>
        <w:t>Political:</w:t>
      </w:r>
      <w:r>
        <w:t xml:space="preserve"> Since</w:t>
      </w:r>
      <w:r w:rsidR="00436ADD">
        <w:t xml:space="preserve"> the UK left the European Union in 2020 (Brexit), trade policies have been disturbed and there is now uncertainty about tariffs</w:t>
      </w:r>
      <w:r>
        <w:t xml:space="preserve"> </w:t>
      </w:r>
      <w:r w:rsidR="00883795">
        <w:t xml:space="preserve">(Bailey &amp; De </w:t>
      </w:r>
      <w:proofErr w:type="spellStart"/>
      <w:r w:rsidR="00883795">
        <w:t>Propris</w:t>
      </w:r>
      <w:proofErr w:type="spellEnd"/>
      <w:r w:rsidR="00883795">
        <w:t>, 2017)</w:t>
      </w:r>
      <w:r w:rsidR="00436ADD">
        <w:t xml:space="preserve">. Because JLR exports most of its cars, facing customs issues has caused it to consider different approaches to European logistics and supplier plans (Bailey &amp; De </w:t>
      </w:r>
      <w:proofErr w:type="spellStart"/>
      <w:r w:rsidR="00436ADD">
        <w:t>Propris</w:t>
      </w:r>
      <w:proofErr w:type="spellEnd"/>
      <w:r w:rsidR="00436ADD">
        <w:t>, 2017). One more point, bilateral trade deals made outside the EU now matter more than ever in deciding the direction of international growth.</w:t>
      </w:r>
    </w:p>
    <w:p w14:paraId="250FF0A1" w14:textId="2BEC3CF5" w:rsidR="00BA4D30" w:rsidRDefault="00436ADD">
      <w:r>
        <w:rPr>
          <w:b/>
        </w:rPr>
        <w:t>Economic:</w:t>
      </w:r>
      <w:r>
        <w:t xml:space="preserve"> After the pandemic hit, the recovery of the UK’s economy has not been even. Costs in the manufacturing sector have gone up because of inflation and delays in the supply chain, mostly for things like semiconductors (</w:t>
      </w:r>
      <w:proofErr w:type="spellStart"/>
      <w:r>
        <w:t>Arestis</w:t>
      </w:r>
      <w:proofErr w:type="spellEnd"/>
      <w:r w:rsidR="00BE295B">
        <w:t xml:space="preserve"> </w:t>
      </w:r>
      <w:r>
        <w:t>&amp; Karagiannis, 2023). Because of this commitment, the government has supported subsidies and infrastructure for EVs which is positive for JLR’s EV business line.</w:t>
      </w:r>
    </w:p>
    <w:p w14:paraId="10D4AE3D" w14:textId="77777777" w:rsidR="00BA4D30" w:rsidRDefault="00436ADD">
      <w:r>
        <w:rPr>
          <w:b/>
        </w:rPr>
        <w:t>Social:</w:t>
      </w:r>
      <w:r>
        <w:t xml:space="preserve"> People have changed the way they think about purchasing and because they care more about the environment, there is greater interest in electric and hybrid vehicles. People living in cities now lean more toward smart, linked and environmentally friendly methods of travel (Bodrog &amp; Mile, 2025). The company should create products that match the preferences of youthful, gadget-savvy and eco-conscious people.</w:t>
      </w:r>
    </w:p>
    <w:p w14:paraId="1753DEB9" w14:textId="77777777" w:rsidR="00BA4D30" w:rsidRDefault="0093318D">
      <w:pPr>
        <w:keepNext/>
        <w:jc w:val="center"/>
      </w:pPr>
      <w:r>
        <w:rPr>
          <w:noProof/>
        </w:rPr>
      </w:r>
      <w:r>
        <w:rPr>
          <w:noProof/>
        </w:rPr>
        <w:pict w14:anchorId="50F88A18">
          <v:group id="Group 324" o:spid="_x0000_s1084" alt="" style="width:429.15pt;height:82.35pt;mso-position-horizontal-relative:char;mso-position-vertical-relative:line" coordsize="55055,11220">
            <v:group id="Group 1" o:spid="_x0000_s1085" alt="" style="position:absolute;width:54505;height:10458" coordsize="54505,10458">
              <v:rect id="Rectangle 2" o:spid="_x0000_s1086" alt="" style="position:absolute;width:54505;height:10458;visibility:visible;mso-wrap-style:square;v-text-anchor:middle" filled="f" stroked="f">
                <v:textbox inset="2.53958mm,2.53958mm,2.53958mm,2.53958mm">
                  <w:txbxContent>
                    <w:p w14:paraId="62486C05" w14:textId="77777777" w:rsidR="00BA4D30" w:rsidRDefault="00BA4D30">
                      <w:pPr>
                        <w:spacing w:after="0" w:line="240" w:lineRule="auto"/>
                        <w:jc w:val="left"/>
                        <w:textDirection w:val="btLr"/>
                      </w:pPr>
                    </w:p>
                  </w:txbxContent>
                </v:textbox>
              </v:rect>
              <v:shapetype id="_x0000_t119" coordsize="21600,21600" o:spt="119" path="m,l21600,,17240,21600r-12880,xe">
                <v:stroke joinstyle="miter"/>
                <v:path gradientshapeok="t" o:connecttype="custom" o:connectlocs="10800,0;2180,10800;10800,21600;19420,10800" textboxrect="4321,0,17204,21600"/>
              </v:shapetype>
              <v:shape id="Flowchart: Manual Operation 3" o:spid="_x0000_s1087" type="#_x0000_t119" alt="" style="position:absolute;left:-936;top:957;width:10458;height:8543;rotation:-90;visibility:visible;mso-wrap-style:square;v-text-anchor:middle" fillcolor="#f08b54" stroked="f">
                <v:fill color2="#e36a18" colors="0 #f08b54;.5 #f67a26;1 #e36a18" focus="100%" type="gradient">
                  <o:fill v:ext="view" type="gradientUnscaled"/>
                </v:fill>
                <v:shadow on="t" color="black" opacity="41120f" offset="0,1.5pt"/>
                <v:textbox inset="2.53958mm,2.53958mm,2.53958mm,2.53958mm">
                  <w:txbxContent>
                    <w:p w14:paraId="4101652C" w14:textId="77777777" w:rsidR="00BA4D30" w:rsidRDefault="00BA4D30">
                      <w:pPr>
                        <w:spacing w:after="0" w:line="240" w:lineRule="auto"/>
                        <w:jc w:val="left"/>
                        <w:textDirection w:val="btLr"/>
                      </w:pPr>
                    </w:p>
                  </w:txbxContent>
                </v:textbox>
              </v:shape>
              <v:shapetype id="_x0000_t202" coordsize="21600,21600" o:spt="202" path="m,l,21600r21600,l21600,xe">
                <v:stroke joinstyle="miter"/>
                <v:path gradientshapeok="t" o:connecttype="rect"/>
              </v:shapetype>
              <v:shape id="Text Box 4" o:spid="_x0000_s1088" type="#_x0000_t202" alt="" style="position:absolute;left:21;top:2091;width:8543;height:6275;visibility:visible;mso-wrap-style:square;v-text-anchor:middle" filled="f" stroked="f">
                <v:textbox inset="4.5pt,0,4.5pt,0">
                  <w:txbxContent>
                    <w:p w14:paraId="66B2979F" w14:textId="77777777" w:rsidR="00BA4D30" w:rsidRDefault="00436ADD">
                      <w:pPr>
                        <w:spacing w:after="0" w:line="215" w:lineRule="auto"/>
                        <w:jc w:val="center"/>
                        <w:textDirection w:val="btLr"/>
                      </w:pPr>
                      <w:r>
                        <w:rPr>
                          <w:b/>
                          <w:color w:val="000000"/>
                          <w:sz w:val="18"/>
                        </w:rPr>
                        <w:t>Political</w:t>
                      </w:r>
                    </w:p>
                  </w:txbxContent>
                </v:textbox>
              </v:shape>
              <v:shape id="Flowchart: Manual Operation 5" o:spid="_x0000_s1089" type="#_x0000_t119" alt="" style="position:absolute;left:8248;top:957;width:10458;height:8543;rotation:-90;visibility:visible;mso-wrap-style:square;v-text-anchor:middle" fillcolor="#df8763" stroked="f">
                <v:fill color2="#cf6432" colors="0 #df8763;.5 #e27542;1 #cf6432" focus="100%" type="gradient">
                  <o:fill v:ext="view" type="gradientUnscaled"/>
                </v:fill>
                <v:shadow on="t" color="black" opacity="41120f" offset="0,1.5pt"/>
                <v:textbox inset="2.53958mm,2.53958mm,2.53958mm,2.53958mm">
                  <w:txbxContent>
                    <w:p w14:paraId="4B99056E" w14:textId="77777777" w:rsidR="00BA4D30" w:rsidRDefault="00BA4D30">
                      <w:pPr>
                        <w:spacing w:after="0" w:line="240" w:lineRule="auto"/>
                        <w:jc w:val="left"/>
                        <w:textDirection w:val="btLr"/>
                      </w:pPr>
                    </w:p>
                  </w:txbxContent>
                </v:textbox>
              </v:shape>
              <v:shape id="Text Box 6" o:spid="_x0000_s1090" type="#_x0000_t202" alt="" style="position:absolute;left:9205;top:2091;width:8543;height:6275;visibility:visible;mso-wrap-style:square;v-text-anchor:middle" filled="f" stroked="f">
                <v:textbox inset="4.5pt,0,4.5pt,0">
                  <w:txbxContent>
                    <w:p w14:paraId="477653BA" w14:textId="77777777" w:rsidR="00BA4D30" w:rsidRDefault="00436ADD">
                      <w:pPr>
                        <w:spacing w:after="0" w:line="215" w:lineRule="auto"/>
                        <w:jc w:val="center"/>
                        <w:textDirection w:val="btLr"/>
                      </w:pPr>
                      <w:r>
                        <w:rPr>
                          <w:b/>
                          <w:color w:val="000000"/>
                          <w:sz w:val="18"/>
                        </w:rPr>
                        <w:t>Economic</w:t>
                      </w:r>
                    </w:p>
                  </w:txbxContent>
                </v:textbox>
              </v:shape>
              <v:shape id="Flowchart: Manual Operation 7" o:spid="_x0000_s1091" type="#_x0000_t119" alt="" style="position:absolute;left:17432;top:957;width:10458;height:8543;rotation:-90;visibility:visible;mso-wrap-style:square;v-text-anchor:middle" fillcolor="#d08a76" stroked="f">
                <v:fill color2="#bd674b" colors="0 #d08a76;.5 #cf795d;1 #bd674b" focus="100%" type="gradient">
                  <o:fill v:ext="view" type="gradientUnscaled"/>
                </v:fill>
                <v:shadow on="t" color="black" opacity="41120f" offset="0,1.5pt"/>
                <v:textbox inset="2.53958mm,2.53958mm,2.53958mm,2.53958mm">
                  <w:txbxContent>
                    <w:p w14:paraId="1299C43A" w14:textId="77777777" w:rsidR="00BA4D30" w:rsidRDefault="00BA4D30">
                      <w:pPr>
                        <w:spacing w:after="0" w:line="240" w:lineRule="auto"/>
                        <w:jc w:val="left"/>
                        <w:textDirection w:val="btLr"/>
                      </w:pPr>
                    </w:p>
                  </w:txbxContent>
                </v:textbox>
              </v:shape>
              <v:shape id="Text Box 8" o:spid="_x0000_s1092" type="#_x0000_t202" alt="" style="position:absolute;left:18389;top:2091;width:8543;height:6275;visibility:visible;mso-wrap-style:square;v-text-anchor:middle" filled="f" stroked="f">
                <v:textbox inset="4.5pt,0,4.5pt,0">
                  <w:txbxContent>
                    <w:p w14:paraId="353DCF36" w14:textId="77777777" w:rsidR="00BA4D30" w:rsidRDefault="00436ADD">
                      <w:pPr>
                        <w:spacing w:after="0" w:line="215" w:lineRule="auto"/>
                        <w:jc w:val="center"/>
                        <w:textDirection w:val="btLr"/>
                      </w:pPr>
                      <w:r>
                        <w:rPr>
                          <w:b/>
                          <w:color w:val="000000"/>
                          <w:sz w:val="18"/>
                        </w:rPr>
                        <w:t>Social</w:t>
                      </w:r>
                    </w:p>
                  </w:txbxContent>
                </v:textbox>
              </v:shape>
              <v:shape id="Flowchart: Manual Operation 9" o:spid="_x0000_s1093" type="#_x0000_t119" alt="" style="position:absolute;left:26615;top:957;width:10458;height:8543;rotation:-90;visibility:visible;mso-wrap-style:square;v-text-anchor:middle" fillcolor="#c39289" stroked="f">
                <v:fill color2="#ab7064" colors="0 #c39289;.5 #bf8275;1 #ab7064" focus="100%" type="gradient">
                  <o:fill v:ext="view" type="gradientUnscaled"/>
                </v:fill>
                <v:shadow on="t" color="black" opacity="41120f" offset="0,1.5pt"/>
                <v:textbox inset="2.53958mm,2.53958mm,2.53958mm,2.53958mm">
                  <w:txbxContent>
                    <w:p w14:paraId="4DDBEF00" w14:textId="77777777" w:rsidR="00BA4D30" w:rsidRDefault="00BA4D30">
                      <w:pPr>
                        <w:spacing w:after="0" w:line="240" w:lineRule="auto"/>
                        <w:jc w:val="left"/>
                        <w:textDirection w:val="btLr"/>
                      </w:pPr>
                    </w:p>
                  </w:txbxContent>
                </v:textbox>
              </v:shape>
              <v:shape id="Text Box 10" o:spid="_x0000_s1094" type="#_x0000_t202" alt="" style="position:absolute;left:27572;top:2091;width:8543;height:6275;visibility:visible;mso-wrap-style:square;v-text-anchor:middle" filled="f" stroked="f">
                <v:textbox inset="4.5pt,0,4.5pt,0">
                  <w:txbxContent>
                    <w:p w14:paraId="2DC74601" w14:textId="77777777" w:rsidR="00BA4D30" w:rsidRDefault="00436ADD">
                      <w:pPr>
                        <w:spacing w:after="0" w:line="215" w:lineRule="auto"/>
                        <w:jc w:val="center"/>
                        <w:textDirection w:val="btLr"/>
                      </w:pPr>
                      <w:r>
                        <w:rPr>
                          <w:b/>
                          <w:color w:val="000000"/>
                          <w:sz w:val="18"/>
                        </w:rPr>
                        <w:t>Technological</w:t>
                      </w:r>
                    </w:p>
                  </w:txbxContent>
                </v:textbox>
              </v:shape>
              <v:shape id="Flowchart: Manual Operation 11" o:spid="_x0000_s1095" type="#_x0000_t119" alt="" style="position:absolute;left:35799;top:957;width:10458;height:8543;rotation:-90;visibility:visible;mso-wrap-style:square;v-text-anchor:middle" fillcolor="#b79e9b" stroked="f">
                <v:fill color2="#9d7e7b" colors="0 #b79e9b;.5 #b0918e;1 #9d7e7b" focus="100%" type="gradient">
                  <o:fill v:ext="view" type="gradientUnscaled"/>
                </v:fill>
                <v:shadow on="t" color="black" opacity="41120f" offset="0,1.5pt"/>
                <v:textbox inset="2.53958mm,2.53958mm,2.53958mm,2.53958mm">
                  <w:txbxContent>
                    <w:p w14:paraId="3461D779" w14:textId="77777777" w:rsidR="00BA4D30" w:rsidRDefault="00BA4D30">
                      <w:pPr>
                        <w:spacing w:after="0" w:line="240" w:lineRule="auto"/>
                        <w:jc w:val="left"/>
                        <w:textDirection w:val="btLr"/>
                      </w:pPr>
                    </w:p>
                  </w:txbxContent>
                </v:textbox>
              </v:shape>
              <v:shape id="Text Box 12" o:spid="_x0000_s1096" type="#_x0000_t202" alt="" style="position:absolute;left:36756;top:2091;width:8543;height:6275;visibility:visible;mso-wrap-style:square;v-text-anchor:middle" filled="f" stroked="f">
                <v:textbox inset="4.5pt,0,4.5pt,0">
                  <w:txbxContent>
                    <w:p w14:paraId="172A58EA" w14:textId="77777777" w:rsidR="00BA4D30" w:rsidRDefault="00436ADD">
                      <w:pPr>
                        <w:spacing w:after="0" w:line="215" w:lineRule="auto"/>
                        <w:jc w:val="center"/>
                        <w:textDirection w:val="btLr"/>
                      </w:pPr>
                      <w:r>
                        <w:rPr>
                          <w:b/>
                          <w:color w:val="000000"/>
                          <w:sz w:val="18"/>
                        </w:rPr>
                        <w:t>Legal</w:t>
                      </w:r>
                    </w:p>
                  </w:txbxContent>
                </v:textbox>
              </v:shape>
              <v:shape id="Flowchart: Manual Operation 13" o:spid="_x0000_s1097" type="#_x0000_t119" alt="" style="position:absolute;left:44983;top:957;width:10458;height:8543;rotation:-90;visibility:visible;mso-wrap-style:square;v-text-anchor:middle" fillcolor="#aeaeae" stroked="f">
                <v:fill color2="#909090" colors="0 #aeaeae;.5 #a4a4a4;1 #909090" focus="100%" type="gradient">
                  <o:fill v:ext="view" type="gradientUnscaled"/>
                </v:fill>
                <v:shadow on="t" color="black" opacity="41120f" offset="0,1.5pt"/>
                <v:textbox inset="2.53958mm,2.53958mm,2.53958mm,2.53958mm">
                  <w:txbxContent>
                    <w:p w14:paraId="3CF2D8B6" w14:textId="77777777" w:rsidR="00BA4D30" w:rsidRDefault="00BA4D30">
                      <w:pPr>
                        <w:spacing w:after="0" w:line="240" w:lineRule="auto"/>
                        <w:jc w:val="left"/>
                        <w:textDirection w:val="btLr"/>
                      </w:pPr>
                    </w:p>
                  </w:txbxContent>
                </v:textbox>
              </v:shape>
              <v:shape id="Text Box 14" o:spid="_x0000_s1098" type="#_x0000_t202" alt="" style="position:absolute;left:45940;top:2091;width:8543;height:6275;visibility:visible;mso-wrap-style:square;v-text-anchor:middle" filled="f" stroked="f">
                <v:textbox inset="4.5pt,0,4.5pt,0">
                  <w:txbxContent>
                    <w:p w14:paraId="49A61206" w14:textId="77777777" w:rsidR="00BA4D30" w:rsidRDefault="00436ADD">
                      <w:pPr>
                        <w:spacing w:after="0" w:line="215" w:lineRule="auto"/>
                        <w:jc w:val="center"/>
                        <w:textDirection w:val="btLr"/>
                      </w:pPr>
                      <w:r>
                        <w:rPr>
                          <w:b/>
                          <w:color w:val="000000"/>
                          <w:sz w:val="18"/>
                        </w:rPr>
                        <w:t>Environmental</w:t>
                      </w:r>
                    </w:p>
                  </w:txbxContent>
                </v:textbox>
              </v:shape>
            </v:group>
            <w10:anchorlock/>
          </v:group>
        </w:pict>
      </w:r>
    </w:p>
    <w:p w14:paraId="7A4A5872"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2: PESTLE Analysis (Self-Prepared)</w:t>
      </w:r>
    </w:p>
    <w:p w14:paraId="59A73216" w14:textId="77777777" w:rsidR="00BA4D30" w:rsidRDefault="00436ADD">
      <w:r>
        <w:rPr>
          <w:b/>
        </w:rPr>
        <w:lastRenderedPageBreak/>
        <w:t>Technological:</w:t>
      </w:r>
      <w:r>
        <w:t xml:space="preserve"> Vehicle-related technologies, mainly battery improvements, and better connections between cars and autonomous driving, are transforming the automotive sector rapidly. To stay in front, JLR has stepped up R&amp;D investments and works with tech companies to make use of new software and electric car technology (Emmanuel Augustine </w:t>
      </w:r>
      <w:proofErr w:type="spellStart"/>
      <w:r>
        <w:t>Etukudoh</w:t>
      </w:r>
      <w:proofErr w:type="spellEnd"/>
      <w:r>
        <w:t xml:space="preserve"> et al., 2024). Technologies using AI such as AI driver-assistance, offer benefits as well as challenges.</w:t>
      </w:r>
    </w:p>
    <w:p w14:paraId="46B13F15" w14:textId="77777777" w:rsidR="00BA4D30" w:rsidRDefault="00436ADD">
      <w:r>
        <w:rPr>
          <w:b/>
        </w:rPr>
        <w:t>Legal:</w:t>
      </w:r>
      <w:r>
        <w:t xml:space="preserve"> Because of strong rules in the UK and EU such as the Road to Zero strategy and Euro 6/7 standards, constant progress is needed in both cutting-edge propulsion and increased safety. Failure to stick to the rules not only costs a business money but can also harm its reputation (Upadhyay et al., 2020).</w:t>
      </w:r>
    </w:p>
    <w:p w14:paraId="7FD854BD" w14:textId="77777777" w:rsidR="00BA4D30" w:rsidRDefault="00436ADD">
      <w:r>
        <w:rPr>
          <w:b/>
        </w:rPr>
        <w:t>Environmental:</w:t>
      </w:r>
      <w:r>
        <w:t xml:space="preserve"> Because of the focus on climate change worldwide, companies are now putting more attention on sustainable procedures. JLR expects to be neutral in carbon emissions by 2039 and zero in tailpipe emissions by 2036, reflecting what is set out in the Paris Agreement and broader ESG guidelines (Chen et al., 2020).</w:t>
      </w:r>
    </w:p>
    <w:p w14:paraId="26BC1F59" w14:textId="77777777" w:rsidR="00BA4D30" w:rsidRDefault="00436ADD">
      <w:pPr>
        <w:pStyle w:val="Heading3"/>
      </w:pPr>
      <w:bookmarkStart w:id="4" w:name="_Toc201241886"/>
      <w:r>
        <w:t>Porter’s Five Forces</w:t>
      </w:r>
      <w:bookmarkEnd w:id="4"/>
    </w:p>
    <w:p w14:paraId="6CF144F8" w14:textId="77777777" w:rsidR="00BA4D30" w:rsidRDefault="00436ADD">
      <w:r>
        <w:t>Using Porter’s Five Forces, it is possible to study and analyse the rivalry in the UK automotive sector. To adjust to new industry challenges, Jaguar Land Rover (JLR) needs to recognise and study these forces.</w:t>
      </w:r>
    </w:p>
    <w:p w14:paraId="13AEE061" w14:textId="77777777" w:rsidR="00BA4D30" w:rsidRDefault="00436ADD">
      <w:r>
        <w:rPr>
          <w:b/>
        </w:rPr>
        <w:t>Threat of New Entrants:</w:t>
      </w:r>
      <w:r>
        <w:t xml:space="preserve"> The automotive sector has long depended on a large financial investment, tough rules and the importance of having a strong brand. Nowadays, because of new technology and digital tools, accessing the world’s culture is much easier. Agile production and electric power are part of what allows new entrants Arrival and Rivian to compete in the EV market free from the problems faced by well-established automakers (Cho &amp; Shin, 2022). Because the market is growing more accessible, long-established companies like JLR must always try to be first with something new.</w:t>
      </w:r>
    </w:p>
    <w:p w14:paraId="2F6604DC" w14:textId="20EB4C36" w:rsidR="00BA4D30" w:rsidRDefault="00436ADD">
      <w:r>
        <w:rPr>
          <w:b/>
        </w:rPr>
        <w:t>Bargaining Power of Suppliers:</w:t>
      </w:r>
      <w:r>
        <w:t xml:space="preserve"> High-tech and rare materials are largely controlled by suppliers, who usually have a lot of bargaining power. The current worldwide chip shortage slowed down vehicle production, showing that automakers are weak when their supply relies on a few sources (</w:t>
      </w:r>
      <w:proofErr w:type="spellStart"/>
      <w:r>
        <w:t>Frieske</w:t>
      </w:r>
      <w:proofErr w:type="spellEnd"/>
      <w:r w:rsidR="00BE295B">
        <w:t xml:space="preserve"> </w:t>
      </w:r>
      <w:r>
        <w:t>&amp; Stieler, 2022). Relying heavily on particular suppliers for electric gear makes JLR more dependent.</w:t>
      </w:r>
    </w:p>
    <w:p w14:paraId="1E68197F" w14:textId="77777777" w:rsidR="00BA4D30" w:rsidRDefault="0093318D">
      <w:pPr>
        <w:keepNext/>
        <w:jc w:val="center"/>
      </w:pPr>
      <w:r>
        <w:rPr>
          <w:noProof/>
        </w:rPr>
      </w:r>
      <w:r>
        <w:rPr>
          <w:noProof/>
        </w:rPr>
        <w:pict w14:anchorId="5D8346A1">
          <v:group id="Group 323" o:spid="_x0000_s1066" alt="" style="width:263.7pt;height:175pt;mso-position-horizontal-relative:char;mso-position-vertical-relative:line" coordsize="33540,22228">
            <v:group id="Group 15" o:spid="_x0000_s1067" alt="" style="position:absolute;width:33492;height:22222" coordsize="33492,22222">
              <v:rect id="Rectangle 16" o:spid="_x0000_s1068" alt="" style="position:absolute;width:33492;height:22222;visibility:visible;mso-wrap-style:square;v-text-anchor:middle" filled="f" stroked="f">
                <v:textbox inset="2.53958mm,2.53958mm,2.53958mm,2.53958mm">
                  <w:txbxContent>
                    <w:p w14:paraId="0FB78278" w14:textId="77777777" w:rsidR="00BA4D30" w:rsidRDefault="00BA4D30">
                      <w:pPr>
                        <w:spacing w:after="0" w:line="240" w:lineRule="auto"/>
                        <w:jc w:val="left"/>
                        <w:textDirection w:val="btLr"/>
                      </w:pPr>
                    </w:p>
                  </w:txbxContent>
                </v:textbox>
              </v:rect>
              <v:rect id="Rectangle 17" o:spid="_x0000_s1069" alt="" style="position:absolute;top:1517;width:33492;height:2520;visibility:visible;mso-wrap-style:square;v-text-anchor:middle" fillcolor="white [3201]" strokecolor="#ed7d31 [3205]">
                <v:fill opacity="58853f"/>
                <v:stroke startarrowwidth="narrow" startarrowlength="short" endarrowwidth="narrow" endarrowlength="short"/>
                <v:textbox inset="2.53958mm,2.53958mm,2.53958mm,2.53958mm">
                  <w:txbxContent>
                    <w:p w14:paraId="1FC39945" w14:textId="77777777" w:rsidR="00BA4D30" w:rsidRDefault="00BA4D30">
                      <w:pPr>
                        <w:spacing w:after="0" w:line="240" w:lineRule="auto"/>
                        <w:jc w:val="left"/>
                        <w:textDirection w:val="btLr"/>
                      </w:pPr>
                    </w:p>
                  </w:txbxContent>
                </v:textbox>
              </v:rect>
              <v:roundrect id="Rectangle: Rounded Corners 18" o:spid="_x0000_s1070" alt="" style="position:absolute;left:1674;top:41;width:23445;height:2952;visibility:visible;mso-wrap-style:square;v-text-anchor:middle" arcsize="10923f" fillcolor="#f08b54" stroked="f">
                <v:fill color2="#e36a18" colors="0 #f08b54;.5 #f67a26;1 #e36a18" focus="100%" type="gradient">
                  <o:fill v:ext="view" type="gradientUnscaled"/>
                </v:fill>
                <v:shadow on="t" color="black" opacity="41120f" offset="0,1.5pt"/>
                <v:textbox inset="2.53958mm,2.53958mm,2.53958mm,2.53958mm">
                  <w:txbxContent>
                    <w:p w14:paraId="0562CB0E" w14:textId="77777777" w:rsidR="00BA4D30" w:rsidRDefault="00BA4D30">
                      <w:pPr>
                        <w:spacing w:after="0" w:line="240" w:lineRule="auto"/>
                        <w:jc w:val="left"/>
                        <w:textDirection w:val="btLr"/>
                      </w:pPr>
                    </w:p>
                  </w:txbxContent>
                </v:textbox>
              </v:roundrect>
              <v:shape id="Text Box 19" o:spid="_x0000_s1071" type="#_x0000_t202" alt="" style="position:absolute;left:1818;top:185;width:23157;height:2663;visibility:visible;mso-wrap-style:square;v-text-anchor:middle" filled="f" stroked="f">
                <v:textbox inset="2.46111mm,0,2.46111mm,0">
                  <w:txbxContent>
                    <w:p w14:paraId="0F045403" w14:textId="77777777" w:rsidR="00BA4D30" w:rsidRDefault="00436ADD">
                      <w:pPr>
                        <w:spacing w:after="0" w:line="215" w:lineRule="auto"/>
                        <w:jc w:val="left"/>
                        <w:textDirection w:val="btLr"/>
                      </w:pPr>
                      <w:r>
                        <w:rPr>
                          <w:b/>
                          <w:color w:val="000000"/>
                          <w:sz w:val="18"/>
                        </w:rPr>
                        <w:t>Threat of New Entrants</w:t>
                      </w:r>
                    </w:p>
                  </w:txbxContent>
                </v:textbox>
              </v:shape>
              <v:rect id="Rectangle 20" o:spid="_x0000_s1072" alt="" style="position:absolute;top:6053;width:33492;height:2520;visibility:visible;mso-wrap-style:square;v-text-anchor:middle" fillcolor="white [3201]" strokecolor="#d77850">
                <v:fill opacity="58853f"/>
                <v:stroke startarrowwidth="narrow" startarrowlength="short" endarrowwidth="narrow" endarrowlength="short"/>
                <v:textbox inset="2.53958mm,2.53958mm,2.53958mm,2.53958mm">
                  <w:txbxContent>
                    <w:p w14:paraId="34CE0A41" w14:textId="77777777" w:rsidR="00BA4D30" w:rsidRDefault="00BA4D30">
                      <w:pPr>
                        <w:spacing w:after="0" w:line="240" w:lineRule="auto"/>
                        <w:jc w:val="left"/>
                        <w:textDirection w:val="btLr"/>
                      </w:pPr>
                    </w:p>
                  </w:txbxContent>
                </v:textbox>
              </v:rect>
              <v:roundrect id="Rectangle: Rounded Corners 21" o:spid="_x0000_s1073" alt="" style="position:absolute;left:1674;top:4577;width:23445;height:2952;visibility:visible;mso-wrap-style:square;v-text-anchor:middle" arcsize="10923f" fillcolor="#dc8767" stroked="f">
                <v:fill color2="#ca6438" colors="0 #dc8767;.5 #dd7549;1 #ca6438" focus="100%" type="gradient">
                  <o:fill v:ext="view" type="gradientUnscaled"/>
                </v:fill>
                <v:shadow on="t" color="black" opacity="41120f" offset="0,1.5pt"/>
                <v:textbox inset="2.53958mm,2.53958mm,2.53958mm,2.53958mm">
                  <w:txbxContent>
                    <w:p w14:paraId="62EBF3C5" w14:textId="77777777" w:rsidR="00BA4D30" w:rsidRDefault="00BA4D30">
                      <w:pPr>
                        <w:spacing w:after="0" w:line="240" w:lineRule="auto"/>
                        <w:jc w:val="left"/>
                        <w:textDirection w:val="btLr"/>
                      </w:pPr>
                    </w:p>
                  </w:txbxContent>
                </v:textbox>
              </v:roundrect>
              <v:shape id="Text Box 22" o:spid="_x0000_s1074" type="#_x0000_t202" alt="" style="position:absolute;left:1818;top:4721;width:23157;height:2663;visibility:visible;mso-wrap-style:square;v-text-anchor:middle" filled="f" stroked="f">
                <v:textbox inset="2.46111mm,0,2.46111mm,0">
                  <w:txbxContent>
                    <w:p w14:paraId="636360C9" w14:textId="77777777" w:rsidR="00BA4D30" w:rsidRDefault="00436ADD">
                      <w:pPr>
                        <w:spacing w:after="0" w:line="215" w:lineRule="auto"/>
                        <w:jc w:val="left"/>
                        <w:textDirection w:val="btLr"/>
                      </w:pPr>
                      <w:r>
                        <w:rPr>
                          <w:b/>
                          <w:color w:val="000000"/>
                          <w:sz w:val="18"/>
                        </w:rPr>
                        <w:t>Bargaining Power of Suppliers</w:t>
                      </w:r>
                    </w:p>
                  </w:txbxContent>
                </v:textbox>
              </v:shape>
              <v:rect id="Rectangle 23" o:spid="_x0000_s1075" alt="" style="position:absolute;top:10589;width:33492;height:2520;visibility:visible;mso-wrap-style:square;v-text-anchor:middle" fillcolor="white [3201]" strokecolor="#c47f6e">
                <v:fill opacity="58853f"/>
                <v:stroke startarrowwidth="narrow" startarrowlength="short" endarrowwidth="narrow" endarrowlength="short"/>
                <v:textbox inset="2.53958mm,2.53958mm,2.53958mm,2.53958mm">
                  <w:txbxContent>
                    <w:p w14:paraId="6D98A12B" w14:textId="77777777" w:rsidR="00BA4D30" w:rsidRDefault="00BA4D30">
                      <w:pPr>
                        <w:spacing w:after="0" w:line="240" w:lineRule="auto"/>
                        <w:jc w:val="left"/>
                        <w:textDirection w:val="btLr"/>
                      </w:pPr>
                    </w:p>
                  </w:txbxContent>
                </v:textbox>
              </v:rect>
              <v:roundrect id="Rectangle: Rounded Corners 24" o:spid="_x0000_s1076" alt="" style="position:absolute;left:1674;top:9113;width:23445;height:2952;visibility:visible;mso-wrap-style:square;v-text-anchor:middle" arcsize="10923f" fillcolor="#ca8d7e" stroked="f">
                <v:fill color2="#b56a57" colors="0 #ca8d7e;.5 #c77c69;1 #b56a57" focus="100%" type="gradient">
                  <o:fill v:ext="view" type="gradientUnscaled"/>
                </v:fill>
                <v:shadow on="t" color="black" opacity="41120f" offset="0,1.5pt"/>
                <v:textbox inset="2.53958mm,2.53958mm,2.53958mm,2.53958mm">
                  <w:txbxContent>
                    <w:p w14:paraId="2946DB82" w14:textId="77777777" w:rsidR="00BA4D30" w:rsidRDefault="00BA4D30">
                      <w:pPr>
                        <w:spacing w:after="0" w:line="240" w:lineRule="auto"/>
                        <w:jc w:val="left"/>
                        <w:textDirection w:val="btLr"/>
                      </w:pPr>
                    </w:p>
                  </w:txbxContent>
                </v:textbox>
              </v:roundrect>
              <v:shape id="Text Box 25" o:spid="_x0000_s1077" type="#_x0000_t202" alt="" style="position:absolute;left:1818;top:9257;width:23157;height:2663;visibility:visible;mso-wrap-style:square;v-text-anchor:middle" filled="f" stroked="f">
                <v:textbox inset="2.46111mm,0,2.46111mm,0">
                  <w:txbxContent>
                    <w:p w14:paraId="362E7605" w14:textId="77777777" w:rsidR="00BA4D30" w:rsidRDefault="00436ADD">
                      <w:pPr>
                        <w:spacing w:after="0" w:line="215" w:lineRule="auto"/>
                        <w:jc w:val="left"/>
                        <w:textDirection w:val="btLr"/>
                      </w:pPr>
                      <w:r>
                        <w:rPr>
                          <w:b/>
                          <w:color w:val="000000"/>
                          <w:sz w:val="18"/>
                        </w:rPr>
                        <w:t>Bargaining Power of Buyers</w:t>
                      </w:r>
                    </w:p>
                  </w:txbxContent>
                </v:textbox>
              </v:shape>
              <v:rect id="Rectangle 26" o:spid="_x0000_s1078" alt="" style="position:absolute;top:15125;width:33492;height:2520;visibility:visible;mso-wrap-style:square;v-text-anchor:middle" fillcolor="white [3201]" strokecolor="#b38e8a">
                <v:fill opacity="58853f"/>
                <v:stroke startarrowwidth="narrow" startarrowlength="short" endarrowwidth="narrow" endarrowlength="short"/>
                <v:textbox inset="2.53958mm,2.53958mm,2.53958mm,2.53958mm">
                  <w:txbxContent>
                    <w:p w14:paraId="5997CC1D" w14:textId="77777777" w:rsidR="00BA4D30" w:rsidRDefault="00BA4D30">
                      <w:pPr>
                        <w:spacing w:after="0" w:line="240" w:lineRule="auto"/>
                        <w:jc w:val="left"/>
                        <w:textDirection w:val="btLr"/>
                      </w:pPr>
                    </w:p>
                  </w:txbxContent>
                </v:textbox>
              </v:rect>
              <v:roundrect id="Rectangle: Rounded Corners 27" o:spid="_x0000_s1079" alt="" style="position:absolute;left:1674;top:13649;width:23445;height:2952;visibility:visible;mso-wrap-style:square;v-text-anchor:middle" arcsize="10923f" fillcolor="#ba9a96" stroked="f">
                <v:fill color2="#a17975" colors="0 #ba9a96;.5 #b58c87;1 #a17975" focus="100%" type="gradient">
                  <o:fill v:ext="view" type="gradientUnscaled"/>
                </v:fill>
                <v:shadow on="t" color="black" opacity="41120f" offset="0,1.5pt"/>
                <v:textbox inset="2.53958mm,2.53958mm,2.53958mm,2.53958mm">
                  <w:txbxContent>
                    <w:p w14:paraId="110FFD37" w14:textId="77777777" w:rsidR="00BA4D30" w:rsidRDefault="00BA4D30">
                      <w:pPr>
                        <w:spacing w:after="0" w:line="240" w:lineRule="auto"/>
                        <w:jc w:val="left"/>
                        <w:textDirection w:val="btLr"/>
                      </w:pPr>
                    </w:p>
                  </w:txbxContent>
                </v:textbox>
              </v:roundrect>
              <v:shape id="Text Box 28" o:spid="_x0000_s1080" type="#_x0000_t202" alt="" style="position:absolute;left:1818;top:13793;width:23157;height:2663;visibility:visible;mso-wrap-style:square;v-text-anchor:middle" filled="f" stroked="f">
                <v:textbox inset="2.46111mm,0,2.46111mm,0">
                  <w:txbxContent>
                    <w:p w14:paraId="279FD7D6" w14:textId="77777777" w:rsidR="00BA4D30" w:rsidRDefault="00436ADD">
                      <w:pPr>
                        <w:spacing w:after="0" w:line="215" w:lineRule="auto"/>
                        <w:jc w:val="left"/>
                        <w:textDirection w:val="btLr"/>
                      </w:pPr>
                      <w:r>
                        <w:rPr>
                          <w:b/>
                          <w:color w:val="000000"/>
                          <w:sz w:val="18"/>
                        </w:rPr>
                        <w:t>Threat of Substitutes</w:t>
                      </w:r>
                    </w:p>
                  </w:txbxContent>
                </v:textbox>
              </v:shape>
              <v:rect id="Rectangle 29" o:spid="_x0000_s1081" alt="" style="position:absolute;top:19661;width:33492;height:2520;visibility:visible;mso-wrap-style:square;v-text-anchor:middle" fillcolor="white [3201]" strokecolor="#a4a4a4">
                <v:fill opacity="58853f"/>
                <v:stroke startarrowwidth="narrow" startarrowlength="short" endarrowwidth="narrow" endarrowlength="short"/>
                <v:textbox inset="2.53958mm,2.53958mm,2.53958mm,2.53958mm">
                  <w:txbxContent>
                    <w:p w14:paraId="6B699379" w14:textId="77777777" w:rsidR="00BA4D30" w:rsidRDefault="00BA4D30">
                      <w:pPr>
                        <w:spacing w:after="0" w:line="240" w:lineRule="auto"/>
                        <w:jc w:val="left"/>
                        <w:textDirection w:val="btLr"/>
                      </w:pPr>
                    </w:p>
                  </w:txbxContent>
                </v:textbox>
              </v:rect>
              <v:roundrect id="Rectangle: Rounded Corners 30" o:spid="_x0000_s1082" alt="" style="position:absolute;left:1674;top:18185;width:23445;height:2952;visibility:visible;mso-wrap-style:square;v-text-anchor:middle" arcsize="10923f" fillcolor="#aeaeae" stroked="f">
                <v:fill color2="#909090" colors="0 #aeaeae;.5 #a4a4a4;1 #909090" focus="100%" type="gradient">
                  <o:fill v:ext="view" type="gradientUnscaled"/>
                </v:fill>
                <v:shadow on="t" color="black" opacity="41120f" offset="0,1.5pt"/>
                <v:textbox inset="2.53958mm,2.53958mm,2.53958mm,2.53958mm">
                  <w:txbxContent>
                    <w:p w14:paraId="3FE9F23F" w14:textId="77777777" w:rsidR="00BA4D30" w:rsidRDefault="00BA4D30">
                      <w:pPr>
                        <w:spacing w:after="0" w:line="240" w:lineRule="auto"/>
                        <w:jc w:val="left"/>
                        <w:textDirection w:val="btLr"/>
                      </w:pPr>
                    </w:p>
                  </w:txbxContent>
                </v:textbox>
              </v:roundrect>
              <v:shape id="Text Box 31" o:spid="_x0000_s1083" type="#_x0000_t202" alt="" style="position:absolute;left:1818;top:18329;width:23157;height:2663;visibility:visible;mso-wrap-style:square;v-text-anchor:middle" filled="f" stroked="f">
                <v:textbox inset="2.46111mm,0,2.46111mm,0">
                  <w:txbxContent>
                    <w:p w14:paraId="54DF7837" w14:textId="77777777" w:rsidR="00BA4D30" w:rsidRDefault="00436ADD">
                      <w:pPr>
                        <w:spacing w:after="0" w:line="215" w:lineRule="auto"/>
                        <w:jc w:val="left"/>
                        <w:textDirection w:val="btLr"/>
                      </w:pPr>
                      <w:r>
                        <w:rPr>
                          <w:b/>
                          <w:color w:val="000000"/>
                          <w:sz w:val="18"/>
                        </w:rPr>
                        <w:t>Industry Rivalry</w:t>
                      </w:r>
                    </w:p>
                  </w:txbxContent>
                </v:textbox>
              </v:shape>
            </v:group>
            <w10:anchorlock/>
          </v:group>
        </w:pict>
      </w:r>
    </w:p>
    <w:p w14:paraId="643622A1"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3: Porter’s Five Forces (Self-Prepared)</w:t>
      </w:r>
    </w:p>
    <w:p w14:paraId="3B51FD3D" w14:textId="77777777" w:rsidR="00BA4D30" w:rsidRDefault="00436ADD">
      <w:r>
        <w:rPr>
          <w:b/>
        </w:rPr>
        <w:t>Bargaining Power of Buyers:</w:t>
      </w:r>
      <w:r>
        <w:t xml:space="preserve"> Now, people buy vehicles that are sustainable, high quality and use the latest technology. Many EVs can now be found at affordable prices, so the power of buyers has risen. High-quality service and products help a company keep its customers (Mukherjee, 2022).</w:t>
      </w:r>
    </w:p>
    <w:p w14:paraId="3B807608" w14:textId="331B19E4" w:rsidR="00BA4D30" w:rsidRDefault="00436ADD">
      <w:r>
        <w:rPr>
          <w:b/>
        </w:rPr>
        <w:t>Threat of Substitutes:</w:t>
      </w:r>
      <w:r>
        <w:t xml:space="preserve"> Having access to public buses, ride-sharing services and car rentals allows fewer people to own personal cars. Tesla and BYD which are solely focused on EVs, also attract environmentally aware consumers by providing good substitutes (Sun &amp; Yang, 2025). They now </w:t>
      </w:r>
      <w:r w:rsidR="00F94EE7">
        <w:t>must</w:t>
      </w:r>
      <w:r>
        <w:t xml:space="preserve"> revise how people purchase their vehicles and how they go about electrification.</w:t>
      </w:r>
    </w:p>
    <w:p w14:paraId="54F9E279" w14:textId="23972AA5" w:rsidR="00BA4D30" w:rsidRDefault="00436ADD">
      <w:r>
        <w:rPr>
          <w:b/>
        </w:rPr>
        <w:t xml:space="preserve">Industry Rivalry: </w:t>
      </w:r>
      <w:r>
        <w:t>Many major automakers that emphasise speed and luxury are based in the UK. Intense competition continues, fuelled by new technologies, spending on marketing and fast growth in electric car sales. Brand history by itself is not enough now—brands must stay ahead with technology to differentiate themselves (Mohammad Nazir &amp;</w:t>
      </w:r>
      <w:r w:rsidR="00AA4A0B">
        <w:t xml:space="preserve"> </w:t>
      </w:r>
      <w:proofErr w:type="spellStart"/>
      <w:r>
        <w:t>Shavarebi</w:t>
      </w:r>
      <w:proofErr w:type="spellEnd"/>
      <w:r>
        <w:t>, 2019).</w:t>
      </w:r>
    </w:p>
    <w:p w14:paraId="2B8BAE41" w14:textId="77777777" w:rsidR="00BA4D30" w:rsidRDefault="00436ADD">
      <w:pPr>
        <w:pStyle w:val="Heading2"/>
      </w:pPr>
      <w:bookmarkStart w:id="5" w:name="_Toc201241887"/>
      <w:r>
        <w:t>Internal Environment Audit</w:t>
      </w:r>
      <w:bookmarkEnd w:id="5"/>
    </w:p>
    <w:p w14:paraId="56DC156B" w14:textId="77777777" w:rsidR="00BA4D30" w:rsidRDefault="00436ADD">
      <w:r>
        <w:t>A complete look at JLR’s internal environment includes its Value Chain and VRIO analysis which explain the company’s efficiency and ability to compete.</w:t>
      </w:r>
    </w:p>
    <w:p w14:paraId="70C48230" w14:textId="77777777" w:rsidR="00BA4D30" w:rsidRDefault="00436ADD">
      <w:pPr>
        <w:pStyle w:val="Heading3"/>
      </w:pPr>
      <w:bookmarkStart w:id="6" w:name="_Toc201241888"/>
      <w:r>
        <w:t>Value Chain Analysis</w:t>
      </w:r>
      <w:bookmarkEnd w:id="6"/>
    </w:p>
    <w:p w14:paraId="57E2E9F6" w14:textId="77777777" w:rsidR="00BA4D30" w:rsidRDefault="00436ADD">
      <w:r>
        <w:t>Using Michael Porter’s Value Chain allows a business to study its internal activities and point out how each helps achieve a competitive advantage. The value chain for Jaguar Land Rover (JLR) depends on excelling in workflow and delivering what customers want.</w:t>
      </w:r>
    </w:p>
    <w:p w14:paraId="790853F5" w14:textId="77777777" w:rsidR="00BA4D30" w:rsidRDefault="00436ADD">
      <w:r>
        <w:rPr>
          <w:b/>
        </w:rPr>
        <w:lastRenderedPageBreak/>
        <w:t xml:space="preserve">Inbound Logistics: </w:t>
      </w:r>
      <w:r>
        <w:t>Partnerships built over many years with worldwide providers allow JLR a constant supply of quality raw materials and components. However, the challenges caused by the COVID-19 pandemic and current political issues have shown weaknesses in the just-in-time method of procurement. For this reason, JLR has quickened action to spread its supply chain across regions to make it more resilient (</w:t>
      </w:r>
      <w:proofErr w:type="spellStart"/>
      <w:r>
        <w:t>Sakuramoto</w:t>
      </w:r>
      <w:proofErr w:type="spellEnd"/>
      <w:r>
        <w:t xml:space="preserve"> et al., 2019).</w:t>
      </w:r>
    </w:p>
    <w:p w14:paraId="40181DC4" w14:textId="77777777" w:rsidR="00BA4D30" w:rsidRDefault="00436ADD">
      <w:r>
        <w:rPr>
          <w:b/>
        </w:rPr>
        <w:t xml:space="preserve">Operations: </w:t>
      </w:r>
      <w:r>
        <w:t>JLR’s factories are known for being very precise and running smoothly. Utilising robotics and AI in manufacturing has led to more work being done and fewer errors by people. Because of this commitment to lean manufacturing, there is improved control over costs and assurance of quality (Sarfraz et al., 2021).</w:t>
      </w:r>
    </w:p>
    <w:p w14:paraId="625C2BCD" w14:textId="77777777" w:rsidR="00BA4D30" w:rsidRDefault="0093318D">
      <w:pPr>
        <w:keepNext/>
        <w:jc w:val="center"/>
      </w:pPr>
      <w:r>
        <w:rPr>
          <w:noProof/>
        </w:rPr>
      </w:r>
      <w:r>
        <w:rPr>
          <w:noProof/>
        </w:rPr>
        <w:pict w14:anchorId="760BC76C">
          <v:group id="Group 326" o:spid="_x0000_s1047" alt="" style="width:228.55pt;height:153.2pt;mso-position-horizontal-relative:char;mso-position-vertical-relative:line" coordsize="29381,19457">
            <v:group id="Group 32" o:spid="_x0000_s1048" alt="" style="position:absolute;left:-21977;top:-3400;width:51003;height:26258" coordorigin="-21977,-3400" coordsize="51004,26258">
              <v:rect id="Rectangle 33" o:spid="_x0000_s1049" alt="" style="position:absolute;width:29026;height:19457;visibility:visible;mso-wrap-style:square;v-text-anchor:middle" filled="f" stroked="f">
                <v:textbox inset="2.53958mm,2.53958mm,2.53958mm,2.53958mm">
                  <w:txbxContent>
                    <w:p w14:paraId="1F72F646" w14:textId="77777777" w:rsidR="00BA4D30" w:rsidRDefault="00BA4D30">
                      <w:pPr>
                        <w:spacing w:after="0" w:line="240" w:lineRule="auto"/>
                        <w:jc w:val="left"/>
                        <w:textDirection w:val="btLr"/>
                      </w:pPr>
                    </w:p>
                  </w:txbxContent>
                </v:textbox>
              </v:rect>
              <v:shape id="Block Arc 34" o:spid="_x0000_s1050" alt="" style="position:absolute;left:-21977;top:-3400;width:26258;height:26258;visibility:visible;mso-wrap-style:square;v-text-anchor:middle" coordsize="2625898,2625898" o:spt="100" adj="-11796480,,5400" path="m2241344,384554v512738,512738,512738,1344052,,1856790l2226063,2226063v504299,-504299,504299,-1321929,,-1826228l2241344,384554xe" filled="f" strokecolor="#a5a5a5 [3206]" strokeweight="1pt">
                <v:stroke startarrowwidth="narrow" startarrowlength="short" endarrowwidth="narrow" endarrowlength="short" joinstyle="miter"/>
                <v:formulas/>
                <v:path arrowok="t" o:connecttype="custom" o:connectlocs="2241344,384554;2241344,2241344;2226063,2226063;2226063,399835;2241344,384554" o:connectangles="0,0,0,0,0" textboxrect="0,0,2625898,2625898"/>
                <v:textbox inset="2.53958mm,2.53958mm,2.53958mm,2.53958mm">
                  <w:txbxContent>
                    <w:p w14:paraId="08CE6F91" w14:textId="77777777" w:rsidR="00BA4D30" w:rsidRDefault="00BA4D30">
                      <w:pPr>
                        <w:spacing w:after="0" w:line="240" w:lineRule="auto"/>
                        <w:jc w:val="left"/>
                        <w:textDirection w:val="btLr"/>
                      </w:pPr>
                    </w:p>
                  </w:txbxContent>
                </v:textbox>
              </v:shape>
              <v:rect id="Rectangle 35" o:spid="_x0000_s1051" alt="" style="position:absolute;left:1887;top:1215;width:26922;height:2433;visibility:visible;mso-wrap-style:square;v-text-anchor:middle" fillcolor="#f08b54" stroked="f">
                <v:fill color2="#e36a18" colors="0 #f08b54;.5 #f67a26;1 #e36a18" focus="100%" type="gradient">
                  <o:fill v:ext="view" type="gradientUnscaled"/>
                </v:fill>
                <v:shadow on="t" color="black" opacity="41120f" offset="0,1.5pt"/>
                <v:textbox inset="2.53958mm,2.53958mm,2.53958mm,2.53958mm">
                  <w:txbxContent>
                    <w:p w14:paraId="61CDCEAD" w14:textId="77777777" w:rsidR="00BA4D30" w:rsidRDefault="00BA4D30">
                      <w:pPr>
                        <w:spacing w:after="0" w:line="240" w:lineRule="auto"/>
                        <w:jc w:val="left"/>
                        <w:textDirection w:val="btLr"/>
                      </w:pPr>
                    </w:p>
                  </w:txbxContent>
                </v:textbox>
              </v:rect>
              <v:shape id="Text Box 36" o:spid="_x0000_s1052" type="#_x0000_t202" alt="" style="position:absolute;left:1887;top:1215;width:26922;height:2433;visibility:visible;mso-wrap-style:square;v-text-anchor:middle" filled="f" stroked="f">
                <v:textbox inset="5.36389mm,.63472mm,.63472mm,.63472mm">
                  <w:txbxContent>
                    <w:p w14:paraId="2B3C3304" w14:textId="77777777" w:rsidR="00BA4D30" w:rsidRDefault="00436ADD">
                      <w:pPr>
                        <w:spacing w:after="0" w:line="215" w:lineRule="auto"/>
                        <w:jc w:val="left"/>
                        <w:textDirection w:val="btLr"/>
                      </w:pPr>
                      <w:r>
                        <w:rPr>
                          <w:b/>
                          <w:color w:val="000000"/>
                          <w:sz w:val="18"/>
                        </w:rPr>
                        <w:t>Inbound Logistics</w:t>
                      </w:r>
                    </w:p>
                  </w:txbxContent>
                </v:textbox>
              </v:shape>
              <v:oval id="Oval 37" o:spid="_x0000_s1053" alt="" style="position:absolute;left:367;top:911;width:3041;height:3041;visibility:visible;mso-wrap-style:square;v-text-anchor:middle" fillcolor="white [3201]" strokecolor="#ed7d31 [3205]">
                <v:stroke startarrowwidth="narrow" startarrowlength="short" endarrowwidth="narrow" endarrowlength="short" joinstyle="miter"/>
                <v:textbox inset="2.53958mm,2.53958mm,2.53958mm,2.53958mm">
                  <w:txbxContent>
                    <w:p w14:paraId="6BB9E253" w14:textId="77777777" w:rsidR="00BA4D30" w:rsidRDefault="00BA4D30">
                      <w:pPr>
                        <w:spacing w:after="0" w:line="240" w:lineRule="auto"/>
                        <w:jc w:val="left"/>
                        <w:textDirection w:val="btLr"/>
                      </w:pPr>
                    </w:p>
                  </w:txbxContent>
                </v:textbox>
              </v:oval>
              <v:rect id="Rectangle 38" o:spid="_x0000_s1054" alt="" style="position:absolute;left:3631;top:4864;width:25178;height:2432;visibility:visible;mso-wrap-style:square;v-text-anchor:middle" fillcolor="#dc8767" stroked="f">
                <v:fill color2="#ca6438" colors="0 #dc8767;.5 #dd7549;1 #ca6438" focus="100%" type="gradient">
                  <o:fill v:ext="view" type="gradientUnscaled"/>
                </v:fill>
                <v:shadow on="t" color="black" opacity="41120f" offset="0,1.5pt"/>
                <v:textbox inset="2.53958mm,2.53958mm,2.53958mm,2.53958mm">
                  <w:txbxContent>
                    <w:p w14:paraId="23DE523C" w14:textId="77777777" w:rsidR="00BA4D30" w:rsidRDefault="00BA4D30">
                      <w:pPr>
                        <w:spacing w:after="0" w:line="240" w:lineRule="auto"/>
                        <w:jc w:val="left"/>
                        <w:textDirection w:val="btLr"/>
                      </w:pPr>
                    </w:p>
                  </w:txbxContent>
                </v:textbox>
              </v:rect>
              <v:shape id="Text Box 39" o:spid="_x0000_s1055" type="#_x0000_t202" alt="" style="position:absolute;left:3631;top:4864;width:25178;height:2432;visibility:visible;mso-wrap-style:square;v-text-anchor:middle" filled="f" stroked="f">
                <v:textbox inset="5.36389mm,.63472mm,.63472mm,.63472mm">
                  <w:txbxContent>
                    <w:p w14:paraId="1208CA70" w14:textId="77777777" w:rsidR="00BA4D30" w:rsidRDefault="00436ADD">
                      <w:pPr>
                        <w:spacing w:after="0" w:line="215" w:lineRule="auto"/>
                        <w:jc w:val="left"/>
                        <w:textDirection w:val="btLr"/>
                      </w:pPr>
                      <w:r>
                        <w:rPr>
                          <w:b/>
                          <w:color w:val="000000"/>
                          <w:sz w:val="18"/>
                        </w:rPr>
                        <w:t>Operations</w:t>
                      </w:r>
                    </w:p>
                  </w:txbxContent>
                </v:textbox>
              </v:shape>
              <v:oval id="Oval 40" o:spid="_x0000_s1056" alt="" style="position:absolute;left:2110;top:4559;width:3041;height:3042;visibility:visible;mso-wrap-style:square;v-text-anchor:middle" fillcolor="white [3201]" strokecolor="#d77850">
                <v:stroke startarrowwidth="narrow" startarrowlength="short" endarrowwidth="narrow" endarrowlength="short" joinstyle="miter"/>
                <v:textbox inset="2.53958mm,2.53958mm,2.53958mm,2.53958mm">
                  <w:txbxContent>
                    <w:p w14:paraId="52E56223" w14:textId="77777777" w:rsidR="00BA4D30" w:rsidRDefault="00BA4D30">
                      <w:pPr>
                        <w:spacing w:after="0" w:line="240" w:lineRule="auto"/>
                        <w:jc w:val="left"/>
                        <w:textDirection w:val="btLr"/>
                      </w:pPr>
                    </w:p>
                  </w:txbxContent>
                </v:textbox>
              </v:oval>
              <v:rect id="Rectangle 41" o:spid="_x0000_s1057" alt="" style="position:absolute;left:4166;top:8512;width:24643;height:2433;visibility:visible;mso-wrap-style:square;v-text-anchor:middle" fillcolor="#ca8d7e" stroked="f">
                <v:fill color2="#b56a57" colors="0 #ca8d7e;.5 #c77c69;1 #b56a57" focus="100%" type="gradient">
                  <o:fill v:ext="view" type="gradientUnscaled"/>
                </v:fill>
                <v:shadow on="t" color="black" opacity="41120f" offset="0,1.5pt"/>
                <v:textbox inset="2.53958mm,2.53958mm,2.53958mm,2.53958mm">
                  <w:txbxContent>
                    <w:p w14:paraId="07547A01" w14:textId="77777777" w:rsidR="00BA4D30" w:rsidRDefault="00BA4D30">
                      <w:pPr>
                        <w:spacing w:after="0" w:line="240" w:lineRule="auto"/>
                        <w:jc w:val="left"/>
                        <w:textDirection w:val="btLr"/>
                      </w:pPr>
                    </w:p>
                  </w:txbxContent>
                </v:textbox>
              </v:rect>
              <v:shape id="Text Box 42" o:spid="_x0000_s1058" type="#_x0000_t202" alt="" style="position:absolute;left:4166;top:8512;width:24643;height:2433;visibility:visible;mso-wrap-style:square;v-text-anchor:middle" filled="f" stroked="f">
                <v:textbox inset="5.36389mm,.63472mm,.63472mm,.63472mm">
                  <w:txbxContent>
                    <w:p w14:paraId="5E8F9203" w14:textId="77777777" w:rsidR="00BA4D30" w:rsidRDefault="00436ADD">
                      <w:pPr>
                        <w:spacing w:after="0" w:line="215" w:lineRule="auto"/>
                        <w:jc w:val="left"/>
                        <w:textDirection w:val="btLr"/>
                      </w:pPr>
                      <w:r>
                        <w:rPr>
                          <w:b/>
                          <w:color w:val="000000"/>
                          <w:sz w:val="18"/>
                        </w:rPr>
                        <w:t>Outbound Logistics</w:t>
                      </w:r>
                    </w:p>
                  </w:txbxContent>
                </v:textbox>
              </v:shape>
              <v:oval id="Oval 43" o:spid="_x0000_s1059" alt="" style="position:absolute;left:2645;top:8208;width:3042;height:3041;visibility:visible;mso-wrap-style:square;v-text-anchor:middle" fillcolor="white [3201]" strokecolor="#c47f6e">
                <v:stroke startarrowwidth="narrow" startarrowlength="short" endarrowwidth="narrow" endarrowlength="short" joinstyle="miter"/>
                <v:textbox inset="2.53958mm,2.53958mm,2.53958mm,2.53958mm">
                  <w:txbxContent>
                    <w:p w14:paraId="5043CB0F" w14:textId="77777777" w:rsidR="00BA4D30" w:rsidRDefault="00BA4D30">
                      <w:pPr>
                        <w:spacing w:after="0" w:line="240" w:lineRule="auto"/>
                        <w:jc w:val="left"/>
                        <w:textDirection w:val="btLr"/>
                      </w:pPr>
                    </w:p>
                  </w:txbxContent>
                </v:textbox>
              </v:oval>
              <v:rect id="Rectangle 44" o:spid="_x0000_s1060" alt="" style="position:absolute;left:3631;top:12160;width:25178;height:2433;visibility:visible;mso-wrap-style:square;v-text-anchor:middle" fillcolor="#ba9a96" stroked="f">
                <v:fill color2="#a17975" colors="0 #ba9a96;.5 #b58c87;1 #a17975" focus="100%" type="gradient">
                  <o:fill v:ext="view" type="gradientUnscaled"/>
                </v:fill>
                <v:shadow on="t" color="black" opacity="41120f" offset="0,1.5pt"/>
                <v:textbox inset="2.53958mm,2.53958mm,2.53958mm,2.53958mm">
                  <w:txbxContent>
                    <w:p w14:paraId="07459315" w14:textId="77777777" w:rsidR="00BA4D30" w:rsidRDefault="00BA4D30">
                      <w:pPr>
                        <w:spacing w:after="0" w:line="240" w:lineRule="auto"/>
                        <w:jc w:val="left"/>
                        <w:textDirection w:val="btLr"/>
                      </w:pPr>
                    </w:p>
                  </w:txbxContent>
                </v:textbox>
              </v:rect>
              <v:shape id="Text Box 45" o:spid="_x0000_s1061" type="#_x0000_t202" alt="" style="position:absolute;left:3631;top:12160;width:25178;height:2433;visibility:visible;mso-wrap-style:square;v-text-anchor:middle" filled="f" stroked="f">
                <v:textbox inset="5.36389mm,.63472mm,.63472mm,.63472mm">
                  <w:txbxContent>
                    <w:p w14:paraId="02CDA877" w14:textId="77777777" w:rsidR="00BA4D30" w:rsidRDefault="00436ADD">
                      <w:pPr>
                        <w:spacing w:after="0" w:line="215" w:lineRule="auto"/>
                        <w:jc w:val="left"/>
                        <w:textDirection w:val="btLr"/>
                      </w:pPr>
                      <w:r>
                        <w:rPr>
                          <w:b/>
                          <w:color w:val="000000"/>
                          <w:sz w:val="18"/>
                        </w:rPr>
                        <w:t>Community marketing / specialists</w:t>
                      </w:r>
                    </w:p>
                  </w:txbxContent>
                </v:textbox>
              </v:shape>
              <v:oval id="Oval 46" o:spid="_x0000_s1062" alt="" style="position:absolute;left:2110;top:11856;width:3041;height:3041;visibility:visible;mso-wrap-style:square;v-text-anchor:middle" fillcolor="white [3201]" strokecolor="#b38e8a">
                <v:stroke startarrowwidth="narrow" startarrowlength="short" endarrowwidth="narrow" endarrowlength="short" joinstyle="miter"/>
                <v:textbox inset="2.53958mm,2.53958mm,2.53958mm,2.53958mm">
                  <w:txbxContent>
                    <w:p w14:paraId="6537F28F" w14:textId="77777777" w:rsidR="00BA4D30" w:rsidRDefault="00BA4D30">
                      <w:pPr>
                        <w:spacing w:after="0" w:line="240" w:lineRule="auto"/>
                        <w:jc w:val="left"/>
                        <w:textDirection w:val="btLr"/>
                      </w:pPr>
                    </w:p>
                  </w:txbxContent>
                </v:textbox>
              </v:oval>
              <v:rect id="Rectangle 47" o:spid="_x0000_s1063" alt="" style="position:absolute;left:1887;top:15808;width:26922;height:2433;visibility:visible;mso-wrap-style:square;v-text-anchor:middle" fillcolor="#aeaeae" stroked="f">
                <v:fill color2="#909090" colors="0 #aeaeae;.5 #a4a4a4;1 #909090" focus="100%" type="gradient">
                  <o:fill v:ext="view" type="gradientUnscaled"/>
                </v:fill>
                <v:shadow on="t" color="black" opacity="41120f" offset="0,1.5pt"/>
                <v:textbox inset="2.53958mm,2.53958mm,2.53958mm,2.53958mm">
                  <w:txbxContent>
                    <w:p w14:paraId="6DFB9E20" w14:textId="77777777" w:rsidR="00BA4D30" w:rsidRDefault="00BA4D30">
                      <w:pPr>
                        <w:spacing w:after="0" w:line="240" w:lineRule="auto"/>
                        <w:jc w:val="left"/>
                        <w:textDirection w:val="btLr"/>
                      </w:pPr>
                    </w:p>
                  </w:txbxContent>
                </v:textbox>
              </v:rect>
              <v:shape id="Text Box 48" o:spid="_x0000_s1064" type="#_x0000_t202" alt="" style="position:absolute;left:1887;top:15808;width:26922;height:2433;visibility:visible;mso-wrap-style:square;v-text-anchor:middle" filled="f" stroked="f">
                <v:textbox inset="5.36389mm,.63472mm,.63472mm,.63472mm">
                  <w:txbxContent>
                    <w:p w14:paraId="08D49549" w14:textId="77777777" w:rsidR="00BA4D30" w:rsidRDefault="00436ADD">
                      <w:pPr>
                        <w:spacing w:after="0" w:line="215" w:lineRule="auto"/>
                        <w:jc w:val="left"/>
                        <w:textDirection w:val="btLr"/>
                      </w:pPr>
                      <w:r>
                        <w:rPr>
                          <w:b/>
                          <w:color w:val="000000"/>
                          <w:sz w:val="18"/>
                        </w:rPr>
                        <w:t>Service</w:t>
                      </w:r>
                    </w:p>
                  </w:txbxContent>
                </v:textbox>
              </v:shape>
              <v:oval id="Oval 49" o:spid="_x0000_s1065" alt="" style="position:absolute;left:367;top:15504;width:3041;height:3041;visibility:visible;mso-wrap-style:square;v-text-anchor:middle" fillcolor="white [3201]" strokecolor="#a4a4a4">
                <v:stroke startarrowwidth="narrow" startarrowlength="short" endarrowwidth="narrow" endarrowlength="short" joinstyle="miter"/>
                <v:textbox inset="2.53958mm,2.53958mm,2.53958mm,2.53958mm">
                  <w:txbxContent>
                    <w:p w14:paraId="70DF9E56" w14:textId="77777777" w:rsidR="00BA4D30" w:rsidRDefault="00BA4D30">
                      <w:pPr>
                        <w:spacing w:after="0" w:line="240" w:lineRule="auto"/>
                        <w:jc w:val="left"/>
                        <w:textDirection w:val="btLr"/>
                      </w:pPr>
                    </w:p>
                  </w:txbxContent>
                </v:textbox>
              </v:oval>
            </v:group>
            <w10:anchorlock/>
          </v:group>
        </w:pict>
      </w:r>
    </w:p>
    <w:p w14:paraId="67C27789"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4: Value Chain Analysis (Self-Prepared)</w:t>
      </w:r>
    </w:p>
    <w:p w14:paraId="3B964DB6" w14:textId="77777777" w:rsidR="00BA4D30" w:rsidRDefault="00436ADD">
      <w:r>
        <w:rPr>
          <w:b/>
        </w:rPr>
        <w:t xml:space="preserve">Outbound Logistics: </w:t>
      </w:r>
      <w:r>
        <w:t>JLR serves markets successfully thanks to a well-organised global distribution network. Automating warehouses and using route optimization has made it even easier to handle finished goods (Sharma &amp; Khanna, 2020).</w:t>
      </w:r>
    </w:p>
    <w:p w14:paraId="0E086843" w14:textId="77777777" w:rsidR="00BA4D30" w:rsidRDefault="00436ADD">
      <w:r>
        <w:rPr>
          <w:b/>
        </w:rPr>
        <w:t>Community marketing/specialists:</w:t>
      </w:r>
      <w:r>
        <w:t xml:space="preserve"> The company depends on promoting its history of being a luxury and performance brand. Digital strategy, joining with influencers and offering special events are ways that premium brands connect with their customers (Xu, 2024).</w:t>
      </w:r>
    </w:p>
    <w:p w14:paraId="0525F260" w14:textId="77777777" w:rsidR="00BA4D30" w:rsidRDefault="00436ADD">
      <w:r>
        <w:rPr>
          <w:b/>
        </w:rPr>
        <w:t xml:space="preserve">Service: </w:t>
      </w:r>
      <w:r>
        <w:t>JLR keeps its customers by providing remote diagnostics and loyalty programmes as after-sales services. Having instant responses from customers helps in always updating and improving products and services (Lee &amp; Lee, 2019).</w:t>
      </w:r>
    </w:p>
    <w:p w14:paraId="0736A3A1" w14:textId="77777777" w:rsidR="00AA4A0B" w:rsidRDefault="00AA4A0B" w:rsidP="00AA4A0B">
      <w:pPr>
        <w:pStyle w:val="Heading2"/>
      </w:pPr>
    </w:p>
    <w:p w14:paraId="73842834" w14:textId="77777777" w:rsidR="00AA4A0B" w:rsidRPr="00AA4A0B" w:rsidRDefault="00AA4A0B" w:rsidP="00AA4A0B"/>
    <w:p w14:paraId="1E87E65C" w14:textId="6AFCB4A7" w:rsidR="00AA4A0B" w:rsidRDefault="00AA4A0B" w:rsidP="00AA4A0B">
      <w:pPr>
        <w:pStyle w:val="Heading2"/>
      </w:pPr>
      <w:bookmarkStart w:id="7" w:name="_Toc201241889"/>
      <w:r>
        <w:lastRenderedPageBreak/>
        <w:t>SWOT Analysis</w:t>
      </w:r>
      <w:bookmarkEnd w:id="7"/>
    </w:p>
    <w:p w14:paraId="5E9D1769" w14:textId="77777777" w:rsidR="00AA4A0B" w:rsidRDefault="00AA4A0B" w:rsidP="00AA4A0B">
      <w:r>
        <w:t>A SWOT analysis summarises Jaguar Land Rover’s (JLR) strengths, weaknesses, opportunities and threats, displaying how it stands against competitors in the auto industry.</w:t>
      </w:r>
    </w:p>
    <w:p w14:paraId="4B97F5A1" w14:textId="53A81AAC" w:rsidR="00AA4A0B" w:rsidRDefault="00AA4A0B" w:rsidP="00AA4A0B">
      <w:r>
        <w:rPr>
          <w:b/>
        </w:rPr>
        <w:t xml:space="preserve">Strengths: </w:t>
      </w:r>
      <w:r>
        <w:t>The brand reputation of JLR is based on its British background, precision in engineering and luxury design. Thanks to its excellence in off-road performance and attention to design, the company has entered the global market and seen many customers become loyal to its brand (</w:t>
      </w:r>
      <w:proofErr w:type="spellStart"/>
      <w:r w:rsidR="00F94EE7">
        <w:t>Manello</w:t>
      </w:r>
      <w:proofErr w:type="spellEnd"/>
      <w:r w:rsidR="00F94EE7">
        <w:t xml:space="preserve"> &amp;</w:t>
      </w:r>
      <w:r>
        <w:t xml:space="preserve"> Calabrese, 2019).</w:t>
      </w:r>
    </w:p>
    <w:p w14:paraId="1FB6FD34" w14:textId="77777777" w:rsidR="00AA4A0B" w:rsidRDefault="00AA4A0B" w:rsidP="00AA4A0B">
      <w:r>
        <w:rPr>
          <w:b/>
        </w:rPr>
        <w:t xml:space="preserve">Weaknesses: </w:t>
      </w:r>
      <w:r>
        <w:t>Even though JLR holds a leading place, it has been slower than others to change over to electric cars. Sticking with ICE models in the past has made the firm less able to meet new rules or consumer expectations quickly. Chip shortages, together with other disruptions, have significantly reduced how much products can be made by factories (</w:t>
      </w:r>
      <w:proofErr w:type="spellStart"/>
      <w:r>
        <w:t>Jagani</w:t>
      </w:r>
      <w:proofErr w:type="spellEnd"/>
      <w:r>
        <w:t xml:space="preserve"> et al., 2024).</w:t>
      </w:r>
    </w:p>
    <w:p w14:paraId="4A1C73F4" w14:textId="77777777" w:rsidR="00AA4A0B" w:rsidRDefault="00AA4A0B" w:rsidP="00AA4A0B">
      <w:pPr>
        <w:keepNext/>
        <w:jc w:val="center"/>
      </w:pPr>
      <w:r>
        <w:rPr>
          <w:noProof/>
          <w:lang w:val="fr-FR" w:eastAsia="fr-FR" w:bidi="ar-SA"/>
        </w:rPr>
        <w:drawing>
          <wp:inline distT="0" distB="0" distL="0" distR="0" wp14:anchorId="5368DA6E" wp14:editId="5E099A5F">
            <wp:extent cx="2560320" cy="1463040"/>
            <wp:effectExtent l="0" t="0" r="0" b="0"/>
            <wp:docPr id="1265076910" name="image3.png" descr="A colorful squares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1265076910" name="image3.png" descr="A colorful squares with white text&#10;&#10;AI-generated content may be incorrect."/>
                    <pic:cNvPicPr preferRelativeResize="0"/>
                  </pic:nvPicPr>
                  <pic:blipFill>
                    <a:blip r:embed="rId10" cstate="print"/>
                    <a:srcRect/>
                    <a:stretch>
                      <a:fillRect/>
                    </a:stretch>
                  </pic:blipFill>
                  <pic:spPr>
                    <a:xfrm>
                      <a:off x="0" y="0"/>
                      <a:ext cx="2560320" cy="1463040"/>
                    </a:xfrm>
                    <a:prstGeom prst="rect">
                      <a:avLst/>
                    </a:prstGeom>
                    <a:ln/>
                  </pic:spPr>
                </pic:pic>
              </a:graphicData>
            </a:graphic>
          </wp:inline>
        </w:drawing>
      </w:r>
    </w:p>
    <w:p w14:paraId="40993D18" w14:textId="77777777" w:rsidR="00AA4A0B" w:rsidRDefault="00AA4A0B" w:rsidP="00AA4A0B">
      <w:pPr>
        <w:pBdr>
          <w:top w:val="nil"/>
          <w:left w:val="nil"/>
          <w:bottom w:val="nil"/>
          <w:right w:val="nil"/>
          <w:between w:val="nil"/>
        </w:pBdr>
        <w:spacing w:after="200" w:line="240" w:lineRule="auto"/>
        <w:jc w:val="center"/>
        <w:rPr>
          <w:i/>
          <w:color w:val="44546A"/>
          <w:sz w:val="18"/>
          <w:szCs w:val="18"/>
        </w:rPr>
      </w:pPr>
      <w:r>
        <w:rPr>
          <w:i/>
          <w:color w:val="44546A"/>
          <w:sz w:val="18"/>
          <w:szCs w:val="18"/>
        </w:rPr>
        <w:t>Figure 6: SWOT Analysis (Self-Prepared)</w:t>
      </w:r>
    </w:p>
    <w:p w14:paraId="51C9994F" w14:textId="77777777" w:rsidR="00AA4A0B" w:rsidRDefault="00AA4A0B" w:rsidP="00AA4A0B">
      <w:r>
        <w:rPr>
          <w:b/>
        </w:rPr>
        <w:t xml:space="preserve">Opportunities: </w:t>
      </w:r>
      <w:r>
        <w:t>Since electric vehicles (EVs) are gaining popularity everywhere, Jaguar Land Rover can demonstrate leadership in the premium category of EVs. Working with technology companies and investing in eco-friendly platforms supports both business growth and environmental care (Abbas &amp; Tong, 2023).</w:t>
      </w:r>
    </w:p>
    <w:p w14:paraId="204B7CAA" w14:textId="4E4416BD" w:rsidR="00AA4A0B" w:rsidRDefault="00AA4A0B" w:rsidP="00AA4A0B">
      <w:r>
        <w:rPr>
          <w:b/>
        </w:rPr>
        <w:t xml:space="preserve">Threats: </w:t>
      </w:r>
      <w:r>
        <w:t>The company is facing tough competition from electric vehicle (EV) companies such as Tesla and BYD. Tighter rules and economic changes bring complications and to stay up-to-date with new technologies, the industry must carry on research (</w:t>
      </w:r>
      <w:proofErr w:type="spellStart"/>
      <w:r>
        <w:t>Lempp</w:t>
      </w:r>
      <w:proofErr w:type="spellEnd"/>
      <w:r w:rsidR="00BE295B">
        <w:t xml:space="preserve"> </w:t>
      </w:r>
      <w:r>
        <w:t>&amp; Siegfried, 2022).</w:t>
      </w:r>
    </w:p>
    <w:p w14:paraId="55312040" w14:textId="77777777" w:rsidR="00AA4A0B" w:rsidRDefault="00AA4A0B" w:rsidP="00AA4A0B"/>
    <w:p w14:paraId="370B392C" w14:textId="30073A11" w:rsidR="00BA4D30" w:rsidRDefault="00436ADD">
      <w:pPr>
        <w:pStyle w:val="Heading3"/>
      </w:pPr>
      <w:bookmarkStart w:id="8" w:name="_Toc201241890"/>
      <w:r>
        <w:lastRenderedPageBreak/>
        <w:t>VRIO Analysis</w:t>
      </w:r>
      <w:bookmarkEnd w:id="8"/>
    </w:p>
    <w:p w14:paraId="3CD2DF85" w14:textId="689B0044" w:rsidR="00BA4D30" w:rsidRDefault="00436ADD">
      <w:r>
        <w:t>This framework—Value, Rarity, Inimitability and Organisation (VRIO)—helps companies examine how well their internal resources</w:t>
      </w:r>
      <w:r w:rsidR="00EE2C6D">
        <w:t xml:space="preserve"> and capabilities</w:t>
      </w:r>
      <w:r>
        <w:t xml:space="preserve"> will endure. This analysis makes clear what is helping Jaguar Land Rover (JLR) be a top company in the premium automotive market.</w:t>
      </w:r>
    </w:p>
    <w:p w14:paraId="3F895295" w14:textId="77777777" w:rsidR="00BA4D30" w:rsidRDefault="00436ADD">
      <w:r>
        <w:rPr>
          <w:b/>
        </w:rPr>
        <w:t xml:space="preserve">Value: </w:t>
      </w:r>
      <w:r>
        <w:t>Being steeped in Britain’s car-making history, JLR’s iconic brand delivers a lot of value in car markets dedicated to luxury and speed. By following market changes toward electrification and green mobility, the company reflects a responsible programme of innovations. Because of this flexibility, JLR can adapt to the rising demand for electric and automated vehicles (Nath &amp; Dwivedi, 2021). They not only help create a good picture of a company among customers but also deliver value to shareholders over many years.</w:t>
      </w:r>
    </w:p>
    <w:p w14:paraId="2B13F9A0" w14:textId="77777777" w:rsidR="00BA4D30" w:rsidRDefault="00436ADD">
      <w:r>
        <w:rPr>
          <w:b/>
        </w:rPr>
        <w:t xml:space="preserve">Rarity: </w:t>
      </w:r>
      <w:r>
        <w:t>Making cars with British craftsmanship and new technology is unusual in the auto industry around the globe. Unlike some rivals, JLR promotes combining the brand’s well-known design with the newest technology. This unusual promise makes Coca-Cola different from other brands in the premium segment (Helmold, 2020).</w:t>
      </w:r>
    </w:p>
    <w:p w14:paraId="44E871BC" w14:textId="77777777" w:rsidR="00BA4D30" w:rsidRDefault="00436ADD">
      <w:pPr>
        <w:keepNext/>
        <w:jc w:val="center"/>
      </w:pPr>
      <w:r>
        <w:rPr>
          <w:noProof/>
          <w:lang w:val="fr-FR" w:eastAsia="fr-FR" w:bidi="ar-SA"/>
        </w:rPr>
        <w:drawing>
          <wp:inline distT="0" distB="0" distL="0" distR="0" wp14:anchorId="1814D838" wp14:editId="07777777">
            <wp:extent cx="3255264" cy="1645920"/>
            <wp:effectExtent l="0" t="0" r="0" b="0"/>
            <wp:docPr id="329" name="image2.png" descr="A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screen shot of a computer&#10;&#10;AI-generated content may be incorrect."/>
                    <pic:cNvPicPr preferRelativeResize="0"/>
                  </pic:nvPicPr>
                  <pic:blipFill>
                    <a:blip r:embed="rId11"/>
                    <a:srcRect/>
                    <a:stretch>
                      <a:fillRect/>
                    </a:stretch>
                  </pic:blipFill>
                  <pic:spPr>
                    <a:xfrm>
                      <a:off x="0" y="0"/>
                      <a:ext cx="3255264" cy="1645920"/>
                    </a:xfrm>
                    <a:prstGeom prst="rect">
                      <a:avLst/>
                    </a:prstGeom>
                    <a:ln/>
                  </pic:spPr>
                </pic:pic>
              </a:graphicData>
            </a:graphic>
          </wp:inline>
        </w:drawing>
      </w:r>
    </w:p>
    <w:p w14:paraId="2CD3407E"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5: VRIO Analysis (Self-Prepared)</w:t>
      </w:r>
    </w:p>
    <w:p w14:paraId="778F5C25" w14:textId="77777777" w:rsidR="00BA4D30" w:rsidRDefault="00436ADD">
      <w:r>
        <w:rPr>
          <w:b/>
        </w:rPr>
        <w:t xml:space="preserve">Inimitability: </w:t>
      </w:r>
      <w:r>
        <w:t>Because JLR has specialised in its powertrain designs, luxury touches and car designs for years, it is challenging for rivals to copy these. Benefiting from its complex supply integration, specialised experts and knowledge from the past, it has a lasting advantage over others (Begum &amp; Chowdary, 2024). Others might copy surface aspects but still be unable to reproduce the major innovations or impact of the brand.</w:t>
      </w:r>
    </w:p>
    <w:p w14:paraId="0ED25C57" w14:textId="77777777" w:rsidR="00BA4D30" w:rsidRDefault="00436ADD">
      <w:r>
        <w:rPr>
          <w:b/>
        </w:rPr>
        <w:t xml:space="preserve">Organization: </w:t>
      </w:r>
      <w:r>
        <w:t xml:space="preserve">A matrix structure in the organisation allows functions to be matched with key strategic goals. Quick decisions about changes in regulations or the market are possible because of cross-functional teams. Under the "Reimagine" plan, JLR recently optimised its </w:t>
      </w:r>
      <w:r>
        <w:lastRenderedPageBreak/>
        <w:t>resources and management, so the company is now very well-placed to leverage its valuable and scarce assets (Anderson, 2019).</w:t>
      </w:r>
    </w:p>
    <w:p w14:paraId="738610EB" w14:textId="5A755AAB" w:rsidR="00BA4D30" w:rsidRPr="00AA4A0B" w:rsidRDefault="00436ADD" w:rsidP="00AA4A0B">
      <w:r>
        <w:t>All the VRIO criteria are met by JLR’s strategic resources which helps the company remain a leader and ensure continued success.</w:t>
      </w:r>
    </w:p>
    <w:p w14:paraId="07799FE6" w14:textId="77777777" w:rsidR="00BA4D30" w:rsidRDefault="00436ADD">
      <w:pPr>
        <w:pStyle w:val="Heading1"/>
      </w:pPr>
      <w:bookmarkStart w:id="9" w:name="_Toc201241891"/>
      <w:r>
        <w:t>Strategy Formulation</w:t>
      </w:r>
      <w:bookmarkEnd w:id="9"/>
    </w:p>
    <w:p w14:paraId="1E210C87" w14:textId="77777777" w:rsidR="00BA4D30" w:rsidRDefault="00436ADD">
      <w:r>
        <w:t>To stay ahead in the UK’s fast-changing car market, Jaguar Land Rover (JLR) should update its strategy. Companies must look to future options that help them grow sustainably, stay innovative and be leaders in their industry.</w:t>
      </w:r>
    </w:p>
    <w:p w14:paraId="2271AABE" w14:textId="77777777" w:rsidR="00BA4D30" w:rsidRDefault="00436ADD">
      <w:pPr>
        <w:pStyle w:val="Heading2"/>
      </w:pPr>
      <w:bookmarkStart w:id="10" w:name="_Toc201241892"/>
      <w:r>
        <w:t>Strategic Alternatives</w:t>
      </w:r>
      <w:bookmarkEnd w:id="10"/>
    </w:p>
    <w:p w14:paraId="6104DBB0" w14:textId="77777777" w:rsidR="00BA4D30" w:rsidRDefault="00436ADD">
      <w:r>
        <w:t>Adapting to electric vehicles (EVs) is possible if JLR applies various strategies focused on different areas.</w:t>
      </w:r>
    </w:p>
    <w:p w14:paraId="42BDE30F" w14:textId="77777777" w:rsidR="00BA4D30" w:rsidRDefault="00436ADD">
      <w:r>
        <w:rPr>
          <w:b/>
        </w:rPr>
        <w:t xml:space="preserve">Market Penetration: </w:t>
      </w:r>
      <w:r>
        <w:t>By launching new electric versions of their luxury cars such as the Range Rover and Jaguar XF, JLR can improve its EV profile. Serving loyal markets such as the UK, EU and China allows companies to increase awareness of their brand and serve new demand for luxury electric vehicles. In this way, companies can expand without paying for the expenses of entering new regions (Whittington et al., 2023).</w:t>
      </w:r>
    </w:p>
    <w:p w14:paraId="5F3F5AB3" w14:textId="77777777" w:rsidR="00BA4D30" w:rsidRDefault="00436ADD">
      <w:r>
        <w:rPr>
          <w:b/>
        </w:rPr>
        <w:t xml:space="preserve">Product Development: </w:t>
      </w:r>
      <w:r>
        <w:t>JLR could build an electric brand that is priced so that middle-income and young consumers who care about protecting the environment are attracted to it. This might lead to the same results as Tesla’s Model 3 which made EV adoption more accessible to everyday people. Diversifying its products attracts more customers and allows JLR to guard against profit losses over the long term (Kotler et al., 2022).</w:t>
      </w:r>
    </w:p>
    <w:p w14:paraId="32AC937A" w14:textId="77777777" w:rsidR="00BA4D30" w:rsidRDefault="0093318D">
      <w:pPr>
        <w:keepNext/>
        <w:jc w:val="center"/>
      </w:pPr>
      <w:r>
        <w:rPr>
          <w:noProof/>
        </w:rPr>
      </w:r>
      <w:r>
        <w:rPr>
          <w:noProof/>
        </w:rPr>
        <w:pict w14:anchorId="38E01B80">
          <v:group id="Group 325" o:spid="_x0000_s1036" alt="" style="width:285.45pt;height:60.3pt;mso-position-horizontal-relative:char;mso-position-vertical-relative:line" coordsize="36813,7655">
            <v:group id="Group 50" o:spid="_x0000_s1037" alt="" style="position:absolute;width:36252;height:7655" coordsize="36252,7655">
              <v:rect id="Rectangle 51" o:spid="_x0000_s1038" alt="" style="position:absolute;width:36252;height:7655;visibility:visible;mso-wrap-style:square;v-text-anchor:middle" filled="f" stroked="f">
                <v:textbox inset="2.53958mm,2.53958mm,2.53958mm,2.53958mm">
                  <w:txbxContent>
                    <w:p w14:paraId="637805D2" w14:textId="77777777" w:rsidR="00BA4D30" w:rsidRDefault="00BA4D30">
                      <w:pPr>
                        <w:spacing w:after="0" w:line="240" w:lineRule="auto"/>
                        <w:jc w:val="left"/>
                        <w:textDirection w:val="btLr"/>
                      </w:pPr>
                    </w:p>
                  </w:txbxContent>
                </v:textbox>
              </v:rect>
              <v:rect id="Rectangle 52" o:spid="_x0000_s1039" alt="" style="position:absolute;left:10;top:1299;width:8426;height:5056;visibility:visible;mso-wrap-style:square;v-text-anchor:middle" fillcolor="#f08b54" stroked="f">
                <v:fill color2="#e36a18" colors="0 #f08b54;.5 #f67a26;1 #e36a18" focus="100%" type="gradient">
                  <o:fill v:ext="view" type="gradientUnscaled"/>
                </v:fill>
                <v:shadow on="t" color="black" opacity="41120f" offset="0,1.5pt"/>
                <v:textbox inset="2.53958mm,2.53958mm,2.53958mm,2.53958mm">
                  <w:txbxContent>
                    <w:p w14:paraId="463F29E8" w14:textId="77777777" w:rsidR="00BA4D30" w:rsidRDefault="00BA4D30">
                      <w:pPr>
                        <w:spacing w:after="0" w:line="240" w:lineRule="auto"/>
                        <w:jc w:val="left"/>
                        <w:textDirection w:val="btLr"/>
                      </w:pPr>
                    </w:p>
                  </w:txbxContent>
                </v:textbox>
              </v:rect>
              <v:shape id="Text Box 53" o:spid="_x0000_s1040" type="#_x0000_t202" alt="" style="position:absolute;left:10;top:1299;width:8426;height:5056;visibility:visible;mso-wrap-style:square;v-text-anchor:middle" filled="f" stroked="f">
                <v:textbox inset=".95208mm,.95208mm,.95208mm,.95208mm">
                  <w:txbxContent>
                    <w:p w14:paraId="3B73535D" w14:textId="77777777" w:rsidR="00BA4D30" w:rsidRDefault="00436ADD">
                      <w:pPr>
                        <w:spacing w:after="0" w:line="215" w:lineRule="auto"/>
                        <w:jc w:val="center"/>
                        <w:textDirection w:val="btLr"/>
                      </w:pPr>
                      <w:r>
                        <w:rPr>
                          <w:b/>
                          <w:color w:val="000000"/>
                          <w:sz w:val="18"/>
                        </w:rPr>
                        <w:t>Market Penetration</w:t>
                      </w:r>
                    </w:p>
                  </w:txbxContent>
                </v:textbox>
              </v:shape>
              <v:rect id="Rectangle 54" o:spid="_x0000_s1041" alt="" style="position:absolute;left:9278;top:1299;width:8426;height:5056;visibility:visible;mso-wrap-style:square;v-text-anchor:middle" fillcolor="#d58870" stroked="f">
                <v:fill color2="#c26543" colors="0 #d58870;.5 #d57755;1 #c26543" focus="100%" type="gradient">
                  <o:fill v:ext="view" type="gradientUnscaled"/>
                </v:fill>
                <v:shadow on="t" color="black" opacity="41120f" offset="0,1.5pt"/>
                <v:textbox inset="2.53958mm,2.53958mm,2.53958mm,2.53958mm">
                  <w:txbxContent>
                    <w:p w14:paraId="3B7B4B86" w14:textId="77777777" w:rsidR="00BA4D30" w:rsidRDefault="00BA4D30">
                      <w:pPr>
                        <w:spacing w:after="0" w:line="240" w:lineRule="auto"/>
                        <w:jc w:val="left"/>
                        <w:textDirection w:val="btLr"/>
                      </w:pPr>
                    </w:p>
                  </w:txbxContent>
                </v:textbox>
              </v:rect>
              <v:shape id="Text Box 55" o:spid="_x0000_s1042" type="#_x0000_t202" alt="" style="position:absolute;left:9278;top:1299;width:8426;height:5056;visibility:visible;mso-wrap-style:square;v-text-anchor:middle" filled="f" stroked="f">
                <v:textbox inset=".95208mm,.95208mm,.95208mm,.95208mm">
                  <w:txbxContent>
                    <w:p w14:paraId="7DEB7DA2" w14:textId="77777777" w:rsidR="00BA4D30" w:rsidRDefault="00436ADD">
                      <w:pPr>
                        <w:spacing w:after="0" w:line="215" w:lineRule="auto"/>
                        <w:jc w:val="center"/>
                        <w:textDirection w:val="btLr"/>
                      </w:pPr>
                      <w:r>
                        <w:rPr>
                          <w:b/>
                          <w:color w:val="000000"/>
                          <w:sz w:val="18"/>
                        </w:rPr>
                        <w:t>Product Development</w:t>
                      </w:r>
                    </w:p>
                  </w:txbxContent>
                </v:textbox>
              </v:shape>
              <v:rect id="Rectangle 56" o:spid="_x0000_s1043" alt="" style="position:absolute;left:18547;top:1299;width:8426;height:5056;visibility:visible;mso-wrap-style:square;v-text-anchor:middle" fillcolor="#bf948f" stroked="f">
                <v:fill color2="#a7746b" colors="0 #bf948f;.5 #ba857e;1 #a7746b" focus="100%" type="gradient">
                  <o:fill v:ext="view" type="gradientUnscaled"/>
                </v:fill>
                <v:shadow on="t" color="black" opacity="41120f" offset="0,1.5pt"/>
                <v:textbox inset="2.53958mm,2.53958mm,2.53958mm,2.53958mm">
                  <w:txbxContent>
                    <w:p w14:paraId="3A0FF5F2" w14:textId="77777777" w:rsidR="00BA4D30" w:rsidRDefault="00BA4D30">
                      <w:pPr>
                        <w:spacing w:after="0" w:line="240" w:lineRule="auto"/>
                        <w:jc w:val="left"/>
                        <w:textDirection w:val="btLr"/>
                      </w:pPr>
                    </w:p>
                  </w:txbxContent>
                </v:textbox>
              </v:rect>
              <v:shape id="Text Box 57" o:spid="_x0000_s1044" type="#_x0000_t202" alt="" style="position:absolute;left:18547;top:1299;width:8426;height:5056;visibility:visible;mso-wrap-style:square;v-text-anchor:middle" filled="f" stroked="f">
                <v:textbox inset=".95208mm,.95208mm,.95208mm,.95208mm">
                  <w:txbxContent>
                    <w:p w14:paraId="3C6708A5" w14:textId="77777777" w:rsidR="00BA4D30" w:rsidRDefault="00436ADD">
                      <w:pPr>
                        <w:spacing w:after="0" w:line="215" w:lineRule="auto"/>
                        <w:jc w:val="center"/>
                        <w:textDirection w:val="btLr"/>
                      </w:pPr>
                      <w:r>
                        <w:rPr>
                          <w:b/>
                          <w:color w:val="000000"/>
                          <w:sz w:val="18"/>
                        </w:rPr>
                        <w:t>Strategic Alliances</w:t>
                      </w:r>
                    </w:p>
                  </w:txbxContent>
                </v:textbox>
              </v:shape>
              <v:rect id="Rectangle 58" o:spid="_x0000_s1045" alt="" style="position:absolute;left:27815;top:1299;width:8426;height:5056;visibility:visible;mso-wrap-style:square;v-text-anchor:middle" fillcolor="#aeaeae" stroked="f">
                <v:fill color2="#909090" colors="0 #aeaeae;.5 #a4a4a4;1 #909090" focus="100%" type="gradient">
                  <o:fill v:ext="view" type="gradientUnscaled"/>
                </v:fill>
                <v:shadow on="t" color="black" opacity="41120f" offset="0,1.5pt"/>
                <v:textbox inset="2.53958mm,2.53958mm,2.53958mm,2.53958mm">
                  <w:txbxContent>
                    <w:p w14:paraId="5630AD66" w14:textId="77777777" w:rsidR="00BA4D30" w:rsidRDefault="00BA4D30">
                      <w:pPr>
                        <w:spacing w:after="0" w:line="240" w:lineRule="auto"/>
                        <w:jc w:val="left"/>
                        <w:textDirection w:val="btLr"/>
                      </w:pPr>
                    </w:p>
                  </w:txbxContent>
                </v:textbox>
              </v:rect>
              <v:shape id="Text Box 59" o:spid="_x0000_s1046" type="#_x0000_t202" alt="" style="position:absolute;left:27815;top:1299;width:8426;height:5056;visibility:visible;mso-wrap-style:square;v-text-anchor:middle" filled="f" stroked="f">
                <v:textbox inset=".95208mm,.95208mm,.95208mm,.95208mm">
                  <w:txbxContent>
                    <w:p w14:paraId="1937C217" w14:textId="77777777" w:rsidR="00BA4D30" w:rsidRDefault="00436ADD">
                      <w:pPr>
                        <w:spacing w:after="0" w:line="215" w:lineRule="auto"/>
                        <w:jc w:val="center"/>
                        <w:textDirection w:val="btLr"/>
                      </w:pPr>
                      <w:r>
                        <w:rPr>
                          <w:b/>
                          <w:color w:val="000000"/>
                          <w:sz w:val="18"/>
                        </w:rPr>
                        <w:t>Sustainability Integration</w:t>
                      </w:r>
                    </w:p>
                  </w:txbxContent>
                </v:textbox>
              </v:shape>
            </v:group>
            <w10:anchorlock/>
          </v:group>
        </w:pict>
      </w:r>
    </w:p>
    <w:p w14:paraId="17ECE7F9"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7: Strategic Alternatives (Self-Prepared)</w:t>
      </w:r>
    </w:p>
    <w:p w14:paraId="57BF6008" w14:textId="77777777" w:rsidR="00BA4D30" w:rsidRDefault="00436ADD">
      <w:r>
        <w:rPr>
          <w:b/>
        </w:rPr>
        <w:t xml:space="preserve">Strategic Alliances: </w:t>
      </w:r>
      <w:r>
        <w:t xml:space="preserve">Partnering with tech companies like Nvidia and battery makers like Envision AESC is very important for working with AI in autonomous cars. Joining forces with others in the industry can cut costs for new ideas and allow more rapid inclusion of </w:t>
      </w:r>
      <w:r>
        <w:lastRenderedPageBreak/>
        <w:t>advanced features, all of which are important for separating EV makers from rivals (Kamikawa &amp; Brummer, 2024).</w:t>
      </w:r>
    </w:p>
    <w:p w14:paraId="1F35A9C4" w14:textId="77777777" w:rsidR="00BA4D30" w:rsidRDefault="00436ADD">
      <w:r>
        <w:rPr>
          <w:b/>
        </w:rPr>
        <w:t xml:space="preserve">Sustainability Integration: </w:t>
      </w:r>
      <w:r>
        <w:t>Working with circular economy methods such as battery recycling, choosing green resources and testing modular production, can limit emissions and save the company money going forward. It goes along with the hopes of other parties and the worldwide carbon-neutral targets decided by the government (Shakeel et al., 2020).</w:t>
      </w:r>
    </w:p>
    <w:p w14:paraId="24F986FC" w14:textId="77777777" w:rsidR="00BA4D30" w:rsidRDefault="00436ADD">
      <w:r>
        <w:t>Utilising these different approaches will allow JLR to maintain its leadership and follow global climate commitments and consumer trends.</w:t>
      </w:r>
    </w:p>
    <w:p w14:paraId="6147B92C" w14:textId="77777777" w:rsidR="00BA4D30" w:rsidRDefault="00436ADD">
      <w:pPr>
        <w:pStyle w:val="Heading2"/>
      </w:pPr>
      <w:bookmarkStart w:id="11" w:name="_Toc201241893"/>
      <w:r>
        <w:t>Evaluation of Alternatives (SAFe Model)</w:t>
      </w:r>
      <w:bookmarkEnd w:id="11"/>
    </w:p>
    <w:p w14:paraId="47422254" w14:textId="77777777" w:rsidR="00BA4D30" w:rsidRDefault="00436ADD">
      <w:r>
        <w:t>Using the SAFe model (Suitability, Acceptability, Feasibility), we look at each of the strategic alternatives.</w:t>
      </w:r>
    </w:p>
    <w:p w14:paraId="3A2A0D79" w14:textId="77777777" w:rsidR="00BA4D30" w:rsidRDefault="00436ADD">
      <w:r>
        <w:rPr>
          <w:b/>
        </w:rPr>
        <w:t xml:space="preserve">Suitability: </w:t>
      </w:r>
      <w:r>
        <w:t>There is a strong connection between the proposed methods and moving towards EVs. Sticking with what they already do well, helps their brand, meanwhile, they use product development to reach more eco-conscious consumers. Both strategic alliances and sustainability integration are ways to deal with major changes in technology and environmental care in the industry. Because of this alignment, JLR can deal with the risks brought by changes in government policy and customer demands (Grant, 2022).</w:t>
      </w:r>
    </w:p>
    <w:p w14:paraId="3BFF5F27" w14:textId="77777777" w:rsidR="00BA4D30" w:rsidRDefault="0093318D">
      <w:pPr>
        <w:keepNext/>
        <w:jc w:val="center"/>
      </w:pPr>
      <w:r>
        <w:rPr>
          <w:noProof/>
        </w:rPr>
      </w:r>
      <w:r>
        <w:rPr>
          <w:noProof/>
        </w:rPr>
        <w:pict w14:anchorId="361E0239">
          <v:group id="Group 327" o:spid="_x0000_s1026" alt="" style="width:229.4pt;height:89.2pt;mso-position-horizontal-relative:char;mso-position-vertical-relative:line" coordsize="29133,12289">
            <v:group id="Group 60" o:spid="_x0000_s1027" alt="" style="position:absolute;width:29133;height:11527" coordsize="29133,11527">
              <v:rect id="Rectangle 61" o:spid="_x0000_s1028" alt="" style="position:absolute;width:29133;height:11527;visibility:visible;mso-wrap-style:square;v-text-anchor:middle" filled="f" stroked="f">
                <v:textbox inset="2.53958mm,2.53958mm,2.53958mm,2.53958mm">
                  <w:txbxContent>
                    <w:p w14:paraId="61829076" w14:textId="77777777" w:rsidR="00BA4D30" w:rsidRDefault="00BA4D30">
                      <w:pPr>
                        <w:spacing w:after="0" w:line="240" w:lineRule="auto"/>
                        <w:jc w:val="left"/>
                        <w:textDirection w:val="btLr"/>
                      </w:pPr>
                    </w:p>
                  </w:txbxContent>
                </v:textbox>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2" o:spid="_x0000_s1029" type="#_x0000_t5" alt="" style="position:absolute;left:7626;width:11528;height:11527;visibility:visible;mso-wrap-style:square;v-text-anchor:middle" fillcolor="#b76d4b" stroked="f">
                <v:fill color2="#a34c0f" colors="0 #b76d4b;.5 #b35817;1 #a34c0f" focus="100%" type="gradient">
                  <o:fill v:ext="view" type="gradientUnscaled"/>
                </v:fill>
                <v:shadow on="t" color="black" opacity="41120f" offset="0,1.5pt"/>
                <v:textbox inset="2.53958mm,2.53958mm,2.53958mm,2.53958mm">
                  <w:txbxContent>
                    <w:p w14:paraId="2BA226A1" w14:textId="77777777" w:rsidR="00BA4D30" w:rsidRDefault="00BA4D30">
                      <w:pPr>
                        <w:spacing w:after="0" w:line="240" w:lineRule="auto"/>
                        <w:jc w:val="left"/>
                        <w:textDirection w:val="btLr"/>
                      </w:pPr>
                    </w:p>
                  </w:txbxContent>
                </v:textbox>
              </v:shape>
              <v:roundrect id="Rectangle: Rounded Corners 63" o:spid="_x0000_s1030" alt="" style="position:absolute;left:12768;top:1158;width:8738;height:2729;visibility:visible;mso-wrap-style:square;v-text-anchor:middle" arcsize="10923f" fillcolor="white [3201]" strokecolor="#ac5a20">
                <v:fill opacity="58853f"/>
                <v:stroke startarrowwidth="narrow" startarrowlength="short" endarrowwidth="narrow" endarrowlength="short" joinstyle="miter"/>
                <v:textbox inset="2.53958mm,2.53958mm,2.53958mm,2.53958mm">
                  <w:txbxContent>
                    <w:p w14:paraId="17AD93B2" w14:textId="77777777" w:rsidR="00BA4D30" w:rsidRDefault="00BA4D30">
                      <w:pPr>
                        <w:spacing w:after="0" w:line="240" w:lineRule="auto"/>
                        <w:jc w:val="left"/>
                        <w:textDirection w:val="btLr"/>
                      </w:pPr>
                    </w:p>
                  </w:txbxContent>
                </v:textbox>
              </v:roundrect>
              <v:shape id="Text Box 320" o:spid="_x0000_s1031" type="#_x0000_t202" alt="" style="position:absolute;left:12901;top:1292;width:8472;height:2462;visibility:visible;mso-wrap-style:square;v-text-anchor:middle" filled="f" stroked="f">
                <v:textbox inset=".95208mm,.95208mm,.95208mm,.95208mm">
                  <w:txbxContent>
                    <w:p w14:paraId="4E5FF5B9" w14:textId="77777777" w:rsidR="00BA4D30" w:rsidRPr="00EE2C6D" w:rsidRDefault="00436ADD">
                      <w:pPr>
                        <w:spacing w:after="0" w:line="215" w:lineRule="auto"/>
                        <w:jc w:val="center"/>
                        <w:textDirection w:val="btLr"/>
                        <w:rPr>
                          <w:color w:val="000000" w:themeColor="text1"/>
                        </w:rPr>
                      </w:pPr>
                      <w:r w:rsidRPr="00EE2C6D">
                        <w:rPr>
                          <w:b/>
                          <w:color w:val="000000" w:themeColor="text1"/>
                          <w:sz w:val="18"/>
                        </w:rPr>
                        <w:t>Suitability</w:t>
                      </w:r>
                    </w:p>
                  </w:txbxContent>
                </v:textbox>
              </v:shape>
              <v:roundrect id="Rectangle: Rounded Corners 321" o:spid="_x0000_s1032" alt="" style="position:absolute;left:12768;top:4228;width:8738;height:2729;visibility:visible;mso-wrap-style:square;v-text-anchor:middle" arcsize="10923f" fillcolor="white [3201]" strokecolor="#e99976">
                <v:fill opacity="58853f"/>
                <v:stroke startarrowwidth="narrow" startarrowlength="short" endarrowwidth="narrow" endarrowlength="short" joinstyle="miter"/>
                <v:textbox inset="2.53958mm,2.53958mm,2.53958mm,2.53958mm">
                  <w:txbxContent>
                    <w:p w14:paraId="0DE4B5B7" w14:textId="77777777" w:rsidR="00BA4D30" w:rsidRDefault="00BA4D30">
                      <w:pPr>
                        <w:spacing w:after="0" w:line="240" w:lineRule="auto"/>
                        <w:jc w:val="left"/>
                        <w:textDirection w:val="btLr"/>
                      </w:pPr>
                    </w:p>
                  </w:txbxContent>
                </v:textbox>
              </v:roundrect>
              <v:shape id="Text Box 322" o:spid="_x0000_s1033" type="#_x0000_t202" alt="" style="position:absolute;left:12901;top:4362;width:8472;height:2462;visibility:visible;mso-wrap-style:square;v-text-anchor:middle" filled="f" stroked="f">
                <v:textbox inset=".95208mm,.95208mm,.95208mm,.95208mm">
                  <w:txbxContent>
                    <w:p w14:paraId="5F306852" w14:textId="77777777" w:rsidR="00BA4D30" w:rsidRDefault="00436ADD">
                      <w:pPr>
                        <w:spacing w:after="0" w:line="215" w:lineRule="auto"/>
                        <w:jc w:val="center"/>
                        <w:textDirection w:val="btLr"/>
                      </w:pPr>
                      <w:r>
                        <w:rPr>
                          <w:b/>
                          <w:color w:val="000000"/>
                          <w:sz w:val="18"/>
                        </w:rPr>
                        <w:t>Acceptability</w:t>
                      </w:r>
                    </w:p>
                  </w:txbxContent>
                </v:textbox>
              </v:shape>
              <v:roundrect id="Rectangle: Rounded Corners 332" o:spid="_x0000_s1034" alt="" style="position:absolute;left:12768;top:7298;width:8738;height:2729;visibility:visible;mso-wrap-style:square;v-text-anchor:middle" arcsize="10923f" fillcolor="white [3201]" strokecolor="#e99976">
                <v:fill opacity="58853f"/>
                <v:stroke startarrowwidth="narrow" startarrowlength="short" endarrowwidth="narrow" endarrowlength="short" joinstyle="miter"/>
                <v:textbox inset="2.53958mm,2.53958mm,2.53958mm,2.53958mm">
                  <w:txbxContent>
                    <w:p w14:paraId="66204FF1" w14:textId="77777777" w:rsidR="00BA4D30" w:rsidRDefault="00BA4D30">
                      <w:pPr>
                        <w:spacing w:after="0" w:line="240" w:lineRule="auto"/>
                        <w:jc w:val="left"/>
                        <w:textDirection w:val="btLr"/>
                      </w:pPr>
                    </w:p>
                  </w:txbxContent>
                </v:textbox>
              </v:roundrect>
              <v:shape id="Text Box 333" o:spid="_x0000_s1035" type="#_x0000_t202" alt="" style="position:absolute;left:12901;top:7431;width:8472;height:2463;visibility:visible;mso-wrap-style:square;v-text-anchor:middle" filled="f" stroked="f">
                <v:textbox inset=".95208mm,.95208mm,.95208mm,.95208mm">
                  <w:txbxContent>
                    <w:p w14:paraId="45955DB2" w14:textId="77777777" w:rsidR="00BA4D30" w:rsidRDefault="00436ADD">
                      <w:pPr>
                        <w:spacing w:after="0" w:line="215" w:lineRule="auto"/>
                        <w:jc w:val="center"/>
                        <w:textDirection w:val="btLr"/>
                      </w:pPr>
                      <w:r>
                        <w:rPr>
                          <w:b/>
                          <w:color w:val="000000"/>
                          <w:sz w:val="18"/>
                        </w:rPr>
                        <w:t>Feasibility</w:t>
                      </w:r>
                    </w:p>
                  </w:txbxContent>
                </v:textbox>
              </v:shape>
            </v:group>
            <w10:anchorlock/>
          </v:group>
        </w:pict>
      </w:r>
    </w:p>
    <w:p w14:paraId="2D35B4F9" w14:textId="77777777" w:rsidR="00BA4D30" w:rsidRDefault="00436ADD">
      <w:pPr>
        <w:pBdr>
          <w:top w:val="nil"/>
          <w:left w:val="nil"/>
          <w:bottom w:val="nil"/>
          <w:right w:val="nil"/>
          <w:between w:val="nil"/>
        </w:pBdr>
        <w:spacing w:after="200" w:line="240" w:lineRule="auto"/>
        <w:jc w:val="center"/>
        <w:rPr>
          <w:i/>
          <w:color w:val="44546A"/>
          <w:sz w:val="18"/>
          <w:szCs w:val="18"/>
        </w:rPr>
      </w:pPr>
      <w:r>
        <w:rPr>
          <w:i/>
          <w:color w:val="44546A"/>
          <w:sz w:val="18"/>
          <w:szCs w:val="18"/>
        </w:rPr>
        <w:t>Figure 8: Evaluation of Alternatives - SAFe Model (Self-Prepared)</w:t>
      </w:r>
    </w:p>
    <w:p w14:paraId="5D289C47" w14:textId="77777777" w:rsidR="00BA4D30" w:rsidRDefault="00436ADD">
      <w:r>
        <w:rPr>
          <w:b/>
        </w:rPr>
        <w:t xml:space="preserve">Acceptability: </w:t>
      </w:r>
      <w:r>
        <w:t>For people involved in businesses such methods ensure there is an even distribution of both gains and losses. By focusing on market penetration and partnerships, firms use their assets and existing ties which is generally more secure. Even though it costs money at the beginning, the risk of not gaining market share is smaller than the opportunity to grow as a leader. More and more, ESG-centred investors expect companies to incorporate sustainability which matches what consumers expect as well (Abbas &amp; Tong, 2023).</w:t>
      </w:r>
    </w:p>
    <w:p w14:paraId="2A5070F3" w14:textId="77777777" w:rsidR="00BA4D30" w:rsidRDefault="00436ADD">
      <w:r>
        <w:rPr>
          <w:b/>
        </w:rPr>
        <w:t xml:space="preserve">Feasibility: </w:t>
      </w:r>
      <w:r>
        <w:t xml:space="preserve">Because Tata Motors supports JLR financially and with resources, JLR can follow these strategies. Having factories, R&amp;D locations and expertise in top-class </w:t>
      </w:r>
      <w:r>
        <w:lastRenderedPageBreak/>
        <w:t>engineering allows the company to address both product and sustainability improvements. Working with other companies brings new technology that JLR does not have, so it does not have to start innovating from the beginning (Anderson, 2019).</w:t>
      </w:r>
    </w:p>
    <w:p w14:paraId="730B5893" w14:textId="77777777" w:rsidR="00BA4D30" w:rsidRDefault="00436ADD">
      <w:r>
        <w:t>In all, the various strategic choices match the SAFe criteria well, so they are likely to work for JLR’s shift toward electric vehicles.</w:t>
      </w:r>
    </w:p>
    <w:p w14:paraId="34639CAE" w14:textId="77777777" w:rsidR="00BA4D30" w:rsidRDefault="00436ADD">
      <w:pPr>
        <w:pStyle w:val="Heading1"/>
      </w:pPr>
      <w:bookmarkStart w:id="12" w:name="_Toc201241894"/>
      <w:r>
        <w:t>Conclusion and Recommendations</w:t>
      </w:r>
      <w:bookmarkEnd w:id="12"/>
    </w:p>
    <w:p w14:paraId="7A2809FC" w14:textId="77777777" w:rsidR="00BA4D30" w:rsidRDefault="00436ADD">
      <w:r>
        <w:t>Jaguar Land Rover’s (JLR) results of external and internal strategic audits indicate that the environment it operates in is detailed but full of opportunities. Because of changes in rules, market forces and technology, along with strong competitors, PESTLE and Porter’s Five Forces require businesses to make flexible and forward-looking strategies. JLR is strong inside the company because of its recognisable brand, advanced technology and wide global footprint which were proven by the VRIO and Value Chain analysis. Long delays in electrification and the use of older technologies are real weaknesses for the industry.</w:t>
      </w:r>
    </w:p>
    <w:p w14:paraId="0D0BC13A" w14:textId="77777777" w:rsidR="00BA4D30" w:rsidRDefault="00436ADD">
      <w:r>
        <w:t>JLR’s position is well aligned across Europe and beyond, mainly in the luxury electric vehicle (EV) sector. A good company heritage, the ability to innovate and being backed by Tata Motors allow the company to grow sustainably.</w:t>
      </w:r>
    </w:p>
    <w:p w14:paraId="1FE568D4" w14:textId="49706904" w:rsidR="00BA4D30" w:rsidRDefault="00436ADD">
      <w:r>
        <w:t xml:space="preserve">It is also important for companies to combine long-term research in electric technology with signing deals to advance in AI and battery technology. In this way, JLR can keep its high-quality image </w:t>
      </w:r>
      <w:r w:rsidR="570F8C74">
        <w:t xml:space="preserve">while </w:t>
      </w:r>
      <w:r>
        <w:t>pursu</w:t>
      </w:r>
      <w:r w:rsidR="49EB8A1D">
        <w:t>ing</w:t>
      </w:r>
      <w:r>
        <w:t xml:space="preserve"> sustainability.</w:t>
      </w:r>
    </w:p>
    <w:p w14:paraId="516BCF3E" w14:textId="77777777" w:rsidR="00BA4D30" w:rsidRDefault="00436ADD">
      <w:r>
        <w:t>To maintain its competitive advantage in the long run, future investigations might analyse AI use in independent vehicles, various methods to cut carbon emissions for all stakeholders and the effects of digital ecosystems on top EV brands.</w:t>
      </w:r>
    </w:p>
    <w:p w14:paraId="2DBF0D7D" w14:textId="77777777" w:rsidR="00BA4D30" w:rsidRDefault="00436ADD">
      <w:pPr>
        <w:spacing w:line="278" w:lineRule="auto"/>
        <w:jc w:val="left"/>
        <w:rPr>
          <w:b/>
          <w:sz w:val="32"/>
          <w:szCs w:val="32"/>
          <w:u w:val="single"/>
        </w:rPr>
      </w:pPr>
      <w:r>
        <w:br w:type="page"/>
      </w:r>
    </w:p>
    <w:p w14:paraId="071E4E01" w14:textId="77777777" w:rsidR="00BA4D30" w:rsidRDefault="00436ADD">
      <w:pPr>
        <w:pStyle w:val="Heading1"/>
      </w:pPr>
      <w:bookmarkStart w:id="13" w:name="_Toc201241895"/>
      <w:r>
        <w:lastRenderedPageBreak/>
        <w:t>References</w:t>
      </w:r>
      <w:bookmarkEnd w:id="13"/>
    </w:p>
    <w:p w14:paraId="2AAD5F5E"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Abbas, H. and Tong, S. (2023) ‘Green supply chain management practices of firms with competitive strategic alliances—a study of the automobile industry’, </w:t>
      </w:r>
      <w:r>
        <w:rPr>
          <w:i/>
          <w:color w:val="000000"/>
        </w:rPr>
        <w:t>Sustainability</w:t>
      </w:r>
      <w:r>
        <w:rPr>
          <w:color w:val="000000"/>
        </w:rPr>
        <w:t xml:space="preserve">, 15(3), p. 2156. doi:10.3390/su15032156. </w:t>
      </w:r>
    </w:p>
    <w:p w14:paraId="60EE3717"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Anderson, D.L. (2019) </w:t>
      </w:r>
      <w:r>
        <w:rPr>
          <w:i/>
          <w:color w:val="000000"/>
        </w:rPr>
        <w:t>Organization design: Creating strategic &amp; agile organizations</w:t>
      </w:r>
      <w:r>
        <w:rPr>
          <w:color w:val="000000"/>
        </w:rPr>
        <w:t xml:space="preserve">. Thousand Oaks, CA: SAGE Publications, Inc. </w:t>
      </w:r>
    </w:p>
    <w:p w14:paraId="38CBF266" w14:textId="77777777" w:rsidR="00BA4D30" w:rsidRDefault="00436ADD">
      <w:pPr>
        <w:pBdr>
          <w:top w:val="nil"/>
          <w:left w:val="nil"/>
          <w:bottom w:val="nil"/>
          <w:right w:val="nil"/>
          <w:between w:val="nil"/>
        </w:pBdr>
        <w:spacing w:before="280" w:after="280"/>
        <w:ind w:left="567" w:hanging="567"/>
        <w:rPr>
          <w:color w:val="000000"/>
        </w:rPr>
      </w:pPr>
      <w:proofErr w:type="spellStart"/>
      <w:r>
        <w:rPr>
          <w:color w:val="000000"/>
        </w:rPr>
        <w:t>Arestis</w:t>
      </w:r>
      <w:proofErr w:type="spellEnd"/>
      <w:r>
        <w:rPr>
          <w:color w:val="000000"/>
        </w:rPr>
        <w:t xml:space="preserve">, P. and Karagiannis, N. (2023) ‘The recent global crises and economic policies for future durable recovery’, </w:t>
      </w:r>
      <w:r>
        <w:rPr>
          <w:i/>
          <w:color w:val="000000"/>
        </w:rPr>
        <w:t>International Papers in Political Economy</w:t>
      </w:r>
      <w:r>
        <w:rPr>
          <w:color w:val="000000"/>
        </w:rPr>
        <w:t xml:space="preserve">, pp. 1–39. doi:10.1007/978-3-031-19256-2_1. </w:t>
      </w:r>
    </w:p>
    <w:p w14:paraId="422D52DA"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Bailey, D. and De </w:t>
      </w:r>
      <w:proofErr w:type="spellStart"/>
      <w:r>
        <w:rPr>
          <w:color w:val="000000"/>
        </w:rPr>
        <w:t>Propris</w:t>
      </w:r>
      <w:proofErr w:type="spellEnd"/>
      <w:r>
        <w:rPr>
          <w:color w:val="000000"/>
        </w:rPr>
        <w:t xml:space="preserve">, L. (2017) ‘Brexit and the UK Automotive Industry’, </w:t>
      </w:r>
      <w:r>
        <w:rPr>
          <w:i/>
          <w:color w:val="000000"/>
        </w:rPr>
        <w:t>National Institute Economic Review</w:t>
      </w:r>
      <w:r>
        <w:rPr>
          <w:color w:val="000000"/>
        </w:rPr>
        <w:t xml:space="preserve">, 242. doi:10.1177/002795011724200114. </w:t>
      </w:r>
    </w:p>
    <w:p w14:paraId="5C4BCE53"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Begum, S. and Chowdary, F. (2024) ‘Competition and its significance’, </w:t>
      </w:r>
      <w:r>
        <w:rPr>
          <w:i/>
          <w:color w:val="000000"/>
        </w:rPr>
        <w:t>Competitive Semiconductor Product Management</w:t>
      </w:r>
      <w:r>
        <w:rPr>
          <w:color w:val="000000"/>
        </w:rPr>
        <w:t xml:space="preserve">, pp. 1–35. doi:10.1007/979-8-8688-0920-0_1. </w:t>
      </w:r>
    </w:p>
    <w:p w14:paraId="6BCF693C"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Bodrog, Z. and Mile, C. (2025) ‘Environmentally conscious consumer </w:t>
      </w:r>
      <w:proofErr w:type="spellStart"/>
      <w:r>
        <w:rPr>
          <w:color w:val="000000"/>
        </w:rPr>
        <w:t>behavior</w:t>
      </w:r>
      <w:proofErr w:type="spellEnd"/>
      <w:r>
        <w:rPr>
          <w:color w:val="000000"/>
        </w:rPr>
        <w:t xml:space="preserve"> in generation Z ‒ trends and motivations’, </w:t>
      </w:r>
      <w:r>
        <w:rPr>
          <w:i/>
          <w:color w:val="000000"/>
        </w:rPr>
        <w:t>2025 IEEE 23rd World Symposium on Applied Machine Intelligence and Informatics (SAMI)</w:t>
      </w:r>
      <w:r>
        <w:rPr>
          <w:color w:val="000000"/>
        </w:rPr>
        <w:t xml:space="preserve">, pp. 000477–000482. doi:10.1109/sami63904.2025.10883149. </w:t>
      </w:r>
    </w:p>
    <w:p w14:paraId="5239B492"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Chen, X., </w:t>
      </w:r>
      <w:proofErr w:type="spellStart"/>
      <w:r>
        <w:rPr>
          <w:color w:val="000000"/>
        </w:rPr>
        <w:t>Despeisse</w:t>
      </w:r>
      <w:proofErr w:type="spellEnd"/>
      <w:r>
        <w:rPr>
          <w:color w:val="000000"/>
        </w:rPr>
        <w:t xml:space="preserve">, M. and Johansson, B. (2020) ‘Environmental sustainability of digitalization in manufacturing: A Review’, </w:t>
      </w:r>
      <w:r>
        <w:rPr>
          <w:i/>
          <w:color w:val="000000"/>
        </w:rPr>
        <w:t>Sustainability</w:t>
      </w:r>
      <w:r>
        <w:rPr>
          <w:color w:val="000000"/>
        </w:rPr>
        <w:t xml:space="preserve">, 12(24), p. 10298. doi:10.3390/su122410298. </w:t>
      </w:r>
    </w:p>
    <w:p w14:paraId="076434F4"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Cho, M.-J. and Shin, J. (2022) ‘Identifying a combination of key resources to overcome the entry barriers in the electric vehicle market’, </w:t>
      </w:r>
      <w:r>
        <w:rPr>
          <w:i/>
          <w:color w:val="000000"/>
        </w:rPr>
        <w:t>IEEE Access</w:t>
      </w:r>
      <w:r>
        <w:rPr>
          <w:color w:val="000000"/>
        </w:rPr>
        <w:t xml:space="preserve">, 10, pp. 60373–60386. doi:10.1109/access.2022.3180729. </w:t>
      </w:r>
    </w:p>
    <w:p w14:paraId="0E819674"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Emmanuel Augustine </w:t>
      </w:r>
      <w:proofErr w:type="spellStart"/>
      <w:r>
        <w:rPr>
          <w:color w:val="000000"/>
        </w:rPr>
        <w:t>Etukudoh</w:t>
      </w:r>
      <w:r>
        <w:rPr>
          <w:i/>
          <w:color w:val="000000"/>
        </w:rPr>
        <w:t>et</w:t>
      </w:r>
      <w:proofErr w:type="spellEnd"/>
      <w:r>
        <w:rPr>
          <w:i/>
          <w:color w:val="000000"/>
        </w:rPr>
        <w:t xml:space="preserve"> al.</w:t>
      </w:r>
      <w:r>
        <w:rPr>
          <w:color w:val="000000"/>
        </w:rPr>
        <w:t xml:space="preserve"> (2024) ‘Mechanical Engineering in automotive innovation: A review of Electric Vehicles and future trends’, </w:t>
      </w:r>
      <w:r>
        <w:rPr>
          <w:i/>
          <w:color w:val="000000"/>
        </w:rPr>
        <w:t>International Journal of Science and Research Archive</w:t>
      </w:r>
      <w:r>
        <w:rPr>
          <w:color w:val="000000"/>
        </w:rPr>
        <w:t xml:space="preserve">, 11(1), pp. 579–589. doi:10.30574/ijsra.2024.11.1.0081. </w:t>
      </w:r>
    </w:p>
    <w:p w14:paraId="57EFD20E" w14:textId="77777777" w:rsidR="00BA4D30" w:rsidRDefault="00436ADD">
      <w:pPr>
        <w:pBdr>
          <w:top w:val="nil"/>
          <w:left w:val="nil"/>
          <w:bottom w:val="nil"/>
          <w:right w:val="nil"/>
          <w:between w:val="nil"/>
        </w:pBdr>
        <w:spacing w:before="280" w:after="280"/>
        <w:ind w:left="567" w:hanging="567"/>
        <w:rPr>
          <w:color w:val="000000"/>
        </w:rPr>
      </w:pPr>
      <w:proofErr w:type="spellStart"/>
      <w:r>
        <w:rPr>
          <w:color w:val="000000"/>
        </w:rPr>
        <w:lastRenderedPageBreak/>
        <w:t>Frieske</w:t>
      </w:r>
      <w:proofErr w:type="spellEnd"/>
      <w:r>
        <w:rPr>
          <w:color w:val="000000"/>
        </w:rPr>
        <w:t xml:space="preserve">, B. and Stieler, S. (2022) ‘The “Semiconductor Crisis” </w:t>
      </w:r>
      <w:proofErr w:type="gramStart"/>
      <w:r>
        <w:rPr>
          <w:color w:val="000000"/>
        </w:rPr>
        <w:t>as a result of</w:t>
      </w:r>
      <w:proofErr w:type="gramEnd"/>
      <w:r>
        <w:rPr>
          <w:color w:val="000000"/>
        </w:rPr>
        <w:t xml:space="preserve"> the COVID-19 pandemic and impacts on the automotive industry and its supply chains’, </w:t>
      </w:r>
      <w:r>
        <w:rPr>
          <w:i/>
          <w:color w:val="000000"/>
        </w:rPr>
        <w:t>World Electric Vehicle Journal</w:t>
      </w:r>
      <w:r>
        <w:rPr>
          <w:color w:val="000000"/>
        </w:rPr>
        <w:t xml:space="preserve">, 13(10), p. 189. doi:10.3390/wevj13100189. </w:t>
      </w:r>
    </w:p>
    <w:p w14:paraId="62C1B86B"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Grant, R.M. (2022) </w:t>
      </w:r>
      <w:r>
        <w:rPr>
          <w:i/>
          <w:color w:val="000000"/>
        </w:rPr>
        <w:t>Contemporary strategy analysis</w:t>
      </w:r>
      <w:r>
        <w:rPr>
          <w:color w:val="000000"/>
        </w:rPr>
        <w:t xml:space="preserve">. Hoboken, NJ: Wiley. </w:t>
      </w:r>
    </w:p>
    <w:p w14:paraId="7A53C1BC"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Helmold, M. (2020) ‘Creating the value proposition’, </w:t>
      </w:r>
      <w:r>
        <w:rPr>
          <w:i/>
          <w:color w:val="000000"/>
        </w:rPr>
        <w:t>Management for Professionals</w:t>
      </w:r>
      <w:r>
        <w:rPr>
          <w:color w:val="000000"/>
        </w:rPr>
        <w:t xml:space="preserve">, pp. 89–94. doi:10.1007/978-3-030-46985-6_9. </w:t>
      </w:r>
    </w:p>
    <w:p w14:paraId="398247FA" w14:textId="77777777" w:rsidR="00BA4D30" w:rsidRDefault="00436ADD">
      <w:pPr>
        <w:pBdr>
          <w:top w:val="nil"/>
          <w:left w:val="nil"/>
          <w:bottom w:val="nil"/>
          <w:right w:val="nil"/>
          <w:between w:val="nil"/>
        </w:pBdr>
        <w:spacing w:before="280" w:after="280"/>
        <w:ind w:left="567" w:hanging="567"/>
        <w:rPr>
          <w:color w:val="000000"/>
        </w:rPr>
      </w:pPr>
      <w:proofErr w:type="spellStart"/>
      <w:r>
        <w:rPr>
          <w:color w:val="000000"/>
        </w:rPr>
        <w:t>Jagani</w:t>
      </w:r>
      <w:proofErr w:type="spellEnd"/>
      <w:r>
        <w:rPr>
          <w:color w:val="000000"/>
        </w:rPr>
        <w:t xml:space="preserve">, S., </w:t>
      </w:r>
      <w:proofErr w:type="spellStart"/>
      <w:r>
        <w:rPr>
          <w:color w:val="000000"/>
        </w:rPr>
        <w:t>Marsillac</w:t>
      </w:r>
      <w:proofErr w:type="spellEnd"/>
      <w:r>
        <w:rPr>
          <w:color w:val="000000"/>
        </w:rPr>
        <w:t xml:space="preserve">, E. and Hong, P. (2024) ‘The Electric Vehicle Supply Chain Ecosystem: Changing roles of automotive suppliers’, </w:t>
      </w:r>
      <w:r>
        <w:rPr>
          <w:i/>
          <w:color w:val="000000"/>
        </w:rPr>
        <w:t>Sustainability</w:t>
      </w:r>
      <w:r>
        <w:rPr>
          <w:color w:val="000000"/>
        </w:rPr>
        <w:t xml:space="preserve">, 16(4), p. 1570. doi:10.3390/su16041570. </w:t>
      </w:r>
    </w:p>
    <w:p w14:paraId="5F421183"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JLR (2023) </w:t>
      </w:r>
      <w:r>
        <w:rPr>
          <w:i/>
          <w:color w:val="000000"/>
        </w:rPr>
        <w:t>JLR delivers significantly improved revenue, profit and free cash flow for the quarter</w:t>
      </w:r>
      <w:r>
        <w:rPr>
          <w:color w:val="000000"/>
        </w:rPr>
        <w:t xml:space="preserve">, </w:t>
      </w:r>
      <w:r>
        <w:rPr>
          <w:i/>
          <w:color w:val="000000"/>
        </w:rPr>
        <w:t>JLR DELIVERS SIGNIFICANTLY IMPROVED REVENUE, PROFIT AND FREE CASH FLOW FOR THE QUARTER | JLR Corporate Website</w:t>
      </w:r>
      <w:r>
        <w:rPr>
          <w:color w:val="000000"/>
        </w:rPr>
        <w:t xml:space="preserve">. Available at: https://www.jlr.com/news/2023/05/jlr-delivers-significantly-improved-revenue-profit-and-free-cash-flow-quarter (Accessed: 01 June 2025). </w:t>
      </w:r>
    </w:p>
    <w:p w14:paraId="64D406D8"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Kamikawa, Y. and Brummer, M. (2024) ‘Cross-national and cross-sectoral dynamics of innovation policies: The case of lithium-ion battery technology for electric vehicles in the U.S. and China’, </w:t>
      </w:r>
      <w:r>
        <w:rPr>
          <w:i/>
          <w:color w:val="000000"/>
        </w:rPr>
        <w:t>Technological Forecasting and Social Change</w:t>
      </w:r>
      <w:r>
        <w:rPr>
          <w:color w:val="000000"/>
        </w:rPr>
        <w:t xml:space="preserve">, 201, p. 123021. </w:t>
      </w:r>
      <w:proofErr w:type="gramStart"/>
      <w:r>
        <w:rPr>
          <w:color w:val="000000"/>
        </w:rPr>
        <w:t>doi:10.1016/j.techfore</w:t>
      </w:r>
      <w:proofErr w:type="gramEnd"/>
      <w:r>
        <w:rPr>
          <w:color w:val="000000"/>
        </w:rPr>
        <w:t xml:space="preserve">.2023.123021. </w:t>
      </w:r>
    </w:p>
    <w:p w14:paraId="31610BE1"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Kotler, P., Keller, K.L. and Chernev, A. (2022) </w:t>
      </w:r>
      <w:r>
        <w:rPr>
          <w:i/>
          <w:color w:val="000000"/>
        </w:rPr>
        <w:t>Marketing management</w:t>
      </w:r>
      <w:r>
        <w:rPr>
          <w:color w:val="000000"/>
        </w:rPr>
        <w:t xml:space="preserve">. Harlow, England: Pearson Education Limited. </w:t>
      </w:r>
    </w:p>
    <w:p w14:paraId="6BD08F54"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Lee, S.M. and Lee, D. (2019) ‘“UNTACT”: A new customer service strategy in the Digital age’, </w:t>
      </w:r>
      <w:r>
        <w:rPr>
          <w:i/>
          <w:color w:val="000000"/>
        </w:rPr>
        <w:t>Service Business</w:t>
      </w:r>
      <w:r>
        <w:rPr>
          <w:color w:val="000000"/>
        </w:rPr>
        <w:t xml:space="preserve">, 14(1), pp. 1–22. doi:10.1007/s11628-019-00408-2. </w:t>
      </w:r>
    </w:p>
    <w:p w14:paraId="70770374" w14:textId="77777777" w:rsidR="00BA4D30" w:rsidRDefault="00436ADD">
      <w:pPr>
        <w:pBdr>
          <w:top w:val="nil"/>
          <w:left w:val="nil"/>
          <w:bottom w:val="nil"/>
          <w:right w:val="nil"/>
          <w:between w:val="nil"/>
        </w:pBdr>
        <w:spacing w:before="280" w:after="280"/>
        <w:ind w:left="567" w:hanging="567"/>
        <w:rPr>
          <w:color w:val="000000"/>
        </w:rPr>
      </w:pPr>
      <w:proofErr w:type="spellStart"/>
      <w:r>
        <w:rPr>
          <w:color w:val="000000"/>
        </w:rPr>
        <w:t>Lempp</w:t>
      </w:r>
      <w:proofErr w:type="spellEnd"/>
      <w:r>
        <w:rPr>
          <w:color w:val="000000"/>
        </w:rPr>
        <w:t xml:space="preserve">, M. and Siegfried, P. (2022) </w:t>
      </w:r>
      <w:r>
        <w:rPr>
          <w:i/>
          <w:color w:val="000000"/>
        </w:rPr>
        <w:t>Automotive disruption and the Urban Mobility Revolution: Rethinking the Business Model 2030</w:t>
      </w:r>
      <w:r>
        <w:rPr>
          <w:color w:val="000000"/>
        </w:rPr>
        <w:t xml:space="preserve">. Cham, Switzerland: Springer. </w:t>
      </w:r>
    </w:p>
    <w:p w14:paraId="33995BD5" w14:textId="77777777" w:rsidR="00BA4D30" w:rsidRDefault="00436ADD">
      <w:pPr>
        <w:pBdr>
          <w:top w:val="nil"/>
          <w:left w:val="nil"/>
          <w:bottom w:val="nil"/>
          <w:right w:val="nil"/>
          <w:between w:val="nil"/>
        </w:pBdr>
        <w:spacing w:before="280" w:after="280"/>
        <w:ind w:left="567" w:hanging="567"/>
        <w:rPr>
          <w:color w:val="000000"/>
        </w:rPr>
      </w:pPr>
      <w:proofErr w:type="spellStart"/>
      <w:r>
        <w:rPr>
          <w:color w:val="000000"/>
        </w:rPr>
        <w:t>Manello</w:t>
      </w:r>
      <w:proofErr w:type="spellEnd"/>
      <w:r>
        <w:rPr>
          <w:color w:val="000000"/>
        </w:rPr>
        <w:t xml:space="preserve">, A. and Calabrese, G. (2019) ‘The influence of reputation on supplier selection: An empirical study of the European Automotive Industry’, </w:t>
      </w:r>
      <w:r>
        <w:rPr>
          <w:i/>
          <w:color w:val="000000"/>
        </w:rPr>
        <w:t>Journal of Purchasing and Supply Management</w:t>
      </w:r>
      <w:r>
        <w:rPr>
          <w:color w:val="000000"/>
        </w:rPr>
        <w:t xml:space="preserve">, 25(1), pp. 69–77. </w:t>
      </w:r>
      <w:proofErr w:type="gramStart"/>
      <w:r>
        <w:rPr>
          <w:color w:val="000000"/>
        </w:rPr>
        <w:t>doi:10.1016/j.pursup</w:t>
      </w:r>
      <w:proofErr w:type="gramEnd"/>
      <w:r>
        <w:rPr>
          <w:color w:val="000000"/>
        </w:rPr>
        <w:t xml:space="preserve">.2018.03.001. </w:t>
      </w:r>
    </w:p>
    <w:p w14:paraId="09F12CC1" w14:textId="77777777" w:rsidR="00BA4D30" w:rsidRDefault="00436ADD">
      <w:pPr>
        <w:pBdr>
          <w:top w:val="nil"/>
          <w:left w:val="nil"/>
          <w:bottom w:val="nil"/>
          <w:right w:val="nil"/>
          <w:between w:val="nil"/>
        </w:pBdr>
        <w:spacing w:before="280" w:after="280"/>
        <w:ind w:left="567" w:hanging="567"/>
        <w:rPr>
          <w:color w:val="000000"/>
        </w:rPr>
      </w:pPr>
      <w:r>
        <w:rPr>
          <w:color w:val="000000"/>
        </w:rPr>
        <w:lastRenderedPageBreak/>
        <w:t xml:space="preserve">Mohammad Nazir, N. and </w:t>
      </w:r>
      <w:proofErr w:type="spellStart"/>
      <w:r>
        <w:rPr>
          <w:color w:val="000000"/>
        </w:rPr>
        <w:t>Shavarebi</w:t>
      </w:r>
      <w:proofErr w:type="spellEnd"/>
      <w:r>
        <w:rPr>
          <w:color w:val="000000"/>
        </w:rPr>
        <w:t xml:space="preserve">, K. (2019) ‘A review of Global Automotive Industry’s competitive strategies’, </w:t>
      </w:r>
      <w:r>
        <w:rPr>
          <w:i/>
          <w:color w:val="000000"/>
        </w:rPr>
        <w:t>World Journal of Science, Technology and Sustainable Development</w:t>
      </w:r>
      <w:r>
        <w:rPr>
          <w:color w:val="000000"/>
        </w:rPr>
        <w:t xml:space="preserve">, 16(4), pp. 170–183. doi:10.1108/wjstsd-10-2018-0060. </w:t>
      </w:r>
    </w:p>
    <w:p w14:paraId="63B486D1"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Mukherjee, S.K. (2022) </w:t>
      </w:r>
      <w:r>
        <w:rPr>
          <w:i/>
          <w:color w:val="000000"/>
        </w:rPr>
        <w:t>Consumer behaviour and market dynamics in India: Cross sectional view across diverse industry</w:t>
      </w:r>
      <w:r>
        <w:rPr>
          <w:color w:val="000000"/>
        </w:rPr>
        <w:t xml:space="preserve">. </w:t>
      </w:r>
      <w:proofErr w:type="spellStart"/>
      <w:r>
        <w:rPr>
          <w:color w:val="000000"/>
        </w:rPr>
        <w:t>S.l.</w:t>
      </w:r>
      <w:proofErr w:type="spellEnd"/>
      <w:r>
        <w:rPr>
          <w:color w:val="000000"/>
        </w:rPr>
        <w:t xml:space="preserve">: ELIVA PRESS. </w:t>
      </w:r>
    </w:p>
    <w:p w14:paraId="1374205A"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Nath, K. and Dwivedi, R. (2021) ‘Aesthetic exploration of organizational theatrics: A case of tata motors’ jaguar land rover acquisition’, </w:t>
      </w:r>
      <w:r>
        <w:rPr>
          <w:i/>
          <w:color w:val="000000"/>
        </w:rPr>
        <w:t>Philosophy of Management</w:t>
      </w:r>
      <w:r>
        <w:rPr>
          <w:color w:val="000000"/>
        </w:rPr>
        <w:t xml:space="preserve">, 20(3), pp. 369–386. doi:10.1007/s40926-020-00160-y. </w:t>
      </w:r>
    </w:p>
    <w:p w14:paraId="27455E34" w14:textId="77777777" w:rsidR="00BA4D30" w:rsidRDefault="00436ADD">
      <w:pPr>
        <w:pBdr>
          <w:top w:val="nil"/>
          <w:left w:val="nil"/>
          <w:bottom w:val="nil"/>
          <w:right w:val="nil"/>
          <w:between w:val="nil"/>
        </w:pBdr>
        <w:spacing w:before="280" w:after="280"/>
        <w:ind w:left="567" w:hanging="567"/>
        <w:rPr>
          <w:color w:val="000000"/>
        </w:rPr>
      </w:pPr>
      <w:proofErr w:type="spellStart"/>
      <w:r>
        <w:rPr>
          <w:color w:val="000000"/>
        </w:rPr>
        <w:t>Sakuramoto</w:t>
      </w:r>
      <w:proofErr w:type="spellEnd"/>
      <w:r>
        <w:rPr>
          <w:color w:val="000000"/>
        </w:rPr>
        <w:t xml:space="preserve">, C., Di Serio, L.C. and Bittar, A. de (2019) ‘Impact of supply chain on the competitiveness of the automotive industry’, </w:t>
      </w:r>
      <w:r>
        <w:rPr>
          <w:i/>
          <w:color w:val="000000"/>
        </w:rPr>
        <w:t>RAUSP Management Journal</w:t>
      </w:r>
      <w:r>
        <w:rPr>
          <w:color w:val="000000"/>
        </w:rPr>
        <w:t xml:space="preserve">, 54(2), pp. 205–225. doi:10.1108/rausp-07-2018-0051. </w:t>
      </w:r>
    </w:p>
    <w:p w14:paraId="0201E924"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Sarfraz, M.S., Hong, H. and Kim, S.S. (2021) ‘Recent developments in the manufacturing technologies of composite components and their cost-effectiveness in the automotive industry: A review study’, </w:t>
      </w:r>
      <w:r>
        <w:rPr>
          <w:i/>
          <w:color w:val="000000"/>
        </w:rPr>
        <w:t>Composite Structures</w:t>
      </w:r>
      <w:r>
        <w:rPr>
          <w:color w:val="000000"/>
        </w:rPr>
        <w:t xml:space="preserve">, 266, p. 113864. </w:t>
      </w:r>
      <w:proofErr w:type="gramStart"/>
      <w:r>
        <w:rPr>
          <w:color w:val="000000"/>
        </w:rPr>
        <w:t>doi:10.1016/j.compstruct</w:t>
      </w:r>
      <w:proofErr w:type="gramEnd"/>
      <w:r>
        <w:rPr>
          <w:color w:val="000000"/>
        </w:rPr>
        <w:t xml:space="preserve">.2021.113864. </w:t>
      </w:r>
    </w:p>
    <w:p w14:paraId="3C52BA64"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Shakeel, J. </w:t>
      </w:r>
      <w:r>
        <w:rPr>
          <w:i/>
          <w:color w:val="000000"/>
        </w:rPr>
        <w:t>et al.</w:t>
      </w:r>
      <w:r>
        <w:rPr>
          <w:color w:val="000000"/>
        </w:rPr>
        <w:t xml:space="preserve"> (2020) ‘Anatomy of Sustainable Business Model Innovation’, </w:t>
      </w:r>
      <w:r>
        <w:rPr>
          <w:i/>
          <w:color w:val="000000"/>
        </w:rPr>
        <w:t>Journal of Cleaner Production</w:t>
      </w:r>
      <w:r>
        <w:rPr>
          <w:color w:val="000000"/>
        </w:rPr>
        <w:t xml:space="preserve">, 261, p. 121201. </w:t>
      </w:r>
      <w:proofErr w:type="gramStart"/>
      <w:r>
        <w:rPr>
          <w:color w:val="000000"/>
        </w:rPr>
        <w:t>doi:10.1016/j.jclepro</w:t>
      </w:r>
      <w:proofErr w:type="gramEnd"/>
      <w:r>
        <w:rPr>
          <w:color w:val="000000"/>
        </w:rPr>
        <w:t xml:space="preserve">.2020.121201. </w:t>
      </w:r>
    </w:p>
    <w:p w14:paraId="06585C4A"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Sharma, A. and Khanna, P. (2020) ‘Relevance of adopting emerging technologies in outbound supply chain: New Paradigm for Cement Industry’, </w:t>
      </w:r>
      <w:r>
        <w:rPr>
          <w:i/>
          <w:color w:val="000000"/>
        </w:rPr>
        <w:t>Operations and Supply Chain Management: An International Journal</w:t>
      </w:r>
      <w:r>
        <w:rPr>
          <w:color w:val="000000"/>
        </w:rPr>
        <w:t xml:space="preserve">, pp. 210–221. doi:10.31387/oscm0410263. </w:t>
      </w:r>
    </w:p>
    <w:p w14:paraId="4E1B64B2"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Sun, L. and Yang, Q. (2025) ‘Strategic synergy between financial leverage and Technological Innovation: Analysing BYD’s competitive edge in the Global EV market: A mixed-methods study integrating Porter’s five forces analysis with a financial strategy matrix (2018--2024)’, </w:t>
      </w:r>
      <w:r>
        <w:rPr>
          <w:i/>
          <w:color w:val="000000"/>
        </w:rPr>
        <w:t>Financial Economics Research</w:t>
      </w:r>
      <w:r>
        <w:rPr>
          <w:color w:val="000000"/>
        </w:rPr>
        <w:t xml:space="preserve">, 2(1), pp. 57–66. doi:10.70267/fer.250201.5767. </w:t>
      </w:r>
    </w:p>
    <w:p w14:paraId="3D9E7472" w14:textId="506CC39F" w:rsidR="00BA4D30" w:rsidRDefault="00436ADD" w:rsidP="00F94EE7">
      <w:pPr>
        <w:pBdr>
          <w:top w:val="nil"/>
          <w:left w:val="nil"/>
          <w:bottom w:val="nil"/>
          <w:right w:val="nil"/>
          <w:between w:val="nil"/>
        </w:pBdr>
        <w:spacing w:before="280" w:after="280"/>
        <w:ind w:left="567" w:hanging="567"/>
        <w:rPr>
          <w:color w:val="000000"/>
        </w:rPr>
      </w:pPr>
      <w:r>
        <w:rPr>
          <w:color w:val="000000"/>
        </w:rPr>
        <w:lastRenderedPageBreak/>
        <w:t xml:space="preserve">Upadhyay, A. </w:t>
      </w:r>
      <w:r>
        <w:rPr>
          <w:i/>
          <w:color w:val="000000"/>
        </w:rPr>
        <w:t>et al.</w:t>
      </w:r>
      <w:r>
        <w:rPr>
          <w:color w:val="000000"/>
        </w:rPr>
        <w:t xml:space="preserve"> (2020) ‘A review of challenges and opportunities of blockchain adoption for operational excellence in the UK Automotive Industry’, </w:t>
      </w:r>
      <w:r>
        <w:rPr>
          <w:i/>
          <w:color w:val="000000"/>
        </w:rPr>
        <w:t>Journal of Global Operations and Strategic Sourcing</w:t>
      </w:r>
      <w:r>
        <w:rPr>
          <w:color w:val="000000"/>
        </w:rPr>
        <w:t xml:space="preserve">, 14(1), pp. 7–60. doi:10.1108/jgoss-05-2020-0024. </w:t>
      </w:r>
    </w:p>
    <w:p w14:paraId="0EF2D86E"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Whittington, R. </w:t>
      </w:r>
      <w:r>
        <w:rPr>
          <w:i/>
          <w:color w:val="000000"/>
        </w:rPr>
        <w:t>et al.</w:t>
      </w:r>
      <w:r>
        <w:rPr>
          <w:color w:val="000000"/>
        </w:rPr>
        <w:t xml:space="preserve"> (2023) </w:t>
      </w:r>
      <w:r>
        <w:rPr>
          <w:i/>
          <w:color w:val="000000"/>
        </w:rPr>
        <w:t>Exploring strategy: Text and cases</w:t>
      </w:r>
      <w:r>
        <w:rPr>
          <w:color w:val="000000"/>
        </w:rPr>
        <w:t xml:space="preserve">. Harlow, England: Pearson. </w:t>
      </w:r>
    </w:p>
    <w:p w14:paraId="7608939B" w14:textId="77777777" w:rsidR="00BA4D30" w:rsidRDefault="00436ADD">
      <w:pPr>
        <w:pBdr>
          <w:top w:val="nil"/>
          <w:left w:val="nil"/>
          <w:bottom w:val="nil"/>
          <w:right w:val="nil"/>
          <w:between w:val="nil"/>
        </w:pBdr>
        <w:spacing w:before="280" w:after="280"/>
        <w:ind w:left="567" w:hanging="567"/>
        <w:rPr>
          <w:color w:val="000000"/>
        </w:rPr>
      </w:pPr>
      <w:r>
        <w:rPr>
          <w:color w:val="000000"/>
        </w:rPr>
        <w:t xml:space="preserve">Xu, Y. (2024) ‘Strategic engagement and brand perception: An analysis of social media marketing in the luxury automobile industry’, </w:t>
      </w:r>
      <w:r>
        <w:rPr>
          <w:i/>
          <w:color w:val="000000"/>
        </w:rPr>
        <w:t>Advances in Economics, Management and Political Sciences</w:t>
      </w:r>
      <w:r>
        <w:rPr>
          <w:color w:val="000000"/>
        </w:rPr>
        <w:t xml:space="preserve">, 105(1), pp. 56–63. doi:10.54254/2754-1169/105/20241948. </w:t>
      </w:r>
    </w:p>
    <w:p w14:paraId="6B62F1B3" w14:textId="77777777" w:rsidR="00BA4D30" w:rsidRDefault="00BA4D30"/>
    <w:sectPr w:rsidR="00BA4D30" w:rsidSect="00770336">
      <w:footerReference w:type="defaul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3C5F7" w14:textId="77777777" w:rsidR="0093318D" w:rsidRDefault="0093318D">
      <w:pPr>
        <w:spacing w:after="0" w:line="240" w:lineRule="auto"/>
      </w:pPr>
      <w:r>
        <w:separator/>
      </w:r>
    </w:p>
  </w:endnote>
  <w:endnote w:type="continuationSeparator" w:id="0">
    <w:p w14:paraId="70340B4C" w14:textId="77777777" w:rsidR="0093318D" w:rsidRDefault="00933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2C34E" w14:textId="77777777" w:rsidR="00BA4D30" w:rsidRDefault="00BA4D30">
    <w:pPr>
      <w:pBdr>
        <w:top w:val="nil"/>
        <w:left w:val="nil"/>
        <w:bottom w:val="nil"/>
        <w:right w:val="nil"/>
        <w:between w:val="nil"/>
      </w:pBdr>
      <w:tabs>
        <w:tab w:val="center" w:pos="4513"/>
        <w:tab w:val="right" w:pos="9026"/>
      </w:tabs>
      <w:spacing w:after="0" w:line="240" w:lineRule="auto"/>
      <w:jc w:val="right"/>
      <w:rPr>
        <w:color w:val="000000"/>
      </w:rPr>
    </w:pPr>
  </w:p>
  <w:p w14:paraId="680A4E5D" w14:textId="77777777" w:rsidR="00BA4D30" w:rsidRDefault="00BA4D3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6EB32" w14:textId="77777777" w:rsidR="00BA4D30" w:rsidRDefault="0077033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436ADD">
      <w:rPr>
        <w:color w:val="000000"/>
      </w:rPr>
      <w:instrText>PAGE</w:instrText>
    </w:r>
    <w:r>
      <w:rPr>
        <w:color w:val="000000"/>
      </w:rPr>
      <w:fldChar w:fldCharType="separate"/>
    </w:r>
    <w:r w:rsidR="003B6F75">
      <w:rPr>
        <w:noProof/>
        <w:color w:val="000000"/>
      </w:rPr>
      <w:t>14</w:t>
    </w:r>
    <w:r>
      <w:rPr>
        <w:color w:val="000000"/>
      </w:rPr>
      <w:fldChar w:fldCharType="end"/>
    </w:r>
  </w:p>
  <w:p w14:paraId="19219836" w14:textId="77777777" w:rsidR="00BA4D30" w:rsidRDefault="00BA4D3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F8502" w14:textId="77777777" w:rsidR="0093318D" w:rsidRDefault="0093318D">
      <w:pPr>
        <w:spacing w:after="0" w:line="240" w:lineRule="auto"/>
      </w:pPr>
      <w:r>
        <w:separator/>
      </w:r>
    </w:p>
  </w:footnote>
  <w:footnote w:type="continuationSeparator" w:id="0">
    <w:p w14:paraId="6069D3C3" w14:textId="77777777" w:rsidR="0093318D" w:rsidRDefault="0093318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4D30"/>
    <w:rsid w:val="000415A3"/>
    <w:rsid w:val="003B6F75"/>
    <w:rsid w:val="00436ADD"/>
    <w:rsid w:val="00655659"/>
    <w:rsid w:val="00676FE7"/>
    <w:rsid w:val="00685196"/>
    <w:rsid w:val="00686AD5"/>
    <w:rsid w:val="00770336"/>
    <w:rsid w:val="007A144E"/>
    <w:rsid w:val="00823366"/>
    <w:rsid w:val="00883795"/>
    <w:rsid w:val="0093318D"/>
    <w:rsid w:val="009F6FDA"/>
    <w:rsid w:val="00AA4A0B"/>
    <w:rsid w:val="00BA4D30"/>
    <w:rsid w:val="00BE295B"/>
    <w:rsid w:val="00C630DB"/>
    <w:rsid w:val="00D3365B"/>
    <w:rsid w:val="00D40966"/>
    <w:rsid w:val="00E27B8B"/>
    <w:rsid w:val="00EB3DE5"/>
    <w:rsid w:val="00EC1B15"/>
    <w:rsid w:val="00EE2C6D"/>
    <w:rsid w:val="00F94EE7"/>
    <w:rsid w:val="00FC25A6"/>
    <w:rsid w:val="0B69D4BE"/>
    <w:rsid w:val="0BCD1846"/>
    <w:rsid w:val="0C7DFC2C"/>
    <w:rsid w:val="1FE1CE9D"/>
    <w:rsid w:val="22F0FB82"/>
    <w:rsid w:val="25BB19D3"/>
    <w:rsid w:val="28849577"/>
    <w:rsid w:val="2F9BFB10"/>
    <w:rsid w:val="49EB8A1D"/>
    <w:rsid w:val="570F8C74"/>
    <w:rsid w:val="5B64EC23"/>
    <w:rsid w:val="7319AA8C"/>
    <w:rsid w:val="782CEF1B"/>
    <w:rsid w:val="7DEE3F32"/>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99"/>
    <o:shapelayout v:ext="edit">
      <o:idmap v:ext="edit" data="1"/>
    </o:shapelayout>
  </w:shapeDefaults>
  <w:decimalSymbol w:val="."/>
  <w:listSeparator w:val=","/>
  <w14:docId w14:val="049A06B8"/>
  <w15:docId w15:val="{5C868CDE-C225-4C86-B027-68120839A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bn-BD"/>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937"/>
  </w:style>
  <w:style w:type="paragraph" w:styleId="Heading1">
    <w:name w:val="heading 1"/>
    <w:basedOn w:val="Normal"/>
    <w:next w:val="Normal"/>
    <w:link w:val="Heading1Char"/>
    <w:uiPriority w:val="9"/>
    <w:qFormat/>
    <w:rsid w:val="00193937"/>
    <w:pPr>
      <w:keepNext/>
      <w:keepLines/>
      <w:spacing w:before="360" w:after="80"/>
      <w:outlineLvl w:val="0"/>
    </w:pPr>
    <w:rPr>
      <w:rFonts w:eastAsiaTheme="majorEastAsia" w:cstheme="majorBidi"/>
      <w:b/>
      <w:sz w:val="32"/>
      <w:szCs w:val="40"/>
      <w:u w:val="single"/>
    </w:rPr>
  </w:style>
  <w:style w:type="paragraph" w:styleId="Heading2">
    <w:name w:val="heading 2"/>
    <w:basedOn w:val="Normal"/>
    <w:next w:val="Normal"/>
    <w:link w:val="Heading2Char"/>
    <w:uiPriority w:val="9"/>
    <w:unhideWhenUsed/>
    <w:qFormat/>
    <w:rsid w:val="00193937"/>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C3978"/>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7C3978"/>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C3978"/>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7C397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397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397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397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 3"/>
    <w:basedOn w:val="Heading3"/>
    <w:next w:val="Normal"/>
    <w:link w:val="TitleChar"/>
    <w:uiPriority w:val="10"/>
    <w:qFormat/>
    <w:rsid w:val="00193937"/>
    <w:pPr>
      <w:contextualSpacing/>
      <w:jc w:val="center"/>
    </w:pPr>
    <w:rPr>
      <w:b w:val="0"/>
      <w:spacing w:val="-10"/>
      <w:kern w:val="28"/>
      <w:sz w:val="24"/>
      <w:szCs w:val="56"/>
    </w:rPr>
  </w:style>
  <w:style w:type="character" w:customStyle="1" w:styleId="Heading1Char">
    <w:name w:val="Heading 1 Char"/>
    <w:basedOn w:val="DefaultParagraphFont"/>
    <w:link w:val="Heading1"/>
    <w:uiPriority w:val="9"/>
    <w:rsid w:val="00193937"/>
    <w:rPr>
      <w:rFonts w:ascii="Times New Roman" w:eastAsiaTheme="majorEastAsia" w:hAnsi="Times New Roman" w:cstheme="majorBidi"/>
      <w:b/>
      <w:sz w:val="32"/>
      <w:szCs w:val="40"/>
      <w:u w:val="single"/>
    </w:rPr>
  </w:style>
  <w:style w:type="character" w:customStyle="1" w:styleId="Heading2Char">
    <w:name w:val="Heading 2 Char"/>
    <w:basedOn w:val="DefaultParagraphFont"/>
    <w:link w:val="Heading2"/>
    <w:uiPriority w:val="9"/>
    <w:rsid w:val="00193937"/>
    <w:rPr>
      <w:rFonts w:ascii="Times New Roman" w:eastAsiaTheme="majorEastAsia" w:hAnsi="Times New Roman" w:cstheme="majorBidi"/>
      <w:b/>
      <w:sz w:val="28"/>
      <w:szCs w:val="32"/>
    </w:rPr>
  </w:style>
  <w:style w:type="character" w:customStyle="1" w:styleId="TitleChar">
    <w:name w:val="Title Char"/>
    <w:aliases w:val="H 3 Char"/>
    <w:basedOn w:val="DefaultParagraphFont"/>
    <w:link w:val="Title"/>
    <w:uiPriority w:val="10"/>
    <w:rsid w:val="00193937"/>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rsid w:val="007C3978"/>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7C397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C397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C39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9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9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3978"/>
    <w:rPr>
      <w:rFonts w:eastAsiaTheme="majorEastAsia" w:cstheme="majorBidi"/>
      <w:color w:val="272727" w:themeColor="text1" w:themeTint="D8"/>
    </w:rPr>
  </w:style>
  <w:style w:type="paragraph" w:styleId="Subtitle">
    <w:name w:val="Subtitle"/>
    <w:basedOn w:val="Normal"/>
    <w:next w:val="Normal"/>
    <w:link w:val="SubtitleChar"/>
    <w:uiPriority w:val="11"/>
    <w:qFormat/>
    <w:rsid w:val="00770336"/>
    <w:rPr>
      <w:rFonts w:ascii="Calibri" w:eastAsia="Calibri" w:hAnsi="Calibri" w:cs="Calibri"/>
      <w:color w:val="595959"/>
      <w:sz w:val="28"/>
      <w:szCs w:val="28"/>
    </w:rPr>
  </w:style>
  <w:style w:type="character" w:customStyle="1" w:styleId="SubtitleChar">
    <w:name w:val="Subtitle Char"/>
    <w:basedOn w:val="DefaultParagraphFont"/>
    <w:link w:val="Subtitle"/>
    <w:uiPriority w:val="11"/>
    <w:rsid w:val="007C39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978"/>
    <w:pPr>
      <w:spacing w:before="160"/>
      <w:jc w:val="center"/>
    </w:pPr>
    <w:rPr>
      <w:i/>
      <w:iCs/>
      <w:color w:val="404040" w:themeColor="text1" w:themeTint="BF"/>
    </w:rPr>
  </w:style>
  <w:style w:type="character" w:customStyle="1" w:styleId="QuoteChar">
    <w:name w:val="Quote Char"/>
    <w:basedOn w:val="DefaultParagraphFont"/>
    <w:link w:val="Quote"/>
    <w:uiPriority w:val="29"/>
    <w:rsid w:val="007C3978"/>
    <w:rPr>
      <w:rFonts w:ascii="Times New Roman" w:hAnsi="Times New Roman"/>
      <w:i/>
      <w:iCs/>
      <w:color w:val="404040" w:themeColor="text1" w:themeTint="BF"/>
    </w:rPr>
  </w:style>
  <w:style w:type="paragraph" w:styleId="ListParagraph">
    <w:name w:val="List Paragraph"/>
    <w:basedOn w:val="Normal"/>
    <w:uiPriority w:val="34"/>
    <w:qFormat/>
    <w:rsid w:val="007C3978"/>
    <w:pPr>
      <w:ind w:left="720"/>
      <w:contextualSpacing/>
    </w:pPr>
  </w:style>
  <w:style w:type="character" w:styleId="IntenseEmphasis">
    <w:name w:val="Intense Emphasis"/>
    <w:basedOn w:val="DefaultParagraphFont"/>
    <w:uiPriority w:val="21"/>
    <w:qFormat/>
    <w:rsid w:val="007C3978"/>
    <w:rPr>
      <w:i/>
      <w:iCs/>
      <w:color w:val="2E74B5" w:themeColor="accent1" w:themeShade="BF"/>
    </w:rPr>
  </w:style>
  <w:style w:type="paragraph" w:styleId="IntenseQuote">
    <w:name w:val="Intense Quote"/>
    <w:basedOn w:val="Normal"/>
    <w:next w:val="Normal"/>
    <w:link w:val="IntenseQuoteChar"/>
    <w:uiPriority w:val="30"/>
    <w:qFormat/>
    <w:rsid w:val="007C397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C3978"/>
    <w:rPr>
      <w:rFonts w:ascii="Times New Roman" w:hAnsi="Times New Roman"/>
      <w:i/>
      <w:iCs/>
      <w:color w:val="2E74B5" w:themeColor="accent1" w:themeShade="BF"/>
    </w:rPr>
  </w:style>
  <w:style w:type="character" w:styleId="IntenseReference">
    <w:name w:val="Intense Reference"/>
    <w:basedOn w:val="DefaultParagraphFont"/>
    <w:uiPriority w:val="32"/>
    <w:qFormat/>
    <w:rsid w:val="007C3978"/>
    <w:rPr>
      <w:b/>
      <w:bCs/>
      <w:smallCaps/>
      <w:color w:val="2E74B5" w:themeColor="accent1" w:themeShade="BF"/>
      <w:spacing w:val="5"/>
    </w:rPr>
  </w:style>
  <w:style w:type="paragraph" w:styleId="Caption">
    <w:name w:val="caption"/>
    <w:basedOn w:val="Normal"/>
    <w:next w:val="Normal"/>
    <w:uiPriority w:val="35"/>
    <w:unhideWhenUsed/>
    <w:qFormat/>
    <w:rsid w:val="00B66AF2"/>
    <w:pPr>
      <w:spacing w:after="200" w:line="240" w:lineRule="auto"/>
    </w:pPr>
    <w:rPr>
      <w:i/>
      <w:iCs/>
      <w:color w:val="44546A" w:themeColor="text2"/>
      <w:sz w:val="18"/>
      <w:szCs w:val="18"/>
    </w:rPr>
  </w:style>
  <w:style w:type="paragraph" w:styleId="NormalWeb">
    <w:name w:val="Normal (Web)"/>
    <w:basedOn w:val="Normal"/>
    <w:uiPriority w:val="99"/>
    <w:semiHidden/>
    <w:unhideWhenUsed/>
    <w:rsid w:val="0084716B"/>
    <w:pPr>
      <w:spacing w:before="100" w:beforeAutospacing="1" w:after="100" w:afterAutospacing="1" w:line="240" w:lineRule="auto"/>
      <w:jc w:val="left"/>
    </w:pPr>
    <w:rPr>
      <w:lang w:eastAsia="en-GB"/>
    </w:rPr>
  </w:style>
  <w:style w:type="paragraph" w:styleId="TOCHeading">
    <w:name w:val="TOC Heading"/>
    <w:basedOn w:val="Heading1"/>
    <w:next w:val="Normal"/>
    <w:uiPriority w:val="39"/>
    <w:unhideWhenUsed/>
    <w:qFormat/>
    <w:rsid w:val="0063458A"/>
    <w:pPr>
      <w:spacing w:before="240" w:after="0" w:line="259" w:lineRule="auto"/>
      <w:jc w:val="left"/>
      <w:outlineLvl w:val="9"/>
    </w:pPr>
    <w:rPr>
      <w:rFonts w:asciiTheme="majorHAnsi" w:hAnsiTheme="majorHAnsi"/>
      <w:b w:val="0"/>
      <w:color w:val="2E74B5" w:themeColor="accent1" w:themeShade="BF"/>
      <w:szCs w:val="32"/>
      <w:u w:val="none"/>
      <w:lang w:val="en-US"/>
    </w:rPr>
  </w:style>
  <w:style w:type="paragraph" w:styleId="TOC1">
    <w:name w:val="toc 1"/>
    <w:basedOn w:val="Normal"/>
    <w:next w:val="Normal"/>
    <w:autoRedefine/>
    <w:uiPriority w:val="39"/>
    <w:unhideWhenUsed/>
    <w:rsid w:val="0063458A"/>
    <w:pPr>
      <w:spacing w:after="100"/>
    </w:pPr>
  </w:style>
  <w:style w:type="paragraph" w:styleId="TOC2">
    <w:name w:val="toc 2"/>
    <w:basedOn w:val="Normal"/>
    <w:next w:val="Normal"/>
    <w:autoRedefine/>
    <w:uiPriority w:val="39"/>
    <w:unhideWhenUsed/>
    <w:rsid w:val="0063458A"/>
    <w:pPr>
      <w:spacing w:after="100"/>
      <w:ind w:left="240"/>
    </w:pPr>
  </w:style>
  <w:style w:type="paragraph" w:styleId="TOC3">
    <w:name w:val="toc 3"/>
    <w:basedOn w:val="Normal"/>
    <w:next w:val="Normal"/>
    <w:autoRedefine/>
    <w:uiPriority w:val="39"/>
    <w:unhideWhenUsed/>
    <w:rsid w:val="0063458A"/>
    <w:pPr>
      <w:spacing w:after="100"/>
      <w:ind w:left="480"/>
    </w:pPr>
  </w:style>
  <w:style w:type="character" w:styleId="Hyperlink">
    <w:name w:val="Hyperlink"/>
    <w:basedOn w:val="DefaultParagraphFont"/>
    <w:uiPriority w:val="99"/>
    <w:unhideWhenUsed/>
    <w:rsid w:val="0063458A"/>
    <w:rPr>
      <w:color w:val="0563C1" w:themeColor="hyperlink"/>
      <w:u w:val="single"/>
    </w:rPr>
  </w:style>
  <w:style w:type="paragraph" w:styleId="Header">
    <w:name w:val="header"/>
    <w:basedOn w:val="Normal"/>
    <w:link w:val="HeaderChar"/>
    <w:uiPriority w:val="99"/>
    <w:unhideWhenUsed/>
    <w:rsid w:val="00634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58A"/>
    <w:rPr>
      <w:rFonts w:ascii="Times New Roman" w:hAnsi="Times New Roman"/>
    </w:rPr>
  </w:style>
  <w:style w:type="paragraph" w:styleId="Footer">
    <w:name w:val="footer"/>
    <w:basedOn w:val="Normal"/>
    <w:link w:val="FooterChar"/>
    <w:uiPriority w:val="99"/>
    <w:unhideWhenUsed/>
    <w:rsid w:val="00634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58A"/>
    <w:rPr>
      <w:rFonts w:ascii="Times New Roman" w:hAnsi="Times New Roman"/>
    </w:rPr>
  </w:style>
  <w:style w:type="paragraph" w:styleId="CommentText">
    <w:name w:val="annotation text"/>
    <w:basedOn w:val="Normal"/>
    <w:link w:val="CommentTextChar"/>
    <w:uiPriority w:val="99"/>
    <w:semiHidden/>
    <w:unhideWhenUsed/>
    <w:rsid w:val="00770336"/>
    <w:pPr>
      <w:spacing w:line="240" w:lineRule="auto"/>
    </w:pPr>
    <w:rPr>
      <w:sz w:val="20"/>
      <w:szCs w:val="25"/>
    </w:rPr>
  </w:style>
  <w:style w:type="character" w:customStyle="1" w:styleId="CommentTextChar">
    <w:name w:val="Comment Text Char"/>
    <w:basedOn w:val="DefaultParagraphFont"/>
    <w:link w:val="CommentText"/>
    <w:uiPriority w:val="99"/>
    <w:semiHidden/>
    <w:rsid w:val="00770336"/>
    <w:rPr>
      <w:sz w:val="20"/>
      <w:szCs w:val="25"/>
    </w:rPr>
  </w:style>
  <w:style w:type="character" w:styleId="CommentReference">
    <w:name w:val="annotation reference"/>
    <w:basedOn w:val="DefaultParagraphFont"/>
    <w:uiPriority w:val="99"/>
    <w:semiHidden/>
    <w:unhideWhenUsed/>
    <w:rsid w:val="00770336"/>
    <w:rPr>
      <w:sz w:val="16"/>
      <w:szCs w:val="16"/>
    </w:rPr>
  </w:style>
  <w:style w:type="paragraph" w:styleId="BalloonText">
    <w:name w:val="Balloon Text"/>
    <w:basedOn w:val="Normal"/>
    <w:link w:val="BalloonTextChar"/>
    <w:uiPriority w:val="99"/>
    <w:semiHidden/>
    <w:unhideWhenUsed/>
    <w:rsid w:val="003B6F75"/>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B6F75"/>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dpLjAIm3M+OvB9FHZPQzkrYVjw==">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</go:docsCustomData>
</go:gDocsCustomXmlDataStorage>
</file>

<file path=customXml/itemProps1.xml><?xml version="1.0" encoding="utf-8"?>
<ds:datastoreItem xmlns:ds="http://schemas.openxmlformats.org/officeDocument/2006/customXml" ds:itemID="{FA1F8375-980F-BA45-BCA9-378AD28FCE1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17</Pages>
  <Words>3968</Words>
  <Characters>22618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Ionela Vilcea (2228224)</cp:lastModifiedBy>
  <cp:revision>10</cp:revision>
  <dcterms:created xsi:type="dcterms:W3CDTF">2025-06-01T10:02:00Z</dcterms:created>
  <dcterms:modified xsi:type="dcterms:W3CDTF">2025-06-23T19:21:00Z</dcterms:modified>
</cp:coreProperties>
</file>