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rPr>
        <w:id w:val="1684392943"/>
        <w:docPartObj>
          <w:docPartGallery w:val="Cover Pages"/>
          <w:docPartUnique/>
        </w:docPartObj>
      </w:sdtPr>
      <w:sdtEndPr>
        <w:rPr>
          <w:rFonts w:asciiTheme="minorHAnsi" w:eastAsiaTheme="minorHAnsi" w:hAnsiTheme="minorHAnsi" w:cstheme="minorBidi"/>
        </w:rPr>
      </w:sdtEndPr>
      <w:sdtContent>
        <w:p w:rsidR="00065B51" w:rsidRPr="00065B51" w:rsidRDefault="00065B51" w:rsidP="00065B51">
          <w:pPr>
            <w:spacing w:line="600" w:lineRule="auto"/>
            <w:rPr>
              <w:rFonts w:cs="Times New Roman"/>
              <w:szCs w:val="24"/>
              <w:shd w:val="clear" w:color="auto" w:fill="FFFFFF"/>
            </w:rPr>
          </w:pPr>
          <w:r>
            <w:rPr>
              <w:rFonts w:cs="Times New Roman"/>
              <w:b/>
              <w:noProof/>
              <w:szCs w:val="24"/>
              <w:lang w:val="de-DE" w:eastAsia="de-DE"/>
            </w:rPr>
            <w:drawing>
              <wp:inline distT="0" distB="0" distL="0" distR="0">
                <wp:extent cx="5443855" cy="2147570"/>
                <wp:effectExtent l="0" t="0" r="4445" b="508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43855" cy="2147570"/>
                        </a:xfrm>
                        <a:prstGeom prst="rect">
                          <a:avLst/>
                        </a:prstGeom>
                        <a:noFill/>
                        <a:ln>
                          <a:noFill/>
                        </a:ln>
                      </pic:spPr>
                    </pic:pic>
                  </a:graphicData>
                </a:graphic>
              </wp:inline>
            </w:drawing>
          </w:r>
        </w:p>
        <w:sdt>
          <w:sdtPr>
            <w:rPr>
              <w:rFonts w:asciiTheme="majorHAnsi" w:eastAsiaTheme="majorEastAsia" w:hAnsiTheme="majorHAnsi" w:cstheme="majorBidi"/>
              <w:color w:val="4F81BD" w:themeColor="accent1"/>
              <w:sz w:val="36"/>
              <w:szCs w:val="36"/>
            </w:rPr>
            <w:alias w:val="Title"/>
            <w:id w:val="-1275321673"/>
            <w:dataBinding w:prefixMappings="xmlns:ns0='http://schemas.openxmlformats.org/package/2006/metadata/core-properties' xmlns:ns1='http://purl.org/dc/elements/1.1/'" w:xpath="/ns0:coreProperties[1]/ns1:title[1]" w:storeItemID="{6C3C8BC8-F283-45AE-878A-BAB7291924A1}"/>
            <w:text/>
          </w:sdtPr>
          <w:sdtEndPr/>
          <w:sdtContent>
            <w:p w:rsidR="00065B51" w:rsidRPr="00065B51" w:rsidRDefault="00065B51" w:rsidP="00065B51">
              <w:pPr>
                <w:pStyle w:val="KeinLeerraum"/>
                <w:rPr>
                  <w:rFonts w:asciiTheme="majorHAnsi" w:eastAsiaTheme="majorEastAsia" w:hAnsiTheme="majorHAnsi" w:cstheme="majorBidi"/>
                  <w:color w:val="4F81BD" w:themeColor="accent1"/>
                  <w:sz w:val="36"/>
                  <w:szCs w:val="36"/>
                </w:rPr>
              </w:pPr>
              <w:r w:rsidRPr="00065B51">
                <w:rPr>
                  <w:rFonts w:asciiTheme="majorHAnsi" w:eastAsiaTheme="majorEastAsia" w:hAnsiTheme="majorHAnsi" w:cstheme="majorBidi"/>
                  <w:color w:val="4F81BD" w:themeColor="accent1"/>
                  <w:sz w:val="36"/>
                  <w:szCs w:val="36"/>
                </w:rPr>
                <w:t xml:space="preserve">The Impact of E-banking Services on Customer Satisfaction during the </w:t>
              </w:r>
              <w:r w:rsidR="007F6ABD" w:rsidRPr="00065B51">
                <w:rPr>
                  <w:rFonts w:asciiTheme="majorHAnsi" w:eastAsiaTheme="majorEastAsia" w:hAnsiTheme="majorHAnsi" w:cstheme="majorBidi"/>
                  <w:color w:val="4F81BD" w:themeColor="accent1"/>
                  <w:sz w:val="36"/>
                  <w:szCs w:val="36"/>
                </w:rPr>
                <w:t>Pandemic:</w:t>
              </w:r>
              <w:r w:rsidRPr="00065B51">
                <w:rPr>
                  <w:rFonts w:asciiTheme="majorHAnsi" w:eastAsiaTheme="majorEastAsia" w:hAnsiTheme="majorHAnsi" w:cstheme="majorBidi"/>
                  <w:color w:val="4F81BD" w:themeColor="accent1"/>
                  <w:sz w:val="36"/>
                  <w:szCs w:val="36"/>
                </w:rPr>
                <w:t xml:space="preserve"> Case of Lebanese Banks</w:t>
              </w:r>
            </w:p>
          </w:sdtContent>
        </w:sdt>
        <w:p w:rsidR="00065B51" w:rsidRDefault="00065B51" w:rsidP="00065B51">
          <w:pPr>
            <w:spacing w:line="600" w:lineRule="auto"/>
            <w:jc w:val="center"/>
            <w:rPr>
              <w:rFonts w:cs="Times New Roman"/>
              <w:szCs w:val="24"/>
              <w:shd w:val="clear" w:color="auto" w:fill="FFFFFF"/>
            </w:rPr>
          </w:pPr>
        </w:p>
        <w:p w:rsidR="00065B51" w:rsidRPr="00065B51" w:rsidRDefault="00065B51" w:rsidP="00065B51">
          <w:pPr>
            <w:spacing w:line="600" w:lineRule="auto"/>
            <w:jc w:val="center"/>
            <w:rPr>
              <w:rFonts w:cs="Times New Roman"/>
              <w:sz w:val="28"/>
              <w:szCs w:val="28"/>
              <w:shd w:val="clear" w:color="auto" w:fill="FFFFFF"/>
            </w:rPr>
          </w:pPr>
          <w:r w:rsidRPr="00065B51">
            <w:rPr>
              <w:rFonts w:cs="Times New Roman"/>
              <w:sz w:val="28"/>
              <w:szCs w:val="28"/>
              <w:shd w:val="clear" w:color="auto" w:fill="FFFFFF"/>
            </w:rPr>
            <w:t xml:space="preserve"> Amir El Khalil</w:t>
          </w:r>
        </w:p>
        <w:p w:rsidR="00065B51" w:rsidRPr="00065B51" w:rsidRDefault="00065B51" w:rsidP="00065B51">
          <w:pPr>
            <w:spacing w:line="600" w:lineRule="auto"/>
            <w:jc w:val="center"/>
            <w:rPr>
              <w:rFonts w:cs="Times New Roman"/>
              <w:sz w:val="28"/>
              <w:szCs w:val="28"/>
              <w:shd w:val="clear" w:color="auto" w:fill="FFFFFF"/>
            </w:rPr>
          </w:pPr>
          <w:r w:rsidRPr="00065B51">
            <w:rPr>
              <w:rFonts w:cs="Times New Roman"/>
              <w:sz w:val="28"/>
              <w:szCs w:val="28"/>
              <w:shd w:val="clear" w:color="auto" w:fill="FFFFFF"/>
            </w:rPr>
            <w:t>ID Number: 1808710</w:t>
          </w:r>
        </w:p>
        <w:p w:rsidR="00065B51" w:rsidRPr="00065B51" w:rsidRDefault="00065B51" w:rsidP="00065B51">
          <w:pPr>
            <w:spacing w:line="600" w:lineRule="auto"/>
            <w:jc w:val="center"/>
            <w:rPr>
              <w:rFonts w:cs="Times New Roman"/>
              <w:sz w:val="28"/>
              <w:szCs w:val="28"/>
              <w:shd w:val="clear" w:color="auto" w:fill="FFFFFF"/>
            </w:rPr>
          </w:pPr>
          <w:r w:rsidRPr="00065B51">
            <w:rPr>
              <w:rFonts w:cs="Times New Roman"/>
              <w:sz w:val="28"/>
              <w:szCs w:val="28"/>
              <w:shd w:val="clear" w:color="auto" w:fill="FFFFFF"/>
            </w:rPr>
            <w:t>University of Wales Trinity Saint David</w:t>
          </w:r>
        </w:p>
        <w:p w:rsidR="00065B51" w:rsidRPr="00065B51" w:rsidRDefault="00065B51" w:rsidP="00065B51">
          <w:pPr>
            <w:spacing w:line="600" w:lineRule="auto"/>
            <w:jc w:val="center"/>
            <w:rPr>
              <w:rFonts w:cstheme="minorHAnsi"/>
              <w:sz w:val="28"/>
              <w:szCs w:val="28"/>
              <w:shd w:val="clear" w:color="auto" w:fill="FFFFFF"/>
            </w:rPr>
          </w:pPr>
          <w:r w:rsidRPr="00065B51">
            <w:rPr>
              <w:rFonts w:cstheme="minorHAnsi"/>
              <w:sz w:val="28"/>
              <w:szCs w:val="28"/>
              <w:shd w:val="clear" w:color="auto" w:fill="FFFFFF"/>
            </w:rPr>
            <w:t xml:space="preserve">Dr. </w:t>
          </w:r>
          <w:r w:rsidRPr="00065B51">
            <w:rPr>
              <w:rFonts w:cstheme="minorHAnsi"/>
              <w:sz w:val="28"/>
              <w:szCs w:val="28"/>
            </w:rPr>
            <w:t>Roisin Mullins</w:t>
          </w:r>
        </w:p>
        <w:p w:rsidR="00065B51" w:rsidRPr="00065B51" w:rsidRDefault="00065B51" w:rsidP="00065B51">
          <w:pPr>
            <w:spacing w:line="600" w:lineRule="auto"/>
            <w:jc w:val="center"/>
            <w:rPr>
              <w:rFonts w:cs="Times New Roman"/>
              <w:sz w:val="28"/>
              <w:szCs w:val="28"/>
              <w:shd w:val="clear" w:color="auto" w:fill="FFFFFF"/>
            </w:rPr>
          </w:pPr>
          <w:r w:rsidRPr="00065B51">
            <w:rPr>
              <w:rFonts w:cs="Times New Roman"/>
              <w:sz w:val="28"/>
              <w:szCs w:val="28"/>
              <w:shd w:val="clear" w:color="auto" w:fill="FFFFFF"/>
            </w:rPr>
            <w:t>Date: 31.05.2021</w:t>
          </w:r>
        </w:p>
        <w:p w:rsidR="00065B51" w:rsidRDefault="00065B51" w:rsidP="00065B51">
          <w:pPr>
            <w:spacing w:line="600" w:lineRule="auto"/>
            <w:jc w:val="center"/>
            <w:rPr>
              <w:rFonts w:cs="Times New Roman"/>
              <w:szCs w:val="24"/>
              <w:shd w:val="clear" w:color="auto" w:fill="FFFFFF"/>
            </w:rPr>
          </w:pPr>
        </w:p>
        <w:p w:rsidR="00D84BB3" w:rsidRPr="00065B51" w:rsidRDefault="00BD262E" w:rsidP="00065B51">
          <w:pPr>
            <w:spacing w:line="600" w:lineRule="auto"/>
            <w:rPr>
              <w:rFonts w:cs="Times New Roman"/>
              <w:szCs w:val="24"/>
              <w:shd w:val="clear" w:color="auto" w:fill="FFFFFF"/>
            </w:rPr>
          </w:pPr>
        </w:p>
      </w:sdtContent>
    </w:sdt>
    <w:bookmarkStart w:id="0" w:name="_Toc481582365" w:displacedByCustomXml="prev"/>
    <w:bookmarkStart w:id="1" w:name="_Toc450327105" w:displacedByCustomXml="prev"/>
    <w:p w:rsidR="00D84BB3" w:rsidRPr="00992330" w:rsidRDefault="00D84BB3" w:rsidP="00992330">
      <w:pPr>
        <w:spacing w:line="480" w:lineRule="auto"/>
        <w:jc w:val="center"/>
        <w:rPr>
          <w:rFonts w:asciiTheme="majorBidi" w:hAnsiTheme="majorBidi" w:cstheme="majorBidi"/>
          <w:b/>
          <w:bCs/>
          <w:sz w:val="32"/>
          <w:szCs w:val="32"/>
          <w:lang w:val="en-GB"/>
        </w:rPr>
      </w:pPr>
      <w:r w:rsidRPr="00D84BB3">
        <w:rPr>
          <w:rFonts w:asciiTheme="majorBidi" w:hAnsiTheme="majorBidi" w:cstheme="majorBidi"/>
          <w:b/>
          <w:bCs/>
          <w:sz w:val="32"/>
          <w:szCs w:val="32"/>
          <w:lang w:val="en-GB"/>
        </w:rPr>
        <w:lastRenderedPageBreak/>
        <w:t>Declaration</w:t>
      </w:r>
      <w:bookmarkEnd w:id="1"/>
      <w:bookmarkEnd w:id="0"/>
    </w:p>
    <w:p w:rsidR="00D84BB3" w:rsidRDefault="00D84BB3" w:rsidP="00EB5787">
      <w:pPr>
        <w:spacing w:line="480" w:lineRule="auto"/>
        <w:jc w:val="both"/>
        <w:rPr>
          <w:rFonts w:asciiTheme="majorBidi" w:hAnsiTheme="majorBidi" w:cstheme="majorBidi"/>
          <w:sz w:val="24"/>
          <w:szCs w:val="24"/>
          <w:lang w:val="en-GB"/>
        </w:rPr>
      </w:pPr>
      <w:r w:rsidRPr="00992330">
        <w:rPr>
          <w:rFonts w:asciiTheme="majorBidi" w:hAnsiTheme="majorBidi" w:cstheme="majorBidi"/>
          <w:sz w:val="24"/>
          <w:szCs w:val="24"/>
          <w:lang w:val="en-GB"/>
        </w:rPr>
        <w:t>This work has not previously been accepted in substance for any degree and is not being concurrently submitted in candidature for any degree</w:t>
      </w:r>
    </w:p>
    <w:p w:rsidR="00EB5787" w:rsidRPr="00992330" w:rsidRDefault="00EB5787" w:rsidP="00EB5787">
      <w:pPr>
        <w:spacing w:line="480" w:lineRule="auto"/>
        <w:jc w:val="both"/>
        <w:rPr>
          <w:rFonts w:asciiTheme="majorBidi" w:hAnsiTheme="majorBidi" w:cstheme="majorBidi"/>
          <w:sz w:val="24"/>
          <w:szCs w:val="24"/>
          <w:lang w:val="en-GB"/>
        </w:rPr>
      </w:pPr>
    </w:p>
    <w:p w:rsidR="00D84BB3" w:rsidRPr="00992330" w:rsidRDefault="00D84BB3" w:rsidP="00992330">
      <w:pPr>
        <w:spacing w:line="480" w:lineRule="auto"/>
        <w:jc w:val="both"/>
        <w:rPr>
          <w:rFonts w:asciiTheme="majorBidi" w:hAnsiTheme="majorBidi" w:cstheme="majorBidi"/>
          <w:sz w:val="24"/>
          <w:szCs w:val="24"/>
          <w:lang w:val="en-GB"/>
        </w:rPr>
      </w:pPr>
      <w:r w:rsidRPr="00992330">
        <w:rPr>
          <w:rFonts w:asciiTheme="majorBidi" w:hAnsiTheme="majorBidi" w:cstheme="majorBidi"/>
          <w:sz w:val="24"/>
          <w:szCs w:val="24"/>
          <w:lang w:val="en-GB"/>
        </w:rPr>
        <w:t xml:space="preserve">Signed: </w:t>
      </w:r>
      <w:r w:rsidRPr="00992330">
        <w:rPr>
          <w:rFonts w:asciiTheme="majorBidi" w:hAnsiTheme="majorBidi" w:cstheme="majorBidi"/>
          <w:sz w:val="24"/>
          <w:szCs w:val="24"/>
          <w:lang w:val="de-DE"/>
        </w:rPr>
        <w:t>Amir Mohammad Kheir El Khalil</w:t>
      </w:r>
    </w:p>
    <w:p w:rsidR="00D84BB3" w:rsidRDefault="00D84BB3" w:rsidP="00EB5787">
      <w:pPr>
        <w:spacing w:line="480" w:lineRule="auto"/>
        <w:jc w:val="both"/>
        <w:rPr>
          <w:rFonts w:asciiTheme="majorBidi" w:hAnsiTheme="majorBidi" w:cstheme="majorBidi"/>
          <w:sz w:val="24"/>
          <w:szCs w:val="24"/>
          <w:lang w:val="en-GB"/>
        </w:rPr>
      </w:pPr>
      <w:r w:rsidRPr="00992330">
        <w:rPr>
          <w:rFonts w:asciiTheme="majorBidi" w:hAnsiTheme="majorBidi" w:cstheme="majorBidi"/>
          <w:sz w:val="24"/>
          <w:szCs w:val="24"/>
          <w:lang w:val="en-GB"/>
        </w:rPr>
        <w:t>Date: 28/05/2021</w:t>
      </w:r>
    </w:p>
    <w:p w:rsidR="00EB5787" w:rsidRPr="00EB5787" w:rsidRDefault="00EB5787" w:rsidP="00EB5787">
      <w:pPr>
        <w:spacing w:line="480" w:lineRule="auto"/>
        <w:jc w:val="both"/>
        <w:rPr>
          <w:rFonts w:asciiTheme="majorBidi" w:hAnsiTheme="majorBidi" w:cstheme="majorBidi"/>
          <w:sz w:val="24"/>
          <w:szCs w:val="24"/>
          <w:lang w:val="en-GB"/>
        </w:rPr>
      </w:pPr>
    </w:p>
    <w:p w:rsidR="00D84BB3" w:rsidRPr="00992330" w:rsidRDefault="00D84BB3" w:rsidP="00992330">
      <w:pPr>
        <w:spacing w:line="480" w:lineRule="auto"/>
        <w:jc w:val="both"/>
        <w:rPr>
          <w:rFonts w:asciiTheme="majorBidi" w:hAnsiTheme="majorBidi" w:cstheme="majorBidi"/>
          <w:b/>
          <w:sz w:val="24"/>
          <w:szCs w:val="24"/>
          <w:lang w:val="en-GB"/>
        </w:rPr>
      </w:pPr>
      <w:r w:rsidRPr="00992330">
        <w:rPr>
          <w:rFonts w:asciiTheme="majorBidi" w:hAnsiTheme="majorBidi" w:cstheme="majorBidi"/>
          <w:b/>
          <w:sz w:val="24"/>
          <w:szCs w:val="24"/>
          <w:lang w:val="en-GB"/>
        </w:rPr>
        <w:t xml:space="preserve">STATEMENT 1 </w:t>
      </w:r>
    </w:p>
    <w:p w:rsidR="00D84BB3" w:rsidRPr="00992330" w:rsidRDefault="00D84BB3" w:rsidP="00992330">
      <w:pPr>
        <w:spacing w:line="480" w:lineRule="auto"/>
        <w:jc w:val="both"/>
        <w:rPr>
          <w:rFonts w:asciiTheme="majorBidi" w:hAnsiTheme="majorBidi" w:cstheme="majorBidi"/>
          <w:sz w:val="24"/>
          <w:szCs w:val="24"/>
          <w:lang w:val="en-GB"/>
        </w:rPr>
      </w:pPr>
      <w:r w:rsidRPr="00992330">
        <w:rPr>
          <w:rFonts w:asciiTheme="majorBidi" w:hAnsiTheme="majorBidi" w:cstheme="majorBidi"/>
          <w:sz w:val="24"/>
          <w:szCs w:val="24"/>
          <w:lang w:val="en-GB"/>
        </w:rPr>
        <w:t>This dissertation is being submitted in partial fulfil</w:t>
      </w:r>
      <w:r w:rsidR="00BC0353">
        <w:rPr>
          <w:rFonts w:asciiTheme="majorBidi" w:hAnsiTheme="majorBidi" w:cstheme="majorBidi"/>
          <w:sz w:val="24"/>
          <w:szCs w:val="24"/>
          <w:lang w:val="en-GB"/>
        </w:rPr>
        <w:t>l</w:t>
      </w:r>
      <w:r w:rsidRPr="00992330">
        <w:rPr>
          <w:rFonts w:asciiTheme="majorBidi" w:hAnsiTheme="majorBidi" w:cstheme="majorBidi"/>
          <w:sz w:val="24"/>
          <w:szCs w:val="24"/>
          <w:lang w:val="en-GB"/>
        </w:rPr>
        <w:t>ment of the requirements for the degree of BA.</w:t>
      </w:r>
    </w:p>
    <w:p w:rsidR="00D84BB3" w:rsidRPr="00992330" w:rsidRDefault="00D84BB3" w:rsidP="00992330">
      <w:pPr>
        <w:spacing w:line="480" w:lineRule="auto"/>
        <w:jc w:val="both"/>
        <w:rPr>
          <w:rFonts w:asciiTheme="majorBidi" w:hAnsiTheme="majorBidi" w:cstheme="majorBidi"/>
          <w:sz w:val="24"/>
          <w:szCs w:val="24"/>
          <w:lang w:val="en-GB"/>
        </w:rPr>
      </w:pPr>
      <w:r w:rsidRPr="00992330">
        <w:rPr>
          <w:rFonts w:asciiTheme="majorBidi" w:hAnsiTheme="majorBidi" w:cstheme="majorBidi"/>
          <w:sz w:val="24"/>
          <w:szCs w:val="24"/>
          <w:lang w:val="en-GB"/>
        </w:rPr>
        <w:t xml:space="preserve">Signed: </w:t>
      </w:r>
      <w:r w:rsidRPr="00992330">
        <w:rPr>
          <w:rFonts w:asciiTheme="majorBidi" w:hAnsiTheme="majorBidi" w:cstheme="majorBidi"/>
          <w:sz w:val="24"/>
          <w:szCs w:val="24"/>
          <w:lang w:val="de-DE"/>
        </w:rPr>
        <w:t>Amir Mohammad Kheir El Khalil</w:t>
      </w:r>
    </w:p>
    <w:p w:rsidR="00D84BB3" w:rsidRPr="00992330" w:rsidRDefault="00D84BB3" w:rsidP="00992330">
      <w:pPr>
        <w:spacing w:line="480" w:lineRule="auto"/>
        <w:jc w:val="both"/>
        <w:rPr>
          <w:rFonts w:asciiTheme="majorBidi" w:hAnsiTheme="majorBidi" w:cstheme="majorBidi"/>
          <w:sz w:val="24"/>
          <w:szCs w:val="24"/>
          <w:lang w:val="en-GB"/>
        </w:rPr>
      </w:pPr>
      <w:r w:rsidRPr="00992330">
        <w:rPr>
          <w:rFonts w:asciiTheme="majorBidi" w:hAnsiTheme="majorBidi" w:cstheme="majorBidi"/>
          <w:sz w:val="24"/>
          <w:szCs w:val="24"/>
          <w:lang w:val="en-GB"/>
        </w:rPr>
        <w:t>Date: 28/05/2021</w:t>
      </w:r>
    </w:p>
    <w:p w:rsidR="00D84BB3" w:rsidRPr="00992330" w:rsidRDefault="00D84BB3" w:rsidP="00992330">
      <w:pPr>
        <w:spacing w:line="480" w:lineRule="auto"/>
        <w:jc w:val="both"/>
        <w:rPr>
          <w:rFonts w:asciiTheme="majorBidi" w:hAnsiTheme="majorBidi" w:cstheme="majorBidi"/>
          <w:sz w:val="24"/>
          <w:szCs w:val="24"/>
          <w:lang w:val="en-GB"/>
        </w:rPr>
      </w:pPr>
    </w:p>
    <w:p w:rsidR="00D84BB3" w:rsidRPr="00992330" w:rsidRDefault="00D84BB3" w:rsidP="00992330">
      <w:pPr>
        <w:spacing w:line="480" w:lineRule="auto"/>
        <w:jc w:val="both"/>
        <w:rPr>
          <w:rFonts w:asciiTheme="majorBidi" w:hAnsiTheme="majorBidi" w:cstheme="majorBidi"/>
          <w:b/>
          <w:sz w:val="24"/>
          <w:szCs w:val="24"/>
          <w:lang w:val="en-GB"/>
        </w:rPr>
      </w:pPr>
      <w:r w:rsidRPr="00992330">
        <w:rPr>
          <w:rFonts w:asciiTheme="majorBidi" w:hAnsiTheme="majorBidi" w:cstheme="majorBidi"/>
          <w:b/>
          <w:sz w:val="24"/>
          <w:szCs w:val="24"/>
          <w:lang w:val="en-GB"/>
        </w:rPr>
        <w:t>STATEMENT 2</w:t>
      </w:r>
    </w:p>
    <w:p w:rsidR="00D84BB3" w:rsidRPr="00992330" w:rsidRDefault="00D84BB3" w:rsidP="00992330">
      <w:pPr>
        <w:spacing w:line="480" w:lineRule="auto"/>
        <w:jc w:val="both"/>
        <w:rPr>
          <w:rFonts w:asciiTheme="majorBidi" w:hAnsiTheme="majorBidi" w:cstheme="majorBidi"/>
          <w:sz w:val="24"/>
          <w:szCs w:val="24"/>
          <w:lang w:val="en-GB"/>
        </w:rPr>
      </w:pPr>
      <w:r w:rsidRPr="00992330">
        <w:rPr>
          <w:rFonts w:asciiTheme="majorBidi" w:hAnsiTheme="majorBidi" w:cstheme="majorBidi"/>
          <w:sz w:val="24"/>
          <w:szCs w:val="24"/>
          <w:lang w:val="en-GB"/>
        </w:rPr>
        <w:t>This dissertation is the result of my own independent work/investigation, except where otherwise stated.</w:t>
      </w:r>
    </w:p>
    <w:p w:rsidR="00D84BB3" w:rsidRPr="00992330" w:rsidRDefault="00D84BB3" w:rsidP="00992330">
      <w:pPr>
        <w:spacing w:line="480" w:lineRule="auto"/>
        <w:jc w:val="both"/>
        <w:rPr>
          <w:rFonts w:asciiTheme="majorBidi" w:hAnsiTheme="majorBidi" w:cstheme="majorBidi"/>
          <w:sz w:val="24"/>
          <w:szCs w:val="24"/>
          <w:lang w:val="en-GB"/>
        </w:rPr>
      </w:pPr>
      <w:r w:rsidRPr="00992330">
        <w:rPr>
          <w:rFonts w:asciiTheme="majorBidi" w:hAnsiTheme="majorBidi" w:cstheme="majorBidi"/>
          <w:sz w:val="24"/>
          <w:szCs w:val="24"/>
          <w:lang w:val="en-GB"/>
        </w:rPr>
        <w:t>Other sources are acknowledged by footnotes giving explicit references.  A bibliography is appended.</w:t>
      </w:r>
    </w:p>
    <w:p w:rsidR="00D84BB3" w:rsidRPr="00992330" w:rsidRDefault="00D84BB3" w:rsidP="00992330">
      <w:pPr>
        <w:spacing w:line="480" w:lineRule="auto"/>
        <w:jc w:val="both"/>
        <w:rPr>
          <w:rFonts w:asciiTheme="majorBidi" w:hAnsiTheme="majorBidi" w:cstheme="majorBidi"/>
          <w:sz w:val="24"/>
          <w:szCs w:val="24"/>
          <w:lang w:val="en-GB"/>
        </w:rPr>
      </w:pPr>
      <w:r w:rsidRPr="00992330">
        <w:rPr>
          <w:rFonts w:asciiTheme="majorBidi" w:hAnsiTheme="majorBidi" w:cstheme="majorBidi"/>
          <w:sz w:val="24"/>
          <w:szCs w:val="24"/>
          <w:lang w:val="en-GB"/>
        </w:rPr>
        <w:lastRenderedPageBreak/>
        <w:t xml:space="preserve">Signed: </w:t>
      </w:r>
      <w:r w:rsidRPr="00992330">
        <w:rPr>
          <w:rFonts w:asciiTheme="majorBidi" w:hAnsiTheme="majorBidi" w:cstheme="majorBidi"/>
          <w:sz w:val="24"/>
          <w:szCs w:val="24"/>
          <w:lang w:val="de-DE"/>
        </w:rPr>
        <w:t>Amir Mohammad Kheir El Khalil</w:t>
      </w:r>
      <w:bookmarkStart w:id="2" w:name="_GoBack"/>
      <w:bookmarkEnd w:id="2"/>
    </w:p>
    <w:p w:rsidR="00D84BB3" w:rsidRPr="00992330" w:rsidRDefault="00D84BB3" w:rsidP="00992330">
      <w:pPr>
        <w:spacing w:line="480" w:lineRule="auto"/>
        <w:jc w:val="both"/>
        <w:rPr>
          <w:rFonts w:asciiTheme="majorBidi" w:hAnsiTheme="majorBidi" w:cstheme="majorBidi"/>
          <w:sz w:val="24"/>
          <w:szCs w:val="24"/>
          <w:lang w:val="en-GB"/>
        </w:rPr>
      </w:pPr>
      <w:r w:rsidRPr="00992330">
        <w:rPr>
          <w:rFonts w:asciiTheme="majorBidi" w:hAnsiTheme="majorBidi" w:cstheme="majorBidi"/>
          <w:sz w:val="24"/>
          <w:szCs w:val="24"/>
          <w:lang w:val="en-GB"/>
        </w:rPr>
        <w:t xml:space="preserve">Date: 28/05/2021 </w:t>
      </w:r>
    </w:p>
    <w:p w:rsidR="00D84BB3" w:rsidRPr="00992330" w:rsidRDefault="00D84BB3" w:rsidP="00992330">
      <w:pPr>
        <w:spacing w:line="480" w:lineRule="auto"/>
        <w:jc w:val="both"/>
        <w:rPr>
          <w:rFonts w:asciiTheme="majorBidi" w:hAnsiTheme="majorBidi" w:cstheme="majorBidi"/>
          <w:sz w:val="24"/>
          <w:szCs w:val="24"/>
          <w:lang w:val="en-GB"/>
        </w:rPr>
      </w:pPr>
    </w:p>
    <w:p w:rsidR="00D84BB3" w:rsidRPr="00992330" w:rsidRDefault="00D84BB3" w:rsidP="00992330">
      <w:pPr>
        <w:spacing w:line="480" w:lineRule="auto"/>
        <w:jc w:val="both"/>
        <w:rPr>
          <w:rFonts w:asciiTheme="majorBidi" w:hAnsiTheme="majorBidi" w:cstheme="majorBidi"/>
          <w:b/>
          <w:sz w:val="24"/>
          <w:szCs w:val="24"/>
          <w:lang w:val="en-GB"/>
        </w:rPr>
      </w:pPr>
      <w:r w:rsidRPr="00992330">
        <w:rPr>
          <w:rFonts w:asciiTheme="majorBidi" w:hAnsiTheme="majorBidi" w:cstheme="majorBidi"/>
          <w:b/>
          <w:sz w:val="24"/>
          <w:szCs w:val="24"/>
          <w:lang w:val="en-GB"/>
        </w:rPr>
        <w:t>STATEMENT 3</w:t>
      </w:r>
    </w:p>
    <w:p w:rsidR="00D84BB3" w:rsidRPr="00992330" w:rsidRDefault="00D84BB3" w:rsidP="00BC0353">
      <w:pPr>
        <w:spacing w:line="480" w:lineRule="auto"/>
        <w:jc w:val="both"/>
        <w:rPr>
          <w:rFonts w:asciiTheme="majorBidi" w:hAnsiTheme="majorBidi" w:cstheme="majorBidi"/>
          <w:sz w:val="24"/>
          <w:szCs w:val="24"/>
          <w:lang w:val="en-GB"/>
        </w:rPr>
      </w:pPr>
      <w:r w:rsidRPr="00992330">
        <w:rPr>
          <w:rFonts w:asciiTheme="majorBidi" w:hAnsiTheme="majorBidi" w:cstheme="majorBidi"/>
          <w:sz w:val="24"/>
          <w:szCs w:val="24"/>
          <w:lang w:val="en-GB"/>
        </w:rPr>
        <w:t>I hereby give consent for my dissertation, if accepted, to be available for photocopying and interlibrary loan, and for the title and summary to be made available to outside organisations.</w:t>
      </w:r>
    </w:p>
    <w:p w:rsidR="00D84BB3" w:rsidRPr="00992330" w:rsidRDefault="00D84BB3" w:rsidP="00992330">
      <w:pPr>
        <w:spacing w:line="480" w:lineRule="auto"/>
        <w:jc w:val="both"/>
        <w:rPr>
          <w:rFonts w:asciiTheme="majorBidi" w:hAnsiTheme="majorBidi" w:cstheme="majorBidi"/>
          <w:sz w:val="24"/>
          <w:szCs w:val="24"/>
          <w:lang w:val="en-GB"/>
        </w:rPr>
      </w:pPr>
      <w:r w:rsidRPr="00992330">
        <w:rPr>
          <w:rFonts w:asciiTheme="majorBidi" w:hAnsiTheme="majorBidi" w:cstheme="majorBidi"/>
          <w:sz w:val="24"/>
          <w:szCs w:val="24"/>
          <w:lang w:val="en-GB"/>
        </w:rPr>
        <w:t xml:space="preserve">Signed: </w:t>
      </w:r>
      <w:r w:rsidRPr="00992330">
        <w:rPr>
          <w:rFonts w:asciiTheme="majorBidi" w:hAnsiTheme="majorBidi" w:cstheme="majorBidi"/>
          <w:sz w:val="24"/>
          <w:szCs w:val="24"/>
          <w:lang w:val="de-DE"/>
        </w:rPr>
        <w:t>Amir Mohammad Kheir El Khalil</w:t>
      </w:r>
    </w:p>
    <w:p w:rsidR="00D84BB3" w:rsidRPr="00992330" w:rsidRDefault="00D84BB3" w:rsidP="00992330">
      <w:pPr>
        <w:spacing w:line="480" w:lineRule="auto"/>
        <w:jc w:val="both"/>
        <w:rPr>
          <w:rFonts w:asciiTheme="majorBidi" w:hAnsiTheme="majorBidi" w:cstheme="majorBidi"/>
          <w:sz w:val="24"/>
          <w:szCs w:val="24"/>
          <w:lang w:val="en-GB"/>
        </w:rPr>
      </w:pPr>
      <w:r w:rsidRPr="00992330">
        <w:rPr>
          <w:rFonts w:asciiTheme="majorBidi" w:hAnsiTheme="majorBidi" w:cstheme="majorBidi"/>
          <w:sz w:val="24"/>
          <w:szCs w:val="24"/>
          <w:lang w:val="en-GB"/>
        </w:rPr>
        <w:t>Date: 28/05/2021</w:t>
      </w:r>
    </w:p>
    <w:p w:rsidR="00D84BB3" w:rsidRPr="00992330" w:rsidRDefault="00D84BB3" w:rsidP="00992330">
      <w:pPr>
        <w:spacing w:line="480" w:lineRule="auto"/>
        <w:jc w:val="both"/>
        <w:rPr>
          <w:rFonts w:asciiTheme="majorBidi" w:hAnsiTheme="majorBidi" w:cstheme="majorBidi"/>
          <w:sz w:val="24"/>
          <w:szCs w:val="24"/>
          <w:lang w:val="en-GB"/>
        </w:rPr>
      </w:pPr>
    </w:p>
    <w:p w:rsidR="00D84BB3" w:rsidRPr="00992330" w:rsidRDefault="00D84BB3" w:rsidP="00992330">
      <w:pPr>
        <w:spacing w:line="480" w:lineRule="auto"/>
        <w:jc w:val="both"/>
        <w:rPr>
          <w:rFonts w:asciiTheme="majorBidi" w:hAnsiTheme="majorBidi" w:cstheme="majorBidi"/>
          <w:b/>
          <w:sz w:val="24"/>
          <w:szCs w:val="24"/>
          <w:lang w:val="en-GB"/>
        </w:rPr>
      </w:pPr>
      <w:r w:rsidRPr="00992330">
        <w:rPr>
          <w:rFonts w:asciiTheme="majorBidi" w:hAnsiTheme="majorBidi" w:cstheme="majorBidi"/>
          <w:b/>
          <w:sz w:val="24"/>
          <w:szCs w:val="24"/>
          <w:lang w:val="en-GB"/>
        </w:rPr>
        <w:t>STATEMENT 4</w:t>
      </w:r>
    </w:p>
    <w:p w:rsidR="00D84BB3" w:rsidRPr="00992330" w:rsidRDefault="00D84BB3" w:rsidP="00992330">
      <w:pPr>
        <w:spacing w:line="480" w:lineRule="auto"/>
        <w:jc w:val="both"/>
        <w:rPr>
          <w:rFonts w:asciiTheme="majorBidi" w:hAnsiTheme="majorBidi" w:cstheme="majorBidi"/>
          <w:sz w:val="24"/>
          <w:szCs w:val="24"/>
          <w:lang w:val="en-GB"/>
        </w:rPr>
      </w:pPr>
      <w:r w:rsidRPr="00992330">
        <w:rPr>
          <w:rFonts w:asciiTheme="majorBidi" w:hAnsiTheme="majorBidi" w:cstheme="majorBidi"/>
          <w:sz w:val="24"/>
          <w:szCs w:val="24"/>
          <w:lang w:val="en-GB"/>
        </w:rPr>
        <w:t>I hereby give consent for my dissertation, if accepted, to be available on the university’s IT system to those who have consent</w:t>
      </w:r>
      <w:r w:rsidR="00BC0353">
        <w:rPr>
          <w:rFonts w:asciiTheme="majorBidi" w:hAnsiTheme="majorBidi" w:cstheme="majorBidi"/>
          <w:sz w:val="24"/>
          <w:szCs w:val="24"/>
          <w:lang w:val="en-GB"/>
        </w:rPr>
        <w:t>ed</w:t>
      </w:r>
      <w:r w:rsidRPr="00992330">
        <w:rPr>
          <w:rFonts w:asciiTheme="majorBidi" w:hAnsiTheme="majorBidi" w:cstheme="majorBidi"/>
          <w:sz w:val="24"/>
          <w:szCs w:val="24"/>
          <w:lang w:val="en-GB"/>
        </w:rPr>
        <w:t xml:space="preserve"> to use the system.</w:t>
      </w:r>
    </w:p>
    <w:p w:rsidR="00D84BB3" w:rsidRPr="00992330" w:rsidRDefault="00D84BB3" w:rsidP="00992330">
      <w:pPr>
        <w:spacing w:line="480" w:lineRule="auto"/>
        <w:jc w:val="both"/>
        <w:rPr>
          <w:rFonts w:asciiTheme="majorBidi" w:hAnsiTheme="majorBidi" w:cstheme="majorBidi"/>
          <w:sz w:val="24"/>
          <w:szCs w:val="24"/>
          <w:lang w:val="en-GB"/>
        </w:rPr>
      </w:pPr>
    </w:p>
    <w:p w:rsidR="00D84BB3" w:rsidRPr="00992330" w:rsidRDefault="00D84BB3" w:rsidP="00992330">
      <w:pPr>
        <w:spacing w:line="480" w:lineRule="auto"/>
        <w:jc w:val="both"/>
        <w:rPr>
          <w:rFonts w:asciiTheme="majorBidi" w:hAnsiTheme="majorBidi" w:cstheme="majorBidi"/>
          <w:sz w:val="24"/>
          <w:szCs w:val="24"/>
          <w:lang w:val="en-GB"/>
        </w:rPr>
      </w:pPr>
      <w:r w:rsidRPr="00992330">
        <w:rPr>
          <w:rFonts w:asciiTheme="majorBidi" w:hAnsiTheme="majorBidi" w:cstheme="majorBidi"/>
          <w:sz w:val="24"/>
          <w:szCs w:val="24"/>
          <w:lang w:val="en-GB"/>
        </w:rPr>
        <w:t xml:space="preserve">Signed: </w:t>
      </w:r>
      <w:r w:rsidRPr="00992330">
        <w:rPr>
          <w:rFonts w:asciiTheme="majorBidi" w:hAnsiTheme="majorBidi" w:cstheme="majorBidi"/>
          <w:sz w:val="24"/>
          <w:szCs w:val="24"/>
          <w:lang w:val="de-DE"/>
        </w:rPr>
        <w:t>Amir Mohammad Kheir El Khalil</w:t>
      </w:r>
    </w:p>
    <w:p w:rsidR="00D84BB3" w:rsidRPr="00992330" w:rsidRDefault="00D84BB3" w:rsidP="00992330">
      <w:pPr>
        <w:spacing w:line="480" w:lineRule="auto"/>
        <w:jc w:val="both"/>
        <w:rPr>
          <w:rFonts w:asciiTheme="majorBidi" w:hAnsiTheme="majorBidi" w:cstheme="majorBidi"/>
          <w:sz w:val="24"/>
          <w:szCs w:val="24"/>
          <w:lang w:val="en-GB"/>
        </w:rPr>
      </w:pPr>
      <w:r w:rsidRPr="00992330">
        <w:rPr>
          <w:rFonts w:asciiTheme="majorBidi" w:hAnsiTheme="majorBidi" w:cstheme="majorBidi"/>
          <w:sz w:val="24"/>
          <w:szCs w:val="24"/>
          <w:lang w:val="en-GB"/>
        </w:rPr>
        <w:t>Date: 28/05/2021</w:t>
      </w:r>
    </w:p>
    <w:p w:rsidR="00D84BB3" w:rsidRDefault="00D84BB3" w:rsidP="00992330">
      <w:pPr>
        <w:spacing w:line="480" w:lineRule="auto"/>
        <w:rPr>
          <w:rFonts w:asciiTheme="majorBidi" w:hAnsiTheme="majorBidi" w:cstheme="majorBidi"/>
          <w:b/>
          <w:bCs/>
          <w:sz w:val="32"/>
          <w:szCs w:val="32"/>
          <w:lang w:val="en-GB"/>
        </w:rPr>
      </w:pPr>
      <w:bookmarkStart w:id="3" w:name="_Toc481582366"/>
      <w:bookmarkStart w:id="4" w:name="_Toc450327106"/>
    </w:p>
    <w:p w:rsidR="00D84BB3" w:rsidRDefault="00D84BB3" w:rsidP="00D84BB3">
      <w:pPr>
        <w:spacing w:line="480" w:lineRule="auto"/>
        <w:ind w:left="1080"/>
        <w:jc w:val="center"/>
        <w:rPr>
          <w:rFonts w:asciiTheme="majorBidi" w:hAnsiTheme="majorBidi" w:cstheme="majorBidi"/>
          <w:b/>
          <w:bCs/>
          <w:sz w:val="32"/>
          <w:szCs w:val="32"/>
          <w:lang w:val="en-GB"/>
        </w:rPr>
      </w:pPr>
    </w:p>
    <w:p w:rsidR="00D84BB3" w:rsidRPr="00992330" w:rsidRDefault="00BC0353" w:rsidP="00EB5787">
      <w:pPr>
        <w:spacing w:line="480" w:lineRule="auto"/>
        <w:ind w:left="1080"/>
        <w:jc w:val="center"/>
        <w:rPr>
          <w:rFonts w:asciiTheme="majorBidi" w:hAnsiTheme="majorBidi" w:cstheme="majorBidi"/>
          <w:b/>
          <w:bCs/>
          <w:sz w:val="32"/>
          <w:szCs w:val="32"/>
          <w:lang w:val="en-GB"/>
        </w:rPr>
      </w:pPr>
      <w:r>
        <w:rPr>
          <w:rFonts w:asciiTheme="majorBidi" w:hAnsiTheme="majorBidi" w:cstheme="majorBidi"/>
          <w:b/>
          <w:bCs/>
          <w:sz w:val="32"/>
          <w:szCs w:val="32"/>
          <w:lang w:val="en-GB"/>
        </w:rPr>
        <w:lastRenderedPageBreak/>
        <w:t>Acknowledg</w:t>
      </w:r>
      <w:r w:rsidR="00D84BB3" w:rsidRPr="00D84BB3">
        <w:rPr>
          <w:rFonts w:asciiTheme="majorBidi" w:hAnsiTheme="majorBidi" w:cstheme="majorBidi"/>
          <w:b/>
          <w:bCs/>
          <w:sz w:val="32"/>
          <w:szCs w:val="32"/>
          <w:lang w:val="en-GB"/>
        </w:rPr>
        <w:t>ments</w:t>
      </w:r>
      <w:bookmarkEnd w:id="3"/>
      <w:bookmarkEnd w:id="4"/>
    </w:p>
    <w:p w:rsidR="00992330" w:rsidRPr="00992330" w:rsidRDefault="00992330" w:rsidP="00992330">
      <w:pPr>
        <w:spacing w:line="480" w:lineRule="auto"/>
        <w:jc w:val="both"/>
        <w:rPr>
          <w:rFonts w:asciiTheme="majorBidi" w:hAnsiTheme="majorBidi" w:cstheme="majorBidi"/>
          <w:sz w:val="24"/>
          <w:szCs w:val="24"/>
        </w:rPr>
      </w:pPr>
      <w:r w:rsidRPr="00992330">
        <w:rPr>
          <w:rFonts w:asciiTheme="majorBidi" w:hAnsiTheme="majorBidi" w:cstheme="majorBidi"/>
          <w:sz w:val="24"/>
          <w:szCs w:val="24"/>
        </w:rPr>
        <w:t xml:space="preserve">I would like to offer and express my sincerest gratitude to all those who have helped me on this journey to achieving another milestone in my academic and professional career. </w:t>
      </w:r>
    </w:p>
    <w:p w:rsidR="00992330" w:rsidRPr="00992330" w:rsidRDefault="00992330" w:rsidP="00992330">
      <w:pPr>
        <w:spacing w:line="480" w:lineRule="auto"/>
        <w:jc w:val="both"/>
        <w:rPr>
          <w:rFonts w:asciiTheme="majorBidi" w:hAnsiTheme="majorBidi" w:cstheme="majorBidi"/>
          <w:sz w:val="24"/>
          <w:szCs w:val="24"/>
        </w:rPr>
      </w:pPr>
      <w:r w:rsidRPr="00992330">
        <w:rPr>
          <w:rFonts w:asciiTheme="majorBidi" w:hAnsiTheme="majorBidi" w:cstheme="majorBidi"/>
          <w:sz w:val="24"/>
          <w:szCs w:val="24"/>
        </w:rPr>
        <w:t xml:space="preserve">It has been extremely challenging to navigate the ramifications of COVID-19 with all its psychological and logistic burdens. I consider myself blessed to have been surrounded by individuals who managed to propel me further to this achievement. </w:t>
      </w:r>
    </w:p>
    <w:p w:rsidR="00992330" w:rsidRPr="00992330" w:rsidRDefault="00992330" w:rsidP="00992330">
      <w:pPr>
        <w:spacing w:line="480" w:lineRule="auto"/>
        <w:jc w:val="both"/>
        <w:rPr>
          <w:rFonts w:asciiTheme="majorBidi" w:hAnsiTheme="majorBidi" w:cstheme="majorBidi"/>
          <w:sz w:val="24"/>
          <w:szCs w:val="24"/>
        </w:rPr>
      </w:pPr>
      <w:r w:rsidRPr="00992330">
        <w:rPr>
          <w:rFonts w:asciiTheme="majorBidi" w:hAnsiTheme="majorBidi" w:cstheme="majorBidi"/>
          <w:sz w:val="24"/>
          <w:szCs w:val="24"/>
        </w:rPr>
        <w:t xml:space="preserve">I would like to acknowledge and dedicate this work to my family in Lebanon that has supported my dreams since infancy. Their unadulterated trust in me and my capabilities always gave me the motivation to press on with my dreams. I hope that I shall be able to always make them proud. </w:t>
      </w:r>
    </w:p>
    <w:p w:rsidR="00992330" w:rsidRPr="00992330" w:rsidRDefault="00992330" w:rsidP="00992330">
      <w:pPr>
        <w:spacing w:line="480" w:lineRule="auto"/>
        <w:jc w:val="both"/>
        <w:rPr>
          <w:rFonts w:asciiTheme="majorBidi" w:hAnsiTheme="majorBidi" w:cstheme="majorBidi"/>
          <w:sz w:val="24"/>
          <w:szCs w:val="24"/>
        </w:rPr>
      </w:pPr>
      <w:r w:rsidRPr="00992330">
        <w:rPr>
          <w:rFonts w:asciiTheme="majorBidi" w:hAnsiTheme="majorBidi" w:cstheme="majorBidi"/>
          <w:sz w:val="24"/>
          <w:szCs w:val="24"/>
        </w:rPr>
        <w:t xml:space="preserve">Furthermore, I wish to thank the entire university staff especially my instructor Dr. Roisin Mullins for her calm and efficient leadership throughout this pursuit. </w:t>
      </w:r>
    </w:p>
    <w:p w:rsidR="00992330" w:rsidRPr="00992330" w:rsidRDefault="00992330" w:rsidP="00992330">
      <w:pPr>
        <w:spacing w:line="480" w:lineRule="auto"/>
        <w:jc w:val="both"/>
        <w:rPr>
          <w:rFonts w:asciiTheme="majorBidi" w:hAnsiTheme="majorBidi" w:cstheme="majorBidi"/>
          <w:sz w:val="24"/>
          <w:szCs w:val="24"/>
        </w:rPr>
      </w:pPr>
      <w:r w:rsidRPr="00992330">
        <w:rPr>
          <w:rFonts w:asciiTheme="majorBidi" w:hAnsiTheme="majorBidi" w:cstheme="majorBidi"/>
          <w:sz w:val="24"/>
          <w:szCs w:val="24"/>
        </w:rPr>
        <w:t>I dedicate this work to everyone who had ever helped me or even lent a sympathetic ear to listen to my concerns. I thank you all from the bottom of my heart and wish you all the best.</w:t>
      </w:r>
    </w:p>
    <w:p w:rsidR="00992330" w:rsidRDefault="00992330" w:rsidP="00992330">
      <w:pPr>
        <w:spacing w:line="480" w:lineRule="auto"/>
        <w:rPr>
          <w:rFonts w:asciiTheme="majorBidi" w:hAnsiTheme="majorBidi" w:cstheme="majorBidi"/>
          <w:b/>
          <w:bCs/>
          <w:sz w:val="32"/>
          <w:szCs w:val="32"/>
        </w:rPr>
      </w:pPr>
    </w:p>
    <w:p w:rsidR="00992330" w:rsidRDefault="00992330" w:rsidP="00992330">
      <w:pPr>
        <w:spacing w:line="480" w:lineRule="auto"/>
        <w:rPr>
          <w:rFonts w:asciiTheme="majorBidi" w:hAnsiTheme="majorBidi" w:cstheme="majorBidi"/>
          <w:b/>
          <w:bCs/>
          <w:sz w:val="32"/>
          <w:szCs w:val="32"/>
        </w:rPr>
      </w:pPr>
    </w:p>
    <w:p w:rsidR="00992330" w:rsidRDefault="00992330" w:rsidP="00992330">
      <w:pPr>
        <w:spacing w:line="480" w:lineRule="auto"/>
        <w:rPr>
          <w:rFonts w:asciiTheme="majorBidi" w:hAnsiTheme="majorBidi" w:cstheme="majorBidi"/>
          <w:b/>
          <w:bCs/>
          <w:sz w:val="32"/>
          <w:szCs w:val="32"/>
        </w:rPr>
      </w:pPr>
    </w:p>
    <w:p w:rsidR="00992330" w:rsidRPr="00992330" w:rsidRDefault="00992330" w:rsidP="00992330">
      <w:pPr>
        <w:spacing w:line="480" w:lineRule="auto"/>
        <w:rPr>
          <w:rFonts w:asciiTheme="majorBidi" w:hAnsiTheme="majorBidi" w:cstheme="majorBidi"/>
          <w:b/>
          <w:bCs/>
          <w:sz w:val="32"/>
          <w:szCs w:val="32"/>
        </w:rPr>
      </w:pPr>
    </w:p>
    <w:p w:rsidR="00D84BB3" w:rsidRDefault="00D84BB3" w:rsidP="00D84BB3">
      <w:pPr>
        <w:spacing w:line="480" w:lineRule="auto"/>
        <w:rPr>
          <w:rFonts w:asciiTheme="majorBidi" w:hAnsiTheme="majorBidi" w:cstheme="majorBidi"/>
          <w:b/>
          <w:bCs/>
          <w:sz w:val="32"/>
          <w:szCs w:val="32"/>
        </w:rPr>
      </w:pPr>
    </w:p>
    <w:p w:rsidR="00BA77EA" w:rsidRDefault="00BA77EA" w:rsidP="00BA77EA">
      <w:pPr>
        <w:spacing w:line="480" w:lineRule="auto"/>
        <w:jc w:val="center"/>
        <w:rPr>
          <w:rFonts w:asciiTheme="majorBidi" w:hAnsiTheme="majorBidi" w:cstheme="majorBidi"/>
          <w:b/>
          <w:bCs/>
          <w:sz w:val="32"/>
          <w:szCs w:val="32"/>
        </w:rPr>
      </w:pPr>
      <w:r w:rsidRPr="00747554">
        <w:rPr>
          <w:rFonts w:asciiTheme="majorBidi" w:hAnsiTheme="majorBidi" w:cstheme="majorBidi"/>
          <w:b/>
          <w:bCs/>
          <w:sz w:val="32"/>
          <w:szCs w:val="32"/>
        </w:rPr>
        <w:lastRenderedPageBreak/>
        <w:t xml:space="preserve">Abstract </w:t>
      </w:r>
    </w:p>
    <w:p w:rsidR="000E0CC0" w:rsidRDefault="00B6791E" w:rsidP="00B6791E">
      <w:pPr>
        <w:spacing w:line="480" w:lineRule="auto"/>
        <w:jc w:val="both"/>
        <w:rPr>
          <w:rFonts w:asciiTheme="majorBidi" w:hAnsiTheme="majorBidi" w:cstheme="majorBidi"/>
          <w:sz w:val="24"/>
          <w:szCs w:val="24"/>
        </w:rPr>
      </w:pPr>
      <w:r w:rsidRPr="00B6791E">
        <w:rPr>
          <w:rFonts w:asciiTheme="majorBidi" w:hAnsiTheme="majorBidi" w:cstheme="majorBidi"/>
          <w:sz w:val="24"/>
          <w:szCs w:val="24"/>
        </w:rPr>
        <w:t>Lebanon has long depended on its open service industry to sustain its economy, but the recent events of the financial crisis and</w:t>
      </w:r>
      <w:r w:rsidR="00BC0353">
        <w:rPr>
          <w:rFonts w:asciiTheme="majorBidi" w:hAnsiTheme="majorBidi" w:cstheme="majorBidi"/>
          <w:sz w:val="24"/>
          <w:szCs w:val="24"/>
        </w:rPr>
        <w:t xml:space="preserve"> the</w:t>
      </w:r>
      <w:r w:rsidRPr="00B6791E">
        <w:rPr>
          <w:rFonts w:asciiTheme="majorBidi" w:hAnsiTheme="majorBidi" w:cstheme="majorBidi"/>
          <w:sz w:val="24"/>
          <w:szCs w:val="24"/>
        </w:rPr>
        <w:t xml:space="preserve"> onset of COVID in 2019 have shaken the foundation of satisfaction between Lebanese banks and their clients. Because of that, the banks need to strive to restore that satisfaction and restore their reputation of excellence. One method to achieve this is to use online banking or e-banking to enhance the quality of the services they offer and reclaim their position. The literature showed that e-banking is an important element in the success of any bank in the modern world. It also offered several elements that contribute to the success of e-banking. The study gains its importance from the urgency of finding new ways to negate the negative effects of the last couple of years. The following research question was asked: What is the impact of providing exemplary online customer service on the level of satisfaction of bank clients during COVID-19 in Lebanon? A questionnaire derived from various sources in the literature was distributed, and 153 respondents gave complete answers. The study showed that trust, efficiency, and reliability can help boost customer satisfaction. There was no statistically significant evidence that supported security and communications are essential for satisfaction. The study is an early exploration of e-banking satisfaction in Lebanon, and it can serve as a precursor in expanding the understanding of e-banking especially if future studies focused on demographics and the nature of the services provided by the banks.</w:t>
      </w:r>
    </w:p>
    <w:p w:rsidR="000E0CC0" w:rsidRDefault="000E0CC0" w:rsidP="000E0CC0">
      <w:pPr>
        <w:spacing w:line="480" w:lineRule="auto"/>
        <w:rPr>
          <w:rFonts w:asciiTheme="majorBidi" w:hAnsiTheme="majorBidi" w:cstheme="majorBidi"/>
          <w:sz w:val="24"/>
          <w:szCs w:val="24"/>
        </w:rPr>
      </w:pPr>
    </w:p>
    <w:p w:rsidR="004276BF" w:rsidRDefault="004276BF" w:rsidP="000E0CC0">
      <w:pPr>
        <w:spacing w:line="480" w:lineRule="auto"/>
        <w:rPr>
          <w:rFonts w:asciiTheme="majorBidi" w:hAnsiTheme="majorBidi" w:cstheme="majorBidi"/>
          <w:sz w:val="24"/>
          <w:szCs w:val="24"/>
        </w:rPr>
      </w:pPr>
    </w:p>
    <w:p w:rsidR="00B6791E" w:rsidRPr="000E0CC0" w:rsidRDefault="00B6791E" w:rsidP="000E0CC0">
      <w:pPr>
        <w:spacing w:line="480" w:lineRule="auto"/>
        <w:rPr>
          <w:rFonts w:asciiTheme="majorBidi" w:hAnsiTheme="majorBidi" w:cstheme="majorBidi"/>
          <w:sz w:val="24"/>
          <w:szCs w:val="24"/>
        </w:rPr>
      </w:pPr>
    </w:p>
    <w:p w:rsidR="00065B51" w:rsidRDefault="000E0CC0" w:rsidP="00065B51">
      <w:pPr>
        <w:spacing w:line="480" w:lineRule="auto"/>
        <w:jc w:val="center"/>
        <w:rPr>
          <w:rFonts w:asciiTheme="majorBidi" w:hAnsiTheme="majorBidi" w:cstheme="majorBidi"/>
          <w:b/>
          <w:bCs/>
          <w:sz w:val="32"/>
          <w:szCs w:val="32"/>
        </w:rPr>
      </w:pPr>
      <w:r>
        <w:rPr>
          <w:rFonts w:asciiTheme="majorBidi" w:hAnsiTheme="majorBidi" w:cstheme="majorBidi"/>
          <w:b/>
          <w:bCs/>
          <w:sz w:val="32"/>
          <w:szCs w:val="32"/>
        </w:rPr>
        <w:lastRenderedPageBreak/>
        <w:t xml:space="preserve">Table of Content </w:t>
      </w:r>
    </w:p>
    <w:p w:rsidR="00283C9B" w:rsidRDefault="00065B51"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Declaration</w:t>
      </w:r>
      <w:r w:rsidR="00283C9B">
        <w:rPr>
          <w:rFonts w:asciiTheme="majorBidi" w:hAnsiTheme="majorBidi" w:cstheme="majorBidi"/>
          <w:sz w:val="24"/>
          <w:szCs w:val="24"/>
        </w:rPr>
        <w:t xml:space="preserve"> …………………………………</w:t>
      </w:r>
      <w:r>
        <w:rPr>
          <w:rFonts w:asciiTheme="majorBidi" w:hAnsiTheme="majorBidi" w:cstheme="majorBidi"/>
          <w:sz w:val="24"/>
          <w:szCs w:val="24"/>
        </w:rPr>
        <w:t>………………………………………….……..….. 1</w:t>
      </w:r>
    </w:p>
    <w:p w:rsidR="00065B51" w:rsidRDefault="00065B51" w:rsidP="00065B51">
      <w:pPr>
        <w:spacing w:line="240" w:lineRule="auto"/>
        <w:jc w:val="both"/>
        <w:rPr>
          <w:rFonts w:asciiTheme="majorBidi" w:hAnsiTheme="majorBidi" w:cstheme="majorBidi"/>
          <w:sz w:val="24"/>
          <w:szCs w:val="24"/>
        </w:rPr>
      </w:pPr>
      <w:r>
        <w:rPr>
          <w:rFonts w:asciiTheme="majorBidi" w:hAnsiTheme="majorBidi" w:cstheme="majorBidi"/>
          <w:sz w:val="24"/>
          <w:szCs w:val="24"/>
        </w:rPr>
        <w:t>Acknowledgment ……………………………………………………………………………,.…. 3</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Abstract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4</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List of Figures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7</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List of Tables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…8</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1. Introduction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..9</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2. Literature Review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…….16</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2.1 Lebanese Banking Sys</w:t>
      </w:r>
      <w:r w:rsidR="00992330">
        <w:rPr>
          <w:rFonts w:asciiTheme="majorBidi" w:hAnsiTheme="majorBidi" w:cstheme="majorBidi"/>
          <w:sz w:val="24"/>
          <w:szCs w:val="24"/>
        </w:rPr>
        <w:t>tem ……………………………………………………………</w:t>
      </w:r>
      <w:r w:rsidR="00065B51">
        <w:rPr>
          <w:rFonts w:asciiTheme="majorBidi" w:hAnsiTheme="majorBidi" w:cstheme="majorBidi"/>
          <w:sz w:val="24"/>
          <w:szCs w:val="24"/>
        </w:rPr>
        <w:t>.</w:t>
      </w:r>
      <w:r w:rsidR="00992330">
        <w:rPr>
          <w:rFonts w:asciiTheme="majorBidi" w:hAnsiTheme="majorBidi" w:cstheme="majorBidi"/>
          <w:sz w:val="24"/>
          <w:szCs w:val="24"/>
        </w:rPr>
        <w:t>…… 16</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2.1.1 Lebanon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16</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 xml:space="preserve">2.1.2 Brief History of Banks in </w:t>
      </w:r>
      <w:r w:rsidR="00992330">
        <w:rPr>
          <w:rFonts w:asciiTheme="majorBidi" w:hAnsiTheme="majorBidi" w:cstheme="majorBidi"/>
          <w:sz w:val="24"/>
          <w:szCs w:val="24"/>
        </w:rPr>
        <w:t>Lebanon ……………………………………………………</w:t>
      </w:r>
      <w:r w:rsidR="00065B51">
        <w:rPr>
          <w:rFonts w:asciiTheme="majorBidi" w:hAnsiTheme="majorBidi" w:cstheme="majorBidi"/>
          <w:sz w:val="24"/>
          <w:szCs w:val="24"/>
        </w:rPr>
        <w:t>.</w:t>
      </w:r>
      <w:r w:rsidR="00992330">
        <w:rPr>
          <w:rFonts w:asciiTheme="majorBidi" w:hAnsiTheme="majorBidi" w:cstheme="majorBidi"/>
          <w:sz w:val="24"/>
          <w:szCs w:val="24"/>
        </w:rPr>
        <w:t>… 16</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2.1.3 Role of Banks in Lebanese Economy …………………………………………………</w:t>
      </w:r>
      <w:r w:rsidR="00065B51">
        <w:rPr>
          <w:rFonts w:asciiTheme="majorBidi" w:hAnsiTheme="majorBidi" w:cstheme="majorBidi"/>
          <w:sz w:val="24"/>
          <w:szCs w:val="24"/>
        </w:rPr>
        <w:t>.</w:t>
      </w:r>
      <w:r>
        <w:rPr>
          <w:rFonts w:asciiTheme="majorBidi" w:hAnsiTheme="majorBidi" w:cstheme="majorBidi"/>
          <w:sz w:val="24"/>
          <w:szCs w:val="24"/>
        </w:rPr>
        <w:t>… 1</w:t>
      </w:r>
      <w:r w:rsidR="00992330">
        <w:rPr>
          <w:rFonts w:asciiTheme="majorBidi" w:hAnsiTheme="majorBidi" w:cstheme="majorBidi"/>
          <w:sz w:val="24"/>
          <w:szCs w:val="24"/>
        </w:rPr>
        <w:t>7</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2.2 Theories in Banking</w:t>
      </w:r>
      <w:r w:rsidR="00992330">
        <w:rPr>
          <w:rFonts w:asciiTheme="majorBidi" w:hAnsiTheme="majorBidi" w:cstheme="majorBidi"/>
          <w:sz w:val="24"/>
          <w:szCs w:val="24"/>
        </w:rPr>
        <w:t xml:space="preserve"> ……………………………………………………………………</w:t>
      </w:r>
      <w:r w:rsidR="00065B51">
        <w:rPr>
          <w:rFonts w:asciiTheme="majorBidi" w:hAnsiTheme="majorBidi" w:cstheme="majorBidi"/>
          <w:sz w:val="24"/>
          <w:szCs w:val="24"/>
        </w:rPr>
        <w:t>..</w:t>
      </w:r>
      <w:r w:rsidR="00992330">
        <w:rPr>
          <w:rFonts w:asciiTheme="majorBidi" w:hAnsiTheme="majorBidi" w:cstheme="majorBidi"/>
          <w:sz w:val="24"/>
          <w:szCs w:val="24"/>
        </w:rPr>
        <w:t>…. 20</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2.2.1 Early Forms of Bank</w:t>
      </w:r>
      <w:r w:rsidR="00992330">
        <w:rPr>
          <w:rFonts w:asciiTheme="majorBidi" w:hAnsiTheme="majorBidi" w:cstheme="majorBidi"/>
          <w:sz w:val="24"/>
          <w:szCs w:val="24"/>
        </w:rPr>
        <w:t>ing ………………………………………………………………</w:t>
      </w:r>
      <w:r w:rsidR="00065B51">
        <w:rPr>
          <w:rFonts w:asciiTheme="majorBidi" w:hAnsiTheme="majorBidi" w:cstheme="majorBidi"/>
          <w:sz w:val="24"/>
          <w:szCs w:val="24"/>
        </w:rPr>
        <w:t>..</w:t>
      </w:r>
      <w:r w:rsidR="00992330">
        <w:rPr>
          <w:rFonts w:asciiTheme="majorBidi" w:hAnsiTheme="majorBidi" w:cstheme="majorBidi"/>
          <w:sz w:val="24"/>
          <w:szCs w:val="24"/>
        </w:rPr>
        <w:t>… 21</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2.2.2 Three Major Theories of B</w:t>
      </w:r>
      <w:r w:rsidR="00992330">
        <w:rPr>
          <w:rFonts w:asciiTheme="majorBidi" w:hAnsiTheme="majorBidi" w:cstheme="majorBidi"/>
          <w:sz w:val="24"/>
          <w:szCs w:val="24"/>
        </w:rPr>
        <w:t>anking ……………………………………………………</w:t>
      </w:r>
      <w:r w:rsidR="00065B51">
        <w:rPr>
          <w:rFonts w:asciiTheme="majorBidi" w:hAnsiTheme="majorBidi" w:cstheme="majorBidi"/>
          <w:sz w:val="24"/>
          <w:szCs w:val="24"/>
        </w:rPr>
        <w:t>..</w:t>
      </w:r>
      <w:r w:rsidR="00992330">
        <w:rPr>
          <w:rFonts w:asciiTheme="majorBidi" w:hAnsiTheme="majorBidi" w:cstheme="majorBidi"/>
          <w:sz w:val="24"/>
          <w:szCs w:val="24"/>
        </w:rPr>
        <w:t>…. 21</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sidRPr="004276BF">
        <w:rPr>
          <w:rFonts w:asciiTheme="majorBidi" w:hAnsiTheme="majorBidi" w:cstheme="majorBidi"/>
          <w:sz w:val="24"/>
          <w:szCs w:val="24"/>
        </w:rPr>
        <w:t xml:space="preserve">2.2.3 Theories in Customer Satisfaction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22</w:t>
      </w:r>
    </w:p>
    <w:p w:rsidR="00283C9B" w:rsidRDefault="00283C9B" w:rsidP="00283C9B">
      <w:pPr>
        <w:spacing w:line="240" w:lineRule="auto"/>
        <w:jc w:val="both"/>
        <w:rPr>
          <w:rFonts w:asciiTheme="majorBidi" w:hAnsiTheme="majorBidi" w:cstheme="majorBidi"/>
          <w:sz w:val="24"/>
          <w:szCs w:val="24"/>
        </w:rPr>
      </w:pPr>
      <w:r w:rsidRPr="00C0692A">
        <w:rPr>
          <w:rFonts w:asciiTheme="majorBidi" w:hAnsiTheme="majorBidi" w:cstheme="majorBidi"/>
          <w:sz w:val="24"/>
          <w:szCs w:val="24"/>
        </w:rPr>
        <w:t xml:space="preserve">2.2.4 Models of Customer Satisfaction Measurements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27</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3. Research Methodology</w:t>
      </w:r>
      <w:r w:rsidR="00992330">
        <w:rPr>
          <w:rFonts w:asciiTheme="majorBidi" w:hAnsiTheme="majorBidi" w:cstheme="majorBidi"/>
          <w:sz w:val="24"/>
          <w:szCs w:val="24"/>
        </w:rPr>
        <w:t xml:space="preserve"> ………………………………………………………………</w:t>
      </w:r>
      <w:r w:rsidR="00065B51">
        <w:rPr>
          <w:rFonts w:asciiTheme="majorBidi" w:hAnsiTheme="majorBidi" w:cstheme="majorBidi"/>
          <w:sz w:val="24"/>
          <w:szCs w:val="24"/>
        </w:rPr>
        <w:t>.</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31</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3.1 Hypothesis Developm</w:t>
      </w:r>
      <w:r w:rsidR="00992330">
        <w:rPr>
          <w:rFonts w:asciiTheme="majorBidi" w:hAnsiTheme="majorBidi" w:cstheme="majorBidi"/>
          <w:sz w:val="24"/>
          <w:szCs w:val="24"/>
        </w:rPr>
        <w:t>ent …………………………………………………………</w:t>
      </w:r>
      <w:r w:rsidR="00065B51">
        <w:rPr>
          <w:rFonts w:asciiTheme="majorBidi" w:hAnsiTheme="majorBidi" w:cstheme="majorBidi"/>
          <w:sz w:val="24"/>
          <w:szCs w:val="24"/>
        </w:rPr>
        <w:t>.</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31</w:t>
      </w:r>
      <w:r>
        <w:rPr>
          <w:rFonts w:asciiTheme="majorBidi" w:hAnsiTheme="majorBidi" w:cstheme="majorBidi"/>
          <w:sz w:val="24"/>
          <w:szCs w:val="24"/>
        </w:rPr>
        <w:t xml:space="preserve"> </w:t>
      </w:r>
    </w:p>
    <w:p w:rsidR="00283C9B" w:rsidRPr="00C0692A" w:rsidRDefault="00283C9B" w:rsidP="00283C9B">
      <w:pPr>
        <w:spacing w:line="240" w:lineRule="auto"/>
        <w:jc w:val="both"/>
        <w:rPr>
          <w:rFonts w:asciiTheme="majorBidi" w:hAnsiTheme="majorBidi" w:cstheme="majorBidi"/>
          <w:sz w:val="24"/>
          <w:szCs w:val="24"/>
        </w:rPr>
      </w:pPr>
      <w:r w:rsidRPr="00C0692A">
        <w:rPr>
          <w:rFonts w:asciiTheme="majorBidi" w:hAnsiTheme="majorBidi" w:cstheme="majorBidi"/>
          <w:sz w:val="24"/>
          <w:szCs w:val="24"/>
        </w:rPr>
        <w:t xml:space="preserve">3.2 Methodology </w:t>
      </w:r>
      <w:r>
        <w:rPr>
          <w:rFonts w:asciiTheme="majorBidi" w:hAnsiTheme="majorBidi" w:cstheme="majorBidi"/>
          <w:sz w:val="24"/>
          <w:szCs w:val="24"/>
        </w:rPr>
        <w:t>……</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35</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sidRPr="00C0692A">
        <w:rPr>
          <w:rFonts w:asciiTheme="majorBidi" w:hAnsiTheme="majorBidi" w:cstheme="majorBidi"/>
          <w:sz w:val="24"/>
          <w:szCs w:val="24"/>
        </w:rPr>
        <w:t xml:space="preserve">3.2.1 Quantitative vs. Qualitative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35</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sidRPr="00C0692A">
        <w:rPr>
          <w:rFonts w:asciiTheme="majorBidi" w:hAnsiTheme="majorBidi" w:cstheme="majorBidi"/>
          <w:sz w:val="24"/>
          <w:szCs w:val="24"/>
        </w:rPr>
        <w:t xml:space="preserve">3.2.2 Inductive vs. Deductive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.36</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sidRPr="00C0692A">
        <w:rPr>
          <w:rFonts w:asciiTheme="majorBidi" w:hAnsiTheme="majorBidi" w:cstheme="majorBidi"/>
          <w:sz w:val="24"/>
          <w:szCs w:val="24"/>
        </w:rPr>
        <w:t xml:space="preserve">3.2.3 Dependent and Independent Variables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.37</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sidRPr="00C0692A">
        <w:rPr>
          <w:rFonts w:asciiTheme="majorBidi" w:hAnsiTheme="majorBidi" w:cstheme="majorBidi"/>
          <w:sz w:val="24"/>
          <w:szCs w:val="24"/>
        </w:rPr>
        <w:t xml:space="preserve">3.2.4 Population and Sampling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37</w:t>
      </w:r>
    </w:p>
    <w:p w:rsidR="00283C9B" w:rsidRDefault="00283C9B" w:rsidP="00283C9B">
      <w:pPr>
        <w:spacing w:line="240" w:lineRule="auto"/>
        <w:jc w:val="both"/>
        <w:rPr>
          <w:rFonts w:asciiTheme="majorBidi" w:hAnsiTheme="majorBidi" w:cstheme="majorBidi"/>
          <w:sz w:val="24"/>
          <w:szCs w:val="24"/>
        </w:rPr>
      </w:pPr>
      <w:r w:rsidRPr="00C0692A">
        <w:rPr>
          <w:rFonts w:asciiTheme="majorBidi" w:hAnsiTheme="majorBidi" w:cstheme="majorBidi"/>
          <w:sz w:val="24"/>
          <w:szCs w:val="24"/>
        </w:rPr>
        <w:t xml:space="preserve">3.2.5 Questionnaire </w:t>
      </w:r>
      <w:r>
        <w:rPr>
          <w:rFonts w:asciiTheme="majorBidi" w:hAnsiTheme="majorBidi" w:cstheme="majorBidi"/>
          <w:sz w:val="24"/>
          <w:szCs w:val="24"/>
        </w:rPr>
        <w:t>……………………………</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38</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3.2.6 Analysis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……...39</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lastRenderedPageBreak/>
        <w:t>4. Results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41</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sidRPr="009B587A">
        <w:rPr>
          <w:rFonts w:asciiTheme="majorBidi" w:hAnsiTheme="majorBidi" w:cstheme="majorBidi"/>
          <w:sz w:val="24"/>
          <w:szCs w:val="24"/>
        </w:rPr>
        <w:t xml:space="preserve">4.1 Descriptive Analysis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41</w:t>
      </w:r>
      <w:r>
        <w:rPr>
          <w:rFonts w:asciiTheme="majorBidi" w:hAnsiTheme="majorBidi" w:cstheme="majorBidi"/>
          <w:sz w:val="24"/>
          <w:szCs w:val="24"/>
        </w:rPr>
        <w:t xml:space="preserve"> </w:t>
      </w:r>
    </w:p>
    <w:p w:rsidR="00283C9B" w:rsidRDefault="00283C9B" w:rsidP="00065B51">
      <w:pPr>
        <w:spacing w:line="240" w:lineRule="auto"/>
        <w:jc w:val="both"/>
        <w:rPr>
          <w:rFonts w:asciiTheme="majorBidi" w:hAnsiTheme="majorBidi" w:cstheme="majorBidi"/>
          <w:sz w:val="24"/>
          <w:szCs w:val="24"/>
        </w:rPr>
      </w:pPr>
      <w:r w:rsidRPr="009B587A">
        <w:rPr>
          <w:rFonts w:asciiTheme="majorBidi" w:hAnsiTheme="majorBidi" w:cstheme="majorBidi"/>
          <w:sz w:val="24"/>
          <w:szCs w:val="24"/>
        </w:rPr>
        <w:t>4.1.1 Demographic Data</w:t>
      </w:r>
      <w:r w:rsidR="00992330">
        <w:rPr>
          <w:rFonts w:asciiTheme="majorBidi" w:hAnsiTheme="majorBidi" w:cstheme="majorBidi"/>
          <w:sz w:val="24"/>
          <w:szCs w:val="24"/>
        </w:rPr>
        <w:t xml:space="preserve"> …………………………………………………………………</w:t>
      </w:r>
      <w:r w:rsidR="00065B51">
        <w:rPr>
          <w:rFonts w:asciiTheme="majorBidi" w:hAnsiTheme="majorBidi" w:cstheme="majorBidi"/>
          <w:sz w:val="24"/>
          <w:szCs w:val="24"/>
        </w:rPr>
        <w:t>…..</w:t>
      </w:r>
      <w:r w:rsidR="00992330">
        <w:rPr>
          <w:rFonts w:asciiTheme="majorBidi" w:hAnsiTheme="majorBidi" w:cstheme="majorBidi"/>
          <w:sz w:val="24"/>
          <w:szCs w:val="24"/>
        </w:rPr>
        <w:t>… 41</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sidRPr="009B587A">
        <w:rPr>
          <w:rFonts w:asciiTheme="majorBidi" w:hAnsiTheme="majorBidi" w:cstheme="majorBidi"/>
          <w:sz w:val="24"/>
          <w:szCs w:val="24"/>
        </w:rPr>
        <w:t>4.2 In-Depth Analysis</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46</w:t>
      </w:r>
    </w:p>
    <w:p w:rsidR="00283C9B" w:rsidRDefault="00283C9B" w:rsidP="00283C9B">
      <w:pPr>
        <w:spacing w:line="240" w:lineRule="auto"/>
        <w:jc w:val="both"/>
        <w:rPr>
          <w:rFonts w:asciiTheme="majorBidi" w:hAnsiTheme="majorBidi" w:cstheme="majorBidi"/>
          <w:sz w:val="24"/>
          <w:szCs w:val="24"/>
        </w:rPr>
      </w:pPr>
      <w:r w:rsidRPr="00DB18AA">
        <w:rPr>
          <w:rFonts w:asciiTheme="majorBidi" w:hAnsiTheme="majorBidi" w:cstheme="majorBidi"/>
          <w:sz w:val="24"/>
          <w:szCs w:val="24"/>
        </w:rPr>
        <w:t xml:space="preserve">4.2.1 E-banking and satisfaction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46</w:t>
      </w:r>
    </w:p>
    <w:p w:rsidR="00283C9B" w:rsidRDefault="00283C9B" w:rsidP="00283C9B">
      <w:pPr>
        <w:spacing w:line="240" w:lineRule="auto"/>
        <w:jc w:val="both"/>
        <w:rPr>
          <w:rFonts w:asciiTheme="majorBidi" w:hAnsiTheme="majorBidi" w:cstheme="majorBidi"/>
          <w:sz w:val="24"/>
          <w:szCs w:val="24"/>
        </w:rPr>
      </w:pPr>
      <w:r w:rsidRPr="00DB18AA">
        <w:rPr>
          <w:rFonts w:asciiTheme="majorBidi" w:hAnsiTheme="majorBidi" w:cstheme="majorBidi"/>
          <w:sz w:val="24"/>
          <w:szCs w:val="24"/>
        </w:rPr>
        <w:t xml:space="preserve">4.2.2 Efficiency of E-banking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46</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sidRPr="00DB18AA">
        <w:rPr>
          <w:rFonts w:asciiTheme="majorBidi" w:hAnsiTheme="majorBidi" w:cstheme="majorBidi"/>
          <w:sz w:val="24"/>
          <w:szCs w:val="24"/>
        </w:rPr>
        <w:t xml:space="preserve">4.2.3. Reliability of e-banking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52</w:t>
      </w:r>
    </w:p>
    <w:p w:rsidR="00283C9B" w:rsidRDefault="00283C9B" w:rsidP="00283C9B">
      <w:pPr>
        <w:spacing w:line="240" w:lineRule="auto"/>
        <w:jc w:val="both"/>
        <w:rPr>
          <w:rFonts w:asciiTheme="majorBidi" w:hAnsiTheme="majorBidi" w:cstheme="majorBidi"/>
          <w:sz w:val="24"/>
          <w:szCs w:val="24"/>
        </w:rPr>
      </w:pPr>
      <w:r w:rsidRPr="00DB18AA">
        <w:rPr>
          <w:rFonts w:asciiTheme="majorBidi" w:hAnsiTheme="majorBidi" w:cstheme="majorBidi"/>
          <w:sz w:val="24"/>
          <w:szCs w:val="24"/>
        </w:rPr>
        <w:t xml:space="preserve">4.2.4 Security of e-banking </w:t>
      </w:r>
      <w:r>
        <w:rPr>
          <w:rFonts w:asciiTheme="majorBidi" w:hAnsiTheme="majorBidi" w:cstheme="majorBidi"/>
          <w:sz w:val="24"/>
          <w:szCs w:val="24"/>
        </w:rPr>
        <w:t>…………………………………………</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54</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sidRPr="009B587A">
        <w:rPr>
          <w:rFonts w:asciiTheme="majorBidi" w:hAnsiTheme="majorBidi" w:cstheme="majorBidi"/>
          <w:sz w:val="24"/>
          <w:szCs w:val="24"/>
        </w:rPr>
        <w:t xml:space="preserve">4.2.5 Communication in E-banking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………56</w:t>
      </w:r>
    </w:p>
    <w:p w:rsidR="00283C9B" w:rsidRDefault="00283C9B" w:rsidP="00283C9B">
      <w:pPr>
        <w:spacing w:line="240" w:lineRule="auto"/>
        <w:jc w:val="both"/>
        <w:rPr>
          <w:rFonts w:asciiTheme="majorBidi" w:hAnsiTheme="majorBidi" w:cstheme="majorBidi"/>
          <w:sz w:val="24"/>
          <w:szCs w:val="24"/>
        </w:rPr>
      </w:pPr>
      <w:r w:rsidRPr="000337D4">
        <w:rPr>
          <w:rFonts w:asciiTheme="majorBidi" w:hAnsiTheme="majorBidi" w:cstheme="majorBidi"/>
          <w:sz w:val="24"/>
          <w:szCs w:val="24"/>
        </w:rPr>
        <w:t xml:space="preserve">4.2.6 Future of E-banking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57</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5. Discussion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58</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Conclusion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60</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Limitations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64</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 xml:space="preserve">Recommendations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65</w:t>
      </w:r>
      <w:r>
        <w:rPr>
          <w:rFonts w:asciiTheme="majorBidi" w:hAnsiTheme="majorBidi" w:cstheme="majorBidi"/>
          <w:sz w:val="24"/>
          <w:szCs w:val="24"/>
        </w:rPr>
        <w:t xml:space="preserve"> </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References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68</w:t>
      </w:r>
    </w:p>
    <w:p w:rsidR="00283C9B" w:rsidRDefault="00283C9B" w:rsidP="00283C9B">
      <w:pPr>
        <w:spacing w:line="240" w:lineRule="auto"/>
        <w:jc w:val="both"/>
        <w:rPr>
          <w:rFonts w:asciiTheme="majorBidi" w:hAnsiTheme="majorBidi" w:cstheme="majorBidi"/>
          <w:sz w:val="24"/>
          <w:szCs w:val="24"/>
        </w:rPr>
      </w:pPr>
      <w:r>
        <w:rPr>
          <w:rFonts w:asciiTheme="majorBidi" w:hAnsiTheme="majorBidi" w:cstheme="majorBidi"/>
          <w:sz w:val="24"/>
          <w:szCs w:val="24"/>
        </w:rPr>
        <w:t>Appendices ……</w:t>
      </w:r>
      <w:r w:rsidR="00992330">
        <w:rPr>
          <w:rFonts w:asciiTheme="majorBidi" w:hAnsiTheme="majorBidi" w:cstheme="majorBidi"/>
          <w:sz w:val="24"/>
          <w:szCs w:val="24"/>
        </w:rPr>
        <w:t>…………………………………………………………………………</w:t>
      </w:r>
      <w:r w:rsidR="00065B51">
        <w:rPr>
          <w:rFonts w:asciiTheme="majorBidi" w:hAnsiTheme="majorBidi" w:cstheme="majorBidi"/>
          <w:sz w:val="24"/>
          <w:szCs w:val="24"/>
        </w:rPr>
        <w:t>…...</w:t>
      </w:r>
      <w:r w:rsidR="00992330">
        <w:rPr>
          <w:rFonts w:asciiTheme="majorBidi" w:hAnsiTheme="majorBidi" w:cstheme="majorBidi"/>
          <w:sz w:val="24"/>
          <w:szCs w:val="24"/>
        </w:rPr>
        <w:t>… 77</w:t>
      </w:r>
    </w:p>
    <w:p w:rsidR="00C0692A" w:rsidRPr="00C0692A" w:rsidRDefault="00C0692A" w:rsidP="00C0692A">
      <w:pPr>
        <w:spacing w:line="360" w:lineRule="auto"/>
        <w:jc w:val="both"/>
        <w:rPr>
          <w:rFonts w:asciiTheme="majorBidi" w:hAnsiTheme="majorBidi" w:cstheme="majorBidi"/>
          <w:sz w:val="24"/>
          <w:szCs w:val="24"/>
        </w:rPr>
      </w:pPr>
    </w:p>
    <w:p w:rsidR="00C0692A" w:rsidRPr="00C0692A" w:rsidRDefault="00C0692A" w:rsidP="00C0692A">
      <w:pPr>
        <w:spacing w:line="360" w:lineRule="auto"/>
        <w:jc w:val="both"/>
        <w:rPr>
          <w:rFonts w:asciiTheme="majorBidi" w:hAnsiTheme="majorBidi" w:cstheme="majorBidi"/>
          <w:sz w:val="24"/>
          <w:szCs w:val="24"/>
        </w:rPr>
      </w:pPr>
    </w:p>
    <w:p w:rsidR="00C0692A" w:rsidRPr="00C0692A" w:rsidRDefault="00C0692A" w:rsidP="00C0692A">
      <w:pPr>
        <w:spacing w:line="360" w:lineRule="auto"/>
        <w:jc w:val="both"/>
        <w:rPr>
          <w:rFonts w:asciiTheme="majorBidi" w:hAnsiTheme="majorBidi" w:cstheme="majorBidi"/>
          <w:sz w:val="24"/>
          <w:szCs w:val="24"/>
        </w:rPr>
      </w:pPr>
    </w:p>
    <w:p w:rsidR="00C0692A" w:rsidRDefault="00C0692A" w:rsidP="00C0692A">
      <w:pPr>
        <w:spacing w:line="360" w:lineRule="auto"/>
        <w:jc w:val="both"/>
        <w:rPr>
          <w:rFonts w:asciiTheme="majorBidi" w:hAnsiTheme="majorBidi" w:cstheme="majorBidi"/>
          <w:sz w:val="24"/>
          <w:szCs w:val="24"/>
        </w:rPr>
      </w:pPr>
    </w:p>
    <w:p w:rsidR="00C0692A" w:rsidRPr="00C0692A" w:rsidRDefault="00C0692A" w:rsidP="00C0692A">
      <w:pPr>
        <w:spacing w:line="360" w:lineRule="auto"/>
        <w:jc w:val="both"/>
        <w:rPr>
          <w:rFonts w:asciiTheme="majorBidi" w:hAnsiTheme="majorBidi" w:cstheme="majorBidi"/>
          <w:sz w:val="24"/>
          <w:szCs w:val="24"/>
        </w:rPr>
      </w:pPr>
    </w:p>
    <w:p w:rsidR="00C0692A" w:rsidRPr="00C0692A" w:rsidRDefault="00C0692A" w:rsidP="00C0692A">
      <w:pPr>
        <w:spacing w:line="480" w:lineRule="auto"/>
        <w:rPr>
          <w:rFonts w:asciiTheme="majorBidi" w:hAnsiTheme="majorBidi" w:cstheme="majorBidi"/>
          <w:sz w:val="24"/>
          <w:szCs w:val="24"/>
        </w:rPr>
      </w:pPr>
    </w:p>
    <w:p w:rsidR="00C0692A" w:rsidRPr="00C0692A" w:rsidRDefault="00C0692A" w:rsidP="00C0692A">
      <w:pPr>
        <w:spacing w:line="480" w:lineRule="auto"/>
        <w:rPr>
          <w:rFonts w:asciiTheme="majorBidi" w:hAnsiTheme="majorBidi" w:cstheme="majorBidi"/>
          <w:sz w:val="24"/>
          <w:szCs w:val="24"/>
        </w:rPr>
      </w:pPr>
    </w:p>
    <w:p w:rsidR="00C0692A" w:rsidRPr="00C0692A" w:rsidRDefault="00C0692A" w:rsidP="00C0692A">
      <w:pPr>
        <w:spacing w:line="480" w:lineRule="auto"/>
        <w:rPr>
          <w:rFonts w:asciiTheme="majorBidi" w:hAnsiTheme="majorBidi" w:cstheme="majorBidi"/>
          <w:sz w:val="24"/>
          <w:szCs w:val="24"/>
        </w:rPr>
      </w:pPr>
    </w:p>
    <w:p w:rsidR="004276BF" w:rsidRPr="004276BF" w:rsidRDefault="004276BF" w:rsidP="004276BF">
      <w:pPr>
        <w:spacing w:line="480" w:lineRule="auto"/>
        <w:rPr>
          <w:rFonts w:asciiTheme="majorBidi" w:hAnsiTheme="majorBidi" w:cstheme="majorBidi"/>
          <w:sz w:val="24"/>
          <w:szCs w:val="24"/>
        </w:rPr>
      </w:pPr>
    </w:p>
    <w:p w:rsidR="000E0CC0" w:rsidRDefault="000E0CC0" w:rsidP="00BA77EA">
      <w:pPr>
        <w:spacing w:line="480" w:lineRule="auto"/>
        <w:jc w:val="center"/>
        <w:rPr>
          <w:rFonts w:asciiTheme="majorBidi" w:hAnsiTheme="majorBidi" w:cstheme="majorBidi"/>
          <w:b/>
          <w:bCs/>
          <w:sz w:val="32"/>
          <w:szCs w:val="32"/>
        </w:rPr>
      </w:pPr>
      <w:r>
        <w:rPr>
          <w:rFonts w:asciiTheme="majorBidi" w:hAnsiTheme="majorBidi" w:cstheme="majorBidi"/>
          <w:b/>
          <w:bCs/>
          <w:sz w:val="32"/>
          <w:szCs w:val="32"/>
        </w:rPr>
        <w:t xml:space="preserve">List of Figures </w:t>
      </w:r>
    </w:p>
    <w:p w:rsidR="004276BF" w:rsidRDefault="004276BF" w:rsidP="00B6791E">
      <w:pPr>
        <w:spacing w:line="240" w:lineRule="auto"/>
        <w:jc w:val="both"/>
        <w:rPr>
          <w:rFonts w:asciiTheme="majorBidi" w:hAnsiTheme="majorBidi" w:cstheme="majorBidi"/>
          <w:sz w:val="24"/>
          <w:szCs w:val="24"/>
        </w:rPr>
      </w:pPr>
      <w:r>
        <w:rPr>
          <w:rFonts w:asciiTheme="majorBidi" w:hAnsiTheme="majorBidi" w:cstheme="majorBidi"/>
          <w:sz w:val="24"/>
          <w:szCs w:val="24"/>
        </w:rPr>
        <w:t>Fig. 1 Levels and layers of e-commerce ………………………………………………..</w:t>
      </w:r>
    </w:p>
    <w:p w:rsidR="004276BF" w:rsidRDefault="004276BF" w:rsidP="00B6791E">
      <w:pPr>
        <w:spacing w:line="240" w:lineRule="auto"/>
        <w:jc w:val="both"/>
        <w:rPr>
          <w:rFonts w:asciiTheme="majorBidi" w:hAnsiTheme="majorBidi" w:cstheme="majorBidi"/>
          <w:sz w:val="24"/>
          <w:szCs w:val="24"/>
        </w:rPr>
      </w:pPr>
      <w:r>
        <w:rPr>
          <w:rFonts w:asciiTheme="majorBidi" w:hAnsiTheme="majorBidi" w:cstheme="majorBidi"/>
          <w:sz w:val="24"/>
          <w:szCs w:val="24"/>
        </w:rPr>
        <w:t xml:space="preserve">Fig. 2 </w:t>
      </w:r>
      <w:r w:rsidRPr="004276BF">
        <w:rPr>
          <w:rFonts w:asciiTheme="majorBidi" w:hAnsiTheme="majorBidi" w:cstheme="majorBidi"/>
          <w:sz w:val="24"/>
          <w:szCs w:val="24"/>
        </w:rPr>
        <w:t xml:space="preserve">The Annual growth of </w:t>
      </w:r>
      <w:r w:rsidR="00BC0353">
        <w:rPr>
          <w:rFonts w:asciiTheme="majorBidi" w:hAnsiTheme="majorBidi" w:cstheme="majorBidi"/>
          <w:sz w:val="24"/>
          <w:szCs w:val="24"/>
        </w:rPr>
        <w:t>Lebanon’s Gross Debt in billion-</w:t>
      </w:r>
      <w:r w:rsidRPr="004276BF">
        <w:rPr>
          <w:rFonts w:asciiTheme="majorBidi" w:hAnsiTheme="majorBidi" w:cstheme="majorBidi"/>
          <w:sz w:val="24"/>
          <w:szCs w:val="24"/>
        </w:rPr>
        <w:t>dollar between 1993 and 2018 as retrieved from Blominvest (2019)</w:t>
      </w:r>
      <w:r>
        <w:rPr>
          <w:rFonts w:asciiTheme="majorBidi" w:hAnsiTheme="majorBidi" w:cstheme="majorBidi"/>
          <w:sz w:val="24"/>
          <w:szCs w:val="24"/>
        </w:rPr>
        <w:t xml:space="preserve"> ………………………………………………………</w:t>
      </w:r>
    </w:p>
    <w:p w:rsidR="00C0692A" w:rsidRPr="00C0692A" w:rsidRDefault="00C0692A" w:rsidP="00B6791E">
      <w:pPr>
        <w:spacing w:line="240" w:lineRule="auto"/>
        <w:jc w:val="both"/>
        <w:rPr>
          <w:rFonts w:asciiTheme="majorBidi" w:hAnsiTheme="majorBidi" w:cstheme="majorBidi"/>
          <w:sz w:val="24"/>
          <w:szCs w:val="24"/>
        </w:rPr>
      </w:pPr>
      <w:r w:rsidRPr="00C0692A">
        <w:rPr>
          <w:rFonts w:asciiTheme="majorBidi" w:hAnsiTheme="majorBidi" w:cstheme="majorBidi"/>
          <w:sz w:val="24"/>
          <w:szCs w:val="24"/>
        </w:rPr>
        <w:t>Fig. 3 The Kano Model as extracted from Kano et al. (1996)</w:t>
      </w:r>
      <w:r>
        <w:rPr>
          <w:rFonts w:asciiTheme="majorBidi" w:hAnsiTheme="majorBidi" w:cstheme="majorBidi"/>
          <w:sz w:val="24"/>
          <w:szCs w:val="24"/>
        </w:rPr>
        <w:t xml:space="preserve"> ………………………….</w:t>
      </w:r>
    </w:p>
    <w:p w:rsidR="004276BF" w:rsidRDefault="004276BF" w:rsidP="004276BF">
      <w:pPr>
        <w:spacing w:line="480" w:lineRule="auto"/>
        <w:rPr>
          <w:rFonts w:asciiTheme="majorBidi" w:hAnsiTheme="majorBidi" w:cstheme="majorBidi"/>
          <w:sz w:val="24"/>
          <w:szCs w:val="24"/>
        </w:rPr>
      </w:pPr>
    </w:p>
    <w:p w:rsidR="00B6791E" w:rsidRDefault="00B6791E" w:rsidP="004276BF">
      <w:pPr>
        <w:spacing w:line="480" w:lineRule="auto"/>
        <w:rPr>
          <w:rFonts w:asciiTheme="majorBidi" w:hAnsiTheme="majorBidi" w:cstheme="majorBidi"/>
          <w:sz w:val="24"/>
          <w:szCs w:val="24"/>
        </w:rPr>
      </w:pPr>
    </w:p>
    <w:p w:rsidR="00B6791E" w:rsidRDefault="00B6791E" w:rsidP="004276BF">
      <w:pPr>
        <w:spacing w:line="480" w:lineRule="auto"/>
        <w:rPr>
          <w:rFonts w:asciiTheme="majorBidi" w:hAnsiTheme="majorBidi" w:cstheme="majorBidi"/>
          <w:sz w:val="24"/>
          <w:szCs w:val="24"/>
        </w:rPr>
      </w:pPr>
    </w:p>
    <w:p w:rsidR="00B6791E" w:rsidRDefault="00B6791E" w:rsidP="004276BF">
      <w:pPr>
        <w:spacing w:line="480" w:lineRule="auto"/>
        <w:rPr>
          <w:rFonts w:asciiTheme="majorBidi" w:hAnsiTheme="majorBidi" w:cstheme="majorBidi"/>
          <w:sz w:val="24"/>
          <w:szCs w:val="24"/>
        </w:rPr>
      </w:pPr>
    </w:p>
    <w:p w:rsidR="00B6791E" w:rsidRDefault="00B6791E" w:rsidP="004276BF">
      <w:pPr>
        <w:spacing w:line="480" w:lineRule="auto"/>
        <w:rPr>
          <w:rFonts w:asciiTheme="majorBidi" w:hAnsiTheme="majorBidi" w:cstheme="majorBidi"/>
          <w:sz w:val="24"/>
          <w:szCs w:val="24"/>
        </w:rPr>
      </w:pPr>
    </w:p>
    <w:p w:rsidR="00B6791E" w:rsidRDefault="00B6791E" w:rsidP="004276BF">
      <w:pPr>
        <w:spacing w:line="480" w:lineRule="auto"/>
        <w:rPr>
          <w:rFonts w:asciiTheme="majorBidi" w:hAnsiTheme="majorBidi" w:cstheme="majorBidi"/>
          <w:sz w:val="24"/>
          <w:szCs w:val="24"/>
        </w:rPr>
      </w:pPr>
    </w:p>
    <w:p w:rsidR="00B6791E" w:rsidRDefault="00B6791E" w:rsidP="004276BF">
      <w:pPr>
        <w:spacing w:line="480" w:lineRule="auto"/>
        <w:rPr>
          <w:rFonts w:asciiTheme="majorBidi" w:hAnsiTheme="majorBidi" w:cstheme="majorBidi"/>
          <w:sz w:val="24"/>
          <w:szCs w:val="24"/>
        </w:rPr>
      </w:pPr>
    </w:p>
    <w:p w:rsidR="00B6791E" w:rsidRDefault="00B6791E" w:rsidP="004276BF">
      <w:pPr>
        <w:spacing w:line="480" w:lineRule="auto"/>
        <w:rPr>
          <w:rFonts w:asciiTheme="majorBidi" w:hAnsiTheme="majorBidi" w:cstheme="majorBidi"/>
          <w:sz w:val="24"/>
          <w:szCs w:val="24"/>
        </w:rPr>
      </w:pPr>
    </w:p>
    <w:p w:rsidR="00B6791E" w:rsidRDefault="00B6791E" w:rsidP="004276BF">
      <w:pPr>
        <w:spacing w:line="480" w:lineRule="auto"/>
        <w:rPr>
          <w:rFonts w:asciiTheme="majorBidi" w:hAnsiTheme="majorBidi" w:cstheme="majorBidi"/>
          <w:sz w:val="24"/>
          <w:szCs w:val="24"/>
        </w:rPr>
      </w:pPr>
    </w:p>
    <w:p w:rsidR="00B6791E" w:rsidRDefault="00B6791E" w:rsidP="004276BF">
      <w:pPr>
        <w:spacing w:line="480" w:lineRule="auto"/>
        <w:rPr>
          <w:rFonts w:asciiTheme="majorBidi" w:hAnsiTheme="majorBidi" w:cstheme="majorBidi"/>
          <w:sz w:val="24"/>
          <w:szCs w:val="24"/>
        </w:rPr>
      </w:pPr>
    </w:p>
    <w:p w:rsidR="00B6791E" w:rsidRDefault="00B6791E" w:rsidP="004276BF">
      <w:pPr>
        <w:spacing w:line="480" w:lineRule="auto"/>
        <w:rPr>
          <w:rFonts w:asciiTheme="majorBidi" w:hAnsiTheme="majorBidi" w:cstheme="majorBidi"/>
          <w:sz w:val="24"/>
          <w:szCs w:val="24"/>
        </w:rPr>
      </w:pPr>
    </w:p>
    <w:p w:rsidR="00B6791E" w:rsidRDefault="00B6791E" w:rsidP="004276BF">
      <w:pPr>
        <w:spacing w:line="480" w:lineRule="auto"/>
        <w:rPr>
          <w:rFonts w:asciiTheme="majorBidi" w:hAnsiTheme="majorBidi" w:cstheme="majorBidi"/>
          <w:sz w:val="24"/>
          <w:szCs w:val="24"/>
        </w:rPr>
      </w:pPr>
    </w:p>
    <w:p w:rsidR="00B6791E" w:rsidRDefault="00B6791E" w:rsidP="004276BF">
      <w:pPr>
        <w:spacing w:line="480" w:lineRule="auto"/>
        <w:rPr>
          <w:rFonts w:asciiTheme="majorBidi" w:hAnsiTheme="majorBidi" w:cstheme="majorBidi"/>
          <w:sz w:val="24"/>
          <w:szCs w:val="24"/>
        </w:rPr>
      </w:pPr>
    </w:p>
    <w:p w:rsidR="00B6791E" w:rsidRDefault="00B6791E" w:rsidP="004276BF">
      <w:pPr>
        <w:spacing w:line="480" w:lineRule="auto"/>
        <w:rPr>
          <w:rFonts w:asciiTheme="majorBidi" w:hAnsiTheme="majorBidi" w:cstheme="majorBidi"/>
          <w:sz w:val="24"/>
          <w:szCs w:val="24"/>
        </w:rPr>
      </w:pPr>
    </w:p>
    <w:p w:rsidR="00B6791E" w:rsidRPr="004276BF" w:rsidRDefault="00B6791E" w:rsidP="004276BF">
      <w:pPr>
        <w:spacing w:line="480" w:lineRule="auto"/>
        <w:rPr>
          <w:rFonts w:asciiTheme="majorBidi" w:hAnsiTheme="majorBidi" w:cstheme="majorBidi"/>
          <w:sz w:val="24"/>
          <w:szCs w:val="24"/>
        </w:rPr>
      </w:pPr>
    </w:p>
    <w:p w:rsidR="000E0CC0" w:rsidRDefault="000E0CC0" w:rsidP="00BA77EA">
      <w:pPr>
        <w:spacing w:line="480" w:lineRule="auto"/>
        <w:jc w:val="center"/>
        <w:rPr>
          <w:rFonts w:asciiTheme="majorBidi" w:hAnsiTheme="majorBidi" w:cstheme="majorBidi"/>
          <w:b/>
          <w:bCs/>
          <w:sz w:val="32"/>
          <w:szCs w:val="32"/>
        </w:rPr>
      </w:pPr>
      <w:r>
        <w:rPr>
          <w:rFonts w:asciiTheme="majorBidi" w:hAnsiTheme="majorBidi" w:cstheme="majorBidi"/>
          <w:b/>
          <w:bCs/>
          <w:sz w:val="32"/>
          <w:szCs w:val="32"/>
        </w:rPr>
        <w:t xml:space="preserve">List of Tables </w:t>
      </w:r>
    </w:p>
    <w:p w:rsidR="00A47736" w:rsidRDefault="00A47736" w:rsidP="00B6791E">
      <w:pPr>
        <w:spacing w:line="240" w:lineRule="auto"/>
        <w:rPr>
          <w:rFonts w:asciiTheme="majorBidi" w:hAnsiTheme="majorBidi" w:cstheme="majorBidi"/>
          <w:sz w:val="24"/>
          <w:szCs w:val="24"/>
        </w:rPr>
      </w:pPr>
      <w:r w:rsidRPr="00A47736">
        <w:rPr>
          <w:rFonts w:asciiTheme="majorBidi" w:hAnsiTheme="majorBidi" w:cstheme="majorBidi"/>
          <w:sz w:val="24"/>
          <w:szCs w:val="24"/>
        </w:rPr>
        <w:t>Table 1 Gender distribution of participants</w:t>
      </w:r>
      <w:r>
        <w:rPr>
          <w:rFonts w:asciiTheme="majorBidi" w:hAnsiTheme="majorBidi" w:cstheme="majorBidi"/>
          <w:sz w:val="24"/>
          <w:szCs w:val="24"/>
        </w:rPr>
        <w:t xml:space="preserve"> …………………………………………………</w:t>
      </w:r>
    </w:p>
    <w:p w:rsidR="00AC21C1" w:rsidRDefault="00AC21C1" w:rsidP="00B6791E">
      <w:pPr>
        <w:spacing w:line="240" w:lineRule="auto"/>
        <w:rPr>
          <w:rFonts w:asciiTheme="majorBidi" w:hAnsiTheme="majorBidi" w:cstheme="majorBidi"/>
          <w:sz w:val="24"/>
          <w:szCs w:val="24"/>
        </w:rPr>
      </w:pPr>
      <w:r w:rsidRPr="00AC21C1">
        <w:rPr>
          <w:rFonts w:asciiTheme="majorBidi" w:hAnsiTheme="majorBidi" w:cstheme="majorBidi"/>
          <w:sz w:val="24"/>
          <w:szCs w:val="24"/>
        </w:rPr>
        <w:t>Table 2 Age distribution of participants</w:t>
      </w:r>
      <w:r>
        <w:rPr>
          <w:rFonts w:asciiTheme="majorBidi" w:hAnsiTheme="majorBidi" w:cstheme="majorBidi"/>
          <w:sz w:val="24"/>
          <w:szCs w:val="24"/>
        </w:rPr>
        <w:t xml:space="preserve"> ……………………………………………………..</w:t>
      </w:r>
    </w:p>
    <w:p w:rsidR="00AC21C1" w:rsidRDefault="00AC21C1" w:rsidP="00B6791E">
      <w:pPr>
        <w:spacing w:line="240" w:lineRule="auto"/>
        <w:rPr>
          <w:rFonts w:asciiTheme="majorBidi" w:hAnsiTheme="majorBidi" w:cstheme="majorBidi"/>
          <w:sz w:val="24"/>
          <w:szCs w:val="24"/>
        </w:rPr>
      </w:pPr>
      <w:r w:rsidRPr="00AC21C1">
        <w:rPr>
          <w:rFonts w:asciiTheme="majorBidi" w:hAnsiTheme="majorBidi" w:cstheme="majorBidi"/>
          <w:sz w:val="24"/>
          <w:szCs w:val="24"/>
        </w:rPr>
        <w:t>Table 3 Educational level of participants</w:t>
      </w:r>
      <w:r>
        <w:rPr>
          <w:rFonts w:asciiTheme="majorBidi" w:hAnsiTheme="majorBidi" w:cstheme="majorBidi"/>
          <w:sz w:val="24"/>
          <w:szCs w:val="24"/>
        </w:rPr>
        <w:t>………………………………………………………</w:t>
      </w:r>
    </w:p>
    <w:p w:rsidR="00AC21C1" w:rsidRDefault="00AC21C1" w:rsidP="00B6791E">
      <w:pPr>
        <w:spacing w:line="240" w:lineRule="auto"/>
        <w:rPr>
          <w:rFonts w:asciiTheme="majorBidi" w:hAnsiTheme="majorBidi" w:cstheme="majorBidi"/>
          <w:sz w:val="24"/>
          <w:szCs w:val="24"/>
        </w:rPr>
      </w:pPr>
      <w:r w:rsidRPr="00AC21C1">
        <w:rPr>
          <w:rFonts w:asciiTheme="majorBidi" w:hAnsiTheme="majorBidi" w:cstheme="majorBidi"/>
          <w:sz w:val="24"/>
          <w:szCs w:val="24"/>
        </w:rPr>
        <w:t>Table 4 Income of participants</w:t>
      </w:r>
      <w:r>
        <w:rPr>
          <w:rFonts w:asciiTheme="majorBidi" w:hAnsiTheme="majorBidi" w:cstheme="majorBidi"/>
          <w:sz w:val="24"/>
          <w:szCs w:val="24"/>
        </w:rPr>
        <w:t>………………………………………………………………</w:t>
      </w:r>
    </w:p>
    <w:p w:rsidR="00AC21C1" w:rsidRDefault="00AC21C1" w:rsidP="00B6791E">
      <w:pPr>
        <w:spacing w:line="240" w:lineRule="auto"/>
        <w:rPr>
          <w:rFonts w:asciiTheme="majorBidi" w:hAnsiTheme="majorBidi" w:cstheme="majorBidi"/>
          <w:sz w:val="24"/>
          <w:szCs w:val="24"/>
        </w:rPr>
      </w:pPr>
      <w:r w:rsidRPr="00AC21C1">
        <w:rPr>
          <w:rFonts w:asciiTheme="majorBidi" w:hAnsiTheme="majorBidi" w:cstheme="majorBidi"/>
          <w:sz w:val="24"/>
          <w:szCs w:val="24"/>
        </w:rPr>
        <w:t>Table 5 Duration of electronic bank account</w:t>
      </w:r>
      <w:r>
        <w:rPr>
          <w:rFonts w:asciiTheme="majorBidi" w:hAnsiTheme="majorBidi" w:cstheme="majorBidi"/>
          <w:sz w:val="24"/>
          <w:szCs w:val="24"/>
        </w:rPr>
        <w:t xml:space="preserve"> …………………………………………………</w:t>
      </w:r>
    </w:p>
    <w:p w:rsidR="00AC21C1" w:rsidRDefault="00AC21C1" w:rsidP="00B6791E">
      <w:pPr>
        <w:spacing w:line="240" w:lineRule="auto"/>
        <w:rPr>
          <w:rFonts w:asciiTheme="majorBidi" w:hAnsiTheme="majorBidi" w:cstheme="majorBidi"/>
          <w:sz w:val="24"/>
          <w:szCs w:val="24"/>
        </w:rPr>
      </w:pPr>
      <w:r w:rsidRPr="00AC21C1">
        <w:rPr>
          <w:rFonts w:asciiTheme="majorBidi" w:hAnsiTheme="majorBidi" w:cstheme="majorBidi"/>
          <w:sz w:val="24"/>
          <w:szCs w:val="24"/>
        </w:rPr>
        <w:t>Table 6 Frequency of use of electronic banking</w:t>
      </w:r>
      <w:r>
        <w:rPr>
          <w:rFonts w:asciiTheme="majorBidi" w:hAnsiTheme="majorBidi" w:cstheme="majorBidi"/>
          <w:sz w:val="24"/>
          <w:szCs w:val="24"/>
        </w:rPr>
        <w:t xml:space="preserve"> ……………………………………………</w:t>
      </w:r>
    </w:p>
    <w:p w:rsidR="00AC21C1" w:rsidRDefault="00AC21C1" w:rsidP="00B6791E">
      <w:pPr>
        <w:spacing w:line="240" w:lineRule="auto"/>
        <w:rPr>
          <w:rFonts w:asciiTheme="majorBidi" w:hAnsiTheme="majorBidi" w:cstheme="majorBidi"/>
          <w:sz w:val="24"/>
          <w:szCs w:val="24"/>
        </w:rPr>
      </w:pPr>
      <w:r w:rsidRPr="00AC21C1">
        <w:rPr>
          <w:rFonts w:asciiTheme="majorBidi" w:hAnsiTheme="majorBidi" w:cstheme="majorBidi"/>
          <w:sz w:val="24"/>
          <w:szCs w:val="24"/>
        </w:rPr>
        <w:t>Table 8 The level of satisfaction before and after the pandemic</w:t>
      </w:r>
      <w:r>
        <w:rPr>
          <w:rFonts w:asciiTheme="majorBidi" w:hAnsiTheme="majorBidi" w:cstheme="majorBidi"/>
          <w:sz w:val="24"/>
          <w:szCs w:val="24"/>
        </w:rPr>
        <w:t xml:space="preserve"> ……………………………</w:t>
      </w:r>
    </w:p>
    <w:p w:rsidR="00AC21C1" w:rsidRDefault="00AC21C1" w:rsidP="00B6791E">
      <w:pPr>
        <w:spacing w:line="240" w:lineRule="auto"/>
        <w:rPr>
          <w:rFonts w:asciiTheme="majorBidi" w:hAnsiTheme="majorBidi" w:cstheme="majorBidi"/>
          <w:sz w:val="24"/>
          <w:szCs w:val="24"/>
        </w:rPr>
      </w:pPr>
      <w:r w:rsidRPr="00AC21C1">
        <w:rPr>
          <w:rFonts w:asciiTheme="majorBidi" w:hAnsiTheme="majorBidi" w:cstheme="majorBidi"/>
          <w:sz w:val="24"/>
          <w:szCs w:val="24"/>
        </w:rPr>
        <w:t>Table 9 The χ</w:t>
      </w:r>
      <w:r w:rsidRPr="00AC21C1">
        <w:rPr>
          <w:rFonts w:asciiTheme="majorBidi" w:hAnsiTheme="majorBidi" w:cstheme="majorBidi"/>
          <w:sz w:val="24"/>
          <w:szCs w:val="24"/>
          <w:vertAlign w:val="superscript"/>
        </w:rPr>
        <w:t>2</w:t>
      </w:r>
      <w:r w:rsidRPr="00AC21C1">
        <w:rPr>
          <w:rFonts w:asciiTheme="majorBidi" w:hAnsiTheme="majorBidi" w:cstheme="majorBidi"/>
          <w:sz w:val="24"/>
          <w:szCs w:val="24"/>
        </w:rPr>
        <w:t xml:space="preserve"> Test of satisfaction before and after the pandemic</w:t>
      </w:r>
      <w:r>
        <w:rPr>
          <w:rFonts w:asciiTheme="majorBidi" w:hAnsiTheme="majorBidi" w:cstheme="majorBidi"/>
          <w:sz w:val="24"/>
          <w:szCs w:val="24"/>
        </w:rPr>
        <w:t>………………………….</w:t>
      </w:r>
    </w:p>
    <w:p w:rsidR="00AC21C1" w:rsidRDefault="00BC0353" w:rsidP="00B6791E">
      <w:pPr>
        <w:spacing w:line="240" w:lineRule="auto"/>
        <w:rPr>
          <w:rFonts w:asciiTheme="majorBidi" w:hAnsiTheme="majorBidi" w:cstheme="majorBidi"/>
          <w:sz w:val="24"/>
          <w:szCs w:val="24"/>
        </w:rPr>
      </w:pPr>
      <w:r>
        <w:rPr>
          <w:rFonts w:asciiTheme="majorBidi" w:hAnsiTheme="majorBidi" w:cstheme="majorBidi"/>
          <w:sz w:val="24"/>
          <w:szCs w:val="24"/>
        </w:rPr>
        <w:t>Table 10 Chi-</w:t>
      </w:r>
      <w:r w:rsidR="00AC21C1" w:rsidRPr="00AC21C1">
        <w:rPr>
          <w:rFonts w:asciiTheme="majorBidi" w:hAnsiTheme="majorBidi" w:cstheme="majorBidi"/>
          <w:sz w:val="24"/>
          <w:szCs w:val="24"/>
        </w:rPr>
        <w:t>Square vales for regaining trust through access to all accounts</w:t>
      </w:r>
      <w:r w:rsidR="00AC21C1">
        <w:rPr>
          <w:rFonts w:asciiTheme="majorBidi" w:hAnsiTheme="majorBidi" w:cstheme="majorBidi"/>
          <w:sz w:val="24"/>
          <w:szCs w:val="24"/>
        </w:rPr>
        <w:t>……………..</w:t>
      </w:r>
    </w:p>
    <w:p w:rsidR="00AC21C1" w:rsidRDefault="00BC0353" w:rsidP="00B6791E">
      <w:pPr>
        <w:spacing w:line="240" w:lineRule="auto"/>
        <w:rPr>
          <w:rFonts w:asciiTheme="majorBidi" w:hAnsiTheme="majorBidi" w:cstheme="majorBidi"/>
          <w:sz w:val="24"/>
          <w:szCs w:val="24"/>
        </w:rPr>
      </w:pPr>
      <w:r>
        <w:rPr>
          <w:rFonts w:asciiTheme="majorBidi" w:hAnsiTheme="majorBidi" w:cstheme="majorBidi"/>
          <w:sz w:val="24"/>
          <w:szCs w:val="24"/>
        </w:rPr>
        <w:t>Table 11 Chi-</w:t>
      </w:r>
      <w:r w:rsidR="00AC21C1" w:rsidRPr="00AC21C1">
        <w:rPr>
          <w:rFonts w:asciiTheme="majorBidi" w:hAnsiTheme="majorBidi" w:cstheme="majorBidi"/>
          <w:sz w:val="24"/>
          <w:szCs w:val="24"/>
        </w:rPr>
        <w:t>Square values for regaining trust through the ability to transfer money</w:t>
      </w:r>
      <w:r w:rsidR="00AC21C1">
        <w:rPr>
          <w:rFonts w:asciiTheme="majorBidi" w:hAnsiTheme="majorBidi" w:cstheme="majorBidi"/>
          <w:sz w:val="24"/>
          <w:szCs w:val="24"/>
        </w:rPr>
        <w:t xml:space="preserve"> …..</w:t>
      </w:r>
    </w:p>
    <w:p w:rsidR="00AC21C1" w:rsidRDefault="00BC0353" w:rsidP="00B6791E">
      <w:pPr>
        <w:spacing w:line="240" w:lineRule="auto"/>
        <w:rPr>
          <w:rFonts w:asciiTheme="majorBidi" w:hAnsiTheme="majorBidi" w:cstheme="majorBidi"/>
          <w:sz w:val="24"/>
          <w:szCs w:val="24"/>
        </w:rPr>
      </w:pPr>
      <w:r>
        <w:rPr>
          <w:rFonts w:asciiTheme="majorBidi" w:hAnsiTheme="majorBidi" w:cstheme="majorBidi"/>
          <w:sz w:val="24"/>
          <w:szCs w:val="24"/>
        </w:rPr>
        <w:t>Table 12 Chi-</w:t>
      </w:r>
      <w:r w:rsidR="00AC21C1" w:rsidRPr="00AC21C1">
        <w:rPr>
          <w:rFonts w:asciiTheme="majorBidi" w:hAnsiTheme="majorBidi" w:cstheme="majorBidi"/>
          <w:sz w:val="24"/>
          <w:szCs w:val="24"/>
        </w:rPr>
        <w:t>Square values for regaining trust through the ability to pay bills</w:t>
      </w:r>
      <w:r w:rsidR="00AC21C1">
        <w:rPr>
          <w:rFonts w:asciiTheme="majorBidi" w:hAnsiTheme="majorBidi" w:cstheme="majorBidi"/>
          <w:sz w:val="24"/>
          <w:szCs w:val="24"/>
        </w:rPr>
        <w:t xml:space="preserve"> …………</w:t>
      </w:r>
    </w:p>
    <w:p w:rsidR="00AC21C1" w:rsidRDefault="00BC0353" w:rsidP="00B6791E">
      <w:pPr>
        <w:spacing w:line="240" w:lineRule="auto"/>
        <w:rPr>
          <w:rFonts w:asciiTheme="majorBidi" w:hAnsiTheme="majorBidi" w:cstheme="majorBidi"/>
          <w:sz w:val="24"/>
          <w:szCs w:val="24"/>
        </w:rPr>
      </w:pPr>
      <w:r>
        <w:rPr>
          <w:rFonts w:asciiTheme="majorBidi" w:hAnsiTheme="majorBidi" w:cstheme="majorBidi"/>
          <w:sz w:val="24"/>
          <w:szCs w:val="24"/>
        </w:rPr>
        <w:t>Table 13 Chi-</w:t>
      </w:r>
      <w:r w:rsidR="00AC21C1" w:rsidRPr="00AC21C1">
        <w:rPr>
          <w:rFonts w:asciiTheme="majorBidi" w:hAnsiTheme="majorBidi" w:cstheme="majorBidi"/>
          <w:sz w:val="24"/>
          <w:szCs w:val="24"/>
        </w:rPr>
        <w:t>Square values for regaining trust through the ability to apply for loans</w:t>
      </w:r>
      <w:r w:rsidR="00AC21C1">
        <w:rPr>
          <w:rFonts w:asciiTheme="majorBidi" w:hAnsiTheme="majorBidi" w:cstheme="majorBidi"/>
          <w:sz w:val="24"/>
          <w:szCs w:val="24"/>
        </w:rPr>
        <w:t xml:space="preserve"> …….</w:t>
      </w:r>
    </w:p>
    <w:p w:rsidR="00AC21C1" w:rsidRDefault="00BC0353" w:rsidP="00B6791E">
      <w:pPr>
        <w:spacing w:line="240" w:lineRule="auto"/>
        <w:rPr>
          <w:rFonts w:asciiTheme="majorBidi" w:hAnsiTheme="majorBidi" w:cstheme="majorBidi"/>
          <w:sz w:val="24"/>
          <w:szCs w:val="24"/>
        </w:rPr>
      </w:pPr>
      <w:r>
        <w:rPr>
          <w:rFonts w:asciiTheme="majorBidi" w:hAnsiTheme="majorBidi" w:cstheme="majorBidi"/>
          <w:sz w:val="24"/>
          <w:szCs w:val="24"/>
        </w:rPr>
        <w:t>Table 14 Chi-</w:t>
      </w:r>
      <w:r w:rsidR="00AC21C1" w:rsidRPr="00AC21C1">
        <w:rPr>
          <w:rFonts w:asciiTheme="majorBidi" w:hAnsiTheme="majorBidi" w:cstheme="majorBidi"/>
          <w:sz w:val="24"/>
          <w:szCs w:val="24"/>
        </w:rPr>
        <w:t>Square values for regaining trust through the ability to use USD</w:t>
      </w:r>
      <w:r w:rsidR="00AC21C1">
        <w:rPr>
          <w:rFonts w:asciiTheme="majorBidi" w:hAnsiTheme="majorBidi" w:cstheme="majorBidi"/>
          <w:sz w:val="24"/>
          <w:szCs w:val="24"/>
        </w:rPr>
        <w:t>………..</w:t>
      </w:r>
    </w:p>
    <w:p w:rsidR="00AC21C1" w:rsidRDefault="00BC0353" w:rsidP="00B6791E">
      <w:pPr>
        <w:spacing w:line="240" w:lineRule="auto"/>
        <w:rPr>
          <w:rFonts w:asciiTheme="majorBidi" w:hAnsiTheme="majorBidi" w:cstheme="majorBidi"/>
          <w:sz w:val="24"/>
          <w:szCs w:val="24"/>
        </w:rPr>
      </w:pPr>
      <w:r>
        <w:rPr>
          <w:rFonts w:asciiTheme="majorBidi" w:hAnsiTheme="majorBidi" w:cstheme="majorBidi"/>
          <w:sz w:val="24"/>
          <w:szCs w:val="24"/>
        </w:rPr>
        <w:t>Table 15 Chi-</w:t>
      </w:r>
      <w:r w:rsidR="00AC21C1" w:rsidRPr="00AC21C1">
        <w:rPr>
          <w:rFonts w:asciiTheme="majorBidi" w:hAnsiTheme="majorBidi" w:cstheme="majorBidi"/>
          <w:sz w:val="24"/>
          <w:szCs w:val="24"/>
        </w:rPr>
        <w:t>Square values for regaining trust through the ability to send money abroad</w:t>
      </w:r>
      <w:r w:rsidR="00AC21C1">
        <w:rPr>
          <w:rFonts w:asciiTheme="majorBidi" w:hAnsiTheme="majorBidi" w:cstheme="majorBidi"/>
          <w:sz w:val="24"/>
          <w:szCs w:val="24"/>
        </w:rPr>
        <w:t xml:space="preserve"> …….</w:t>
      </w:r>
    </w:p>
    <w:p w:rsidR="00AC21C1" w:rsidRDefault="00AC21C1" w:rsidP="00B6791E">
      <w:pPr>
        <w:spacing w:line="240" w:lineRule="auto"/>
        <w:rPr>
          <w:rFonts w:asciiTheme="majorBidi" w:hAnsiTheme="majorBidi" w:cstheme="majorBidi"/>
          <w:sz w:val="24"/>
          <w:szCs w:val="24"/>
        </w:rPr>
      </w:pPr>
      <w:r w:rsidRPr="00AC21C1">
        <w:rPr>
          <w:rFonts w:asciiTheme="majorBidi" w:hAnsiTheme="majorBidi" w:cstheme="majorBidi"/>
          <w:sz w:val="24"/>
          <w:szCs w:val="24"/>
        </w:rPr>
        <w:t xml:space="preserve">Table 16 ANOVA of factors associated with </w:t>
      </w:r>
      <w:r w:rsidR="00BC0353">
        <w:rPr>
          <w:rFonts w:asciiTheme="majorBidi" w:hAnsiTheme="majorBidi" w:cstheme="majorBidi"/>
          <w:sz w:val="24"/>
          <w:szCs w:val="24"/>
        </w:rPr>
        <w:t xml:space="preserve">the </w:t>
      </w:r>
      <w:r w:rsidRPr="00AC21C1">
        <w:rPr>
          <w:rFonts w:asciiTheme="majorBidi" w:hAnsiTheme="majorBidi" w:cstheme="majorBidi"/>
          <w:sz w:val="24"/>
          <w:szCs w:val="24"/>
        </w:rPr>
        <w:t>efficiency of e-banking</w:t>
      </w:r>
      <w:r>
        <w:rPr>
          <w:rFonts w:asciiTheme="majorBidi" w:hAnsiTheme="majorBidi" w:cstheme="majorBidi"/>
          <w:sz w:val="24"/>
          <w:szCs w:val="24"/>
        </w:rPr>
        <w:t xml:space="preserve"> …………………….</w:t>
      </w:r>
    </w:p>
    <w:p w:rsidR="00AC21C1" w:rsidRDefault="00BC0353" w:rsidP="00B6791E">
      <w:pPr>
        <w:spacing w:line="240" w:lineRule="auto"/>
        <w:rPr>
          <w:rFonts w:asciiTheme="majorBidi" w:hAnsiTheme="majorBidi" w:cstheme="majorBidi"/>
          <w:sz w:val="24"/>
          <w:szCs w:val="24"/>
        </w:rPr>
      </w:pPr>
      <w:r>
        <w:rPr>
          <w:rFonts w:asciiTheme="majorBidi" w:hAnsiTheme="majorBidi" w:cstheme="majorBidi"/>
          <w:sz w:val="24"/>
          <w:szCs w:val="24"/>
        </w:rPr>
        <w:t>Table 17 Chi-</w:t>
      </w:r>
      <w:r w:rsidR="00AC21C1" w:rsidRPr="00AC21C1">
        <w:rPr>
          <w:rFonts w:asciiTheme="majorBidi" w:hAnsiTheme="majorBidi" w:cstheme="majorBidi"/>
          <w:sz w:val="24"/>
          <w:szCs w:val="24"/>
        </w:rPr>
        <w:t>Square values of engagement with e-banking</w:t>
      </w:r>
      <w:r w:rsidR="00AC21C1">
        <w:rPr>
          <w:rFonts w:asciiTheme="majorBidi" w:hAnsiTheme="majorBidi" w:cstheme="majorBidi"/>
          <w:sz w:val="24"/>
          <w:szCs w:val="24"/>
        </w:rPr>
        <w:t xml:space="preserve"> …………………………..</w:t>
      </w:r>
    </w:p>
    <w:p w:rsidR="00AC21C1" w:rsidRDefault="00BC0353" w:rsidP="00B6791E">
      <w:pPr>
        <w:spacing w:line="240" w:lineRule="auto"/>
        <w:rPr>
          <w:rFonts w:asciiTheme="majorBidi" w:hAnsiTheme="majorBidi" w:cstheme="majorBidi"/>
          <w:sz w:val="24"/>
          <w:szCs w:val="24"/>
        </w:rPr>
      </w:pPr>
      <w:r>
        <w:rPr>
          <w:rFonts w:asciiTheme="majorBidi" w:hAnsiTheme="majorBidi" w:cstheme="majorBidi"/>
          <w:sz w:val="24"/>
          <w:szCs w:val="24"/>
        </w:rPr>
        <w:t>Table 18 Chi-</w:t>
      </w:r>
      <w:r w:rsidR="00AC21C1" w:rsidRPr="00AC21C1">
        <w:rPr>
          <w:rFonts w:asciiTheme="majorBidi" w:hAnsiTheme="majorBidi" w:cstheme="majorBidi"/>
          <w:sz w:val="24"/>
          <w:szCs w:val="24"/>
        </w:rPr>
        <w:t>Square values of understanding of e-banking</w:t>
      </w:r>
      <w:r w:rsidR="00AC21C1">
        <w:rPr>
          <w:rFonts w:asciiTheme="majorBidi" w:hAnsiTheme="majorBidi" w:cstheme="majorBidi"/>
          <w:sz w:val="24"/>
          <w:szCs w:val="24"/>
        </w:rPr>
        <w:t xml:space="preserve"> ……………………………..</w:t>
      </w:r>
    </w:p>
    <w:p w:rsidR="00AC21C1" w:rsidRDefault="00AC21C1" w:rsidP="00B6791E">
      <w:pPr>
        <w:spacing w:line="240" w:lineRule="auto"/>
        <w:rPr>
          <w:rFonts w:asciiTheme="majorBidi" w:hAnsiTheme="majorBidi" w:cstheme="majorBidi"/>
          <w:sz w:val="24"/>
          <w:szCs w:val="24"/>
        </w:rPr>
      </w:pPr>
      <w:r w:rsidRPr="00AC21C1">
        <w:rPr>
          <w:rFonts w:asciiTheme="majorBidi" w:hAnsiTheme="majorBidi" w:cstheme="majorBidi"/>
          <w:sz w:val="24"/>
          <w:szCs w:val="24"/>
        </w:rPr>
        <w:t>Table 18 ANOVA test regarding security and satisfaction</w:t>
      </w:r>
      <w:r>
        <w:rPr>
          <w:rFonts w:asciiTheme="majorBidi" w:hAnsiTheme="majorBidi" w:cstheme="majorBidi"/>
          <w:sz w:val="24"/>
          <w:szCs w:val="24"/>
        </w:rPr>
        <w:t xml:space="preserve"> ……………………………………</w:t>
      </w:r>
    </w:p>
    <w:p w:rsidR="00AC21C1" w:rsidRDefault="00AC21C1" w:rsidP="00B6791E">
      <w:pPr>
        <w:spacing w:line="240" w:lineRule="auto"/>
        <w:rPr>
          <w:rFonts w:asciiTheme="majorBidi" w:hAnsiTheme="majorBidi" w:cstheme="majorBidi"/>
          <w:sz w:val="24"/>
          <w:szCs w:val="24"/>
        </w:rPr>
      </w:pPr>
      <w:r w:rsidRPr="00AC21C1">
        <w:rPr>
          <w:rFonts w:asciiTheme="majorBidi" w:hAnsiTheme="majorBidi" w:cstheme="majorBidi"/>
          <w:sz w:val="24"/>
          <w:szCs w:val="24"/>
        </w:rPr>
        <w:t>Table 19 ANOVA test for Communication</w:t>
      </w:r>
      <w:r>
        <w:rPr>
          <w:rFonts w:asciiTheme="majorBidi" w:hAnsiTheme="majorBidi" w:cstheme="majorBidi"/>
          <w:sz w:val="24"/>
          <w:szCs w:val="24"/>
        </w:rPr>
        <w:t xml:space="preserve"> ……………………………………………………</w:t>
      </w:r>
    </w:p>
    <w:p w:rsidR="00AC21C1" w:rsidRPr="00AC21C1" w:rsidRDefault="00AC21C1" w:rsidP="00B6791E">
      <w:pPr>
        <w:spacing w:line="240" w:lineRule="auto"/>
        <w:rPr>
          <w:rFonts w:asciiTheme="majorBidi" w:hAnsiTheme="majorBidi" w:cstheme="majorBidi"/>
          <w:sz w:val="24"/>
          <w:szCs w:val="24"/>
        </w:rPr>
      </w:pPr>
      <w:r w:rsidRPr="00AC21C1">
        <w:rPr>
          <w:rFonts w:asciiTheme="majorBidi" w:hAnsiTheme="majorBidi" w:cstheme="majorBidi"/>
          <w:sz w:val="24"/>
          <w:szCs w:val="24"/>
        </w:rPr>
        <w:t>Table 20 Summary of Hypotheses</w:t>
      </w:r>
      <w:r w:rsidR="00B6791E">
        <w:rPr>
          <w:rFonts w:asciiTheme="majorBidi" w:hAnsiTheme="majorBidi" w:cstheme="majorBidi"/>
          <w:sz w:val="24"/>
          <w:szCs w:val="24"/>
        </w:rPr>
        <w:t>……………………………………………………………</w:t>
      </w:r>
    </w:p>
    <w:p w:rsidR="000E0CC0" w:rsidRDefault="000E0CC0" w:rsidP="00747554">
      <w:pPr>
        <w:spacing w:line="480" w:lineRule="auto"/>
        <w:rPr>
          <w:rFonts w:asciiTheme="majorBidi" w:hAnsiTheme="majorBidi" w:cstheme="majorBidi"/>
          <w:sz w:val="24"/>
          <w:szCs w:val="24"/>
        </w:rPr>
      </w:pPr>
    </w:p>
    <w:p w:rsidR="000E0CC0" w:rsidRDefault="000E0CC0" w:rsidP="00747554">
      <w:pPr>
        <w:spacing w:line="480" w:lineRule="auto"/>
        <w:rPr>
          <w:rFonts w:asciiTheme="majorBidi" w:hAnsiTheme="majorBidi" w:cstheme="majorBidi"/>
          <w:sz w:val="24"/>
          <w:szCs w:val="24"/>
        </w:rPr>
      </w:pPr>
    </w:p>
    <w:p w:rsidR="000E0CC0" w:rsidRPr="004276BF" w:rsidRDefault="004276BF" w:rsidP="00747554">
      <w:pPr>
        <w:spacing w:line="480" w:lineRule="auto"/>
        <w:rPr>
          <w:rFonts w:asciiTheme="majorBidi" w:hAnsiTheme="majorBidi" w:cstheme="majorBidi"/>
          <w:b/>
          <w:bCs/>
          <w:sz w:val="32"/>
          <w:szCs w:val="32"/>
        </w:rPr>
      </w:pPr>
      <w:r w:rsidRPr="004276BF">
        <w:rPr>
          <w:rFonts w:asciiTheme="majorBidi" w:hAnsiTheme="majorBidi" w:cstheme="majorBidi"/>
          <w:b/>
          <w:bCs/>
          <w:sz w:val="32"/>
          <w:szCs w:val="32"/>
        </w:rPr>
        <w:t xml:space="preserve">Chapter 1: </w:t>
      </w:r>
      <w:r w:rsidR="000E0CC0" w:rsidRPr="004276BF">
        <w:rPr>
          <w:rFonts w:asciiTheme="majorBidi" w:hAnsiTheme="majorBidi" w:cstheme="majorBidi"/>
          <w:b/>
          <w:bCs/>
          <w:sz w:val="32"/>
          <w:szCs w:val="32"/>
        </w:rPr>
        <w:t xml:space="preserve">Introduction </w:t>
      </w:r>
    </w:p>
    <w:p w:rsidR="000E0CC0" w:rsidRDefault="000E0CC0" w:rsidP="000E0CC0">
      <w:pPr>
        <w:spacing w:line="360" w:lineRule="auto"/>
        <w:jc w:val="both"/>
        <w:rPr>
          <w:rFonts w:asciiTheme="majorBidi" w:hAnsiTheme="majorBidi" w:cstheme="majorBidi"/>
          <w:sz w:val="24"/>
          <w:szCs w:val="24"/>
        </w:rPr>
      </w:pPr>
      <w:r w:rsidRPr="0025168E">
        <w:rPr>
          <w:rFonts w:asciiTheme="majorBidi" w:hAnsiTheme="majorBidi" w:cstheme="majorBidi"/>
          <w:sz w:val="24"/>
          <w:szCs w:val="24"/>
        </w:rPr>
        <w:t>Bill Gates has a famous quote that says: “banking is vital to a healthy economy, but banks themselves are not” (Mia et al., 2007). The banking sector is facing many challenges around the world due to the complexity and the intimate connection between various economic, social, and historic developments. The introduction of electronic services has been the major determining force in the future orientations of banking including marketing and business strategies (Salehi, 2010). The exponential advancement in technology as a whole has reflected in increased mechanization of all services including banking. The onset of the 21st century witnessed increased academic interest in online banking services and thus the introduction of many definitions of what e-banking is all about. The banks realized the importance of keeping up with the new technology, so they have willingly transformed their mode of operation to keep up with the changes (Mia et al., 2007). E-banking is an “electronic and remote distribution channel for delivering financial services on a virtual level” (Bradley &amp; Stewart, 2002). In other words, e-banking is any form of banking services that occur virtually without requiring any physical presence of banker and customer.</w:t>
      </w:r>
    </w:p>
    <w:p w:rsidR="000E0CC0" w:rsidRDefault="000E0CC0" w:rsidP="000E0CC0">
      <w:pPr>
        <w:spacing w:line="360" w:lineRule="auto"/>
        <w:jc w:val="both"/>
        <w:rPr>
          <w:rFonts w:asciiTheme="majorBidi" w:hAnsiTheme="majorBidi" w:cstheme="majorBidi"/>
          <w:sz w:val="24"/>
          <w:szCs w:val="24"/>
        </w:rPr>
      </w:pPr>
      <w:r>
        <w:rPr>
          <w:noProof/>
          <w:lang w:val="de-DE" w:eastAsia="de-DE"/>
        </w:rPr>
        <w:lastRenderedPageBreak/>
        <w:drawing>
          <wp:inline distT="0" distB="0" distL="0" distR="0" wp14:anchorId="23BB1060" wp14:editId="5A7000CD">
            <wp:extent cx="5953125" cy="3486150"/>
            <wp:effectExtent l="0" t="57150" r="0" b="952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0E0CC0" w:rsidRPr="005708A5" w:rsidRDefault="000E0CC0" w:rsidP="000E0CC0">
      <w:pPr>
        <w:spacing w:line="360" w:lineRule="auto"/>
        <w:jc w:val="center"/>
        <w:rPr>
          <w:rFonts w:asciiTheme="majorBidi" w:hAnsiTheme="majorBidi" w:cstheme="majorBidi"/>
          <w:sz w:val="20"/>
          <w:szCs w:val="20"/>
        </w:rPr>
      </w:pPr>
      <w:r>
        <w:rPr>
          <w:rFonts w:asciiTheme="majorBidi" w:hAnsiTheme="majorBidi" w:cstheme="majorBidi"/>
          <w:sz w:val="20"/>
          <w:szCs w:val="20"/>
        </w:rPr>
        <w:t xml:space="preserve">Fig. 1: Levels and layers of e-commerce </w:t>
      </w:r>
    </w:p>
    <w:p w:rsidR="000E0CC0" w:rsidRPr="0025168E" w:rsidRDefault="000E0CC0" w:rsidP="000E0CC0">
      <w:pPr>
        <w:spacing w:line="360" w:lineRule="auto"/>
        <w:jc w:val="both"/>
        <w:rPr>
          <w:rFonts w:asciiTheme="majorBidi" w:hAnsiTheme="majorBidi" w:cstheme="majorBidi"/>
          <w:sz w:val="24"/>
          <w:szCs w:val="24"/>
        </w:rPr>
      </w:pPr>
      <w:r w:rsidRPr="0025168E">
        <w:rPr>
          <w:rFonts w:asciiTheme="majorBidi" w:hAnsiTheme="majorBidi" w:cstheme="majorBidi"/>
          <w:sz w:val="24"/>
          <w:szCs w:val="24"/>
        </w:rPr>
        <w:t xml:space="preserve">E-banking is part of a larger scheme of electronic commerce that is diverse. The various layers of e-commerce are illustrated in Fig.1. According to Keivani et al. (2012), all electronic activities performed fall under the umbrella of e-commerce even if most people only associate an independent sector of banking with e-banking. E-commerce branches into two main components: e-financing and e-money. The latter is often confused with banking, but it is not necessarily linked to that. It is virtual money that can have an independent value relative to real money such as in the case of bit currencies. E-finance includes all the various levels of e-banking (information and transactions) and various media (telephone, internet, etc.). Banking is not the only sector of e-finance that also includes service bundling, insurance, and online brokering. It was easy to popularize e-banking since the service is the priority rather than the location itself (Mia et al., 2007). This prompted banks to make use of a new toolkit that will facilitate the delivery of their services, especially that the general population was quick to accept the Internet in little over 6 years since its inception as compared to other technological advancements such as the electricity that wasn’t popularized for around 45 years (Pyne et al., 2002). </w:t>
      </w:r>
    </w:p>
    <w:p w:rsidR="000E0CC0" w:rsidRPr="0025168E" w:rsidRDefault="000E0CC0" w:rsidP="000E0CC0">
      <w:pPr>
        <w:spacing w:line="360" w:lineRule="auto"/>
        <w:jc w:val="both"/>
        <w:rPr>
          <w:rFonts w:asciiTheme="majorBidi" w:hAnsiTheme="majorBidi" w:cstheme="majorBidi"/>
          <w:sz w:val="24"/>
          <w:szCs w:val="24"/>
        </w:rPr>
      </w:pPr>
      <w:r w:rsidRPr="0025168E">
        <w:rPr>
          <w:rFonts w:asciiTheme="majorBidi" w:hAnsiTheme="majorBidi" w:cstheme="majorBidi"/>
          <w:sz w:val="24"/>
          <w:szCs w:val="24"/>
        </w:rPr>
        <w:lastRenderedPageBreak/>
        <w:t xml:space="preserve">There are many levels for banking depending on what is being offered. Even the ubiquitous ATM (Automated Teller Machine) is considered a form of e-banking because it does not include the physical presence of the banker. Along with telephone banking, they remained the only means of performing banking transactions from a distance even though they had many limitations (Furst et al., 2002). Once it became apparent how popular e-banking was, financial institutes were quick to adopt them. The first web-based financial institute was conceived in 1995, but that number jumped to 6,000 in 2002. In 1995, only 50 institutes had a website, but this figure increased to 14,000. Between 1995 and 2002, the number of households worldwide that used web-based banking jumped from 5 million to 100 million (Anesti, 2004). The dot-com crash in 2000 had a positive impact on e-banking because it was characterized by an unprecedented innovation in all sectors of technology which in turn enabled banks to improve and enhance their services and products to make them more accessible and attractive to their customers. The smartphones were also </w:t>
      </w:r>
    </w:p>
    <w:p w:rsidR="000E0CC0" w:rsidRPr="0025168E" w:rsidRDefault="000E0CC0" w:rsidP="000E0CC0">
      <w:pPr>
        <w:spacing w:line="360" w:lineRule="auto"/>
        <w:jc w:val="both"/>
        <w:rPr>
          <w:rFonts w:asciiTheme="majorBidi" w:hAnsiTheme="majorBidi" w:cstheme="majorBidi"/>
          <w:sz w:val="24"/>
          <w:szCs w:val="24"/>
        </w:rPr>
      </w:pPr>
      <w:r w:rsidRPr="0025168E">
        <w:rPr>
          <w:rFonts w:asciiTheme="majorBidi" w:hAnsiTheme="majorBidi" w:cstheme="majorBidi"/>
          <w:sz w:val="24"/>
          <w:szCs w:val="24"/>
        </w:rPr>
        <w:t xml:space="preserve">Arya (2019) distinguished between three levels of electronic banking platforms. The first level is the basic informational website that introduces the bank as an institute and describes all the services provided. The second level is a website that allows customers to send in applications for services and have access to various information regarding personal accounts. However, these websites do not allow any monetary transactions. The third level of websites or platforms will allow their clients the freedom to make monetary transactions, arrange payments for their bills, and perform online purchases. The latter is the ultimate e-banking platform that gives customers complete freedom to interact and supervise their personal accounts without having to refer back to the banker. Thus it is possible to distinguish between an informational website/platform and a transactional one. </w:t>
      </w:r>
    </w:p>
    <w:p w:rsidR="000E0CC0" w:rsidRPr="0025168E" w:rsidRDefault="000E0CC0" w:rsidP="000E0CC0">
      <w:pPr>
        <w:spacing w:line="360" w:lineRule="auto"/>
        <w:jc w:val="both"/>
        <w:rPr>
          <w:rFonts w:asciiTheme="majorBidi" w:hAnsiTheme="majorBidi" w:cstheme="majorBidi"/>
          <w:sz w:val="24"/>
          <w:szCs w:val="24"/>
        </w:rPr>
      </w:pPr>
      <w:r w:rsidRPr="0025168E">
        <w:rPr>
          <w:rFonts w:asciiTheme="majorBidi" w:hAnsiTheme="majorBidi" w:cstheme="majorBidi"/>
          <w:sz w:val="24"/>
          <w:szCs w:val="24"/>
        </w:rPr>
        <w:t xml:space="preserve">The popularity of e-banking is due to the many benefits that both banks and clients enjoy. For the bank (Salehi &amp; Alipour, 2010), the institute will be saving money in several capacities. Clients who choose to conduct their transactions online will not be physically going to the bank which will decrease the traffic at the bank and eventually translate into having fewer physical locations and less manpower, all of which will save money for the bank. Furthermore, having an efficient and proactive e-banking platform is becoming a necessity for creating a sleek and modern brand for any bank. Branding will increase the visibility and productivity of the bank. As for the </w:t>
      </w:r>
      <w:r w:rsidRPr="0025168E">
        <w:rPr>
          <w:rFonts w:asciiTheme="majorBidi" w:hAnsiTheme="majorBidi" w:cstheme="majorBidi"/>
          <w:sz w:val="24"/>
          <w:szCs w:val="24"/>
        </w:rPr>
        <w:lastRenderedPageBreak/>
        <w:t xml:space="preserve">customers (Salehi &amp; Alipour, 2010), customers can save plenty of time and effort because they can have access to their information and perform transactions at their convenience. In the case of corporations, they can obtain any financial documents quickly which is essential when making some financial decisions. They will also have the ability to monitor their funds and budget accordingly. </w:t>
      </w:r>
    </w:p>
    <w:p w:rsidR="000E0CC0" w:rsidRPr="0025168E" w:rsidRDefault="000E0CC0" w:rsidP="000E0CC0">
      <w:pPr>
        <w:spacing w:line="360" w:lineRule="auto"/>
        <w:jc w:val="both"/>
        <w:rPr>
          <w:rFonts w:asciiTheme="majorBidi" w:hAnsiTheme="majorBidi" w:cstheme="majorBidi"/>
          <w:sz w:val="24"/>
          <w:szCs w:val="24"/>
        </w:rPr>
      </w:pPr>
      <w:r w:rsidRPr="0025168E">
        <w:rPr>
          <w:rFonts w:asciiTheme="majorBidi" w:hAnsiTheme="majorBidi" w:cstheme="majorBidi"/>
          <w:sz w:val="24"/>
          <w:szCs w:val="24"/>
        </w:rPr>
        <w:t xml:space="preserve">In their yearly report, Digital published their statistics about Lebanon and estimated the out of the 6.8 million residents of Lebanon, 5.35 million were connected to the Internet which amounts to 78%. Out of that 5.35 million, 4.1% are active on various social media and applications, a 6.8% surplus from 2019. These internet users access the Internet through their mobile phones with 100% of all connections to social media happening partially or fully from users' mobile phones even if they possess other electronic products to access the world-wide-web. The website also provided statistics about e-commerce and stated that 45% of the population has an electronic account with a financial institute. This is an important figure because it shows that the Lebanese population is embracing e-banking and normalizing it as an integral part of their lives. Other relevant statistics said that 15% of the population has a credit card, and 16% of the population makes online purchases as well as for settling bills. However, these numbers remain relatively low, especially when compared to the other MENA region countries that score more than 50% as an average when it comes to e-banking engagement. </w:t>
      </w:r>
    </w:p>
    <w:p w:rsidR="000E0CC0" w:rsidRPr="0025168E" w:rsidRDefault="000E0CC0" w:rsidP="000E0CC0">
      <w:pPr>
        <w:spacing w:line="360" w:lineRule="auto"/>
        <w:jc w:val="both"/>
        <w:rPr>
          <w:rFonts w:asciiTheme="majorBidi" w:hAnsiTheme="majorBidi" w:cstheme="majorBidi"/>
          <w:sz w:val="24"/>
          <w:szCs w:val="24"/>
        </w:rPr>
      </w:pPr>
      <w:r w:rsidRPr="0025168E">
        <w:rPr>
          <w:rFonts w:asciiTheme="majorBidi" w:hAnsiTheme="majorBidi" w:cstheme="majorBidi"/>
          <w:sz w:val="24"/>
          <w:szCs w:val="24"/>
        </w:rPr>
        <w:t xml:space="preserve">The services provided by Lebanese banks vary from one bank to another, but they include a large array of options for customers to choose from. As of May 2020, Lebanon has 142 incorporated registered banks (Banque du Liban, 2020). Moreover, there are 14 banks called the “Alpha Banks” that hold at least $2 billion in assets, and they constitute the major players in the Lebanese financial system. Each of these 14 banks has its own electronic platforms and digital services. They offer access to clients’ accounts with the option of managing said accounts remotely. Customers can make transactions, move money from one account to another, and make payments for bills. There are credit cards that allow customers to buy their goods electronically. They can apply for loans and other services. They can create accounts for paying their monthly or yearly bills. </w:t>
      </w:r>
    </w:p>
    <w:p w:rsidR="000E0CC0" w:rsidRPr="0025168E" w:rsidRDefault="000E0CC0" w:rsidP="000E0CC0">
      <w:pPr>
        <w:spacing w:line="360" w:lineRule="auto"/>
        <w:jc w:val="both"/>
        <w:rPr>
          <w:rFonts w:asciiTheme="majorBidi" w:hAnsiTheme="majorBidi" w:cstheme="majorBidi"/>
          <w:sz w:val="24"/>
          <w:szCs w:val="24"/>
        </w:rPr>
      </w:pPr>
      <w:r w:rsidRPr="0025168E">
        <w:rPr>
          <w:rFonts w:asciiTheme="majorBidi" w:hAnsiTheme="majorBidi" w:cstheme="majorBidi"/>
          <w:sz w:val="24"/>
          <w:szCs w:val="24"/>
        </w:rPr>
        <w:t xml:space="preserve">The level of satisfaction in e-banking is an important aspect to consider because it underlines the engagement of Lebanese bank customers in online banking. Satisfaction is not an easy concept to </w:t>
      </w:r>
      <w:r w:rsidRPr="0025168E">
        <w:rPr>
          <w:rFonts w:asciiTheme="majorBidi" w:hAnsiTheme="majorBidi" w:cstheme="majorBidi"/>
          <w:sz w:val="24"/>
          <w:szCs w:val="24"/>
        </w:rPr>
        <w:lastRenderedPageBreak/>
        <w:t xml:space="preserve">define because of the different criteria that are involved. Satisfaction, in general, is often linked to the perception that customers had of the product or service before purchasing and the performance after using said product or service (Kotler &amp; Keller, 2011) which would have an impact on customer loyalty and developing trust. When it comes to satisfaction of e-services, studies found a consistent correlation between the quality of services provided and customer satisfaction (Asiyanbi &amp; Ishola, 2018; Jain &amp; Gupta, 2004). Lebanon has a relatively low level of satisfaction that can be justified by its low percentage of bank customers that have an electronic account (45%) and engaging in electronic activities (15% having credit cards and 16% using it for bills and purchases) (Digital, 2020). Had the level of satisfaction been higher, these figures would considerably higher since customer satisfaction would expand the clientele base for said products or services (Merhi et al., 2019). </w:t>
      </w:r>
    </w:p>
    <w:p w:rsidR="000E0CC0" w:rsidRPr="0025168E" w:rsidRDefault="000E0CC0" w:rsidP="000E0CC0">
      <w:pPr>
        <w:spacing w:line="360" w:lineRule="auto"/>
        <w:jc w:val="both"/>
        <w:rPr>
          <w:rFonts w:asciiTheme="majorBidi" w:hAnsiTheme="majorBidi" w:cstheme="majorBidi"/>
          <w:sz w:val="24"/>
          <w:szCs w:val="24"/>
        </w:rPr>
      </w:pPr>
      <w:r w:rsidRPr="0025168E">
        <w:rPr>
          <w:rFonts w:asciiTheme="majorBidi" w:hAnsiTheme="majorBidi" w:cstheme="majorBidi"/>
          <w:sz w:val="24"/>
          <w:szCs w:val="24"/>
        </w:rPr>
        <w:t xml:space="preserve">The importance of satisfaction in electronic banking becomes more urgent in the aftermath of the COVID-19 pandemic and the recent economic turbulences that Lebanon went through. The country has been on some level of lockdown since May 2020 which has endangered the jobs and livelihoods of around 600,000 Lebanese workers that are employed in the service industry (ILO, 2020).  These lockdowns made it impossible for a large majority of citizens to have easy access to their accounts because they rely on physical banking rather than electronic banking. E-banking would have made the situation much simpler for Lebanese customers. The issue is still going on with the Lebanese government periodically enforcing total lockdowns at the risk of having to pay hefty fines for anyone who is leaving their homes without a proper permit. Each citizen who wants to leave their house must file an official report via an app for smartphones to gain permission. This has severely restricted the movement of most Lebanese citizens making it difficult to access their bank accounts in a physical sense. Furthermore, the end of the year 2019 witnessed an economic crash that was the cumulating of years of malpractices in the financial, industrial, political, social, and economic sectors (World Bank, 2019). The Lebanese Lira quickly lost its value compared to foreign currencies which led to an unprecedented collapse in the economy. The end of the year was marked by massive protests all around the country that were estimated to include millions speaking against the political policies that have bankrupted the various sectors. Lebanon was locked down for more than a month for the protests (Yee, 2019) which limited people’s access to physical banks. The banks were opening for limited hours on limited days, but that was not the only issue. Fearing that depositors will demand their </w:t>
      </w:r>
      <w:r w:rsidRPr="0025168E">
        <w:rPr>
          <w:rFonts w:asciiTheme="majorBidi" w:hAnsiTheme="majorBidi" w:cstheme="majorBidi"/>
          <w:sz w:val="24"/>
          <w:szCs w:val="24"/>
        </w:rPr>
        <w:lastRenderedPageBreak/>
        <w:t xml:space="preserve">entire accounts, the banks severely limited access of individuals to take out their money fearing that such a withdrawal will bankrupt these banks that may not be able to provide that amount of liquidity (Blair, 2020). </w:t>
      </w:r>
    </w:p>
    <w:p w:rsidR="000E0CC0" w:rsidRPr="0025168E" w:rsidRDefault="000E0CC0" w:rsidP="000E0CC0">
      <w:pPr>
        <w:spacing w:line="360" w:lineRule="auto"/>
        <w:jc w:val="both"/>
        <w:rPr>
          <w:rFonts w:asciiTheme="majorBidi" w:hAnsiTheme="majorBidi" w:cstheme="majorBidi"/>
          <w:sz w:val="24"/>
          <w:szCs w:val="24"/>
        </w:rPr>
      </w:pPr>
      <w:r w:rsidRPr="0025168E">
        <w:rPr>
          <w:rFonts w:asciiTheme="majorBidi" w:hAnsiTheme="majorBidi" w:cstheme="majorBidi"/>
          <w:sz w:val="24"/>
          <w:szCs w:val="24"/>
        </w:rPr>
        <w:t xml:space="preserve">The social media and various media outlets were full of testimonies of people standing in line for hours in front of banks to get access to their money. The outrage that the Lebanese public expressed is clearly documented and it stems from the banks’ refusal to give the clients access to their money with certain caps put on foreign and local currencies. The deep mistrust was further entrenched when allegations of high profile individuals and rich clients being able to access their money and smuggle them to foreign accounts even though banks put restrictions on regular bank accounts (Geldi, 2021; Arnold, 2019). There were massive protests against the central Banque du Liban during this period which was accused of being part of the system that brought down the Lebanese economy. </w:t>
      </w:r>
    </w:p>
    <w:p w:rsidR="000E0CC0" w:rsidRPr="0025168E" w:rsidRDefault="000E0CC0" w:rsidP="000E0CC0">
      <w:pPr>
        <w:spacing w:line="360" w:lineRule="auto"/>
        <w:jc w:val="both"/>
        <w:rPr>
          <w:rFonts w:asciiTheme="majorBidi" w:hAnsiTheme="majorBidi" w:cstheme="majorBidi"/>
          <w:sz w:val="24"/>
          <w:szCs w:val="24"/>
        </w:rPr>
      </w:pPr>
      <w:r w:rsidRPr="0025168E">
        <w:rPr>
          <w:rFonts w:asciiTheme="majorBidi" w:hAnsiTheme="majorBidi" w:cstheme="majorBidi"/>
          <w:sz w:val="24"/>
          <w:szCs w:val="24"/>
        </w:rPr>
        <w:t xml:space="preserve">Evidently, there is a deep sense of mistrust between the Lebanese banks and the Lebanese public. This is a dangerous separation because the banking sector has long been one of the pillars of the Lebanese economy (Torbey, 2017). For a long time, the banks have given the Lebanese economy some stability because they helped the government keep up with payments for the substantial debt. They have also been responsible for giving loans to various businesses to keep them sustained during crises, an important contribution in a country where the mass majority of all companies are family-owned. They also had several initiatives for allowing small entrepreneurs to open their businesses to encourage local initiatives. Banking is also a staple for Lebanese immigrants who wish to invest in their countries and provide for the families they have left behind in Lebanon (Awdeh, 2012). </w:t>
      </w:r>
    </w:p>
    <w:p w:rsidR="000E0CC0" w:rsidRPr="0025168E" w:rsidRDefault="000E0CC0" w:rsidP="000E0CC0">
      <w:pPr>
        <w:spacing w:line="360" w:lineRule="auto"/>
        <w:jc w:val="both"/>
        <w:rPr>
          <w:rFonts w:asciiTheme="majorBidi" w:hAnsiTheme="majorBidi" w:cstheme="majorBidi"/>
          <w:sz w:val="24"/>
          <w:szCs w:val="24"/>
        </w:rPr>
      </w:pPr>
      <w:r w:rsidRPr="0025168E">
        <w:rPr>
          <w:rFonts w:asciiTheme="majorBidi" w:hAnsiTheme="majorBidi" w:cstheme="majorBidi"/>
          <w:sz w:val="24"/>
          <w:szCs w:val="24"/>
        </w:rPr>
        <w:t>A pandemic is an event that no one expected, but it has provided an excellent opportunity for reflection and innovation that was not possible during the hectic days of modern society. It is a grace period where Lebanese banks can reexamine their model of operation to come up with better services and solutions that will restore the public’s trust in the banking sector. Having no access to the physical banks has been a huge imposition for bank clients, so it can provide an introduction for electronic banking which, in turn, will help the banks maximize the efficacy of their procedures. The above postulate an interesting research question:</w:t>
      </w:r>
    </w:p>
    <w:p w:rsidR="000E0CC0" w:rsidRPr="0025168E" w:rsidRDefault="000E0CC0" w:rsidP="000E0CC0">
      <w:pPr>
        <w:spacing w:line="360" w:lineRule="auto"/>
        <w:jc w:val="both"/>
        <w:rPr>
          <w:rFonts w:asciiTheme="majorBidi" w:hAnsiTheme="majorBidi" w:cstheme="majorBidi"/>
          <w:sz w:val="24"/>
          <w:szCs w:val="24"/>
        </w:rPr>
      </w:pPr>
      <w:r w:rsidRPr="0025168E">
        <w:rPr>
          <w:rFonts w:asciiTheme="majorBidi" w:hAnsiTheme="majorBidi" w:cstheme="majorBidi"/>
          <w:sz w:val="24"/>
          <w:szCs w:val="24"/>
        </w:rPr>
        <w:lastRenderedPageBreak/>
        <w:t>What is the impact of providing exemplary online customer service on the level of satisfaction of bank clients during COVID-19 in Lebanon?</w:t>
      </w:r>
    </w:p>
    <w:p w:rsidR="000E0CC0" w:rsidRPr="00982EB9" w:rsidRDefault="000E0CC0" w:rsidP="002E79A3">
      <w:pPr>
        <w:spacing w:line="360" w:lineRule="auto"/>
        <w:jc w:val="both"/>
        <w:rPr>
          <w:rFonts w:asciiTheme="majorBidi" w:hAnsiTheme="majorBidi" w:cstheme="majorBidi"/>
          <w:sz w:val="24"/>
          <w:szCs w:val="24"/>
        </w:rPr>
      </w:pPr>
      <w:r w:rsidRPr="0025168E">
        <w:rPr>
          <w:rFonts w:asciiTheme="majorBidi" w:hAnsiTheme="majorBidi" w:cstheme="majorBidi"/>
          <w:sz w:val="24"/>
          <w:szCs w:val="24"/>
        </w:rPr>
        <w:t>Few studies have focused on the pandemic in Lebanon, and none have correlated the impact of COVID-19 on the satisfaction level of Lebanese consumers even though the two could possibly be highly correlated. There is an untapped niche that needs to be examined to restore satisfaction for customers and update the banking products and services to accommodate for any future climactic events. The aim of this study is to examine the pandemic has affected customer satisfaction in banks as well as exploring how the services can be improved. For this purpose, customers will be gauged on how they perceive online banking and how willing they are to engage in it.</w:t>
      </w:r>
    </w:p>
    <w:p w:rsidR="00493E4F" w:rsidRDefault="00493E4F" w:rsidP="00BA77EA">
      <w:pPr>
        <w:spacing w:line="480" w:lineRule="auto"/>
        <w:rPr>
          <w:rFonts w:asciiTheme="majorBidi" w:hAnsiTheme="majorBidi" w:cstheme="majorBidi"/>
          <w:sz w:val="24"/>
          <w:szCs w:val="24"/>
        </w:rPr>
      </w:pPr>
    </w:p>
    <w:p w:rsidR="00493E4F" w:rsidRDefault="00493E4F" w:rsidP="003D6DAF">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literature review will include an overview </w:t>
      </w:r>
      <w:r w:rsidR="003D6DAF">
        <w:rPr>
          <w:rFonts w:ascii="Times New Roman" w:eastAsia="Times New Roman" w:hAnsi="Times New Roman" w:cs="Times New Roman"/>
          <w:color w:val="000000"/>
          <w:sz w:val="24"/>
          <w:szCs w:val="24"/>
        </w:rPr>
        <w:t>of</w:t>
      </w:r>
      <w:r>
        <w:rPr>
          <w:rFonts w:ascii="Times New Roman" w:eastAsia="Times New Roman" w:hAnsi="Times New Roman" w:cs="Times New Roman"/>
          <w:color w:val="000000"/>
          <w:sz w:val="24"/>
          <w:szCs w:val="24"/>
        </w:rPr>
        <w:t xml:space="preserve"> the Lebanese banking system regarding the history and general rules that regulate the system. It will include an exploration of satisfaction as a definition and the main criteria that aid in establishing that satisfaction in service industries such as banking. It will also try to create a comprehensive theoretical framework for the paper. </w:t>
      </w:r>
    </w:p>
    <w:p w:rsidR="001D67DD" w:rsidRDefault="001D67DD" w:rsidP="00493E4F">
      <w:pPr>
        <w:shd w:val="clear" w:color="auto" w:fill="FFFFFF"/>
        <w:spacing w:after="0" w:line="360" w:lineRule="auto"/>
        <w:jc w:val="both"/>
        <w:rPr>
          <w:rFonts w:ascii="Times New Roman" w:eastAsia="Times New Roman" w:hAnsi="Times New Roman" w:cs="Times New Roman"/>
          <w:color w:val="000000"/>
          <w:sz w:val="24"/>
          <w:szCs w:val="24"/>
        </w:rPr>
      </w:pPr>
    </w:p>
    <w:p w:rsidR="001D67DD" w:rsidRDefault="001D67DD" w:rsidP="00493E4F">
      <w:pPr>
        <w:shd w:val="clear" w:color="auto" w:fill="FFFFFF"/>
        <w:spacing w:after="0" w:line="360" w:lineRule="auto"/>
        <w:jc w:val="both"/>
        <w:rPr>
          <w:rFonts w:ascii="Times New Roman" w:eastAsia="Times New Roman" w:hAnsi="Times New Roman" w:cs="Times New Roman"/>
          <w:color w:val="000000"/>
          <w:sz w:val="24"/>
          <w:szCs w:val="24"/>
        </w:rPr>
      </w:pPr>
    </w:p>
    <w:p w:rsidR="001D67DD" w:rsidRDefault="001D67DD" w:rsidP="00493E4F">
      <w:pPr>
        <w:shd w:val="clear" w:color="auto" w:fill="FFFFFF"/>
        <w:spacing w:after="0" w:line="360" w:lineRule="auto"/>
        <w:jc w:val="both"/>
        <w:rPr>
          <w:rFonts w:ascii="Times New Roman" w:eastAsia="Times New Roman" w:hAnsi="Times New Roman" w:cs="Times New Roman"/>
          <w:color w:val="000000"/>
          <w:sz w:val="24"/>
          <w:szCs w:val="24"/>
        </w:rPr>
      </w:pPr>
    </w:p>
    <w:p w:rsidR="001D67DD" w:rsidRDefault="001D67DD" w:rsidP="00493E4F">
      <w:pPr>
        <w:shd w:val="clear" w:color="auto" w:fill="FFFFFF"/>
        <w:spacing w:after="0" w:line="360" w:lineRule="auto"/>
        <w:jc w:val="both"/>
        <w:rPr>
          <w:rFonts w:ascii="Times New Roman" w:eastAsia="Times New Roman" w:hAnsi="Times New Roman" w:cs="Times New Roman"/>
          <w:color w:val="000000"/>
          <w:sz w:val="24"/>
          <w:szCs w:val="24"/>
        </w:rPr>
      </w:pPr>
    </w:p>
    <w:p w:rsidR="001D67DD" w:rsidRDefault="001D67DD" w:rsidP="00493E4F">
      <w:pPr>
        <w:shd w:val="clear" w:color="auto" w:fill="FFFFFF"/>
        <w:spacing w:after="0" w:line="360" w:lineRule="auto"/>
        <w:jc w:val="both"/>
        <w:rPr>
          <w:rFonts w:ascii="Times New Roman" w:eastAsia="Times New Roman" w:hAnsi="Times New Roman" w:cs="Times New Roman"/>
          <w:color w:val="000000"/>
          <w:sz w:val="24"/>
          <w:szCs w:val="24"/>
        </w:rPr>
      </w:pPr>
    </w:p>
    <w:p w:rsidR="001D67DD" w:rsidRDefault="001D67DD" w:rsidP="00493E4F">
      <w:pPr>
        <w:shd w:val="clear" w:color="auto" w:fill="FFFFFF"/>
        <w:spacing w:after="0" w:line="360" w:lineRule="auto"/>
        <w:jc w:val="both"/>
        <w:rPr>
          <w:rFonts w:ascii="Times New Roman" w:eastAsia="Times New Roman" w:hAnsi="Times New Roman" w:cs="Times New Roman"/>
          <w:color w:val="000000"/>
          <w:sz w:val="24"/>
          <w:szCs w:val="24"/>
        </w:rPr>
      </w:pPr>
    </w:p>
    <w:p w:rsidR="001D67DD" w:rsidRDefault="001D67DD" w:rsidP="00493E4F">
      <w:pPr>
        <w:shd w:val="clear" w:color="auto" w:fill="FFFFFF"/>
        <w:spacing w:after="0" w:line="360" w:lineRule="auto"/>
        <w:jc w:val="both"/>
        <w:rPr>
          <w:rFonts w:ascii="Times New Roman" w:eastAsia="Times New Roman" w:hAnsi="Times New Roman" w:cs="Times New Roman"/>
          <w:color w:val="000000"/>
          <w:sz w:val="24"/>
          <w:szCs w:val="24"/>
        </w:rPr>
      </w:pPr>
    </w:p>
    <w:p w:rsidR="001D67DD" w:rsidRDefault="001D67DD" w:rsidP="00493E4F">
      <w:pPr>
        <w:shd w:val="clear" w:color="auto" w:fill="FFFFFF"/>
        <w:spacing w:after="0" w:line="360" w:lineRule="auto"/>
        <w:jc w:val="both"/>
        <w:rPr>
          <w:rFonts w:ascii="Times New Roman" w:eastAsia="Times New Roman" w:hAnsi="Times New Roman" w:cs="Times New Roman"/>
          <w:color w:val="000000"/>
          <w:sz w:val="24"/>
          <w:szCs w:val="24"/>
        </w:rPr>
      </w:pPr>
    </w:p>
    <w:p w:rsidR="001D67DD" w:rsidRDefault="001D67DD" w:rsidP="00493E4F">
      <w:pPr>
        <w:shd w:val="clear" w:color="auto" w:fill="FFFFFF"/>
        <w:spacing w:after="0" w:line="360" w:lineRule="auto"/>
        <w:jc w:val="both"/>
        <w:rPr>
          <w:rFonts w:ascii="Times New Roman" w:eastAsia="Times New Roman" w:hAnsi="Times New Roman" w:cs="Times New Roman"/>
          <w:color w:val="000000"/>
          <w:sz w:val="24"/>
          <w:szCs w:val="24"/>
        </w:rPr>
      </w:pPr>
    </w:p>
    <w:p w:rsidR="003D6DAF" w:rsidRDefault="003D6DAF" w:rsidP="00493E4F">
      <w:pPr>
        <w:shd w:val="clear" w:color="auto" w:fill="FFFFFF"/>
        <w:spacing w:after="0" w:line="360" w:lineRule="auto"/>
        <w:jc w:val="both"/>
        <w:rPr>
          <w:rFonts w:ascii="Times New Roman" w:eastAsia="Times New Roman" w:hAnsi="Times New Roman" w:cs="Times New Roman"/>
          <w:color w:val="000000"/>
          <w:sz w:val="24"/>
          <w:szCs w:val="24"/>
        </w:rPr>
      </w:pPr>
    </w:p>
    <w:p w:rsidR="003D6DAF" w:rsidRDefault="003D6DAF" w:rsidP="00493E4F">
      <w:pPr>
        <w:shd w:val="clear" w:color="auto" w:fill="FFFFFF"/>
        <w:spacing w:after="0" w:line="360" w:lineRule="auto"/>
        <w:jc w:val="both"/>
        <w:rPr>
          <w:rFonts w:ascii="Times New Roman" w:eastAsia="Times New Roman" w:hAnsi="Times New Roman" w:cs="Times New Roman"/>
          <w:color w:val="000000"/>
          <w:sz w:val="24"/>
          <w:szCs w:val="24"/>
        </w:rPr>
      </w:pPr>
    </w:p>
    <w:p w:rsidR="003D6DAF" w:rsidRDefault="003D6DAF" w:rsidP="00493E4F">
      <w:pPr>
        <w:shd w:val="clear" w:color="auto" w:fill="FFFFFF"/>
        <w:spacing w:after="0" w:line="360" w:lineRule="auto"/>
        <w:jc w:val="both"/>
        <w:rPr>
          <w:rFonts w:ascii="Times New Roman" w:eastAsia="Times New Roman" w:hAnsi="Times New Roman" w:cs="Times New Roman"/>
          <w:color w:val="000000"/>
          <w:sz w:val="24"/>
          <w:szCs w:val="24"/>
        </w:rPr>
      </w:pPr>
    </w:p>
    <w:p w:rsidR="003D6DAF" w:rsidRDefault="003D6DAF" w:rsidP="00493E4F">
      <w:pPr>
        <w:shd w:val="clear" w:color="auto" w:fill="FFFFFF"/>
        <w:spacing w:after="0" w:line="360" w:lineRule="auto"/>
        <w:jc w:val="both"/>
        <w:rPr>
          <w:rFonts w:ascii="Times New Roman" w:eastAsia="Times New Roman" w:hAnsi="Times New Roman" w:cs="Times New Roman"/>
          <w:color w:val="000000"/>
          <w:sz w:val="24"/>
          <w:szCs w:val="24"/>
        </w:rPr>
      </w:pPr>
    </w:p>
    <w:p w:rsidR="003D6DAF" w:rsidRDefault="003D6DAF" w:rsidP="00493E4F">
      <w:pPr>
        <w:shd w:val="clear" w:color="auto" w:fill="FFFFFF"/>
        <w:spacing w:after="0" w:line="360" w:lineRule="auto"/>
        <w:jc w:val="both"/>
        <w:rPr>
          <w:rFonts w:ascii="Times New Roman" w:eastAsia="Times New Roman" w:hAnsi="Times New Roman" w:cs="Times New Roman"/>
          <w:color w:val="000000"/>
          <w:sz w:val="24"/>
          <w:szCs w:val="24"/>
        </w:rPr>
      </w:pPr>
    </w:p>
    <w:p w:rsidR="001D67DD" w:rsidRDefault="001D67DD" w:rsidP="00493E4F">
      <w:pPr>
        <w:shd w:val="clear" w:color="auto" w:fill="FFFFFF"/>
        <w:spacing w:after="0" w:line="360" w:lineRule="auto"/>
        <w:jc w:val="both"/>
        <w:rPr>
          <w:rFonts w:ascii="Times New Roman" w:eastAsia="Times New Roman" w:hAnsi="Times New Roman" w:cs="Times New Roman"/>
          <w:color w:val="000000"/>
          <w:sz w:val="24"/>
          <w:szCs w:val="24"/>
        </w:rPr>
      </w:pPr>
    </w:p>
    <w:p w:rsidR="001D67DD" w:rsidRPr="001D67DD" w:rsidRDefault="001D67DD" w:rsidP="00493E4F">
      <w:pPr>
        <w:shd w:val="clear" w:color="auto" w:fill="FFFFFF"/>
        <w:spacing w:after="0" w:line="360" w:lineRule="auto"/>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Chapter 2: Literature Review </w:t>
      </w:r>
    </w:p>
    <w:p w:rsidR="00493E4F" w:rsidRDefault="00493E4F" w:rsidP="00493E4F">
      <w:pPr>
        <w:shd w:val="clear" w:color="auto" w:fill="FFFFFF"/>
        <w:spacing w:after="0" w:line="360" w:lineRule="auto"/>
        <w:jc w:val="both"/>
        <w:rPr>
          <w:rFonts w:ascii="Times New Roman" w:eastAsia="Times New Roman" w:hAnsi="Times New Roman" w:cs="Times New Roman"/>
          <w:color w:val="000000"/>
          <w:sz w:val="24"/>
          <w:szCs w:val="24"/>
        </w:rPr>
      </w:pPr>
    </w:p>
    <w:p w:rsidR="00493E4F" w:rsidRDefault="00493E4F" w:rsidP="00493E4F">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2.1 Lebanese Banking System </w:t>
      </w:r>
    </w:p>
    <w:p w:rsidR="00493E4F" w:rsidRDefault="00493E4F" w:rsidP="00493E4F">
      <w:pPr>
        <w:shd w:val="clear" w:color="auto" w:fill="FFFFFF"/>
        <w:spacing w:after="0" w:line="360" w:lineRule="auto"/>
        <w:jc w:val="both"/>
        <w:rPr>
          <w:rFonts w:ascii="Times New Roman" w:eastAsia="Times New Roman" w:hAnsi="Times New Roman" w:cs="Times New Roman"/>
          <w:color w:val="000000"/>
          <w:sz w:val="24"/>
          <w:szCs w:val="24"/>
        </w:rPr>
      </w:pPr>
    </w:p>
    <w:p w:rsidR="00493E4F" w:rsidRDefault="00493E4F" w:rsidP="00493E4F">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2.1.1 Lebanon </w:t>
      </w:r>
    </w:p>
    <w:p w:rsidR="00493E4F" w:rsidRDefault="00493E4F" w:rsidP="003D6DAF">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Lebanon is a small country situated on the eastern Mediterranean Sea situated between Syria and Palestine. It identifies as a democracy and republic which was administratively divided into six governorates: Beirut, M</w:t>
      </w:r>
      <w:r w:rsidR="003D6DAF">
        <w:rPr>
          <w:rFonts w:ascii="Times New Roman" w:eastAsia="Times New Roman" w:hAnsi="Times New Roman" w:cs="Times New Roman"/>
          <w:color w:val="000000"/>
          <w:sz w:val="24"/>
          <w:szCs w:val="24"/>
        </w:rPr>
        <w:t>ount Lebanon, North, South, Bek</w:t>
      </w:r>
      <w:r>
        <w:rPr>
          <w:rFonts w:ascii="Times New Roman" w:eastAsia="Times New Roman" w:hAnsi="Times New Roman" w:cs="Times New Roman"/>
          <w:color w:val="000000"/>
          <w:sz w:val="24"/>
          <w:szCs w:val="24"/>
        </w:rPr>
        <w:t xml:space="preserve">aa, and Nabatiyeh. Due to the difficulties of centralization of power, two new </w:t>
      </w:r>
      <w:r w:rsidR="003D6DAF">
        <w:rPr>
          <w:rFonts w:ascii="Times New Roman" w:eastAsia="Times New Roman" w:hAnsi="Times New Roman" w:cs="Times New Roman"/>
          <w:color w:val="000000"/>
          <w:sz w:val="24"/>
          <w:szCs w:val="24"/>
        </w:rPr>
        <w:t xml:space="preserve">governorates were added in 2003 </w:t>
      </w:r>
      <w:r>
        <w:rPr>
          <w:rFonts w:ascii="Times New Roman" w:eastAsia="Times New Roman" w:hAnsi="Times New Roman" w:cs="Times New Roman"/>
          <w:color w:val="000000"/>
          <w:sz w:val="24"/>
          <w:szCs w:val="24"/>
        </w:rPr>
        <w:t xml:space="preserve">were Akkar and Baalbak Hermel (FAO, 2008). With a total of 5.35 million people, the country is more than 80% urbanized with a relatively young demographic population. Following a very traumatic civil war at the end of the last century, the country has yet to recover economically and socially as it suffers from brain drainage and a lack of productive sectors (UNESCO, 2020). </w:t>
      </w:r>
    </w:p>
    <w:p w:rsidR="00493E4F" w:rsidRDefault="00493E4F" w:rsidP="00493E4F">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Lebanon relies heavily on the service industry with a focus on banking and tourism. Agriculture and manufacturing constitute a small proportion of the GDP and its economy is highly dependent on the “dollarization” in most of its facets. This proposes a major risk because it leaves the Lebanese economy extremely fragile and susceptible to any foreign crises (Ishrakieh et al., 2020). The country relied on its robust banking system to maintain stability, but the subsequent troubles that plagued the country starting at the end of 2019 have weakened the economy and devalued</w:t>
      </w:r>
      <w:r w:rsidR="003D6DAF">
        <w:rPr>
          <w:rFonts w:ascii="Times New Roman" w:eastAsia="Times New Roman" w:hAnsi="Times New Roman" w:cs="Times New Roman"/>
          <w:color w:val="000000"/>
          <w:sz w:val="24"/>
          <w:szCs w:val="24"/>
        </w:rPr>
        <w:t xml:space="preserve"> the currency. It also created</w:t>
      </w:r>
      <w:r>
        <w:rPr>
          <w:rFonts w:ascii="Times New Roman" w:eastAsia="Times New Roman" w:hAnsi="Times New Roman" w:cs="Times New Roman"/>
          <w:color w:val="000000"/>
          <w:sz w:val="24"/>
          <w:szCs w:val="24"/>
        </w:rPr>
        <w:t xml:space="preserve"> deep fission and mistrust between the general public and the government and the financial institutes. </w:t>
      </w:r>
    </w:p>
    <w:p w:rsidR="00493E4F" w:rsidRDefault="00493E4F" w:rsidP="00493E4F">
      <w:pPr>
        <w:shd w:val="clear" w:color="auto" w:fill="FFFFFF"/>
        <w:spacing w:after="0" w:line="360" w:lineRule="auto"/>
        <w:jc w:val="both"/>
        <w:rPr>
          <w:rFonts w:ascii="Times New Roman" w:eastAsia="Times New Roman" w:hAnsi="Times New Roman" w:cs="Times New Roman"/>
          <w:color w:val="000000"/>
          <w:sz w:val="24"/>
          <w:szCs w:val="24"/>
        </w:rPr>
      </w:pPr>
    </w:p>
    <w:p w:rsidR="00493E4F" w:rsidRDefault="00493E4F" w:rsidP="00493E4F">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2.1.2 Brief History of Banks in Lebanon</w:t>
      </w:r>
    </w:p>
    <w:p w:rsidR="00493E4F" w:rsidRDefault="00493E4F" w:rsidP="003D6DAF">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ha</w:t>
      </w:r>
      <w:r w:rsidR="003D6DAF">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 xml:space="preserve"> always been one form of banking or another in Lebanon, but the currencies and control were dictated by the ruling country that was occupying Lebanon. In recent history, Lebanon fell under the French mandate following World War II which saw an influx of foreign banks that controlled the financial market. There were small local banks, but they had virtually little control over the economy as their role was regulated to serve as small loan providers and exchangers of foreign currencies (Banque du Liban, 2020). The banking system did not become an integral part of the economy until Lebanon gained its independence in 1943 and created the </w:t>
      </w:r>
      <w:r>
        <w:rPr>
          <w:rFonts w:ascii="Times New Roman" w:eastAsia="Times New Roman" w:hAnsi="Times New Roman" w:cs="Times New Roman"/>
          <w:color w:val="000000"/>
          <w:sz w:val="24"/>
          <w:szCs w:val="24"/>
        </w:rPr>
        <w:lastRenderedPageBreak/>
        <w:t>Banque du Liban in 1964 as a governing body that controls the function and infrastructure of ban</w:t>
      </w:r>
      <w:r w:rsidR="003D6DAF">
        <w:rPr>
          <w:rFonts w:ascii="Times New Roman" w:eastAsia="Times New Roman" w:hAnsi="Times New Roman" w:cs="Times New Roman"/>
          <w:color w:val="000000"/>
          <w:sz w:val="24"/>
          <w:szCs w:val="24"/>
        </w:rPr>
        <w:t>ks (Banque du Liban, 2020). These</w:t>
      </w:r>
      <w:r>
        <w:rPr>
          <w:rFonts w:ascii="Times New Roman" w:eastAsia="Times New Roman" w:hAnsi="Times New Roman" w:cs="Times New Roman"/>
          <w:color w:val="000000"/>
          <w:sz w:val="24"/>
          <w:szCs w:val="24"/>
        </w:rPr>
        <w:t xml:space="preserve"> restructure allowed the banking sector to flourish, and it remained one of the only successful economic sectors following the devastating civil war (Peters et al., 2004). </w:t>
      </w:r>
    </w:p>
    <w:p w:rsidR="00493E4F" w:rsidRDefault="00493E4F" w:rsidP="00493E4F">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Before the crisis in 2019, the Lebanese banks were characterized by many aspects that aided in the prosperity of this sector. According to Banque du Liban (2016), the main characteristics of the Lebanese banking system include: </w:t>
      </w:r>
    </w:p>
    <w:p w:rsidR="00493E4F" w:rsidRDefault="00493E4F" w:rsidP="00493E4F">
      <w:pPr>
        <w:pStyle w:val="Listenabsatz"/>
        <w:numPr>
          <w:ilvl w:val="0"/>
          <w:numId w:val="1"/>
        </w:num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Lebanese currency can be freely exchanged with any other currency; something that the banks </w:t>
      </w:r>
      <w:r w:rsidR="003D6DAF">
        <w:rPr>
          <w:rFonts w:ascii="Times New Roman" w:eastAsia="Times New Roman" w:hAnsi="Times New Roman" w:cs="Times New Roman"/>
          <w:color w:val="000000"/>
          <w:sz w:val="24"/>
          <w:szCs w:val="24"/>
        </w:rPr>
        <w:t xml:space="preserve">have </w:t>
      </w:r>
      <w:r>
        <w:rPr>
          <w:rFonts w:ascii="Times New Roman" w:eastAsia="Times New Roman" w:hAnsi="Times New Roman" w:cs="Times New Roman"/>
          <w:color w:val="000000"/>
          <w:sz w:val="24"/>
          <w:szCs w:val="24"/>
        </w:rPr>
        <w:t xml:space="preserve">restricted since the end of 2019. Furthermore, there is no cap over the flow of capital in and out of the Lebanese economy. </w:t>
      </w:r>
    </w:p>
    <w:p w:rsidR="00493E4F" w:rsidRDefault="00493E4F" w:rsidP="003D6DAF">
      <w:pPr>
        <w:pStyle w:val="Listenabsatz"/>
        <w:numPr>
          <w:ilvl w:val="0"/>
          <w:numId w:val="1"/>
        </w:num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Secrecy Law was passed in 1956, and it decreed that all those associated with the banking sector are not at liberty to disclose any information regarding their internal activities or their clients. They can exchange information </w:t>
      </w:r>
      <w:r w:rsidR="003D6DAF">
        <w:rPr>
          <w:rFonts w:ascii="Times New Roman" w:eastAsia="Times New Roman" w:hAnsi="Times New Roman" w:cs="Times New Roman"/>
          <w:color w:val="000000"/>
          <w:sz w:val="24"/>
          <w:szCs w:val="24"/>
        </w:rPr>
        <w:t>with</w:t>
      </w:r>
      <w:r>
        <w:rPr>
          <w:rFonts w:ascii="Times New Roman" w:eastAsia="Times New Roman" w:hAnsi="Times New Roman" w:cs="Times New Roman"/>
          <w:color w:val="000000"/>
          <w:sz w:val="24"/>
          <w:szCs w:val="24"/>
        </w:rPr>
        <w:t xml:space="preserve"> each other as long as the integrity of the information remains between the parties involved. However, the banks cannot withhold information if there is a request from relevant law enforcement agencies. </w:t>
      </w:r>
    </w:p>
    <w:p w:rsidR="00493E4F" w:rsidRDefault="00493E4F" w:rsidP="00493E4F">
      <w:pPr>
        <w:pStyle w:val="Listenabsatz"/>
        <w:numPr>
          <w:ilvl w:val="0"/>
          <w:numId w:val="1"/>
        </w:num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Legislative Decree No. 144/59 stated that a 5% income tax will be applied to many types of financial transactions such as interests, incomes, revenues from exchanges, managing portfolios, treasuring bonds, etc. </w:t>
      </w:r>
    </w:p>
    <w:p w:rsidR="00493E4F" w:rsidRDefault="00493E4F" w:rsidP="00493E4F">
      <w:pPr>
        <w:pStyle w:val="Listenabsatz"/>
        <w:numPr>
          <w:ilvl w:val="0"/>
          <w:numId w:val="1"/>
        </w:num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1097, Banque du Liban established the Free Banking Zone where the government has the right to exempt the deposits of non-residents and liabilities that are in foreign currencies from income tax and other regulations. This made Lebanon a very attractive haven for foreign investors. </w:t>
      </w:r>
    </w:p>
    <w:p w:rsidR="00493E4F" w:rsidRDefault="00493E4F" w:rsidP="00493E4F">
      <w:pPr>
        <w:pStyle w:val="Listenabsatz"/>
        <w:numPr>
          <w:ilvl w:val="0"/>
          <w:numId w:val="1"/>
        </w:num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Lebanese banking system is working diligently to combat money laundering to maintain the integrity of its operation and fight corruption. </w:t>
      </w:r>
    </w:p>
    <w:p w:rsidR="00493E4F" w:rsidRDefault="00493E4F" w:rsidP="00493E4F">
      <w:pPr>
        <w:pStyle w:val="Listenabsatz"/>
        <w:shd w:val="clear" w:color="auto" w:fill="FFFFFF"/>
        <w:spacing w:after="0" w:line="360" w:lineRule="auto"/>
        <w:jc w:val="both"/>
        <w:rPr>
          <w:rFonts w:ascii="Times New Roman" w:eastAsia="Times New Roman" w:hAnsi="Times New Roman" w:cs="Times New Roman"/>
          <w:color w:val="000000"/>
          <w:sz w:val="24"/>
          <w:szCs w:val="24"/>
        </w:rPr>
      </w:pPr>
    </w:p>
    <w:p w:rsidR="00493E4F" w:rsidRDefault="00493E4F" w:rsidP="00493E4F">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2.1.3 Role of Banks in Lebanese Economy </w:t>
      </w:r>
    </w:p>
    <w:p w:rsidR="00493E4F" w:rsidRDefault="00493E4F" w:rsidP="003D6DAF">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Historically speaking, the financial sector has been instrumental in ensuring the development of the society they are found. This is especially true in communities with little resources such as Lebanon where financial institutes will steer these resources in the correct direction for ensuring the prosperity of all individuals (Awdeh, 2012). In </w:t>
      </w:r>
      <w:r w:rsidR="003D6DAF">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color w:val="000000"/>
          <w:sz w:val="24"/>
          <w:szCs w:val="24"/>
        </w:rPr>
        <w:t xml:space="preserve">modern economy, the Endogenous Growth Theory is considered the basis for many of the theories that shape the world. It links the </w:t>
      </w:r>
      <w:r>
        <w:rPr>
          <w:rFonts w:ascii="Times New Roman" w:eastAsia="Times New Roman" w:hAnsi="Times New Roman" w:cs="Times New Roman"/>
          <w:color w:val="000000"/>
          <w:sz w:val="24"/>
          <w:szCs w:val="24"/>
        </w:rPr>
        <w:lastRenderedPageBreak/>
        <w:t>health and growth of the finan</w:t>
      </w:r>
      <w:r w:rsidR="003D6DAF">
        <w:rPr>
          <w:rFonts w:ascii="Times New Roman" w:eastAsia="Times New Roman" w:hAnsi="Times New Roman" w:cs="Times New Roman"/>
          <w:color w:val="000000"/>
          <w:sz w:val="24"/>
          <w:szCs w:val="24"/>
        </w:rPr>
        <w:t xml:space="preserve">cial sector with the growth of </w:t>
      </w:r>
      <w:r>
        <w:rPr>
          <w:rFonts w:ascii="Times New Roman" w:eastAsia="Times New Roman" w:hAnsi="Times New Roman" w:cs="Times New Roman"/>
          <w:color w:val="000000"/>
          <w:sz w:val="24"/>
          <w:szCs w:val="24"/>
        </w:rPr>
        <w:t>society (Pagano, 1993). The correlation is exhibited in three ways: it will increase the number and size of the investments available in the market, the efficiency of</w:t>
      </w:r>
      <w:r w:rsidR="003D6DAF">
        <w:rPr>
          <w:rFonts w:ascii="Times New Roman" w:eastAsia="Times New Roman" w:hAnsi="Times New Roman" w:cs="Times New Roman"/>
          <w:color w:val="000000"/>
          <w:sz w:val="24"/>
          <w:szCs w:val="24"/>
        </w:rPr>
        <w:t xml:space="preserve"> the</w:t>
      </w:r>
      <w:r>
        <w:rPr>
          <w:rFonts w:ascii="Times New Roman" w:eastAsia="Times New Roman" w:hAnsi="Times New Roman" w:cs="Times New Roman"/>
          <w:color w:val="000000"/>
          <w:sz w:val="24"/>
          <w:szCs w:val="24"/>
        </w:rPr>
        <w:t xml:space="preserve"> financial sector is enhanced by reducing costs, and promote and discourage savings based on what is best for the market. </w:t>
      </w:r>
    </w:p>
    <w:p w:rsidR="00493E4F" w:rsidRDefault="00493E4F" w:rsidP="003D6DAF">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Lebanese situation, Banque du Liban has had an integral part in stabilizing the economy in the aftermath of the civil war (Torbey, 2017). This is especially true since the Lebanese economy has gone through many ups and downs. Although there have been many accusations over the years regarding the influence</w:t>
      </w:r>
      <w:r w:rsidR="003D6DAF">
        <w:rPr>
          <w:rFonts w:ascii="Times New Roman" w:eastAsia="Times New Roman" w:hAnsi="Times New Roman" w:cs="Times New Roman"/>
          <w:color w:val="000000"/>
          <w:sz w:val="24"/>
          <w:szCs w:val="24"/>
        </w:rPr>
        <w:t xml:space="preserve"> and power that BdL exerts, </w:t>
      </w:r>
      <w:r>
        <w:rPr>
          <w:rFonts w:ascii="Times New Roman" w:eastAsia="Times New Roman" w:hAnsi="Times New Roman" w:cs="Times New Roman"/>
          <w:color w:val="000000"/>
          <w:sz w:val="24"/>
          <w:szCs w:val="24"/>
        </w:rPr>
        <w:t>there h</w:t>
      </w:r>
      <w:r w:rsidR="003D6DAF">
        <w:rPr>
          <w:rFonts w:ascii="Times New Roman" w:eastAsia="Times New Roman" w:hAnsi="Times New Roman" w:cs="Times New Roman"/>
          <w:color w:val="000000"/>
          <w:sz w:val="24"/>
          <w:szCs w:val="24"/>
        </w:rPr>
        <w:t>as</w:t>
      </w:r>
      <w:r>
        <w:rPr>
          <w:rFonts w:ascii="Times New Roman" w:eastAsia="Times New Roman" w:hAnsi="Times New Roman" w:cs="Times New Roman"/>
          <w:color w:val="000000"/>
          <w:sz w:val="24"/>
          <w:szCs w:val="24"/>
        </w:rPr>
        <w:t xml:space="preserve"> yet to be any direct evidence that point</w:t>
      </w:r>
      <w:r w:rsidR="003D6DAF">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 xml:space="preserve"> out unseemly practices outside the regulations of the Code of Money and Credit. One of the best examples of the influence of BdL was during the 2008 financial crisis that impacted the whole world and created a small recession. However, Lebanon remained one of the few countries that kept afloat during that time. </w:t>
      </w:r>
    </w:p>
    <w:p w:rsidR="00493E4F" w:rsidRDefault="00493E4F" w:rsidP="003D6DAF">
      <w:pPr>
        <w:shd w:val="clear" w:color="auto" w:fill="FFFFFF"/>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One of the downsides of the </w:t>
      </w:r>
      <w:r w:rsidR="003D6DAF">
        <w:rPr>
          <w:rFonts w:ascii="Times New Roman" w:eastAsia="Times New Roman" w:hAnsi="Times New Roman" w:cs="Times New Roman"/>
          <w:color w:val="000000"/>
          <w:sz w:val="24"/>
          <w:szCs w:val="24"/>
        </w:rPr>
        <w:t xml:space="preserve">Lebanese banking sector is that </w:t>
      </w:r>
      <w:r>
        <w:rPr>
          <w:rFonts w:ascii="Times New Roman" w:eastAsia="Times New Roman" w:hAnsi="Times New Roman" w:cs="Times New Roman"/>
          <w:color w:val="000000"/>
          <w:sz w:val="24"/>
          <w:szCs w:val="24"/>
        </w:rPr>
        <w:t>most of its resources have been allocated for funding the sovereign debt that Lebanese has accumulated (Elia, 2020). After the destruction that happened following the deadly civil war last century, the country was left with virtually no infrastructure to sustain and develop the country. To rebuild, the government decided to borrow money to create income-generating projects and a solid infrastructure to revitalize business as well as attract investors. However, the high levels of corruption depleted those funds and the 2006 Israeli invasion destroyed most of the rebuilt roads and utilities. This has caused</w:t>
      </w:r>
      <w:r w:rsidR="003D6DAF">
        <w:rPr>
          <w:rFonts w:ascii="Times New Roman" w:eastAsia="Times New Roman" w:hAnsi="Times New Roman" w:cs="Times New Roman"/>
          <w:color w:val="000000"/>
          <w:sz w:val="24"/>
          <w:szCs w:val="24"/>
        </w:rPr>
        <w:t xml:space="preserve"> a</w:t>
      </w:r>
      <w:r>
        <w:rPr>
          <w:rFonts w:ascii="Times New Roman" w:eastAsia="Times New Roman" w:hAnsi="Times New Roman" w:cs="Times New Roman"/>
          <w:color w:val="000000"/>
          <w:sz w:val="24"/>
          <w:szCs w:val="24"/>
        </w:rPr>
        <w:t xml:space="preserve"> steady increase in the national debt as shown in Fig. 2. It grew from $4.2 billion in 1993 to an astronomical $85.1 billion despite all the efforts made to bring it down to a more manageable level. </w:t>
      </w:r>
    </w:p>
    <w:p w:rsidR="00493E4F" w:rsidRDefault="00493E4F" w:rsidP="00493E4F">
      <w:pPr>
        <w:shd w:val="clear" w:color="auto" w:fill="FFFFFF"/>
        <w:spacing w:after="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val="de-DE" w:eastAsia="de-DE"/>
        </w:rPr>
        <w:lastRenderedPageBreak/>
        <w:drawing>
          <wp:inline distT="0" distB="0" distL="0" distR="0" wp14:anchorId="3C548D5D" wp14:editId="12BFF8BD">
            <wp:extent cx="4896534" cy="4067743"/>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14">
                      <a:extLst>
                        <a:ext uri="{28A0092B-C50C-407E-A947-70E740481C1C}">
                          <a14:useLocalDpi xmlns:a14="http://schemas.microsoft.com/office/drawing/2010/main" val="0"/>
                        </a:ext>
                      </a:extLst>
                    </a:blip>
                    <a:stretch>
                      <a:fillRect/>
                    </a:stretch>
                  </pic:blipFill>
                  <pic:spPr>
                    <a:xfrm>
                      <a:off x="0" y="0"/>
                      <a:ext cx="4896534" cy="4067743"/>
                    </a:xfrm>
                    <a:prstGeom prst="rect">
                      <a:avLst/>
                    </a:prstGeom>
                  </pic:spPr>
                </pic:pic>
              </a:graphicData>
            </a:graphic>
          </wp:inline>
        </w:drawing>
      </w:r>
    </w:p>
    <w:p w:rsidR="00493E4F" w:rsidRDefault="00493E4F" w:rsidP="00493E4F">
      <w:pPr>
        <w:shd w:val="clear" w:color="auto" w:fill="FFFFFF"/>
        <w:spacing w:after="0" w:line="36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Fig. 2 The Annual growth of </w:t>
      </w:r>
      <w:r w:rsidR="003D6DAF">
        <w:rPr>
          <w:rFonts w:ascii="Times New Roman" w:eastAsia="Times New Roman" w:hAnsi="Times New Roman" w:cs="Times New Roman"/>
          <w:color w:val="000000"/>
          <w:sz w:val="20"/>
          <w:szCs w:val="20"/>
        </w:rPr>
        <w:t>Lebanon’s Gross Debt in billion-</w:t>
      </w:r>
      <w:r>
        <w:rPr>
          <w:rFonts w:ascii="Times New Roman" w:eastAsia="Times New Roman" w:hAnsi="Times New Roman" w:cs="Times New Roman"/>
          <w:color w:val="000000"/>
          <w:sz w:val="20"/>
          <w:szCs w:val="20"/>
        </w:rPr>
        <w:t>dollar between 1993 and 2018 as retrieved from Blominvest (2019)</w:t>
      </w:r>
    </w:p>
    <w:p w:rsidR="00493E4F" w:rsidRPr="00F21BA3" w:rsidRDefault="00493E4F" w:rsidP="00493E4F">
      <w:pPr>
        <w:shd w:val="clear" w:color="auto" w:fill="FFFFFF"/>
        <w:spacing w:after="0" w:line="360" w:lineRule="auto"/>
        <w:jc w:val="center"/>
        <w:rPr>
          <w:rFonts w:ascii="Times New Roman" w:eastAsia="Times New Roman" w:hAnsi="Times New Roman" w:cs="Times New Roman"/>
          <w:color w:val="000000"/>
          <w:sz w:val="20"/>
          <w:szCs w:val="20"/>
        </w:rPr>
      </w:pPr>
    </w:p>
    <w:p w:rsidR="00493E4F" w:rsidRDefault="00493E4F" w:rsidP="00493E4F">
      <w:pPr>
        <w:shd w:val="clear" w:color="auto" w:fill="FFFFFF"/>
        <w:spacing w:after="0" w:line="360" w:lineRule="auto"/>
        <w:jc w:val="both"/>
        <w:rPr>
          <w:rFonts w:ascii="Calibri" w:eastAsia="Times New Roman" w:hAnsi="Calibri" w:cs="Calibri"/>
          <w:color w:val="000000"/>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strain of this debt placed Lebanon in the third position as the most indebted nation worldwide after Greece and Japan in 2020 (Trade Economics, 2020). The private banks spend a considerable portion of their resources to service this debt and keep the government afloat since the latter spends no less than 50% of its revenues to pay the interests of the debt without making much difference to the capital itself. To complicate matters further, the Lebanese government hasn’t been able to put together a state budget since 2005 because the political parties have not been able to agree on one. This exacerbates the problem further because private banks dedicate so much of their funds to aid the government (Blominvest, 2019). This means fewer funds available for investing in the market and creating more entrepreneurship opportunities. </w:t>
      </w:r>
    </w:p>
    <w:p w:rsidR="00493E4F" w:rsidRDefault="00493E4F" w:rsidP="003D6DA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This fragile economy was sustained through the dollar transaction sent to Lebanon </w:t>
      </w:r>
      <w:r w:rsidR="003D6DAF">
        <w:rPr>
          <w:rFonts w:asciiTheme="majorBidi" w:hAnsiTheme="majorBidi" w:cstheme="majorBidi"/>
          <w:sz w:val="24"/>
          <w:szCs w:val="24"/>
        </w:rPr>
        <w:t>by</w:t>
      </w:r>
      <w:r>
        <w:rPr>
          <w:rFonts w:asciiTheme="majorBidi" w:hAnsiTheme="majorBidi" w:cstheme="majorBidi"/>
          <w:sz w:val="24"/>
          <w:szCs w:val="24"/>
        </w:rPr>
        <w:t xml:space="preserve"> their immigrants that provided a steady supply of foreign currencies into the country. Along with the </w:t>
      </w:r>
      <w:r>
        <w:rPr>
          <w:rFonts w:asciiTheme="majorBidi" w:hAnsiTheme="majorBidi" w:cstheme="majorBidi"/>
          <w:sz w:val="24"/>
          <w:szCs w:val="24"/>
        </w:rPr>
        <w:lastRenderedPageBreak/>
        <w:t xml:space="preserve">strict measures taken by BdL, the Lebanese economy sustained itself and provided profit for banks for decades. This created a highly dollarized economy that compromises a country’s safety in the case of any emergency (Ishrakieh et al., </w:t>
      </w:r>
      <w:r w:rsidR="003D6DAF">
        <w:rPr>
          <w:rFonts w:asciiTheme="majorBidi" w:hAnsiTheme="majorBidi" w:cstheme="majorBidi"/>
          <w:sz w:val="24"/>
          <w:szCs w:val="24"/>
        </w:rPr>
        <w:t>2020). Furthermore, BdL had main</w:t>
      </w:r>
      <w:r>
        <w:rPr>
          <w:rFonts w:asciiTheme="majorBidi" w:hAnsiTheme="majorBidi" w:cstheme="majorBidi"/>
          <w:sz w:val="24"/>
          <w:szCs w:val="24"/>
        </w:rPr>
        <w:t xml:space="preserve">tained a fixed exchange rate of the dollar since 1997 at 1515 L.L. which does not correspond to the significant deficit in the economy. This meant that further measures and funds had to be provided to stabilize this inflated exchange rate (Lebanon Economic Monitor, 2019). When the dollar shortage became very pronounced in 2019, it wasn’t long until the exchange rate shifted and the Lebanese Lira lost almost 80% of its value. </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2.2 Theories in Banking </w:t>
      </w:r>
    </w:p>
    <w:p w:rsidR="00493E4F" w:rsidRDefault="00493E4F" w:rsidP="004502DB">
      <w:pPr>
        <w:spacing w:line="360" w:lineRule="auto"/>
        <w:jc w:val="both"/>
        <w:rPr>
          <w:rFonts w:asciiTheme="majorBidi" w:hAnsiTheme="majorBidi" w:cstheme="majorBidi"/>
          <w:sz w:val="24"/>
          <w:szCs w:val="24"/>
        </w:rPr>
      </w:pPr>
      <w:r>
        <w:rPr>
          <w:rFonts w:asciiTheme="majorBidi" w:hAnsiTheme="majorBidi" w:cstheme="majorBidi"/>
          <w:sz w:val="24"/>
          <w:szCs w:val="24"/>
        </w:rPr>
        <w:t>Banks have exi</w:t>
      </w:r>
      <w:r w:rsidR="004502DB">
        <w:rPr>
          <w:rFonts w:asciiTheme="majorBidi" w:hAnsiTheme="majorBidi" w:cstheme="majorBidi"/>
          <w:sz w:val="24"/>
          <w:szCs w:val="24"/>
        </w:rPr>
        <w:t>s</w:t>
      </w:r>
      <w:r>
        <w:rPr>
          <w:rFonts w:asciiTheme="majorBidi" w:hAnsiTheme="majorBidi" w:cstheme="majorBidi"/>
          <w:sz w:val="24"/>
          <w:szCs w:val="24"/>
        </w:rPr>
        <w:t>ted in many forms in history and have evolved into the modern structure that we all recognize today. There are many theories that govern the notions and functions of banking, and the following section illustrates some of the main ones. Surprisingly, even the most accomplished of economists often find it difficult to incorporate ba</w:t>
      </w:r>
      <w:r w:rsidR="004502DB">
        <w:rPr>
          <w:rFonts w:asciiTheme="majorBidi" w:hAnsiTheme="majorBidi" w:cstheme="majorBidi"/>
          <w:sz w:val="24"/>
          <w:szCs w:val="24"/>
        </w:rPr>
        <w:t>nks into their theories which have</w:t>
      </w:r>
      <w:r>
        <w:rPr>
          <w:rFonts w:asciiTheme="majorBidi" w:hAnsiTheme="majorBidi" w:cstheme="majorBidi"/>
          <w:sz w:val="24"/>
          <w:szCs w:val="24"/>
        </w:rPr>
        <w:t xml:space="preserve"> led to a serious gap in the literature of banking theories (Kohn, 2009).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2.2.1 Early Forms of Banking</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Anthropologists have discovered behavioral patterns in some of the earliest civilizations where individuals or groups will save some of their resources and later on invest them in the case of any emergency (Caldararo, 2013). This applies to emergency funds for catastrophic events such as </w:t>
      </w:r>
      <w:r w:rsidR="004502DB">
        <w:rPr>
          <w:rFonts w:asciiTheme="majorBidi" w:hAnsiTheme="majorBidi" w:cstheme="majorBidi"/>
          <w:sz w:val="24"/>
          <w:szCs w:val="24"/>
        </w:rPr>
        <w:t xml:space="preserve">the possibility </w:t>
      </w:r>
      <w:r>
        <w:rPr>
          <w:rFonts w:asciiTheme="majorBidi" w:hAnsiTheme="majorBidi" w:cstheme="majorBidi"/>
          <w:sz w:val="24"/>
          <w:szCs w:val="24"/>
        </w:rPr>
        <w:t>of floods or having bad harvests. They would try to compensate for any disastrous events or shortages because the survivability of entire communities relied on these funds or material being available. Einzig (1947) illustrated several forms of early monetary saving forms from using stone wheels in the area of Yap to the paper money used in China when most of the world was using coins all the way to the modern form of investments we see today. What is intriguing is that what is perceived and decided on as valuable becomes universally acceptable for the masses. It is intriguing to consider that the majority of the investments in existence are never manifested as physical items. Take for example the notion of bitcoins or internet currencies; the more people believed they are valuable, the more they become (Meynkhard, 2019). Some people have become instant millio</w:t>
      </w:r>
      <w:r w:rsidR="003C7A0B">
        <w:rPr>
          <w:rFonts w:asciiTheme="majorBidi" w:hAnsiTheme="majorBidi" w:cstheme="majorBidi"/>
          <w:sz w:val="24"/>
          <w:szCs w:val="24"/>
        </w:rPr>
        <w:t>naires just from buying up once-</w:t>
      </w:r>
      <w:r>
        <w:rPr>
          <w:rFonts w:asciiTheme="majorBidi" w:hAnsiTheme="majorBidi" w:cstheme="majorBidi"/>
          <w:sz w:val="24"/>
          <w:szCs w:val="24"/>
        </w:rPr>
        <w:t xml:space="preserve">obscure bitcoins. </w:t>
      </w:r>
      <w:r>
        <w:rPr>
          <w:rFonts w:asciiTheme="majorBidi" w:hAnsiTheme="majorBidi" w:cstheme="majorBidi"/>
          <w:sz w:val="24"/>
          <w:szCs w:val="24"/>
        </w:rPr>
        <w:lastRenderedPageBreak/>
        <w:t>This shows just how diverse and fluid the notions of banking and finances can be and how they evolve according to the criteria of their times.</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2.2.2 Three Major Theories of Banking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2.2.2.1 The Financial Intermediation Theory of Banking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This theory explores banks at their elemental level where they are only an intermediate financial link between depositors and lenders (Werner, 2015). Individuals or entities that have a surplus of funds will elect to deposit their money in these banks that will lend them out for those with a shortage of funds who agree to repay it with interest. This interest will sustain the bank as well as provide incentives for depositors through collecting their share of the interest. In this sense, banks are not considered any different from any other financial institutes that deal according to this model. It can further be explained that banks will borrow money from investors and provide short maturities, but they provide longer maturities when they give money to lenders (Dewatripont, 2010). In this sense, banks are not capable of creating money and only depend on</w:t>
      </w:r>
      <w:r w:rsidR="003C7A0B">
        <w:rPr>
          <w:rFonts w:asciiTheme="majorBidi" w:hAnsiTheme="majorBidi" w:cstheme="majorBidi"/>
          <w:sz w:val="24"/>
          <w:szCs w:val="24"/>
        </w:rPr>
        <w:t xml:space="preserve"> the</w:t>
      </w:r>
      <w:r>
        <w:rPr>
          <w:rFonts w:asciiTheme="majorBidi" w:hAnsiTheme="majorBidi" w:cstheme="majorBidi"/>
          <w:sz w:val="24"/>
          <w:szCs w:val="24"/>
        </w:rPr>
        <w:t xml:space="preserve"> transformation of money.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2.2.2.2 The Fractional Reserve Theory of Banking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This theory also classifies banks as financial institutes, but it diverts away from the former theory by arguing that banks are capable of creating money (Werner, 2015). It states that banks and non-banking financial institutes are both intermediates for money deposition, but banks are able to create money through multiple deposit expansion. Even though depositors come with their money, the banks are creating their accounts and managing them. They are also benefiting from these creations. Over time, the banks will be able to accumulate their own credit that they can</w:t>
      </w:r>
      <w:r w:rsidR="003C7A0B">
        <w:rPr>
          <w:rFonts w:asciiTheme="majorBidi" w:hAnsiTheme="majorBidi" w:cstheme="majorBidi"/>
          <w:sz w:val="24"/>
          <w:szCs w:val="24"/>
        </w:rPr>
        <w:t>,</w:t>
      </w:r>
      <w:r>
        <w:rPr>
          <w:rFonts w:asciiTheme="majorBidi" w:hAnsiTheme="majorBidi" w:cstheme="majorBidi"/>
          <w:sz w:val="24"/>
          <w:szCs w:val="24"/>
        </w:rPr>
        <w:t xml:space="preserve"> later on</w:t>
      </w:r>
      <w:r w:rsidR="003C7A0B">
        <w:rPr>
          <w:rFonts w:asciiTheme="majorBidi" w:hAnsiTheme="majorBidi" w:cstheme="majorBidi"/>
          <w:sz w:val="24"/>
          <w:szCs w:val="24"/>
        </w:rPr>
        <w:t>,</w:t>
      </w:r>
      <w:r>
        <w:rPr>
          <w:rFonts w:asciiTheme="majorBidi" w:hAnsiTheme="majorBidi" w:cstheme="majorBidi"/>
          <w:sz w:val="24"/>
          <w:szCs w:val="24"/>
        </w:rPr>
        <w:t xml:space="preserve"> invest making them creators of credit. However, it would be very difficult for one bank to accomplish such a thing, and it is the banking system as a whole that will be able to accomplish this instead (Samuelson &amp; Nordhaus, 1995). Through the interactions and cooperation between banks locally and internationally, they will be capable of creating multiple deposit expansions that will help each bank grow their saving and create personal credit. </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2.2.2.3 The Credit Creation Theory of Banking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This theory does not classify banks as financial intermediates nor does it argue credit creation through cooperation between banks. This theory argues that banks can create money out of nothing every time it makes a loan agreement or purchases assets in other financial and non-financial institutes (Werner, 2015). For the loan agreement to go through, the person asking for the loan needs to create an account at the bank he/she is taking the loan from. This new account will not subsidize the value of the bank’s credit because the source of the money also has an account with this bank. This will allow the balance sheet of the bank to expand over time</w:t>
      </w:r>
      <w:r w:rsidR="003C7A0B">
        <w:rPr>
          <w:rFonts w:asciiTheme="majorBidi" w:hAnsiTheme="majorBidi" w:cstheme="majorBidi"/>
          <w:sz w:val="24"/>
          <w:szCs w:val="24"/>
        </w:rPr>
        <w:t>,</w:t>
      </w:r>
      <w:r>
        <w:rPr>
          <w:rFonts w:asciiTheme="majorBidi" w:hAnsiTheme="majorBidi" w:cstheme="majorBidi"/>
          <w:sz w:val="24"/>
          <w:szCs w:val="24"/>
        </w:rPr>
        <w:t xml:space="preserve"> unlike a traditional financial intermediary institute.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2.2.2.4 Islamic Banking </w:t>
      </w:r>
    </w:p>
    <w:p w:rsidR="00493E4F" w:rsidRDefault="00493E4F" w:rsidP="003C7A0B">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Islamic banking is not a new theory in banking, but it has begun to receive plenty of academic and real-life interest because of its unique qualities. Despite preconceived notions, Islamic banks provide the same services </w:t>
      </w:r>
      <w:r w:rsidR="003C7A0B">
        <w:rPr>
          <w:rFonts w:asciiTheme="majorBidi" w:hAnsiTheme="majorBidi" w:cstheme="majorBidi"/>
          <w:sz w:val="24"/>
          <w:szCs w:val="24"/>
        </w:rPr>
        <w:t xml:space="preserve">as </w:t>
      </w:r>
      <w:r>
        <w:rPr>
          <w:rFonts w:asciiTheme="majorBidi" w:hAnsiTheme="majorBidi" w:cstheme="majorBidi"/>
          <w:sz w:val="24"/>
          <w:szCs w:val="24"/>
        </w:rPr>
        <w:t>regular bank</w:t>
      </w:r>
      <w:r w:rsidR="003C7A0B">
        <w:rPr>
          <w:rFonts w:asciiTheme="majorBidi" w:hAnsiTheme="majorBidi" w:cstheme="majorBidi"/>
          <w:sz w:val="24"/>
          <w:szCs w:val="24"/>
        </w:rPr>
        <w:t>s</w:t>
      </w:r>
      <w:r>
        <w:rPr>
          <w:rFonts w:asciiTheme="majorBidi" w:hAnsiTheme="majorBidi" w:cstheme="majorBidi"/>
          <w:sz w:val="24"/>
          <w:szCs w:val="24"/>
        </w:rPr>
        <w:t xml:space="preserve"> including asset transformation activities, administration of payments systems, brokerage services, and risk transformation services (McMillen, 2012).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There are three Islamic banking models. The two-tier </w:t>
      </w:r>
      <w:r w:rsidRPr="00A2540A">
        <w:rPr>
          <w:rFonts w:asciiTheme="majorBidi" w:hAnsiTheme="majorBidi" w:cstheme="majorBidi"/>
          <w:i/>
          <w:iCs/>
          <w:sz w:val="24"/>
          <w:szCs w:val="24"/>
        </w:rPr>
        <w:t>mudaraba</w:t>
      </w:r>
      <w:r>
        <w:rPr>
          <w:rFonts w:asciiTheme="majorBidi" w:hAnsiTheme="majorBidi" w:cstheme="majorBidi"/>
          <w:sz w:val="24"/>
          <w:szCs w:val="24"/>
        </w:rPr>
        <w:t xml:space="preserve"> is an agreement between two sides where one side provides the money and the other side will use that money to create an investment or money-making opportunity. This agreement is managed by the bank that acts as an intermediary between the two, and all three sides will benefit from the proceeds while the depositor handle</w:t>
      </w:r>
      <w:r w:rsidR="003C7A0B">
        <w:rPr>
          <w:rFonts w:asciiTheme="majorBidi" w:hAnsiTheme="majorBidi" w:cstheme="majorBidi"/>
          <w:sz w:val="24"/>
          <w:szCs w:val="24"/>
        </w:rPr>
        <w:t>s</w:t>
      </w:r>
      <w:r>
        <w:rPr>
          <w:rFonts w:asciiTheme="majorBidi" w:hAnsiTheme="majorBidi" w:cstheme="majorBidi"/>
          <w:sz w:val="24"/>
          <w:szCs w:val="24"/>
        </w:rPr>
        <w:t xml:space="preserve"> the losses. The two-window model divides the bank into a demand deposit window and an investment balance window. The bank only makes safe-keeping fees from the first window, but it can make more profit from investments made. The third model is the </w:t>
      </w:r>
      <w:r w:rsidRPr="00A2540A">
        <w:rPr>
          <w:rFonts w:asciiTheme="majorBidi" w:hAnsiTheme="majorBidi" w:cstheme="majorBidi"/>
          <w:i/>
          <w:iCs/>
          <w:sz w:val="24"/>
          <w:szCs w:val="24"/>
        </w:rPr>
        <w:t>wakala</w:t>
      </w:r>
      <w:r>
        <w:rPr>
          <w:rFonts w:asciiTheme="majorBidi" w:hAnsiTheme="majorBidi" w:cstheme="majorBidi"/>
          <w:sz w:val="24"/>
          <w:szCs w:val="24"/>
        </w:rPr>
        <w:t xml:space="preserve"> or agency model where the bank acts as an agent for both depositors and investors for a fixed fee. In this case, the depositor also handles any losses. </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2.2.3 Theories in Customer Satisfaction </w:t>
      </w:r>
    </w:p>
    <w:p w:rsidR="00493E4F" w:rsidRDefault="00493E4F" w:rsidP="003C7A0B">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Customer satisfaction is an important aspect of this paper, and it is essential to understand the theoretical background of customer satisfaction. It will aid in asserting the main criteria that need to be focused on to regain customer trust </w:t>
      </w:r>
      <w:r w:rsidR="003C7A0B">
        <w:rPr>
          <w:rFonts w:asciiTheme="majorBidi" w:hAnsiTheme="majorBidi" w:cstheme="majorBidi"/>
          <w:sz w:val="24"/>
          <w:szCs w:val="24"/>
        </w:rPr>
        <w:t>in</w:t>
      </w:r>
      <w:r>
        <w:rPr>
          <w:rFonts w:asciiTheme="majorBidi" w:hAnsiTheme="majorBidi" w:cstheme="majorBidi"/>
          <w:sz w:val="24"/>
          <w:szCs w:val="24"/>
        </w:rPr>
        <w:t xml:space="preserve"> Lebanese banks. Retaining satisfaction remains one </w:t>
      </w:r>
      <w:r>
        <w:rPr>
          <w:rFonts w:asciiTheme="majorBidi" w:hAnsiTheme="majorBidi" w:cstheme="majorBidi"/>
          <w:sz w:val="24"/>
          <w:szCs w:val="24"/>
        </w:rPr>
        <w:lastRenderedPageBreak/>
        <w:t>of the most challenging aspects of sustaining a business because the</w:t>
      </w:r>
      <w:r w:rsidR="003C7A0B">
        <w:rPr>
          <w:rFonts w:asciiTheme="majorBidi" w:hAnsiTheme="majorBidi" w:cstheme="majorBidi"/>
          <w:sz w:val="24"/>
          <w:szCs w:val="24"/>
        </w:rPr>
        <w:t xml:space="preserve"> market and customer needs keep</w:t>
      </w:r>
      <w:r>
        <w:rPr>
          <w:rFonts w:asciiTheme="majorBidi" w:hAnsiTheme="majorBidi" w:cstheme="majorBidi"/>
          <w:sz w:val="24"/>
          <w:szCs w:val="24"/>
        </w:rPr>
        <w:t xml:space="preserve"> shifting which can make it difficult for companies to keep track (Mill, 2011).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Despite all the different theories that will be discussed, the essence of satisfaction lies in the duality of confirmation/disconfirmation between what was perceived or promised before purchase and the quality of the experience that was had after purchase that will be highly influenced by what they envisioned their experience to be (Oliver, 1980). The majority of the following theories will agree that if the performance is only slightly lower, </w:t>
      </w:r>
      <w:r w:rsidR="00FD5AA2">
        <w:rPr>
          <w:rFonts w:asciiTheme="majorBidi" w:hAnsiTheme="majorBidi" w:cstheme="majorBidi"/>
          <w:sz w:val="24"/>
          <w:szCs w:val="24"/>
        </w:rPr>
        <w:t xml:space="preserve">an </w:t>
      </w:r>
      <w:r>
        <w:rPr>
          <w:rFonts w:asciiTheme="majorBidi" w:hAnsiTheme="majorBidi" w:cstheme="majorBidi"/>
          <w:sz w:val="24"/>
          <w:szCs w:val="24"/>
        </w:rPr>
        <w:t xml:space="preserve">adjustment will be done to equalize perceived and expected performances. However, if the perceived performance is significantly lower than expected then </w:t>
      </w:r>
      <w:r w:rsidR="00FD5AA2">
        <w:rPr>
          <w:rFonts w:asciiTheme="majorBidi" w:hAnsiTheme="majorBidi" w:cstheme="majorBidi"/>
          <w:sz w:val="24"/>
          <w:szCs w:val="24"/>
        </w:rPr>
        <w:t xml:space="preserve">an </w:t>
      </w:r>
      <w:r>
        <w:rPr>
          <w:rFonts w:asciiTheme="majorBidi" w:hAnsiTheme="majorBidi" w:cstheme="majorBidi"/>
          <w:sz w:val="24"/>
          <w:szCs w:val="24"/>
        </w:rPr>
        <w:t xml:space="preserve">adjustment will occur to magnify all the negativity and dissatisfaction towards the product or service.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It is vital not to confuse customer satisfaction with </w:t>
      </w:r>
      <w:r w:rsidR="00FD5AA2">
        <w:rPr>
          <w:rFonts w:asciiTheme="majorBidi" w:hAnsiTheme="majorBidi" w:cstheme="majorBidi"/>
          <w:sz w:val="24"/>
          <w:szCs w:val="24"/>
        </w:rPr>
        <w:t xml:space="preserve">the </w:t>
      </w:r>
      <w:r>
        <w:rPr>
          <w:rFonts w:asciiTheme="majorBidi" w:hAnsiTheme="majorBidi" w:cstheme="majorBidi"/>
          <w:sz w:val="24"/>
          <w:szCs w:val="24"/>
        </w:rPr>
        <w:t>quality product even though the two have been proved to be highly correlated in most of the literature. Customer satisfaction is not exclusively dependent on the quality of the product as there are other factors such as branding and loyalty that can come into play. This would divide satisfaction into two distinct categories. It can be subjective in the sense it depends on the customer</w:t>
      </w:r>
      <w:r w:rsidR="00FD5AA2">
        <w:rPr>
          <w:rFonts w:asciiTheme="majorBidi" w:hAnsiTheme="majorBidi" w:cstheme="majorBidi"/>
          <w:sz w:val="24"/>
          <w:szCs w:val="24"/>
        </w:rPr>
        <w:t>’s</w:t>
      </w:r>
      <w:r>
        <w:rPr>
          <w:rFonts w:asciiTheme="majorBidi" w:hAnsiTheme="majorBidi" w:cstheme="majorBidi"/>
          <w:sz w:val="24"/>
          <w:szCs w:val="24"/>
        </w:rPr>
        <w:t xml:space="preserve"> needs or expectations. The second is an objective aspect where the qualifications of the product or service are the main contributing factors. The measurement of the quality of the product is determined by the expectations of the clients. Even if the product does not outperform, it would not cause any dissatisfaction if it operates within the scope the customers expect it to do.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2.2.3.1 Satisfaction in Banks </w:t>
      </w:r>
    </w:p>
    <w:p w:rsidR="00493E4F" w:rsidRDefault="00493E4F" w:rsidP="00FD5AA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focus of this study is banks, so it is required to understand the particularities involved in this issue. The banking sector is a highly competitive medium, so banks rely on providing premium quality services to appeal to their clients and maintain their presence in the marketplace (Murugiah &amp; Akgam, 2015). Since there are no tangible physical products in the banking industry, customer loyalty is the backbone of success for banks that need to retain as </w:t>
      </w:r>
      <w:r w:rsidR="00FD5AA2">
        <w:rPr>
          <w:rFonts w:asciiTheme="majorBidi" w:hAnsiTheme="majorBidi" w:cstheme="majorBidi"/>
          <w:sz w:val="24"/>
          <w:szCs w:val="24"/>
        </w:rPr>
        <w:t>man</w:t>
      </w:r>
      <w:r>
        <w:rPr>
          <w:rFonts w:asciiTheme="majorBidi" w:hAnsiTheme="majorBidi" w:cstheme="majorBidi"/>
          <w:sz w:val="24"/>
          <w:szCs w:val="24"/>
        </w:rPr>
        <w:t xml:space="preserve"> clients as possible for increasing their revenues (Duncan &amp; Elliot, 2004). Furthermore, banks basically provide the same array of services, so they need to provide further incentives or upgrade their quality of delivery if they want to differentiate themselves from competitors (Ozatac et al., 2016).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Customer satisfaction in banking is similar to many other sectors (Bena, 2010; Chocholakova et al., 2016). Even in the modern age, customers still want to have access to personal and courteous interactions with staff. They also expect a prompt execution of all the services without having to wait for long lengths of time whether it is in person or online. This means that the staff needs to be well-trained and have high communication skills. They should be able to respond promptly and effectively to any complaints that they may receive to resolve any emergencies and/or issues. This also means that the banking services need to be accessible at reasonable hours for human contact as well as a powerful online presence for online banking services. And finally, the bank needs to offer competitive prices and financial incentives for clients to keep them loyal. Even though the last f</w:t>
      </w:r>
      <w:r w:rsidR="00FD5AA2">
        <w:rPr>
          <w:rFonts w:asciiTheme="majorBidi" w:hAnsiTheme="majorBidi" w:cstheme="majorBidi"/>
          <w:sz w:val="24"/>
          <w:szCs w:val="24"/>
        </w:rPr>
        <w:t>actor is not necessarily a deal-</w:t>
      </w:r>
      <w:r>
        <w:rPr>
          <w:rFonts w:asciiTheme="majorBidi" w:hAnsiTheme="majorBidi" w:cstheme="majorBidi"/>
          <w:sz w:val="24"/>
          <w:szCs w:val="24"/>
        </w:rPr>
        <w:t xml:space="preserve">breaker within reason when there is a strong sense of loyalty, it is also advisable to have as many attractive factors as possible. </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2.2.3.2 Theories in Customer Satisfaction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2.2.3.2.1 The Theory of Assimilation </w:t>
      </w:r>
    </w:p>
    <w:p w:rsidR="00493E4F" w:rsidRDefault="00493E4F" w:rsidP="00FD5AA2">
      <w:pPr>
        <w:spacing w:line="360" w:lineRule="auto"/>
        <w:jc w:val="both"/>
        <w:rPr>
          <w:rFonts w:asciiTheme="majorBidi" w:hAnsiTheme="majorBidi" w:cstheme="majorBidi"/>
          <w:sz w:val="24"/>
          <w:szCs w:val="24"/>
        </w:rPr>
      </w:pPr>
      <w:r>
        <w:rPr>
          <w:rFonts w:asciiTheme="majorBidi" w:hAnsiTheme="majorBidi" w:cstheme="majorBidi"/>
          <w:sz w:val="24"/>
          <w:szCs w:val="24"/>
        </w:rPr>
        <w:t>This theory is related to the post-purchase experience of any item or service. When a client buys a certain item or acquires</w:t>
      </w:r>
      <w:r w:rsidR="00FD5AA2">
        <w:rPr>
          <w:rFonts w:asciiTheme="majorBidi" w:hAnsiTheme="majorBidi" w:cstheme="majorBidi"/>
          <w:sz w:val="24"/>
          <w:szCs w:val="24"/>
        </w:rPr>
        <w:t xml:space="preserve"> a</w:t>
      </w:r>
      <w:r>
        <w:rPr>
          <w:rFonts w:asciiTheme="majorBidi" w:hAnsiTheme="majorBidi" w:cstheme="majorBidi"/>
          <w:sz w:val="24"/>
          <w:szCs w:val="24"/>
        </w:rPr>
        <w:t xml:space="preserve"> service, this action happens with a number of expectations about the performance. When these expectations are not fulfilled, there will be a sense of dissonance as portrayed by Festinger’s (11957) theory of dissonance which forms the basis of the theory of assimilation. To avoid the discomfort and disappoint</w:t>
      </w:r>
      <w:r w:rsidR="00FD5AA2">
        <w:rPr>
          <w:rFonts w:asciiTheme="majorBidi" w:hAnsiTheme="majorBidi" w:cstheme="majorBidi"/>
          <w:sz w:val="24"/>
          <w:szCs w:val="24"/>
        </w:rPr>
        <w:t>ment</w:t>
      </w:r>
      <w:r>
        <w:rPr>
          <w:rFonts w:asciiTheme="majorBidi" w:hAnsiTheme="majorBidi" w:cstheme="majorBidi"/>
          <w:sz w:val="24"/>
          <w:szCs w:val="24"/>
        </w:rPr>
        <w:t xml:space="preserve"> that a customer might feel because of this disparity, they are willing to adjust. This adjustment can happen by either lowering their expectations of the delivery of the product or service, or they try to minimize the discomfort they feel as a result of the product or service delivery (Isac &amp; Rusu, 2014). In the case of our study, clients would have to become more realistic about the unforeseen circumstances that have recently occurred, so these banks will need some time to adjust and provide better services. So it would be more constructive if clients tried to lower their standards for a length of time. </w:t>
      </w:r>
    </w:p>
    <w:p w:rsidR="00493E4F" w:rsidRDefault="00493E4F" w:rsidP="00493E4F">
      <w:pPr>
        <w:spacing w:line="360" w:lineRule="auto"/>
        <w:jc w:val="both"/>
        <w:rPr>
          <w:rFonts w:asciiTheme="majorBidi" w:hAnsiTheme="majorBidi" w:cstheme="majorBidi"/>
          <w:sz w:val="24"/>
          <w:szCs w:val="24"/>
        </w:rPr>
      </w:pPr>
    </w:p>
    <w:p w:rsidR="00FD5AA2" w:rsidRDefault="00FD5AA2" w:rsidP="00493E4F">
      <w:pPr>
        <w:spacing w:line="360" w:lineRule="auto"/>
        <w:jc w:val="both"/>
        <w:rPr>
          <w:rFonts w:asciiTheme="majorBidi" w:hAnsiTheme="majorBidi" w:cstheme="majorBidi"/>
          <w:sz w:val="24"/>
          <w:szCs w:val="24"/>
        </w:rPr>
      </w:pPr>
    </w:p>
    <w:p w:rsidR="00FD5AA2" w:rsidRDefault="00FD5AA2"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2.2.3.2.2 The Theory of Contrast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This theory also focused on post-purchase evaluation, but it is explained as “</w:t>
      </w:r>
      <w:r w:rsidRPr="000148C4">
        <w:rPr>
          <w:rFonts w:asciiTheme="majorBidi" w:hAnsiTheme="majorBidi" w:cstheme="majorBidi"/>
          <w:sz w:val="24"/>
          <w:szCs w:val="24"/>
        </w:rPr>
        <w:t>post-usage evaluations lead to results in opposite predictions for the effects of expectations on satisfaction</w:t>
      </w:r>
      <w:r>
        <w:rPr>
          <w:rFonts w:asciiTheme="majorBidi" w:hAnsiTheme="majorBidi" w:cstheme="majorBidi"/>
          <w:sz w:val="24"/>
          <w:szCs w:val="24"/>
        </w:rPr>
        <w:t>” (Cardozo, 1965). This theory talks about another mode of adjustment that clients would use to minimize the discrepancy they experience between the statements of the advertisement and their perception. They would try to normalize their disappointment by reasoning that they had some unrealistic expectation</w:t>
      </w:r>
      <w:r w:rsidR="00DE7861">
        <w:rPr>
          <w:rFonts w:asciiTheme="majorBidi" w:hAnsiTheme="majorBidi" w:cstheme="majorBidi"/>
          <w:sz w:val="24"/>
          <w:szCs w:val="24"/>
        </w:rPr>
        <w:t>s</w:t>
      </w:r>
      <w:r>
        <w:rPr>
          <w:rFonts w:asciiTheme="majorBidi" w:hAnsiTheme="majorBidi" w:cstheme="majorBidi"/>
          <w:sz w:val="24"/>
          <w:szCs w:val="24"/>
        </w:rPr>
        <w:t xml:space="preserve"> that were not originally promised by the product or service. The theory talks about two possible scenarios (Vavra, 1997). If the firm exaggerates the satisfaction that can be obtained from their products, then the customers will be underwhelmed and feel disappointed. On the other hand, if the firm downplays the satisfaction that can be made from using their products or services, the clients will be more likely to feel a high level of satisfaction. This will require Lebanese banks to be truthful about their capabilities to deal with the situation. They need to tell the public that they cannot successively deal with the challenges that are facing so that the public can become more understanding and sympathetic with the banks which would add to the level of satisfaction of said clients. </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2.2.3.2.3 The Theory of Assimilation-Contrast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This theory merged the first two theories into an amalgamation that stated</w:t>
      </w:r>
      <w:r w:rsidR="00DE7861">
        <w:rPr>
          <w:rFonts w:asciiTheme="majorBidi" w:hAnsiTheme="majorBidi" w:cstheme="majorBidi"/>
          <w:sz w:val="24"/>
          <w:szCs w:val="24"/>
        </w:rPr>
        <w:t>:</w:t>
      </w:r>
      <w:r>
        <w:rPr>
          <w:rFonts w:asciiTheme="majorBidi" w:hAnsiTheme="majorBidi" w:cstheme="majorBidi"/>
          <w:sz w:val="24"/>
          <w:szCs w:val="24"/>
        </w:rPr>
        <w:t xml:space="preserve"> “</w:t>
      </w:r>
      <w:r w:rsidRPr="00F93A83">
        <w:rPr>
          <w:rFonts w:asciiTheme="majorBidi" w:hAnsiTheme="majorBidi" w:cstheme="majorBidi"/>
          <w:sz w:val="24"/>
          <w:szCs w:val="24"/>
        </w:rPr>
        <w:t>satisfaction is a function of the magnitude of the discrepancy between expected and perceived performance</w:t>
      </w:r>
      <w:r>
        <w:rPr>
          <w:rFonts w:asciiTheme="majorBidi" w:hAnsiTheme="majorBidi" w:cstheme="majorBidi"/>
          <w:sz w:val="24"/>
          <w:szCs w:val="24"/>
        </w:rPr>
        <w:t>” (Isac &amp; Rusu, 2014)</w:t>
      </w:r>
      <w:r w:rsidRPr="00F93A83">
        <w:rPr>
          <w:rFonts w:asciiTheme="majorBidi" w:hAnsiTheme="majorBidi" w:cstheme="majorBidi"/>
          <w:sz w:val="24"/>
          <w:szCs w:val="24"/>
        </w:rPr>
        <w:t>.</w:t>
      </w:r>
      <w:r>
        <w:rPr>
          <w:rFonts w:asciiTheme="majorBidi" w:hAnsiTheme="majorBidi" w:cstheme="majorBidi"/>
          <w:sz w:val="24"/>
          <w:szCs w:val="24"/>
        </w:rPr>
        <w:t xml:space="preserve"> This is translated by the idea that acceptance and rejection of the produc</w:t>
      </w:r>
      <w:r w:rsidR="00DE7861">
        <w:rPr>
          <w:rFonts w:asciiTheme="majorBidi" w:hAnsiTheme="majorBidi" w:cstheme="majorBidi"/>
          <w:sz w:val="24"/>
          <w:szCs w:val="24"/>
        </w:rPr>
        <w:t>t or service more or less hinge</w:t>
      </w:r>
      <w:r>
        <w:rPr>
          <w:rFonts w:asciiTheme="majorBidi" w:hAnsiTheme="majorBidi" w:cstheme="majorBidi"/>
          <w:sz w:val="24"/>
          <w:szCs w:val="24"/>
        </w:rPr>
        <w:t xml:space="preserve"> on how clients can use the adjustment of the assimilation theory provided that the discrepancy described in the contrast theory is small or minimal. In other words, if the product is only slightly underperforming, clients would be willing to adjust and accept the product with an adequate amount of satisfaction. This provides a good fit for the study because if the banks were forthright about their underperformance, clients would be more capable of adjusting their expectations to attain more satisfaction. </w:t>
      </w:r>
    </w:p>
    <w:p w:rsidR="00493E4F" w:rsidRDefault="00493E4F" w:rsidP="00493E4F">
      <w:pPr>
        <w:spacing w:line="360" w:lineRule="auto"/>
        <w:jc w:val="both"/>
        <w:rPr>
          <w:rFonts w:asciiTheme="majorBidi" w:hAnsiTheme="majorBidi" w:cstheme="majorBidi"/>
          <w:sz w:val="24"/>
          <w:szCs w:val="24"/>
        </w:rPr>
      </w:pPr>
    </w:p>
    <w:p w:rsidR="00DE7861" w:rsidRDefault="00DE7861"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2.2.3.2.4 The Theory of Negativity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This theory talks about the negative feelings that the client will feel when the product or service deviates from the perceived level of performance that was expected based on the advertisement or information provided before the purchase. It suggests that it does not matter if the product underperforms or performs beyond expectation because the client will feel a “negative energy” from these unexpected results (Peyton et al., 2003). This is something that Lebanese banks should consider because clients have been disappointed with the performance and developed a level of antagonism towards the banks. </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2.2.3.2.5 The Theory of Hypothesis Testing </w:t>
      </w:r>
    </w:p>
    <w:p w:rsidR="00493E4F" w:rsidRDefault="00493E4F" w:rsidP="00DE7861">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This theory divides the process of obtaining satisfaction into two parts. The first </w:t>
      </w:r>
      <w:r w:rsidR="00DE7861">
        <w:rPr>
          <w:rFonts w:asciiTheme="majorBidi" w:hAnsiTheme="majorBidi" w:cstheme="majorBidi"/>
          <w:sz w:val="24"/>
          <w:szCs w:val="24"/>
        </w:rPr>
        <w:t>is</w:t>
      </w:r>
      <w:r>
        <w:rPr>
          <w:rFonts w:asciiTheme="majorBidi" w:hAnsiTheme="majorBidi" w:cstheme="majorBidi"/>
          <w:sz w:val="24"/>
          <w:szCs w:val="24"/>
        </w:rPr>
        <w:t xml:space="preserve"> the advertisements that will play an essential role in creating the perceived satisfaction that the product is expected to generate. The second part happens after purchase when customers will evaluate their experience based on the information they have received. The clients will be more</w:t>
      </w:r>
      <w:r w:rsidR="00DE7861">
        <w:rPr>
          <w:rFonts w:asciiTheme="majorBidi" w:hAnsiTheme="majorBidi" w:cstheme="majorBidi"/>
          <w:sz w:val="24"/>
          <w:szCs w:val="24"/>
        </w:rPr>
        <w:t xml:space="preserve"> likely to try to adjust to having</w:t>
      </w:r>
      <w:r>
        <w:rPr>
          <w:rFonts w:asciiTheme="majorBidi" w:hAnsiTheme="majorBidi" w:cstheme="majorBidi"/>
          <w:sz w:val="24"/>
          <w:szCs w:val="24"/>
        </w:rPr>
        <w:t xml:space="preserve"> a favorable impression rather than a negative one (Vavra, 1997). So if Lebanese banks are more realistic about the quality of services they can provide during these times, they might be able to have more satisfied and understanding clients. </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2.2.3.2.6 The Cognitive Dissonance Theory</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This theory is caused by clients experiencing an uncomfortable feeling when they experience two contradictory ideas at the same time. They will try to resolve these feelings by changing their attitudes and behaviors in a rational way that fits reality (Festinger, 1957).  This theory is especially true when customers experience buyer’s regret when the purchase made causes uncomfortable feelings that lead to dissatisfaction. While this theory is interesting, it might not be applicable in this case because of the anger and resentment that the Lebanese public currently has for banks. </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2.2.3.2.7 The Equity Theory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This theory suggests that the satisfaction an “investor” should feel should be equal to or greater than what he/she has invested in the product or service (Athiyaman, 2004). It states that a client will feel dissatisfied if the experience he/she feels does not rise to the amount of emotional and financial investment that was put in. The theory addresses the imbalance between what the client feels regarding the experience he/she went through and what they had expected before making the purchase. While this theory is interesting, it might not hold much merit in reality because it involves physical purchases while this study is concerned with a service. </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It is difficult to definitively choose one theory in the case of Lebanese banks because of the contrast of the past and present states of the market. Lebanese banks used to have high approval among the consumers, so it can be logical to gravitate towards a theory that wants to reach a positive compromise between expectations and reality. However, the extreme deterioration of the relationship between the Lebanese public and the Lebanese banking sector has created much controversy that will more likely make the clients have a natural inclination for distrust and negativity. Based on these assumptions, the theories that best fit this study would be the Negative Theory, Hypothesis Testing Theory, and Assimilation-Contrast Theory. </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2.2.4 Models of Customer Satisfaction Measurements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final part of the literature review will go over the various models that have been used to measure customer satisfaction especially those that are involved with criteria that determine satisfaction in any service domain.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2.2.4.1 The SERVQUAL Model </w:t>
      </w:r>
    </w:p>
    <w:p w:rsidR="00493E4F" w:rsidRDefault="00493E4F" w:rsidP="00DE7861">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This model is heavily used in </w:t>
      </w:r>
      <w:r w:rsidR="00DE7861">
        <w:rPr>
          <w:rFonts w:asciiTheme="majorBidi" w:hAnsiTheme="majorBidi" w:cstheme="majorBidi"/>
          <w:sz w:val="24"/>
          <w:szCs w:val="24"/>
        </w:rPr>
        <w:t xml:space="preserve">the </w:t>
      </w:r>
      <w:r>
        <w:rPr>
          <w:rFonts w:asciiTheme="majorBidi" w:hAnsiTheme="majorBidi" w:cstheme="majorBidi"/>
          <w:sz w:val="24"/>
          <w:szCs w:val="24"/>
        </w:rPr>
        <w:t xml:space="preserve">hospitality and service industry. It is therefore a very well-matched model for this study because banks are considered a type of service industry. This model is made up of 22 items that will cover a number of factors that influence satisfaction (Parasuraman et al., 1988). This model was found to be most compatible with the </w:t>
      </w:r>
      <w:r>
        <w:rPr>
          <w:rFonts w:asciiTheme="majorBidi" w:hAnsiTheme="majorBidi" w:cstheme="majorBidi"/>
          <w:sz w:val="24"/>
          <w:szCs w:val="24"/>
        </w:rPr>
        <w:lastRenderedPageBreak/>
        <w:t xml:space="preserve">disconfirmation theory by Oliver (1980) </w:t>
      </w:r>
      <w:r w:rsidR="00DE7861">
        <w:rPr>
          <w:rFonts w:asciiTheme="majorBidi" w:hAnsiTheme="majorBidi" w:cstheme="majorBidi"/>
          <w:sz w:val="24"/>
          <w:szCs w:val="24"/>
        </w:rPr>
        <w:t>which</w:t>
      </w:r>
      <w:r>
        <w:rPr>
          <w:rFonts w:asciiTheme="majorBidi" w:hAnsiTheme="majorBidi" w:cstheme="majorBidi"/>
          <w:sz w:val="24"/>
          <w:szCs w:val="24"/>
        </w:rPr>
        <w:t xml:space="preserve"> talks about the differences between the expected and perceived experiences. The simplicity of the model is summarized by the rationalization that giving customers what they want will increase their satisfaction. What customers want can be more easily accessible if the provider asked the clients about their needs and preferences. This model has five main dimensions that determine its validity:</w:t>
      </w:r>
    </w:p>
    <w:p w:rsidR="00493E4F" w:rsidRDefault="00493E4F" w:rsidP="00493E4F">
      <w:pPr>
        <w:pStyle w:val="Listenabsatz"/>
        <w:numPr>
          <w:ilvl w:val="0"/>
          <w:numId w:val="2"/>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Tangibility: This refers to the physical aspect of satisfaction or the components of the service or product that the clients can physically interact with. </w:t>
      </w:r>
    </w:p>
    <w:p w:rsidR="00493E4F" w:rsidRDefault="00493E4F" w:rsidP="00493E4F">
      <w:pPr>
        <w:pStyle w:val="Listenabsatz"/>
        <w:numPr>
          <w:ilvl w:val="0"/>
          <w:numId w:val="2"/>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Reliability: This refers to the provider’s ability to always deliver a consistent and stable level of service. </w:t>
      </w:r>
    </w:p>
    <w:p w:rsidR="00493E4F" w:rsidRDefault="00493E4F" w:rsidP="00493E4F">
      <w:pPr>
        <w:pStyle w:val="Listenabsatz"/>
        <w:numPr>
          <w:ilvl w:val="0"/>
          <w:numId w:val="2"/>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Responsiveness: </w:t>
      </w:r>
      <w:r w:rsidRPr="00AC2340">
        <w:rPr>
          <w:rFonts w:asciiTheme="majorBidi" w:hAnsiTheme="majorBidi" w:cstheme="majorBidi"/>
          <w:sz w:val="24"/>
          <w:szCs w:val="24"/>
        </w:rPr>
        <w:t>It refers to the responsiveness of the provider to any emergencies, complaints, or updates that require attention.</w:t>
      </w:r>
      <w:r>
        <w:rPr>
          <w:rFonts w:asciiTheme="majorBidi" w:hAnsiTheme="majorBidi" w:cstheme="majorBidi"/>
          <w:sz w:val="24"/>
          <w:szCs w:val="24"/>
        </w:rPr>
        <w:t xml:space="preserve"> This dimension is highly affected by the employees and their willingness to provide prompt, effective, and courteous service. </w:t>
      </w:r>
    </w:p>
    <w:p w:rsidR="00493E4F" w:rsidRDefault="00493E4F" w:rsidP="00493E4F">
      <w:pPr>
        <w:pStyle w:val="Listenabsatz"/>
        <w:numPr>
          <w:ilvl w:val="0"/>
          <w:numId w:val="2"/>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Assurance: This is a fluid dimension that encompasses all the factors that will help clients feel more secure in the quality of what is being provided and that the company is willing to interact and listen. </w:t>
      </w:r>
    </w:p>
    <w:p w:rsidR="00493E4F" w:rsidRDefault="00493E4F" w:rsidP="00493E4F">
      <w:pPr>
        <w:pStyle w:val="Listenabsatz"/>
        <w:numPr>
          <w:ilvl w:val="0"/>
          <w:numId w:val="2"/>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Empathy: This last dimension is subjective. It refers to how the emotional relationship between client and provider will occur such that they are both satisfied.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2.2.4.2 The Kano Model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This model was developed by Kano et al. (1996) to measure customer satisfaction. It is based on three distinct sets of attributes: basic or expected attributes, performance or spoken attributes, and surprise and delight attributes. The correlation between all three is illustrated in Fig. 2 below. </w:t>
      </w:r>
    </w:p>
    <w:p w:rsidR="00493E4F" w:rsidRDefault="00493E4F" w:rsidP="00493E4F">
      <w:pPr>
        <w:spacing w:line="360" w:lineRule="auto"/>
        <w:jc w:val="center"/>
        <w:rPr>
          <w:rFonts w:asciiTheme="majorBidi" w:hAnsiTheme="majorBidi" w:cstheme="majorBidi"/>
          <w:sz w:val="24"/>
          <w:szCs w:val="24"/>
        </w:rPr>
      </w:pPr>
      <w:r>
        <w:rPr>
          <w:noProof/>
          <w:lang w:val="de-DE" w:eastAsia="de-DE"/>
        </w:rPr>
        <w:lastRenderedPageBreak/>
        <w:drawing>
          <wp:inline distT="0" distB="0" distL="0" distR="0" wp14:anchorId="5DDE57C7" wp14:editId="35DA5931">
            <wp:extent cx="5724525" cy="23145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24525" cy="2314575"/>
                    </a:xfrm>
                    <a:prstGeom prst="rect">
                      <a:avLst/>
                    </a:prstGeom>
                  </pic:spPr>
                </pic:pic>
              </a:graphicData>
            </a:graphic>
          </wp:inline>
        </w:drawing>
      </w:r>
    </w:p>
    <w:p w:rsidR="00493E4F" w:rsidRDefault="00493E4F" w:rsidP="00493E4F">
      <w:pPr>
        <w:spacing w:line="360" w:lineRule="auto"/>
        <w:jc w:val="center"/>
        <w:rPr>
          <w:rFonts w:asciiTheme="majorBidi" w:hAnsiTheme="majorBidi" w:cstheme="majorBidi"/>
          <w:sz w:val="20"/>
          <w:szCs w:val="20"/>
        </w:rPr>
      </w:pPr>
      <w:r>
        <w:rPr>
          <w:rFonts w:asciiTheme="majorBidi" w:hAnsiTheme="majorBidi" w:cstheme="majorBidi"/>
          <w:sz w:val="20"/>
          <w:szCs w:val="20"/>
        </w:rPr>
        <w:t>Fig. 3 The Kano Model as extracted from Kano et al. (1996)</w:t>
      </w:r>
    </w:p>
    <w:p w:rsidR="00493E4F" w:rsidRDefault="00493E4F" w:rsidP="00493E4F">
      <w:pPr>
        <w:spacing w:line="360" w:lineRule="auto"/>
        <w:rPr>
          <w:rFonts w:asciiTheme="majorBidi" w:hAnsiTheme="majorBidi" w:cstheme="majorBidi"/>
          <w:sz w:val="24"/>
          <w:szCs w:val="24"/>
        </w:rPr>
      </w:pPr>
    </w:p>
    <w:p w:rsidR="00493E4F" w:rsidRDefault="00493E4F" w:rsidP="00DE7861">
      <w:pPr>
        <w:spacing w:line="360" w:lineRule="auto"/>
        <w:jc w:val="both"/>
        <w:rPr>
          <w:rFonts w:asciiTheme="majorBidi" w:hAnsiTheme="majorBidi" w:cstheme="majorBidi"/>
          <w:sz w:val="24"/>
          <w:szCs w:val="24"/>
        </w:rPr>
      </w:pPr>
      <w:r>
        <w:rPr>
          <w:rFonts w:asciiTheme="majorBidi" w:hAnsiTheme="majorBidi" w:cstheme="majorBidi"/>
          <w:sz w:val="24"/>
          <w:szCs w:val="24"/>
        </w:rPr>
        <w:t>The figure illustrates spoken attributes which are what has been advertised about the product o</w:t>
      </w:r>
      <w:r w:rsidR="00DE7861">
        <w:rPr>
          <w:rFonts w:asciiTheme="majorBidi" w:hAnsiTheme="majorBidi" w:cstheme="majorBidi"/>
          <w:sz w:val="24"/>
          <w:szCs w:val="24"/>
        </w:rPr>
        <w:t>r</w:t>
      </w:r>
      <w:r>
        <w:rPr>
          <w:rFonts w:asciiTheme="majorBidi" w:hAnsiTheme="majorBidi" w:cstheme="majorBidi"/>
          <w:sz w:val="24"/>
          <w:szCs w:val="24"/>
        </w:rPr>
        <w:t xml:space="preserve"> service, and they reflect the customer expectations. The basic attributes are the common features that are so ubiquitous that they are not worth advertising because they are expected. The other unspoken attributes are the surprise ones that reflect a level of quality that went beyond the expectations of the clients. Fulfilling the spoken attribute will enhance the degree of achievement and increase satisfaction. The basic attributes contribute to the degree of achievement, but they do not add much to the satisfaction because they are considered basic. The surprise attributes will bolster the degree of achievement to a certain degree, but it has more influence on the level of satisfaction. </w:t>
      </w:r>
    </w:p>
    <w:p w:rsidR="00493E4F" w:rsidRDefault="00493E4F" w:rsidP="00493E4F">
      <w:pPr>
        <w:spacing w:line="360" w:lineRule="auto"/>
        <w:rPr>
          <w:rFonts w:asciiTheme="majorBidi" w:hAnsiTheme="majorBidi" w:cstheme="majorBidi"/>
          <w:sz w:val="24"/>
          <w:szCs w:val="24"/>
        </w:rPr>
      </w:pPr>
      <w:r>
        <w:rPr>
          <w:rFonts w:asciiTheme="majorBidi" w:hAnsiTheme="majorBidi" w:cstheme="majorBidi"/>
          <w:sz w:val="24"/>
          <w:szCs w:val="24"/>
        </w:rPr>
        <w:t xml:space="preserve">2.2.4.3 The ACSI Model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The final model is the American Customer Satisfaction Index (ACSI) which was developed practically through extensive interviews with customers about various products and services in the United States of America. It is a cause-effect model with two sides. The causes of satisfaction are on one hand and include, among others, customer expectation, perceived quality, and the value of purchase. This will lead to satisfaction which will result in effects such as affecting customer loyalty, tolerance, emotional investment, and many more.</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According to Vavra (1997), there are three dimensions to consider in the ACSI model:</w:t>
      </w:r>
    </w:p>
    <w:p w:rsidR="00493E4F" w:rsidRDefault="00493E4F" w:rsidP="00493E4F">
      <w:pPr>
        <w:pStyle w:val="Listenabsatz"/>
        <w:numPr>
          <w:ilvl w:val="0"/>
          <w:numId w:val="3"/>
        </w:num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Measurement: The process takes the subjective input given through interviews with customers and quantifies them into discernable figures that can be analyzed. </w:t>
      </w:r>
    </w:p>
    <w:p w:rsidR="00493E4F" w:rsidRDefault="00493E4F" w:rsidP="00493E4F">
      <w:pPr>
        <w:pStyle w:val="Listenabsatz"/>
        <w:numPr>
          <w:ilvl w:val="0"/>
          <w:numId w:val="3"/>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Contribution: It relates to the necessity of designing new frameworks for correlating the quality of services and products provided with the economic indicators to sustain a healthy market. </w:t>
      </w:r>
    </w:p>
    <w:p w:rsidR="00493E4F" w:rsidRDefault="00493E4F" w:rsidP="00493E4F">
      <w:pPr>
        <w:pStyle w:val="Listenabsatz"/>
        <w:numPr>
          <w:ilvl w:val="0"/>
          <w:numId w:val="3"/>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Forecasting: This final measurement will allow providers and customers to predict possible shifts in the market thus enabling them to provide the best quality on one hand and obtaining a realistic level of expectations on another hand.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All three approaches have their pros and cons. The </w:t>
      </w:r>
      <w:r w:rsidRPr="00B22D07">
        <w:rPr>
          <w:rFonts w:asciiTheme="majorBidi" w:hAnsiTheme="majorBidi" w:cstheme="majorBidi"/>
          <w:sz w:val="24"/>
          <w:szCs w:val="24"/>
        </w:rPr>
        <w:t>S</w:t>
      </w:r>
      <w:r w:rsidR="00DE7861">
        <w:rPr>
          <w:rFonts w:asciiTheme="majorBidi" w:hAnsiTheme="majorBidi" w:cstheme="majorBidi"/>
          <w:sz w:val="24"/>
          <w:szCs w:val="24"/>
        </w:rPr>
        <w:t>ERVQUAL m</w:t>
      </w:r>
      <w:r w:rsidRPr="00B22D07">
        <w:rPr>
          <w:rFonts w:asciiTheme="majorBidi" w:hAnsiTheme="majorBidi" w:cstheme="majorBidi"/>
          <w:sz w:val="24"/>
          <w:szCs w:val="24"/>
        </w:rPr>
        <w:t>odel</w:t>
      </w:r>
      <w:r>
        <w:rPr>
          <w:rFonts w:asciiTheme="majorBidi" w:hAnsiTheme="majorBidi" w:cstheme="majorBidi"/>
          <w:sz w:val="24"/>
          <w:szCs w:val="24"/>
        </w:rPr>
        <w:t xml:space="preserve"> was chosen as the most compatible methodology for two main reasons. The first reason is that this model has been specifically designed to measure </w:t>
      </w:r>
      <w:r w:rsidR="00DE7861">
        <w:rPr>
          <w:rFonts w:asciiTheme="majorBidi" w:hAnsiTheme="majorBidi" w:cstheme="majorBidi"/>
          <w:sz w:val="24"/>
          <w:szCs w:val="24"/>
        </w:rPr>
        <w:t xml:space="preserve">the </w:t>
      </w:r>
      <w:r>
        <w:rPr>
          <w:rFonts w:asciiTheme="majorBidi" w:hAnsiTheme="majorBidi" w:cstheme="majorBidi"/>
          <w:sz w:val="24"/>
          <w:szCs w:val="24"/>
        </w:rPr>
        <w:t>satisfaction of customers in the service industry which is the focus of the study. Satisfaction with products has some similarities with that with services, but they are distinct in other aspects which makes it preferable to have a model that uniquely targets services. The second reason is that it concerns the contrast between expected and perceived services. The Lebanese banking sector has long proved to be resilient and flexible to the point that it has weathered some of the most intense financial crises with minimal damages such as the case of the financial crash of 2007-2008. The Lebanese public has come to expect this level of competence which was not the case in the crisis of 2019.</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Kano Model is a sound approach, but it does not cover the case of </w:t>
      </w:r>
      <w:r w:rsidR="00DE7861">
        <w:rPr>
          <w:rFonts w:asciiTheme="majorBidi" w:hAnsiTheme="majorBidi" w:cstheme="majorBidi"/>
          <w:sz w:val="24"/>
          <w:szCs w:val="24"/>
        </w:rPr>
        <w:t xml:space="preserve">an </w:t>
      </w:r>
      <w:r>
        <w:rPr>
          <w:rFonts w:asciiTheme="majorBidi" w:hAnsiTheme="majorBidi" w:cstheme="majorBidi"/>
          <w:sz w:val="24"/>
          <w:szCs w:val="24"/>
        </w:rPr>
        <w:t>unexpected and undesirable sequence of events. There is no indication that the model will account for the backlash that the Lebanese public is facing. The surprise element in the Kano Model is when a product exceeds expectations which is the opposite in this case. Furthermore, the model covers products and services which means it lacks the specificity o</w:t>
      </w:r>
      <w:r w:rsidR="00DE7861">
        <w:rPr>
          <w:rFonts w:asciiTheme="majorBidi" w:hAnsiTheme="majorBidi" w:cstheme="majorBidi"/>
          <w:sz w:val="24"/>
          <w:szCs w:val="24"/>
        </w:rPr>
        <w:t>f the SERVQUAL Model. The ACSI m</w:t>
      </w:r>
      <w:r>
        <w:rPr>
          <w:rFonts w:asciiTheme="majorBidi" w:hAnsiTheme="majorBidi" w:cstheme="majorBidi"/>
          <w:sz w:val="24"/>
          <w:szCs w:val="24"/>
        </w:rPr>
        <w:t xml:space="preserve">odel was also not chosen because it depends on the criteria of the American consumer which makes it difficult to make the projection that it would apply in Lebanon since the two countries are historically different. </w:t>
      </w:r>
    </w:p>
    <w:p w:rsidR="00493E4F" w:rsidRPr="00205A27" w:rsidRDefault="00493E4F" w:rsidP="00493E4F">
      <w:pPr>
        <w:spacing w:line="360" w:lineRule="auto"/>
        <w:jc w:val="both"/>
        <w:rPr>
          <w:rFonts w:asciiTheme="majorBidi" w:hAnsiTheme="majorBidi" w:cstheme="majorBidi"/>
          <w:sz w:val="24"/>
          <w:szCs w:val="24"/>
        </w:rPr>
      </w:pPr>
    </w:p>
    <w:p w:rsidR="001D67DD" w:rsidRDefault="001D67DD" w:rsidP="00BA77EA">
      <w:pPr>
        <w:spacing w:line="480" w:lineRule="auto"/>
        <w:rPr>
          <w:rFonts w:asciiTheme="majorBidi" w:hAnsiTheme="majorBidi" w:cstheme="majorBidi"/>
          <w:sz w:val="24"/>
          <w:szCs w:val="24"/>
        </w:rPr>
      </w:pPr>
    </w:p>
    <w:p w:rsidR="001D67DD" w:rsidRPr="001D67DD" w:rsidRDefault="001D67DD" w:rsidP="00BA77EA">
      <w:pPr>
        <w:spacing w:line="480" w:lineRule="auto"/>
        <w:rPr>
          <w:rFonts w:asciiTheme="majorBidi" w:hAnsiTheme="majorBidi" w:cstheme="majorBidi"/>
          <w:b/>
          <w:bCs/>
          <w:sz w:val="28"/>
          <w:szCs w:val="28"/>
        </w:rPr>
      </w:pPr>
      <w:r w:rsidRPr="001D67DD">
        <w:rPr>
          <w:rFonts w:asciiTheme="majorBidi" w:hAnsiTheme="majorBidi" w:cstheme="majorBidi"/>
          <w:b/>
          <w:bCs/>
          <w:sz w:val="28"/>
          <w:szCs w:val="28"/>
        </w:rPr>
        <w:lastRenderedPageBreak/>
        <w:t xml:space="preserve">Chapter 3: </w:t>
      </w:r>
      <w:r>
        <w:rPr>
          <w:rFonts w:asciiTheme="majorBidi" w:hAnsiTheme="majorBidi" w:cstheme="majorBidi"/>
          <w:b/>
          <w:bCs/>
          <w:sz w:val="28"/>
          <w:szCs w:val="28"/>
        </w:rPr>
        <w:t xml:space="preserve">Research </w:t>
      </w:r>
      <w:r w:rsidRPr="001D67DD">
        <w:rPr>
          <w:rFonts w:asciiTheme="majorBidi" w:hAnsiTheme="majorBidi" w:cstheme="majorBidi"/>
          <w:b/>
          <w:bCs/>
          <w:sz w:val="28"/>
          <w:szCs w:val="28"/>
        </w:rPr>
        <w:t xml:space="preserve">Methodology </w:t>
      </w:r>
    </w:p>
    <w:p w:rsidR="00493E4F" w:rsidRDefault="00493E4F" w:rsidP="00BA77EA">
      <w:pPr>
        <w:spacing w:line="480" w:lineRule="auto"/>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This section is going to cover the previous studies that have discussed the focus of this thesis locally and internationally. It will then provide hypotheses based on these findings. The methods of collecting data, sampling, and data analysis will also be discussed in the following section. </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3.1 Hypothesis Development </w:t>
      </w:r>
    </w:p>
    <w:p w:rsidR="00493E4F" w:rsidRDefault="00493E4F" w:rsidP="00DE7861">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Before exploring the previous studies, it is helpful to explain and define the main criteria that have affected customer satisfaction of e-banking. Bias is a natural inclination for consumers to positively rate or evaluate the products and services they use (Park et al., 2016). Customers are skewed to giving positive reviews and being bias because they correlate to the products and services they choose. In essence, giving bad reviews or having negative feelings about their options means that they made the wrong choices. This will cement a sense of loyalty for </w:t>
      </w:r>
      <w:r w:rsidR="00DE7861">
        <w:rPr>
          <w:rFonts w:asciiTheme="majorBidi" w:hAnsiTheme="majorBidi" w:cstheme="majorBidi"/>
          <w:sz w:val="24"/>
          <w:szCs w:val="24"/>
        </w:rPr>
        <w:t xml:space="preserve">the </w:t>
      </w:r>
      <w:r>
        <w:rPr>
          <w:rFonts w:asciiTheme="majorBidi" w:hAnsiTheme="majorBidi" w:cstheme="majorBidi"/>
          <w:sz w:val="24"/>
          <w:szCs w:val="24"/>
        </w:rPr>
        <w:t xml:space="preserve">brand or institute which would see them defending these outlets instead of attacking them unless there are extreme circumstances (Bjork, 2015).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Ethics is another essential aspect to consider especially with the moral de</w:t>
      </w:r>
      <w:r w:rsidR="00DE7861">
        <w:rPr>
          <w:rFonts w:asciiTheme="majorBidi" w:hAnsiTheme="majorBidi" w:cstheme="majorBidi"/>
          <w:sz w:val="24"/>
          <w:szCs w:val="24"/>
        </w:rPr>
        <w:t>gradation brought forth by down</w:t>
      </w:r>
      <w:r>
        <w:rPr>
          <w:rFonts w:asciiTheme="majorBidi" w:hAnsiTheme="majorBidi" w:cstheme="majorBidi"/>
          <w:sz w:val="24"/>
          <w:szCs w:val="24"/>
        </w:rPr>
        <w:t>regulation that is typical of the working environment (Tolba et al., 2015). The banking market is very fierce to the point that it might always be plausible for banks to compete based on price alone. It thus becomes the social responsibility of banks to uphold high ethical behavior (Belas, 2012). Ethical behavior in banking means that the staff behavior and company culture exists to guide and offer sincere consultation for clients. It is the case when the welfare of clients takes precedence over prof</w:t>
      </w:r>
      <w:r w:rsidR="00DE7861">
        <w:rPr>
          <w:rFonts w:asciiTheme="majorBidi" w:hAnsiTheme="majorBidi" w:cstheme="majorBidi"/>
          <w:sz w:val="24"/>
          <w:szCs w:val="24"/>
        </w:rPr>
        <w:t>it with the logic that the long-</w:t>
      </w:r>
      <w:r>
        <w:rPr>
          <w:rFonts w:asciiTheme="majorBidi" w:hAnsiTheme="majorBidi" w:cstheme="majorBidi"/>
          <w:sz w:val="24"/>
          <w:szCs w:val="24"/>
        </w:rPr>
        <w:t xml:space="preserve">term commitment to the bank will provide more profitability for the bank.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Reliability has been an important issue in the recent Lebanese crisis of 2019. Reliability in banking means that the clients have come to have certain expectations of the quality of services that they expect from their banks (Iberahim et al., 2016). They used to be able to have free access to all their money as well as ease of withdrawing and moving it around. When the banks limited </w:t>
      </w:r>
      <w:r>
        <w:rPr>
          <w:rFonts w:asciiTheme="majorBidi" w:hAnsiTheme="majorBidi" w:cstheme="majorBidi"/>
          <w:sz w:val="24"/>
          <w:szCs w:val="24"/>
        </w:rPr>
        <w:lastRenderedPageBreak/>
        <w:t>access to assets, there was a backlash of anger and distrust as the r</w:t>
      </w:r>
      <w:r w:rsidR="00DE7861">
        <w:rPr>
          <w:rFonts w:asciiTheme="majorBidi" w:hAnsiTheme="majorBidi" w:cstheme="majorBidi"/>
          <w:sz w:val="24"/>
          <w:szCs w:val="24"/>
        </w:rPr>
        <w:t xml:space="preserve">eliability of access they can </w:t>
      </w:r>
      <w:r>
        <w:rPr>
          <w:rFonts w:asciiTheme="majorBidi" w:hAnsiTheme="majorBidi" w:cstheme="majorBidi"/>
          <w:sz w:val="24"/>
          <w:szCs w:val="24"/>
        </w:rPr>
        <w:t xml:space="preserve"> depend on was revoked (Geldi, 2021). </w:t>
      </w:r>
    </w:p>
    <w:p w:rsidR="00493E4F" w:rsidRPr="008F7C20" w:rsidRDefault="00493E4F" w:rsidP="00493E4F">
      <w:pPr>
        <w:spacing w:line="360" w:lineRule="auto"/>
        <w:jc w:val="both"/>
        <w:rPr>
          <w:rFonts w:asciiTheme="majorBidi" w:hAnsiTheme="majorBidi" w:cstheme="majorBidi"/>
          <w:sz w:val="24"/>
          <w:szCs w:val="24"/>
        </w:rPr>
      </w:pPr>
      <w:r w:rsidRPr="008F7C20">
        <w:rPr>
          <w:rFonts w:asciiTheme="majorBidi" w:hAnsiTheme="majorBidi" w:cstheme="majorBidi"/>
          <w:sz w:val="24"/>
          <w:szCs w:val="24"/>
        </w:rPr>
        <w:t xml:space="preserve">There have been a number of studies that discussed e-banking in Lebanon and how accepted it has become over the years in Lebanese society. However, since the pandemic struck, a deep sense of mistrust has struck because of the extreme measures taken, so it becomes necessary to reexamine that trust. Only one study was found that had the same notion of examining customer satisfaction about e-banking, so to develop the hypotheses, studies that study acceptance and adaptation of e-banking were used. However, the scarcity of studies done on the topic in the Lebanese market is further validation of the need for this study. </w:t>
      </w:r>
    </w:p>
    <w:p w:rsidR="00493E4F" w:rsidRPr="008F7C20" w:rsidRDefault="00493E4F" w:rsidP="00493E4F">
      <w:pPr>
        <w:spacing w:line="360" w:lineRule="auto"/>
        <w:jc w:val="both"/>
        <w:rPr>
          <w:rFonts w:asciiTheme="majorBidi" w:hAnsiTheme="majorBidi" w:cstheme="majorBidi"/>
          <w:sz w:val="24"/>
          <w:szCs w:val="24"/>
        </w:rPr>
      </w:pPr>
      <w:r w:rsidRPr="008F7C20">
        <w:rPr>
          <w:rFonts w:asciiTheme="majorBidi" w:hAnsiTheme="majorBidi" w:cstheme="majorBidi"/>
          <w:sz w:val="24"/>
          <w:szCs w:val="24"/>
        </w:rPr>
        <w:t xml:space="preserve">The questionnaire of this study was based on the questionnaire given by Hammoud et al., (2018) in a study they did on the impact of e-banking on the level of satisfaction of the clients in the Lebanese banking system. The topic is very similar to the research purpose of what this paper wants to explore, and it was done recently so the information can still be considered valid. The number of participants is close to the proposed overall number of this study. So, it is possible to base the questionnaire on what Hammoud et al. (2018) proposed with certain modifications to account for the pandemic. It was the first study that correlated satisfaction and e-banking, so it is a pioneer case. In this study, 258 complete surveys were collected and analyzed. The dependent variable was the satisfaction that customers get from the e-banking services. The study validated all of its four hypotheses in its quantitative approach. Satisfaction was linked to e-banking services. Reliable e-banking services will add to customer satisfaction. Having secure and private e-banking services will contribute positively to the satisfaction of clients. The last proven hypotheses linked satisfaction with the degree of responsiveness and communication that the e-banking exhibits. </w:t>
      </w:r>
    </w:p>
    <w:p w:rsidR="00493E4F" w:rsidRPr="008F7C20" w:rsidRDefault="00493E4F" w:rsidP="00DE7861">
      <w:pPr>
        <w:spacing w:line="360" w:lineRule="auto"/>
        <w:jc w:val="both"/>
        <w:rPr>
          <w:rFonts w:asciiTheme="majorBidi" w:hAnsiTheme="majorBidi" w:cstheme="majorBidi"/>
          <w:sz w:val="24"/>
          <w:szCs w:val="24"/>
        </w:rPr>
      </w:pPr>
      <w:r w:rsidRPr="008F7C20">
        <w:rPr>
          <w:rFonts w:asciiTheme="majorBidi" w:hAnsiTheme="majorBidi" w:cstheme="majorBidi"/>
          <w:sz w:val="24"/>
          <w:szCs w:val="24"/>
        </w:rPr>
        <w:t xml:space="preserve">Another study was done by Abou Ali (2016) studied the criteria that will add to the acceptance of e-banking in Lebanon. This study wanted to explore how accepting the Lebanese public is about e-banking which is considered a new trend in the Lebanese market. The quantitative study relied on the premise that the attitude that people have will influence the intent of the behavior which will in turn influence the actual behavior. Acceptance is correlated with satisfaction since the refusal of engaging with e-banking means that customers will never know if they will be satisfied with the services. With a population sample of 384 respondents from bank holders in </w:t>
      </w:r>
      <w:r w:rsidR="00DE7861">
        <w:rPr>
          <w:rFonts w:asciiTheme="majorBidi" w:hAnsiTheme="majorBidi" w:cstheme="majorBidi"/>
          <w:sz w:val="24"/>
          <w:szCs w:val="24"/>
        </w:rPr>
        <w:lastRenderedPageBreak/>
        <w:t>Bek</w:t>
      </w:r>
      <w:r w:rsidRPr="008F7C20">
        <w:rPr>
          <w:rFonts w:asciiTheme="majorBidi" w:hAnsiTheme="majorBidi" w:cstheme="majorBidi"/>
          <w:sz w:val="24"/>
          <w:szCs w:val="24"/>
        </w:rPr>
        <w:t xml:space="preserve">aa, Beirut, and Joneih, the study inspected six variables that influence the acceptance: being informed about the online platforms, the perceived usefulness, the ease of navigation, the enjoyment that clients receive, and the quality of the internet connection that affects the ability of customers to log on to the websites or applications. The study found that all the first factors had a significant or highly significant correlation with the acceptance of e-banking. The only one that did not </w:t>
      </w:r>
      <w:r w:rsidR="00DE7861">
        <w:rPr>
          <w:rFonts w:asciiTheme="majorBidi" w:hAnsiTheme="majorBidi" w:cstheme="majorBidi"/>
          <w:sz w:val="24"/>
          <w:szCs w:val="24"/>
        </w:rPr>
        <w:t>affect</w:t>
      </w:r>
      <w:r w:rsidRPr="008F7C20">
        <w:rPr>
          <w:rFonts w:asciiTheme="majorBidi" w:hAnsiTheme="majorBidi" w:cstheme="majorBidi"/>
          <w:sz w:val="24"/>
          <w:szCs w:val="24"/>
        </w:rPr>
        <w:t xml:space="preserve"> e-banking acceptance is the quality of the internet because the participants considered it a separate issue related more to how they get access to the Internet rather than their access to banking platforms. </w:t>
      </w:r>
    </w:p>
    <w:p w:rsidR="00493E4F" w:rsidRPr="008F7C20" w:rsidRDefault="00493E4F" w:rsidP="00493E4F">
      <w:pPr>
        <w:spacing w:line="360" w:lineRule="auto"/>
        <w:jc w:val="both"/>
        <w:rPr>
          <w:rFonts w:asciiTheme="majorBidi" w:hAnsiTheme="majorBidi" w:cstheme="majorBidi"/>
          <w:sz w:val="24"/>
          <w:szCs w:val="24"/>
        </w:rPr>
      </w:pPr>
      <w:r w:rsidRPr="008F7C20">
        <w:rPr>
          <w:rFonts w:asciiTheme="majorBidi" w:hAnsiTheme="majorBidi" w:cstheme="majorBidi"/>
          <w:sz w:val="24"/>
          <w:szCs w:val="24"/>
        </w:rPr>
        <w:t xml:space="preserve">In a similar study done by Khalek (2019), the author reexamined the adaptation of e-banking in the Lebanese market based on four dependents variables: detecting trust, privacy and security, perceived ease of use, and perceived usefulness. Adaptation is parallel to satisfaction because it indicates a readiness to accommodate e-banking as a normalized part of life which mirrors several of the theories in the satisfaction that talk about a customer’s willingness to adapt to the experience and being content. The study was based on a model called the Technology Acceptance Model (TAM) that is specifically designed to examine the effect of criteria of the acceptance of information systems. The author used a quantitative questionnaire to gather 100 complete respondents and analyzed the results. The study found that males are more likely to use e-banking than females because Lebanon is still a conservative society in many ways where males are more involved in the financial aspect of things. Another surprising finding is that the author found no positive correlation between trust and the adaptation of e-banking, but the other three factors of privacy and security, perceived ease of use, and perceived usefulness all had a positive impact on the adaptation of e-banking in the Lebanese market. Furthermore, half of those with bank accounts created an e-account that is used for keeping track of their assets as a primary objective and for paying bills, managing funds, and ordering checkbooks as secondary objectives. </w:t>
      </w:r>
    </w:p>
    <w:p w:rsidR="00493E4F" w:rsidRPr="008F7C20" w:rsidRDefault="00493E4F" w:rsidP="00493E4F">
      <w:pPr>
        <w:spacing w:line="360" w:lineRule="auto"/>
        <w:jc w:val="both"/>
        <w:rPr>
          <w:rFonts w:asciiTheme="majorBidi" w:hAnsiTheme="majorBidi" w:cstheme="majorBidi"/>
          <w:sz w:val="24"/>
          <w:szCs w:val="24"/>
        </w:rPr>
      </w:pPr>
      <w:r w:rsidRPr="008F7C20">
        <w:rPr>
          <w:rFonts w:asciiTheme="majorBidi" w:hAnsiTheme="majorBidi" w:cstheme="majorBidi"/>
          <w:sz w:val="24"/>
          <w:szCs w:val="24"/>
        </w:rPr>
        <w:t xml:space="preserve">Since there were no similar studies in Lebanon about the topic of customer satisfaction during COVID-19, it is useful to expand to other markets in emerging financial markets to expand on the hypotheses. Baicu et al. (2020) studied the effect of COVID-19 on the overall behavior of customers in retail banking using TAM in Romania. The quantitative questionnaire yielded 738 valid responses that showed a dramatic decrease in physical visits of banks where 58% claimed </w:t>
      </w:r>
      <w:r w:rsidRPr="008F7C20">
        <w:rPr>
          <w:rFonts w:asciiTheme="majorBidi" w:hAnsiTheme="majorBidi" w:cstheme="majorBidi"/>
          <w:sz w:val="24"/>
          <w:szCs w:val="24"/>
        </w:rPr>
        <w:lastRenderedPageBreak/>
        <w:t xml:space="preserve">to have never done so since the beginning of the pandemic. The participants embraced technology and more than 85% had trust in the banks and their performance. They are willing to engage in e-banking even though they showed no interest in safety as the results showed a direct but negative influence of security on the engagement of mobile services. The study showed a willingness to trust e-banking as a means of facilitating their banking experience which provides more dimensions for Romanian banks. </w:t>
      </w:r>
    </w:p>
    <w:p w:rsidR="00493E4F" w:rsidRPr="008F7C20" w:rsidRDefault="00493E4F" w:rsidP="00493E4F">
      <w:pPr>
        <w:spacing w:line="360" w:lineRule="auto"/>
        <w:jc w:val="both"/>
        <w:rPr>
          <w:rFonts w:asciiTheme="majorBidi" w:hAnsiTheme="majorBidi" w:cstheme="majorBidi"/>
          <w:sz w:val="24"/>
          <w:szCs w:val="24"/>
        </w:rPr>
      </w:pPr>
      <w:r w:rsidRPr="008F7C20">
        <w:rPr>
          <w:rFonts w:asciiTheme="majorBidi" w:hAnsiTheme="majorBidi" w:cstheme="majorBidi"/>
          <w:sz w:val="24"/>
          <w:szCs w:val="24"/>
        </w:rPr>
        <w:t xml:space="preserve">Ketema and W/Selassie (2020) conducted a study that addressed the impact of mobile banking on customer satisfaction during the COVID-19 pandemic in Ethiopia. Although mobile banking is still in its infancy in Ethiopia due to the challenging economy of the African nation, it still presented itself as a useful and safe alternative during the pandemic. 240 complete quantitative questionnaires were collected and analyzed the data by using the SERQUAL model. Reliability and ease of usage had a positive impact on satisfaction. As with the previous study, security did not have much of an impact on satisfaction which could suggest that there are still gaps in the knowledge of e-banking in such emerging financial markets. Efficiency, responsiveness, and empathy also had a positive impact but to a lesser extent than reliability and ease of usage. </w:t>
      </w:r>
    </w:p>
    <w:p w:rsidR="00493E4F" w:rsidRPr="008F7C20" w:rsidRDefault="00493E4F" w:rsidP="00493E4F">
      <w:pPr>
        <w:spacing w:line="360" w:lineRule="auto"/>
        <w:jc w:val="both"/>
        <w:rPr>
          <w:rFonts w:asciiTheme="majorBidi" w:hAnsiTheme="majorBidi" w:cstheme="majorBidi"/>
          <w:sz w:val="24"/>
          <w:szCs w:val="24"/>
        </w:rPr>
      </w:pPr>
      <w:r w:rsidRPr="008F7C20">
        <w:rPr>
          <w:rFonts w:asciiTheme="majorBidi" w:hAnsiTheme="majorBidi" w:cstheme="majorBidi"/>
          <w:sz w:val="24"/>
          <w:szCs w:val="24"/>
        </w:rPr>
        <w:t xml:space="preserve">A final study by Ul Haq and Awan (2020) conducted quantitative exploratory research based on a survey about customer satisfaction and e-loyalty during the COVID-19 pandemic in Pakistan. The analysis was performed using 976 respondents, and it showed that reliability and website design had the most significant positive impacts on e-loyalty and satisfaction. Privacy, security, and a sense of loyalty were all positively correlated to satisfaction. Unlike the two previous studies, the Pakistani users were influenced by the notions of security which makes sense since they are more technologically adept as shown in the study. The authors recommended using these criteria to expand on e-banking to retain customer satisfaction. </w:t>
      </w:r>
    </w:p>
    <w:p w:rsidR="00493E4F" w:rsidRPr="008F7C20" w:rsidRDefault="00493E4F" w:rsidP="00493E4F">
      <w:pPr>
        <w:spacing w:line="360" w:lineRule="auto"/>
        <w:jc w:val="both"/>
        <w:rPr>
          <w:rFonts w:asciiTheme="majorBidi" w:hAnsiTheme="majorBidi" w:cstheme="majorBidi"/>
          <w:sz w:val="24"/>
          <w:szCs w:val="24"/>
        </w:rPr>
      </w:pPr>
      <w:r w:rsidRPr="008F7C20">
        <w:rPr>
          <w:rFonts w:asciiTheme="majorBidi" w:hAnsiTheme="majorBidi" w:cstheme="majorBidi"/>
          <w:sz w:val="24"/>
          <w:szCs w:val="24"/>
        </w:rPr>
        <w:t xml:space="preserve">By considering all of the above studies, certain hypotheses can be extrapolated that will, later on, be analyzed according to the obtained data. </w:t>
      </w:r>
    </w:p>
    <w:p w:rsidR="00493E4F" w:rsidRPr="008F7C20"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H</w:t>
      </w:r>
      <w:r>
        <w:rPr>
          <w:rFonts w:asciiTheme="majorBidi" w:hAnsiTheme="majorBidi" w:cstheme="majorBidi"/>
          <w:sz w:val="24"/>
          <w:szCs w:val="24"/>
          <w:vertAlign w:val="subscript"/>
        </w:rPr>
        <w:t>1</w:t>
      </w:r>
      <w:r w:rsidR="003000F2">
        <w:rPr>
          <w:rFonts w:asciiTheme="majorBidi" w:hAnsiTheme="majorBidi" w:cstheme="majorBidi"/>
          <w:sz w:val="24"/>
          <w:szCs w:val="24"/>
        </w:rPr>
        <w:t>: T</w:t>
      </w:r>
      <w:r w:rsidRPr="008F7C20">
        <w:rPr>
          <w:rFonts w:asciiTheme="majorBidi" w:hAnsiTheme="majorBidi" w:cstheme="majorBidi"/>
          <w:sz w:val="24"/>
          <w:szCs w:val="24"/>
        </w:rPr>
        <w:t xml:space="preserve">rust in e-banking influences satisfaction. </w:t>
      </w:r>
    </w:p>
    <w:p w:rsidR="00493E4F" w:rsidRPr="008F7C20"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H</w:t>
      </w:r>
      <w:r>
        <w:rPr>
          <w:rFonts w:asciiTheme="majorBidi" w:hAnsiTheme="majorBidi" w:cstheme="majorBidi"/>
          <w:sz w:val="24"/>
          <w:szCs w:val="24"/>
          <w:vertAlign w:val="subscript"/>
        </w:rPr>
        <w:t>2</w:t>
      </w:r>
      <w:r w:rsidRPr="008F7C20">
        <w:rPr>
          <w:rFonts w:asciiTheme="majorBidi" w:hAnsiTheme="majorBidi" w:cstheme="majorBidi"/>
          <w:sz w:val="24"/>
          <w:szCs w:val="24"/>
        </w:rPr>
        <w:t xml:space="preserve">: The efficiency of e-banking influences satisfaction. </w:t>
      </w:r>
    </w:p>
    <w:p w:rsidR="00493E4F" w:rsidRPr="008F7C20"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H</w:t>
      </w:r>
      <w:r>
        <w:rPr>
          <w:rFonts w:asciiTheme="majorBidi" w:hAnsiTheme="majorBidi" w:cstheme="majorBidi"/>
          <w:sz w:val="24"/>
          <w:szCs w:val="24"/>
          <w:vertAlign w:val="subscript"/>
        </w:rPr>
        <w:t>3</w:t>
      </w:r>
      <w:r w:rsidRPr="008F7C20">
        <w:rPr>
          <w:rFonts w:asciiTheme="majorBidi" w:hAnsiTheme="majorBidi" w:cstheme="majorBidi"/>
          <w:sz w:val="24"/>
          <w:szCs w:val="24"/>
        </w:rPr>
        <w:t xml:space="preserve">: The reliability of e-banking influences satisfaction. </w:t>
      </w:r>
    </w:p>
    <w:p w:rsidR="00493E4F" w:rsidRPr="008F7C20"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H</w:t>
      </w:r>
      <w:r>
        <w:rPr>
          <w:rFonts w:asciiTheme="majorBidi" w:hAnsiTheme="majorBidi" w:cstheme="majorBidi"/>
          <w:sz w:val="24"/>
          <w:szCs w:val="24"/>
          <w:vertAlign w:val="subscript"/>
        </w:rPr>
        <w:t>4</w:t>
      </w:r>
      <w:r w:rsidRPr="008F7C20">
        <w:rPr>
          <w:rFonts w:asciiTheme="majorBidi" w:hAnsiTheme="majorBidi" w:cstheme="majorBidi"/>
          <w:sz w:val="24"/>
          <w:szCs w:val="24"/>
        </w:rPr>
        <w:t xml:space="preserve">: The security and privacy of e-banking influence satisfaction. </w:t>
      </w:r>
    </w:p>
    <w:p w:rsidR="00493E4F" w:rsidRPr="0014586C"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H</w:t>
      </w:r>
      <w:r>
        <w:rPr>
          <w:rFonts w:asciiTheme="majorBidi" w:hAnsiTheme="majorBidi" w:cstheme="majorBidi"/>
          <w:sz w:val="24"/>
          <w:szCs w:val="24"/>
          <w:vertAlign w:val="subscript"/>
        </w:rPr>
        <w:t>5</w:t>
      </w:r>
      <w:r w:rsidRPr="008F7C20">
        <w:rPr>
          <w:rFonts w:asciiTheme="majorBidi" w:hAnsiTheme="majorBidi" w:cstheme="majorBidi"/>
          <w:sz w:val="24"/>
          <w:szCs w:val="24"/>
        </w:rPr>
        <w:t>: The communication of e-banking influences satisfaction.</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3.2 Methodology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3.2.1 Quantitative vs. Qualitative </w:t>
      </w:r>
    </w:p>
    <w:p w:rsidR="00493E4F" w:rsidRDefault="00493E4F" w:rsidP="00DE7861">
      <w:pPr>
        <w:spacing w:line="360" w:lineRule="auto"/>
        <w:jc w:val="both"/>
        <w:rPr>
          <w:rFonts w:asciiTheme="majorBidi" w:hAnsiTheme="majorBidi" w:cstheme="majorBidi"/>
          <w:sz w:val="24"/>
          <w:szCs w:val="24"/>
        </w:rPr>
      </w:pPr>
      <w:r>
        <w:rPr>
          <w:rFonts w:asciiTheme="majorBidi" w:hAnsiTheme="majorBidi" w:cstheme="majorBidi"/>
          <w:sz w:val="24"/>
          <w:szCs w:val="24"/>
        </w:rPr>
        <w:t>There are two possible broad approaches to any study: a quantitative rationalistic approach or a qualitative/naturalistic one (Hameed, 2020). The quantitative method has gained much momentum in natural and humanistic studies since the early 19</w:t>
      </w:r>
      <w:r w:rsidRPr="00D730E1">
        <w:rPr>
          <w:rFonts w:asciiTheme="majorBidi" w:hAnsiTheme="majorBidi" w:cstheme="majorBidi"/>
          <w:sz w:val="24"/>
          <w:szCs w:val="24"/>
          <w:vertAlign w:val="superscript"/>
        </w:rPr>
        <w:t>th</w:t>
      </w:r>
      <w:r>
        <w:rPr>
          <w:rFonts w:asciiTheme="majorBidi" w:hAnsiTheme="majorBidi" w:cstheme="majorBidi"/>
          <w:sz w:val="24"/>
          <w:szCs w:val="24"/>
        </w:rPr>
        <w:t xml:space="preserve"> century following the success and validity of the results obtained through the scientific method that is often credited to Antoine-Laurent Lavoisier.  These types of studies are often referred to as experimental because they are based on conducting experiments and collecting data. They deal with numerical data and the observed facts (Ahmad et al., 2019</w:t>
      </w:r>
      <w:r w:rsidR="00DE7861">
        <w:rPr>
          <w:rFonts w:asciiTheme="majorBidi" w:hAnsiTheme="majorBidi" w:cstheme="majorBidi"/>
          <w:sz w:val="24"/>
          <w:szCs w:val="24"/>
        </w:rPr>
        <w:t>). There are empirical evidences</w:t>
      </w:r>
      <w:r>
        <w:rPr>
          <w:rFonts w:asciiTheme="majorBidi" w:hAnsiTheme="majorBidi" w:cstheme="majorBidi"/>
          <w:sz w:val="24"/>
          <w:szCs w:val="24"/>
        </w:rPr>
        <w:t xml:space="preserve"> that are easily quantified and analyzed based on statistical measurements because the data is easily quantified into distinct categories. These numbers will help validate the hypotheses that were generated in previous studies or postulated based on the situation.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On the other hand, the qualitative method is typically associated with ethnographical and anthropological phenomena (Hameed, 2020). It is typically applied in specific case studies that focus on a limited instant or event. This methodology is used in investigating complex issues with multiple dimensions that cannot be quantified by the quantitative methodology (Ahmad et al., 2019). It is used to obtain an in-depth understanding of the human behavior that is happening based on how the individuals are feeling or thinking. It is a methodology that gives more weight to the opinions of the participants instead of what is being observed. What is interesting is that qualitative studies can be used to generate hypotheses for quantitative studies.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chosen methodology was a questionnaire-based quantitative survey. It was chosen for several reasons. The literature showed only one study that discussed the issue of e-banking satisfaction in Lebanon. Furthermore, there were none that discussed e-banking satisfaction even though the country is witnessing a financial crisis that diminished the trust of clients in Lebanese banks following 2019 and the ensuing pandemic in 2020. This means that there is a significant </w:t>
      </w:r>
      <w:r>
        <w:rPr>
          <w:rFonts w:asciiTheme="majorBidi" w:hAnsiTheme="majorBidi" w:cstheme="majorBidi"/>
          <w:sz w:val="24"/>
          <w:szCs w:val="24"/>
        </w:rPr>
        <w:lastRenderedPageBreak/>
        <w:t>gap in the literature that needs to be filled which can be done by an exploratory study. The latter will allow a basic understanding of the situation before becoming involved in more in-depth analysis which would favor a quantitative approach. Moreover, e-banking should be con</w:t>
      </w:r>
      <w:r w:rsidR="003000F2">
        <w:rPr>
          <w:rFonts w:asciiTheme="majorBidi" w:hAnsiTheme="majorBidi" w:cstheme="majorBidi"/>
          <w:sz w:val="24"/>
          <w:szCs w:val="24"/>
        </w:rPr>
        <w:t>sidered a priority for any bank</w:t>
      </w:r>
      <w:r>
        <w:rPr>
          <w:rFonts w:asciiTheme="majorBidi" w:hAnsiTheme="majorBidi" w:cstheme="majorBidi"/>
          <w:sz w:val="24"/>
          <w:szCs w:val="24"/>
        </w:rPr>
        <w:t xml:space="preserve"> because the COVID-19 pandemic is serving as a wake</w:t>
      </w:r>
      <w:r w:rsidR="00DA6612">
        <w:rPr>
          <w:rFonts w:asciiTheme="majorBidi" w:hAnsiTheme="majorBidi" w:cstheme="majorBidi"/>
          <w:sz w:val="24"/>
          <w:szCs w:val="24"/>
        </w:rPr>
        <w:t>-</w:t>
      </w:r>
      <w:r>
        <w:rPr>
          <w:rFonts w:asciiTheme="majorBidi" w:hAnsiTheme="majorBidi" w:cstheme="majorBidi"/>
          <w:sz w:val="24"/>
          <w:szCs w:val="24"/>
        </w:rPr>
        <w:t xml:space="preserve">up call for many industries. There have been 7 pandemics in the last three centuries, but scientists are warning that the frequency of these pandemics is only going to increase taking into consideration the habitat destruction of animals and the close inter-species connection between diseases-carrying animals such as bats and pigs with humans (Hannover, 2021). </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3.2.2 Inductive vs. Deductive </w:t>
      </w:r>
    </w:p>
    <w:p w:rsidR="00493E4F" w:rsidRDefault="00493E4F" w:rsidP="003000F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Another aspect of the methodology involves the selection </w:t>
      </w:r>
      <w:r w:rsidR="003000F2">
        <w:rPr>
          <w:rFonts w:asciiTheme="majorBidi" w:hAnsiTheme="majorBidi" w:cstheme="majorBidi"/>
          <w:sz w:val="24"/>
          <w:szCs w:val="24"/>
        </w:rPr>
        <w:t>of</w:t>
      </w:r>
      <w:r>
        <w:rPr>
          <w:rFonts w:asciiTheme="majorBidi" w:hAnsiTheme="majorBidi" w:cstheme="majorBidi"/>
          <w:sz w:val="24"/>
          <w:szCs w:val="24"/>
        </w:rPr>
        <w:t xml:space="preserve"> inductive and deductive reasoning approaches. Induction reasoning starts from specific to general and thus it is best suited for arguments based on experience or observation (Soiferman, 2010). It is an approach that works from the bottom to the top, from hypotheses to theory. It uses the input of participants and broad themes to generate a unifying theory that will expla</w:t>
      </w:r>
      <w:r w:rsidR="00DA6612">
        <w:rPr>
          <w:rFonts w:asciiTheme="majorBidi" w:hAnsiTheme="majorBidi" w:cstheme="majorBidi"/>
          <w:sz w:val="24"/>
          <w:szCs w:val="24"/>
        </w:rPr>
        <w:t xml:space="preserve">in these themes. In general, </w:t>
      </w:r>
      <w:r>
        <w:rPr>
          <w:rFonts w:asciiTheme="majorBidi" w:hAnsiTheme="majorBidi" w:cstheme="majorBidi"/>
          <w:sz w:val="24"/>
          <w:szCs w:val="24"/>
        </w:rPr>
        <w:t xml:space="preserve"> inductive reasoning is used in qualitative studies (Soiferman, 2010). Deductive reasoning starts with the general and then moves to the specific which makes it best suited for investigating arguments based on established laws and principles (Soiferman, 2010). It works from top to down starting with a theory and developing hypotheses to examine data that will either add to or contradict the established theory (Creswell &amp; Plano Clark, 2007). In summation, inductive reasoning will try to establish a new theor</w:t>
      </w:r>
      <w:r w:rsidR="00DA6612">
        <w:rPr>
          <w:rFonts w:asciiTheme="majorBidi" w:hAnsiTheme="majorBidi" w:cstheme="majorBidi"/>
          <w:sz w:val="24"/>
          <w:szCs w:val="24"/>
        </w:rPr>
        <w:t>y from observations made while deductive</w:t>
      </w:r>
      <w:r>
        <w:rPr>
          <w:rFonts w:asciiTheme="majorBidi" w:hAnsiTheme="majorBidi" w:cstheme="majorBidi"/>
          <w:sz w:val="24"/>
          <w:szCs w:val="24"/>
        </w:rPr>
        <w:t xml:space="preserve"> reasoning will test the validity of an established theory</w:t>
      </w:r>
      <w:r w:rsidR="00DA6612">
        <w:rPr>
          <w:rFonts w:asciiTheme="majorBidi" w:hAnsiTheme="majorBidi" w:cstheme="majorBidi"/>
          <w:sz w:val="24"/>
          <w:szCs w:val="24"/>
        </w:rPr>
        <w:t>,</w:t>
      </w:r>
      <w:r>
        <w:rPr>
          <w:rFonts w:asciiTheme="majorBidi" w:hAnsiTheme="majorBidi" w:cstheme="majorBidi"/>
          <w:sz w:val="24"/>
          <w:szCs w:val="24"/>
        </w:rPr>
        <w:t xml:space="preserve"> especially when applied in new settings or situations.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F</w:t>
      </w:r>
      <w:r w:rsidR="00DA6612">
        <w:rPr>
          <w:rFonts w:asciiTheme="majorBidi" w:hAnsiTheme="majorBidi" w:cstheme="majorBidi"/>
          <w:sz w:val="24"/>
          <w:szCs w:val="24"/>
        </w:rPr>
        <w:t xml:space="preserve">or the purpose of this paper, </w:t>
      </w:r>
      <w:r>
        <w:rPr>
          <w:rFonts w:asciiTheme="majorBidi" w:hAnsiTheme="majorBidi" w:cstheme="majorBidi"/>
          <w:sz w:val="24"/>
          <w:szCs w:val="24"/>
        </w:rPr>
        <w:t xml:space="preserve">deductive reasoning will be adopted. The quantitative research methodology was chosen, and it is normally closely associated with deductive reasoning. The issue of e-banking is not new even in Lebanon where the concept has existed in one form or another for decades. As such, there is a wealth of data that exist in the literature. Furthermore, e-banking has been the focal point of much research regionally and internationally even after the onset of the COVID-19 pandemic. There is little justification for adopting an inductive reasoning approach even though there is no research, to this author’s knowledge, that examined the </w:t>
      </w:r>
      <w:r>
        <w:rPr>
          <w:rFonts w:asciiTheme="majorBidi" w:hAnsiTheme="majorBidi" w:cstheme="majorBidi"/>
          <w:sz w:val="24"/>
          <w:szCs w:val="24"/>
        </w:rPr>
        <w:lastRenderedPageBreak/>
        <w:t xml:space="preserve">correlation of e-banking satisfaction along with the banking crisis in Lebanon. There might be some inductive reasoning when analyzing the results, but it does not alter the overall tone of the paper. </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3.2.3 Dependent and Independent Variables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Variables are characteristics or traits that can take on different values such as color, height, age, species, etc. In any scientific research, the approach is to study the relation of one variable with one another to test out hypotheses and theories. There are two types of variables (Thomas, 2020):</w:t>
      </w:r>
    </w:p>
    <w:p w:rsidR="00493E4F" w:rsidRDefault="00493E4F" w:rsidP="00DA6612">
      <w:pPr>
        <w:pStyle w:val="Listenabsatz"/>
        <w:numPr>
          <w:ilvl w:val="0"/>
          <w:numId w:val="4"/>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Independent variables: They are considered the causes </w:t>
      </w:r>
      <w:r w:rsidR="00DA6612">
        <w:rPr>
          <w:rFonts w:asciiTheme="majorBidi" w:hAnsiTheme="majorBidi" w:cstheme="majorBidi"/>
          <w:sz w:val="24"/>
          <w:szCs w:val="24"/>
        </w:rPr>
        <w:t>of</w:t>
      </w:r>
      <w:r>
        <w:rPr>
          <w:rFonts w:asciiTheme="majorBidi" w:hAnsiTheme="majorBidi" w:cstheme="majorBidi"/>
          <w:sz w:val="24"/>
          <w:szCs w:val="24"/>
        </w:rPr>
        <w:t xml:space="preserve"> the research being done. As such, it is not influenced by the other variables because it stands alone. The variation of other variables will not change the independent variable. </w:t>
      </w:r>
    </w:p>
    <w:p w:rsidR="00493E4F" w:rsidRDefault="00493E4F" w:rsidP="00DA6612">
      <w:pPr>
        <w:pStyle w:val="Listenabsatz"/>
        <w:numPr>
          <w:ilvl w:val="0"/>
          <w:numId w:val="4"/>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Dependent variables: They are the effects </w:t>
      </w:r>
      <w:r w:rsidR="00DA6612">
        <w:rPr>
          <w:rFonts w:asciiTheme="majorBidi" w:hAnsiTheme="majorBidi" w:cstheme="majorBidi"/>
          <w:sz w:val="24"/>
          <w:szCs w:val="24"/>
        </w:rPr>
        <w:t>of</w:t>
      </w:r>
      <w:r>
        <w:rPr>
          <w:rFonts w:asciiTheme="majorBidi" w:hAnsiTheme="majorBidi" w:cstheme="majorBidi"/>
          <w:sz w:val="24"/>
          <w:szCs w:val="24"/>
        </w:rPr>
        <w:t xml:space="preserve"> the research being done. They are highly dependent on the variation of the independent variable. As the independent variable changes, the dependent variables will also change. </w:t>
      </w:r>
    </w:p>
    <w:p w:rsidR="00DA6612" w:rsidRDefault="00493E4F" w:rsidP="003000F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In this study, the independent variable is the customer satisfaction of the client about e-banking. It is the focus of the research and its variation will affect all the dependent variables. The dependent variables were extracted from the literature and include trust, </w:t>
      </w:r>
      <w:r w:rsidR="00DA6612">
        <w:rPr>
          <w:rFonts w:asciiTheme="majorBidi" w:hAnsiTheme="majorBidi" w:cstheme="majorBidi"/>
          <w:sz w:val="24"/>
          <w:szCs w:val="24"/>
        </w:rPr>
        <w:t xml:space="preserve">the </w:t>
      </w:r>
      <w:r>
        <w:rPr>
          <w:rFonts w:asciiTheme="majorBidi" w:hAnsiTheme="majorBidi" w:cstheme="majorBidi"/>
          <w:sz w:val="24"/>
          <w:szCs w:val="24"/>
        </w:rPr>
        <w:t>efficiency of e-banking procedures, the guarantee of security and privacy of e-banking transactions, the reliability of banks in their e-banking services, and the ease of communication</w:t>
      </w:r>
      <w:r w:rsidR="003000F2">
        <w:rPr>
          <w:rFonts w:asciiTheme="majorBidi" w:hAnsiTheme="majorBidi" w:cstheme="majorBidi"/>
          <w:sz w:val="24"/>
          <w:szCs w:val="24"/>
        </w:rPr>
        <w:t xml:space="preserve"> with the bank electronically. </w:t>
      </w:r>
    </w:p>
    <w:p w:rsidR="003000F2" w:rsidRDefault="003000F2" w:rsidP="003000F2">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3.2.4 Population and Sampling </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3.2.4.1 Population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population is the target group that the study will be conducted on (Majid, et al., 2018). There are always certain criteria of eligibility that will act as a cutoff to determine whether or not the </w:t>
      </w:r>
      <w:r>
        <w:rPr>
          <w:rFonts w:asciiTheme="majorBidi" w:hAnsiTheme="majorBidi" w:cstheme="majorBidi"/>
          <w:sz w:val="24"/>
          <w:szCs w:val="24"/>
        </w:rPr>
        <w:lastRenderedPageBreak/>
        <w:t xml:space="preserve">participant is qualified for this study and whether or not his/her contribution will be beneficial for the problem being discussed.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The population of interest in this study is the Lebanese citizens living in Lebanon who are involved with e-banking. He/she should also satisfy the following criteria:</w:t>
      </w:r>
    </w:p>
    <w:p w:rsidR="00493E4F" w:rsidRDefault="00493E4F" w:rsidP="00DA6612">
      <w:pPr>
        <w:pStyle w:val="Listenabsatz"/>
        <w:numPr>
          <w:ilvl w:val="0"/>
          <w:numId w:val="5"/>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They must be 18 and above and thus capable of independently providing information without the need </w:t>
      </w:r>
      <w:r w:rsidR="00DA6612">
        <w:rPr>
          <w:rFonts w:asciiTheme="majorBidi" w:hAnsiTheme="majorBidi" w:cstheme="majorBidi"/>
          <w:sz w:val="24"/>
          <w:szCs w:val="24"/>
        </w:rPr>
        <w:t>for</w:t>
      </w:r>
      <w:r>
        <w:rPr>
          <w:rFonts w:asciiTheme="majorBidi" w:hAnsiTheme="majorBidi" w:cstheme="majorBidi"/>
          <w:sz w:val="24"/>
          <w:szCs w:val="24"/>
        </w:rPr>
        <w:t xml:space="preserve"> the consent of any adult parent or guardian. </w:t>
      </w:r>
    </w:p>
    <w:p w:rsidR="00493E4F" w:rsidRDefault="00493E4F" w:rsidP="00493E4F">
      <w:pPr>
        <w:pStyle w:val="Listenabsatz"/>
        <w:numPr>
          <w:ilvl w:val="0"/>
          <w:numId w:val="5"/>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They must have an e-banking platform that they engage with periodically.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The participants will be asked questions regarding their experience with e-banking and the Lebanese banking system. They will be demographically profiled, but no personal information such as their names or bank account data will be asked. No record of their IP addresses and locations will be re</w:t>
      </w:r>
      <w:r w:rsidR="00DA6612">
        <w:rPr>
          <w:rFonts w:asciiTheme="majorBidi" w:hAnsiTheme="majorBidi" w:cstheme="majorBidi"/>
          <w:sz w:val="24"/>
          <w:szCs w:val="24"/>
        </w:rPr>
        <w:t>corded. There will be no demand</w:t>
      </w:r>
      <w:r>
        <w:rPr>
          <w:rFonts w:asciiTheme="majorBidi" w:hAnsiTheme="majorBidi" w:cstheme="majorBidi"/>
          <w:sz w:val="24"/>
          <w:szCs w:val="24"/>
        </w:rPr>
        <w:t xml:space="preserve"> of any way to communicate further beyond the steps of filling out the questionnaire. </w:t>
      </w:r>
    </w:p>
    <w:p w:rsidR="00493E4F" w:rsidRDefault="00493E4F" w:rsidP="00493E4F">
      <w:pPr>
        <w:spacing w:line="360" w:lineRule="auto"/>
        <w:jc w:val="both"/>
        <w:rPr>
          <w:rFonts w:asciiTheme="majorBidi" w:hAnsiTheme="majorBidi" w:cstheme="majorBidi"/>
          <w:sz w:val="24"/>
          <w:szCs w:val="24"/>
        </w:rPr>
      </w:pPr>
    </w:p>
    <w:p w:rsidR="00493E4F" w:rsidRPr="00A925EE"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3.2.4.2 Sampling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Sampling is a process of selecting a representative selection from the target population since it is very difficult to gather and analyze the entire population of the study (Majid et al., 2018). There are many different sampling methods, but this study relied on a simple random selection where each individual of the population has an equal chance of being selected for the study (Taherdoost, 2016). There is no preference for the opinion of any participant over the other if the anonymity and ethical boundaries were to be respected. The total number of the sample has the cutoff of 150 participants which is an acceptable value for an exploratory quantitative study. </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3.2.5 Questionnaire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questionnaire is divided into two sections. The first is the demographic data which would identify the selected sample of the population. Participants were asked about their age group, gender, education level, income, length of the existence of their e-banking experience, and the frequency of use of electronic banking services. </w:t>
      </w:r>
    </w:p>
    <w:p w:rsidR="00493E4F" w:rsidRDefault="00493E4F" w:rsidP="003000F2">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The second section regards the various questions pertaining to their satisfaction with e-banking. They were asked to rate their satisfaction with banks before and after the pandemic. The following questions examined the dependent variables extrapolated from the ease of use, efficiency, security, and support. They were then asked about their satisfaction </w:t>
      </w:r>
      <w:r w:rsidR="003000F2">
        <w:rPr>
          <w:rFonts w:asciiTheme="majorBidi" w:hAnsiTheme="majorBidi" w:cstheme="majorBidi"/>
          <w:sz w:val="24"/>
          <w:szCs w:val="24"/>
        </w:rPr>
        <w:t>with</w:t>
      </w:r>
      <w:r>
        <w:rPr>
          <w:rFonts w:asciiTheme="majorBidi" w:hAnsiTheme="majorBidi" w:cstheme="majorBidi"/>
          <w:sz w:val="24"/>
          <w:szCs w:val="24"/>
        </w:rPr>
        <w:t xml:space="preserve"> e-banking independently of other banking services and whether or not they could serve as the conduit for restoring trust in Lebanese banks and help the Lebanese banking sector to recover from this crisis. </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3.2.6 Analysis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Data manipulation is one of the dangers of scientific research, and it has compromised the integrity of the results in many domains. Using the internet as a platform for conducting surveys has presented itself as a convenient alternative that aims at minimizing bias and scientific fraud of researchers that skew the information o favor their desired output (Ball, 2019). There are no guarantees for complete integrity because online platforms allow multiple accesses from one person as well as having unqualified participants engage in the survey. However, the reality of COVID-19 security measurements makes online platforms an attractive option for conducting studies. The survey was done on an electronic platform. A link was created and sent to associates in the bank to forward to clients. These clients had the freedom in opting in and out of participating in the survey which makes the data collection a voluntary action that does not violate any ethical considerations. </w:t>
      </w:r>
    </w:p>
    <w:p w:rsidR="00493E4F" w:rsidRDefault="00493E4F" w:rsidP="00DA6612">
      <w:pPr>
        <w:spacing w:line="360" w:lineRule="auto"/>
        <w:jc w:val="both"/>
        <w:rPr>
          <w:rFonts w:asciiTheme="majorBidi" w:hAnsiTheme="majorBidi" w:cstheme="majorBidi"/>
          <w:sz w:val="24"/>
          <w:szCs w:val="24"/>
        </w:rPr>
      </w:pPr>
      <w:r>
        <w:rPr>
          <w:rFonts w:asciiTheme="majorBidi" w:hAnsiTheme="majorBidi" w:cstheme="majorBidi"/>
          <w:sz w:val="24"/>
          <w:szCs w:val="24"/>
        </w:rPr>
        <w:t>The dat</w:t>
      </w:r>
      <w:r w:rsidR="00DA6612">
        <w:rPr>
          <w:rFonts w:asciiTheme="majorBidi" w:hAnsiTheme="majorBidi" w:cstheme="majorBidi"/>
          <w:sz w:val="24"/>
          <w:szCs w:val="24"/>
        </w:rPr>
        <w:t>a collected was then extracted i</w:t>
      </w:r>
      <w:r>
        <w:rPr>
          <w:rFonts w:asciiTheme="majorBidi" w:hAnsiTheme="majorBidi" w:cstheme="majorBidi"/>
          <w:sz w:val="24"/>
          <w:szCs w:val="24"/>
        </w:rPr>
        <w:t xml:space="preserve">nto a Cloud drive for analysis. The first step is to represent the data in a summary form to have a broad understanding of the information that was gathered. Further analysis will be done to find correlations between the various dependent variables with the independent variable. Correlations are done </w:t>
      </w:r>
      <w:r w:rsidR="00DA6612">
        <w:rPr>
          <w:rFonts w:asciiTheme="majorBidi" w:hAnsiTheme="majorBidi" w:cstheme="majorBidi"/>
          <w:sz w:val="24"/>
          <w:szCs w:val="24"/>
        </w:rPr>
        <w:t>by</w:t>
      </w:r>
      <w:r>
        <w:rPr>
          <w:rFonts w:asciiTheme="majorBidi" w:hAnsiTheme="majorBidi" w:cstheme="majorBidi"/>
          <w:sz w:val="24"/>
          <w:szCs w:val="24"/>
        </w:rPr>
        <w:t xml:space="preserve"> finding a linear or direct association between two or more variables (Mukaka, 2012). Correlation is important because they provide pro</w:t>
      </w:r>
      <w:r w:rsidR="00DA6612">
        <w:rPr>
          <w:rFonts w:asciiTheme="majorBidi" w:hAnsiTheme="majorBidi" w:cstheme="majorBidi"/>
          <w:sz w:val="24"/>
          <w:szCs w:val="24"/>
        </w:rPr>
        <w:t xml:space="preserve">of </w:t>
      </w:r>
      <w:r>
        <w:rPr>
          <w:rFonts w:asciiTheme="majorBidi" w:hAnsiTheme="majorBidi" w:cstheme="majorBidi"/>
          <w:sz w:val="24"/>
          <w:szCs w:val="24"/>
        </w:rPr>
        <w:t xml:space="preserve">that the dependent variables changes with respect to the independent variable, whether or not the two variables move in the same or opposite directions, and how strong the effect the independent variable has on the dependent variables.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The small sample size and the random selection of the sample will necessitate the use </w:t>
      </w:r>
      <w:r w:rsidR="00DA6612">
        <w:rPr>
          <w:rFonts w:asciiTheme="majorBidi" w:hAnsiTheme="majorBidi" w:cstheme="majorBidi"/>
          <w:sz w:val="24"/>
          <w:szCs w:val="24"/>
        </w:rPr>
        <w:t xml:space="preserve">of </w:t>
      </w:r>
      <w:r>
        <w:rPr>
          <w:rFonts w:asciiTheme="majorBidi" w:hAnsiTheme="majorBidi" w:cstheme="majorBidi"/>
          <w:sz w:val="24"/>
          <w:szCs w:val="24"/>
        </w:rPr>
        <w:t xml:space="preserve">ANOVA for testing. It is furthermore a robust tool that can compensate for certain errors in assumption and deliver reliable results. The test will confirm the assumptions done when choosing the dependent variables. </w:t>
      </w:r>
    </w:p>
    <w:p w:rsidR="00493E4F" w:rsidRDefault="00493E4F" w:rsidP="00DA661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final major analytical tool is Cronbach alpha. It is used because the majority of the questions of the survey were done using the Likert Scale. It will allow the study of the internal consistency of the survey and how reliable the measurements </w:t>
      </w:r>
      <w:r w:rsidR="00DA6612">
        <w:rPr>
          <w:rFonts w:asciiTheme="majorBidi" w:hAnsiTheme="majorBidi" w:cstheme="majorBidi"/>
          <w:sz w:val="24"/>
          <w:szCs w:val="24"/>
        </w:rPr>
        <w:t xml:space="preserve">were </w:t>
      </w:r>
      <w:r>
        <w:rPr>
          <w:rFonts w:asciiTheme="majorBidi" w:hAnsiTheme="majorBidi" w:cstheme="majorBidi"/>
          <w:sz w:val="24"/>
          <w:szCs w:val="24"/>
        </w:rPr>
        <w:t xml:space="preserve">done will be. </w:t>
      </w:r>
    </w:p>
    <w:p w:rsidR="00493E4F" w:rsidRDefault="00493E4F" w:rsidP="00DA6612">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w:t>
      </w:r>
      <w:r w:rsidR="00DA6612">
        <w:rPr>
          <w:rFonts w:asciiTheme="majorBidi" w:hAnsiTheme="majorBidi" w:cstheme="majorBidi"/>
          <w:sz w:val="24"/>
          <w:szCs w:val="24"/>
        </w:rPr>
        <w:t>choice of analytical software is</w:t>
      </w:r>
      <w:r>
        <w:rPr>
          <w:rFonts w:asciiTheme="majorBidi" w:hAnsiTheme="majorBidi" w:cstheme="majorBidi"/>
          <w:sz w:val="24"/>
          <w:szCs w:val="24"/>
        </w:rPr>
        <w:t xml:space="preserve"> the SPSS model that is read</w:t>
      </w:r>
      <w:r w:rsidR="00DA6612">
        <w:rPr>
          <w:rFonts w:asciiTheme="majorBidi" w:hAnsiTheme="majorBidi" w:cstheme="majorBidi"/>
          <w:sz w:val="24"/>
          <w:szCs w:val="24"/>
        </w:rPr>
        <w:t>il</w:t>
      </w:r>
      <w:r>
        <w:rPr>
          <w:rFonts w:asciiTheme="majorBidi" w:hAnsiTheme="majorBidi" w:cstheme="majorBidi"/>
          <w:sz w:val="24"/>
          <w:szCs w:val="24"/>
        </w:rPr>
        <w:t>y available for university students. It is a comprehensive and well-respected statistical program that can create input for all the proposed tests above. It is also heavily used in scientific quantitative studies because of its accuracy. It also has the ability to produce numerical and graphical outpu</w:t>
      </w:r>
      <w:r w:rsidR="003000F2">
        <w:rPr>
          <w:rFonts w:asciiTheme="majorBidi" w:hAnsiTheme="majorBidi" w:cstheme="majorBidi"/>
          <w:sz w:val="24"/>
          <w:szCs w:val="24"/>
        </w:rPr>
        <w:t xml:space="preserve">ts. Furthermore, after testing </w:t>
      </w:r>
      <w:r>
        <w:rPr>
          <w:rFonts w:asciiTheme="majorBidi" w:hAnsiTheme="majorBidi" w:cstheme="majorBidi"/>
          <w:sz w:val="24"/>
          <w:szCs w:val="24"/>
        </w:rPr>
        <w:t xml:space="preserve"> number</w:t>
      </w:r>
      <w:r w:rsidR="003000F2">
        <w:rPr>
          <w:rFonts w:asciiTheme="majorBidi" w:hAnsiTheme="majorBidi" w:cstheme="majorBidi"/>
          <w:sz w:val="24"/>
          <w:szCs w:val="24"/>
        </w:rPr>
        <w:t>s</w:t>
      </w:r>
      <w:r>
        <w:rPr>
          <w:rFonts w:asciiTheme="majorBidi" w:hAnsiTheme="majorBidi" w:cstheme="majorBidi"/>
          <w:sz w:val="24"/>
          <w:szCs w:val="24"/>
        </w:rPr>
        <w:t xml:space="preserve"> of software, SPSS proved to be one of the easiest to navigate. </w:t>
      </w:r>
    </w:p>
    <w:p w:rsidR="00493E4F" w:rsidRDefault="00493E4F" w:rsidP="00493E4F">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Using all these statistical tools will lead to conclusions regarding the topic of study that will help to validate or nullify the hypotheses. </w:t>
      </w: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p>
    <w:p w:rsidR="00493E4F" w:rsidRDefault="00493E4F" w:rsidP="00493E4F">
      <w:pPr>
        <w:spacing w:line="360" w:lineRule="auto"/>
        <w:jc w:val="both"/>
        <w:rPr>
          <w:rFonts w:asciiTheme="majorBidi" w:hAnsiTheme="majorBidi" w:cstheme="majorBidi"/>
          <w:sz w:val="24"/>
          <w:szCs w:val="24"/>
        </w:rPr>
      </w:pPr>
    </w:p>
    <w:p w:rsidR="00493E4F" w:rsidRPr="00D730E1" w:rsidRDefault="00493E4F" w:rsidP="00493E4F">
      <w:pPr>
        <w:spacing w:line="360" w:lineRule="auto"/>
        <w:jc w:val="both"/>
        <w:rPr>
          <w:rStyle w:val="Hyperlink"/>
          <w:rFonts w:asciiTheme="majorBidi" w:hAnsiTheme="majorBidi" w:cstheme="majorBidi"/>
          <w:sz w:val="24"/>
          <w:szCs w:val="24"/>
        </w:rPr>
      </w:pPr>
      <w:r w:rsidRPr="00D730E1">
        <w:rPr>
          <w:rFonts w:asciiTheme="majorBidi" w:hAnsiTheme="majorBidi" w:cstheme="majorBidi"/>
          <w:sz w:val="24"/>
          <w:szCs w:val="24"/>
        </w:rPr>
        <w:fldChar w:fldCharType="begin"/>
      </w:r>
      <w:r w:rsidRPr="00D730E1">
        <w:rPr>
          <w:rFonts w:asciiTheme="majorBidi" w:hAnsiTheme="majorBidi" w:cstheme="majorBidi"/>
          <w:sz w:val="24"/>
          <w:szCs w:val="24"/>
        </w:rPr>
        <w:instrText xml:space="preserve"> HYPERLINK "https://www.acs.org/content/acs/en/education/whatischemistry/landmarks/lavoisier.html" </w:instrText>
      </w:r>
      <w:r w:rsidRPr="00D730E1">
        <w:rPr>
          <w:rFonts w:asciiTheme="majorBidi" w:hAnsiTheme="majorBidi" w:cstheme="majorBidi"/>
          <w:sz w:val="24"/>
          <w:szCs w:val="24"/>
        </w:rPr>
        <w:fldChar w:fldCharType="separate"/>
      </w:r>
    </w:p>
    <w:p w:rsidR="00493E4F" w:rsidRDefault="00493E4F" w:rsidP="00493E4F">
      <w:pPr>
        <w:spacing w:line="360" w:lineRule="auto"/>
        <w:jc w:val="both"/>
        <w:rPr>
          <w:rFonts w:asciiTheme="majorBidi" w:hAnsiTheme="majorBidi" w:cstheme="majorBidi"/>
          <w:sz w:val="24"/>
          <w:szCs w:val="24"/>
        </w:rPr>
      </w:pPr>
      <w:r w:rsidRPr="00D730E1">
        <w:rPr>
          <w:rFonts w:asciiTheme="majorBidi" w:hAnsiTheme="majorBidi" w:cstheme="majorBidi"/>
          <w:sz w:val="24"/>
          <w:szCs w:val="24"/>
        </w:rPr>
        <w:fldChar w:fldCharType="end"/>
      </w:r>
    </w:p>
    <w:p w:rsidR="004C5A7A" w:rsidRDefault="004C5A7A" w:rsidP="00493E4F">
      <w:pPr>
        <w:spacing w:line="360" w:lineRule="auto"/>
        <w:jc w:val="both"/>
        <w:rPr>
          <w:rFonts w:asciiTheme="majorBidi" w:hAnsiTheme="majorBidi" w:cstheme="majorBidi"/>
          <w:sz w:val="24"/>
          <w:szCs w:val="24"/>
        </w:rPr>
      </w:pPr>
    </w:p>
    <w:p w:rsidR="004C5A7A" w:rsidRDefault="004C5A7A" w:rsidP="00493E4F">
      <w:pPr>
        <w:spacing w:line="360" w:lineRule="auto"/>
        <w:jc w:val="both"/>
        <w:rPr>
          <w:rFonts w:asciiTheme="majorBidi" w:hAnsiTheme="majorBidi" w:cstheme="majorBidi"/>
          <w:sz w:val="24"/>
          <w:szCs w:val="24"/>
        </w:rPr>
      </w:pPr>
    </w:p>
    <w:p w:rsidR="004C5A7A" w:rsidRDefault="004C5A7A" w:rsidP="00493E4F">
      <w:pPr>
        <w:spacing w:line="360" w:lineRule="auto"/>
        <w:jc w:val="both"/>
        <w:rPr>
          <w:rFonts w:asciiTheme="majorBidi" w:hAnsiTheme="majorBidi" w:cstheme="majorBidi"/>
          <w:sz w:val="24"/>
          <w:szCs w:val="24"/>
        </w:rPr>
      </w:pPr>
    </w:p>
    <w:p w:rsidR="004C5A7A" w:rsidRDefault="004C5A7A" w:rsidP="00493E4F">
      <w:pPr>
        <w:spacing w:line="360" w:lineRule="auto"/>
        <w:jc w:val="both"/>
        <w:rPr>
          <w:rFonts w:asciiTheme="majorBidi" w:hAnsiTheme="majorBidi" w:cstheme="majorBidi"/>
          <w:sz w:val="24"/>
          <w:szCs w:val="24"/>
        </w:rPr>
      </w:pPr>
    </w:p>
    <w:p w:rsidR="004C5A7A" w:rsidRDefault="004C5A7A" w:rsidP="00493E4F">
      <w:pPr>
        <w:spacing w:line="360" w:lineRule="auto"/>
        <w:jc w:val="both"/>
        <w:rPr>
          <w:rFonts w:asciiTheme="majorBidi" w:hAnsiTheme="majorBidi" w:cstheme="majorBidi"/>
          <w:sz w:val="24"/>
          <w:szCs w:val="24"/>
        </w:rPr>
      </w:pPr>
    </w:p>
    <w:p w:rsidR="004C5A7A" w:rsidRPr="004C5A7A" w:rsidRDefault="004C5A7A" w:rsidP="00493E4F">
      <w:pPr>
        <w:spacing w:line="360" w:lineRule="auto"/>
        <w:jc w:val="both"/>
        <w:rPr>
          <w:rFonts w:asciiTheme="majorBidi" w:hAnsiTheme="majorBidi" w:cstheme="majorBidi"/>
          <w:b/>
          <w:bCs/>
          <w:sz w:val="28"/>
          <w:szCs w:val="28"/>
        </w:rPr>
      </w:pPr>
      <w:r>
        <w:rPr>
          <w:rFonts w:asciiTheme="majorBidi" w:hAnsiTheme="majorBidi" w:cstheme="majorBidi"/>
          <w:b/>
          <w:bCs/>
          <w:sz w:val="28"/>
          <w:szCs w:val="28"/>
        </w:rPr>
        <w:lastRenderedPageBreak/>
        <w:t xml:space="preserve">Chapter 4: Results </w:t>
      </w:r>
    </w:p>
    <w:p w:rsidR="00493E4F" w:rsidRPr="002D6402" w:rsidRDefault="00493E4F" w:rsidP="00493E4F">
      <w:pPr>
        <w:spacing w:line="480" w:lineRule="auto"/>
        <w:jc w:val="both"/>
        <w:rPr>
          <w:rFonts w:asciiTheme="majorBidi" w:hAnsiTheme="majorBidi" w:cstheme="majorBidi"/>
          <w:sz w:val="24"/>
          <w:szCs w:val="24"/>
        </w:rPr>
      </w:pPr>
      <w:r w:rsidRPr="002D6402">
        <w:rPr>
          <w:rFonts w:asciiTheme="majorBidi" w:hAnsiTheme="majorBidi" w:cstheme="majorBidi"/>
          <w:sz w:val="24"/>
          <w:szCs w:val="24"/>
        </w:rPr>
        <w:t>Data analysis is a crucial part of every research since it generates new data that has been gathered by the researcher. The analysis must be compatible with the methodology and seeks to interpret the hypotheses suggested. This chapter can be divided into two broad sections the descriptive representation of all the data and the in-depth analysis of the correlations between various independent and dependent variables. The software of choice was SPSS which allows both types of interpretation as well as the graphical representation of any meaningful findings. The questionnaire was administered and a total of 153 participants gave full and viable entries.</w:t>
      </w:r>
    </w:p>
    <w:p w:rsidR="00493E4F" w:rsidRPr="009B587A" w:rsidRDefault="00493E4F" w:rsidP="00493E4F">
      <w:pPr>
        <w:spacing w:line="480" w:lineRule="auto"/>
        <w:jc w:val="both"/>
        <w:rPr>
          <w:rFonts w:asciiTheme="majorBidi" w:hAnsiTheme="majorBidi" w:cstheme="majorBidi"/>
          <w:sz w:val="24"/>
          <w:szCs w:val="24"/>
        </w:rPr>
      </w:pPr>
      <w:r w:rsidRPr="009B587A">
        <w:rPr>
          <w:rFonts w:asciiTheme="majorBidi" w:hAnsiTheme="majorBidi" w:cstheme="majorBidi"/>
          <w:sz w:val="24"/>
          <w:szCs w:val="24"/>
        </w:rPr>
        <w:t xml:space="preserve">4.1 Descriptive Analysis </w:t>
      </w:r>
    </w:p>
    <w:p w:rsidR="00493E4F" w:rsidRDefault="00493E4F" w:rsidP="00493E4F">
      <w:pPr>
        <w:spacing w:line="480" w:lineRule="auto"/>
        <w:jc w:val="both"/>
        <w:rPr>
          <w:rFonts w:asciiTheme="majorBidi" w:hAnsiTheme="majorBidi" w:cstheme="majorBidi"/>
          <w:sz w:val="24"/>
          <w:szCs w:val="24"/>
        </w:rPr>
      </w:pPr>
      <w:r w:rsidRPr="002D6402">
        <w:rPr>
          <w:rFonts w:asciiTheme="majorBidi" w:hAnsiTheme="majorBidi" w:cstheme="majorBidi"/>
          <w:sz w:val="24"/>
          <w:szCs w:val="24"/>
        </w:rPr>
        <w:t>Descriptive analysis is often misunderstood as a simplistic and mandatory inclusion in any research paper. Ho</w:t>
      </w:r>
      <w:r w:rsidR="003000F2">
        <w:rPr>
          <w:rFonts w:asciiTheme="majorBidi" w:hAnsiTheme="majorBidi" w:cstheme="majorBidi"/>
          <w:sz w:val="24"/>
          <w:szCs w:val="24"/>
        </w:rPr>
        <w:t>wever, a comprehensive and well-thought-</w:t>
      </w:r>
      <w:r w:rsidRPr="002D6402">
        <w:rPr>
          <w:rFonts w:asciiTheme="majorBidi" w:hAnsiTheme="majorBidi" w:cstheme="majorBidi"/>
          <w:sz w:val="24"/>
          <w:szCs w:val="24"/>
        </w:rPr>
        <w:t>out descriptive analysis can be essential for any paper (Loeb et al., 2017). It is an accumulation of all the data in a single package that provides a roadmap for analysis. While the literature review provides a representation of previous studies, a descriptive analysis will showcase the particularities of the current study. When properly analyzed, it becomes the basis for in-depth analysis.</w:t>
      </w:r>
    </w:p>
    <w:p w:rsidR="00493E4F" w:rsidRPr="009B587A" w:rsidRDefault="00493E4F" w:rsidP="00493E4F">
      <w:pPr>
        <w:spacing w:line="480" w:lineRule="auto"/>
        <w:jc w:val="both"/>
        <w:rPr>
          <w:rFonts w:asciiTheme="majorBidi" w:hAnsiTheme="majorBidi" w:cstheme="majorBidi"/>
          <w:sz w:val="24"/>
          <w:szCs w:val="24"/>
        </w:rPr>
      </w:pPr>
      <w:r w:rsidRPr="009B587A">
        <w:rPr>
          <w:rFonts w:asciiTheme="majorBidi" w:hAnsiTheme="majorBidi" w:cstheme="majorBidi"/>
          <w:sz w:val="24"/>
          <w:szCs w:val="24"/>
        </w:rPr>
        <w:t>4.1.1 Demographic Data</w:t>
      </w:r>
    </w:p>
    <w:tbl>
      <w:tblPr>
        <w:tblW w:w="655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7"/>
        <w:gridCol w:w="882"/>
        <w:gridCol w:w="1100"/>
        <w:gridCol w:w="968"/>
        <w:gridCol w:w="1317"/>
        <w:gridCol w:w="1389"/>
      </w:tblGrid>
      <w:tr w:rsidR="00493E4F" w:rsidRPr="009B587A" w:rsidTr="00493E4F">
        <w:trPr>
          <w:cantSplit/>
          <w:trHeight w:val="270"/>
          <w:jc w:val="center"/>
        </w:trPr>
        <w:tc>
          <w:tcPr>
            <w:tcW w:w="6553" w:type="dxa"/>
            <w:gridSpan w:val="6"/>
            <w:tcBorders>
              <w:top w:val="nil"/>
              <w:left w:val="nil"/>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9B587A">
              <w:rPr>
                <w:rFonts w:asciiTheme="majorBidi" w:hAnsiTheme="majorBidi" w:cstheme="majorBidi"/>
                <w:b/>
                <w:bCs/>
                <w:color w:val="010205"/>
              </w:rPr>
              <w:t>Gender</w:t>
            </w:r>
          </w:p>
        </w:tc>
      </w:tr>
      <w:tr w:rsidR="00493E4F" w:rsidRPr="009B587A" w:rsidTr="00493E4F">
        <w:trPr>
          <w:cantSplit/>
          <w:trHeight w:val="530"/>
          <w:jc w:val="center"/>
        </w:trPr>
        <w:tc>
          <w:tcPr>
            <w:tcW w:w="1779" w:type="dxa"/>
            <w:gridSpan w:val="2"/>
            <w:tcBorders>
              <w:top w:val="nil"/>
              <w:left w:val="nil"/>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100" w:type="dxa"/>
            <w:tcBorders>
              <w:top w:val="nil"/>
              <w:left w:val="nil"/>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Frequency</w:t>
            </w:r>
          </w:p>
        </w:tc>
        <w:tc>
          <w:tcPr>
            <w:tcW w:w="968"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Percent</w:t>
            </w:r>
          </w:p>
        </w:tc>
        <w:tc>
          <w:tcPr>
            <w:tcW w:w="1317"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Valid Percent</w:t>
            </w:r>
          </w:p>
        </w:tc>
        <w:tc>
          <w:tcPr>
            <w:tcW w:w="1389" w:type="dxa"/>
            <w:tcBorders>
              <w:top w:val="nil"/>
              <w:left w:val="single" w:sz="8" w:space="0" w:color="E0E0E0"/>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Cumulative Percent</w:t>
            </w:r>
          </w:p>
        </w:tc>
      </w:tr>
      <w:tr w:rsidR="00493E4F" w:rsidRPr="009B587A" w:rsidTr="00493E4F">
        <w:trPr>
          <w:cantSplit/>
          <w:trHeight w:val="259"/>
          <w:jc w:val="center"/>
        </w:trPr>
        <w:tc>
          <w:tcPr>
            <w:tcW w:w="897" w:type="dxa"/>
            <w:vMerge w:val="restart"/>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Valid</w:t>
            </w:r>
          </w:p>
        </w:tc>
        <w:tc>
          <w:tcPr>
            <w:tcW w:w="882" w:type="dxa"/>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Male</w:t>
            </w:r>
          </w:p>
        </w:tc>
        <w:tc>
          <w:tcPr>
            <w:tcW w:w="1100" w:type="dxa"/>
            <w:tcBorders>
              <w:top w:val="single" w:sz="8" w:space="0" w:color="152935"/>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85</w:t>
            </w:r>
          </w:p>
        </w:tc>
        <w:tc>
          <w:tcPr>
            <w:tcW w:w="968"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54.5</w:t>
            </w:r>
          </w:p>
        </w:tc>
        <w:tc>
          <w:tcPr>
            <w:tcW w:w="1317"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55.6</w:t>
            </w:r>
          </w:p>
        </w:tc>
        <w:tc>
          <w:tcPr>
            <w:tcW w:w="1389" w:type="dxa"/>
            <w:tcBorders>
              <w:top w:val="single" w:sz="8" w:space="0" w:color="152935"/>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55.6</w:t>
            </w:r>
          </w:p>
        </w:tc>
      </w:tr>
      <w:tr w:rsidR="00493E4F" w:rsidRPr="009B587A" w:rsidTr="00493E4F">
        <w:trPr>
          <w:cantSplit/>
          <w:trHeight w:val="120"/>
          <w:jc w:val="center"/>
        </w:trPr>
        <w:tc>
          <w:tcPr>
            <w:tcW w:w="897"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882"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Female</w:t>
            </w:r>
          </w:p>
        </w:tc>
        <w:tc>
          <w:tcPr>
            <w:tcW w:w="1100"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68</w:t>
            </w:r>
          </w:p>
        </w:tc>
        <w:tc>
          <w:tcPr>
            <w:tcW w:w="9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43.6</w:t>
            </w:r>
          </w:p>
        </w:tc>
        <w:tc>
          <w:tcPr>
            <w:tcW w:w="1317"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44.4</w:t>
            </w:r>
          </w:p>
        </w:tc>
        <w:tc>
          <w:tcPr>
            <w:tcW w:w="1389"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r>
      <w:tr w:rsidR="00493E4F" w:rsidRPr="009B587A" w:rsidTr="00493E4F">
        <w:trPr>
          <w:cantSplit/>
          <w:trHeight w:val="120"/>
          <w:jc w:val="center"/>
        </w:trPr>
        <w:tc>
          <w:tcPr>
            <w:tcW w:w="897"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882"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100"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9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98.1</w:t>
            </w:r>
          </w:p>
        </w:tc>
        <w:tc>
          <w:tcPr>
            <w:tcW w:w="1317"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c>
          <w:tcPr>
            <w:tcW w:w="1389"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trHeight w:val="70"/>
          <w:jc w:val="center"/>
        </w:trPr>
        <w:tc>
          <w:tcPr>
            <w:tcW w:w="1779" w:type="dxa"/>
            <w:gridSpan w:val="2"/>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lastRenderedPageBreak/>
              <w:t>Total</w:t>
            </w:r>
          </w:p>
        </w:tc>
        <w:tc>
          <w:tcPr>
            <w:tcW w:w="1100" w:type="dxa"/>
            <w:tcBorders>
              <w:top w:val="single" w:sz="8" w:space="0" w:color="AEAEAE"/>
              <w:left w:val="nil"/>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968"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c>
          <w:tcPr>
            <w:tcW w:w="131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389" w:type="dxa"/>
            <w:tcBorders>
              <w:top w:val="single" w:sz="8" w:space="0" w:color="AEAEAE"/>
              <w:left w:val="single" w:sz="8" w:space="0" w:color="E0E0E0"/>
              <w:bottom w:val="single" w:sz="8" w:space="0" w:color="152935"/>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bl>
    <w:p w:rsidR="00493E4F" w:rsidRPr="009B587A" w:rsidRDefault="00493E4F" w:rsidP="00493E4F">
      <w:pPr>
        <w:autoSpaceDE w:val="0"/>
        <w:autoSpaceDN w:val="0"/>
        <w:adjustRightInd w:val="0"/>
        <w:spacing w:after="0" w:line="480" w:lineRule="auto"/>
        <w:jc w:val="center"/>
        <w:rPr>
          <w:rFonts w:asciiTheme="majorBidi" w:hAnsiTheme="majorBidi" w:cstheme="majorBidi"/>
          <w:sz w:val="20"/>
          <w:szCs w:val="20"/>
        </w:rPr>
      </w:pPr>
      <w:r w:rsidRPr="009B587A">
        <w:rPr>
          <w:rFonts w:asciiTheme="majorBidi" w:hAnsiTheme="majorBidi" w:cstheme="majorBidi"/>
          <w:sz w:val="20"/>
          <w:szCs w:val="20"/>
        </w:rPr>
        <w:t>Table 1 Gender distribution of participants</w:t>
      </w:r>
    </w:p>
    <w:p w:rsidR="00493E4F"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 xml:space="preserve">The gender distribution between men and women is 55.6% to 44.4% resulting from 85 to 68 participants as seen in Table 1. Even though males were more than females, it is unclear whether or not there is a significant difference between genders.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691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917"/>
        <w:gridCol w:w="1163"/>
        <w:gridCol w:w="1025"/>
        <w:gridCol w:w="1392"/>
        <w:gridCol w:w="1469"/>
      </w:tblGrid>
      <w:tr w:rsidR="00493E4F" w:rsidRPr="009B587A" w:rsidTr="00493E4F">
        <w:trPr>
          <w:cantSplit/>
          <w:jc w:val="center"/>
        </w:trPr>
        <w:tc>
          <w:tcPr>
            <w:tcW w:w="6914" w:type="dxa"/>
            <w:gridSpan w:val="6"/>
            <w:tcBorders>
              <w:top w:val="nil"/>
              <w:left w:val="nil"/>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9B587A">
              <w:rPr>
                <w:rFonts w:asciiTheme="majorBidi" w:hAnsiTheme="majorBidi" w:cstheme="majorBidi"/>
                <w:b/>
                <w:bCs/>
                <w:color w:val="010205"/>
              </w:rPr>
              <w:t>Age</w:t>
            </w:r>
          </w:p>
        </w:tc>
      </w:tr>
      <w:tr w:rsidR="00493E4F" w:rsidRPr="009B587A" w:rsidTr="00493E4F">
        <w:trPr>
          <w:cantSplit/>
          <w:jc w:val="center"/>
        </w:trPr>
        <w:tc>
          <w:tcPr>
            <w:tcW w:w="1865" w:type="dxa"/>
            <w:gridSpan w:val="2"/>
            <w:tcBorders>
              <w:top w:val="nil"/>
              <w:left w:val="nil"/>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163" w:type="dxa"/>
            <w:tcBorders>
              <w:top w:val="nil"/>
              <w:left w:val="nil"/>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Frequency</w:t>
            </w:r>
          </w:p>
        </w:tc>
        <w:tc>
          <w:tcPr>
            <w:tcW w:w="1025"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Valid Percent</w:t>
            </w:r>
          </w:p>
        </w:tc>
        <w:tc>
          <w:tcPr>
            <w:tcW w:w="1469" w:type="dxa"/>
            <w:tcBorders>
              <w:top w:val="nil"/>
              <w:left w:val="single" w:sz="8" w:space="0" w:color="E0E0E0"/>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Cumulative Percent</w:t>
            </w:r>
          </w:p>
        </w:tc>
      </w:tr>
      <w:tr w:rsidR="00493E4F" w:rsidRPr="009B587A" w:rsidTr="00493E4F">
        <w:trPr>
          <w:cantSplit/>
          <w:jc w:val="center"/>
        </w:trPr>
        <w:tc>
          <w:tcPr>
            <w:tcW w:w="948" w:type="dxa"/>
            <w:vMerge w:val="restart"/>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Valid</w:t>
            </w:r>
          </w:p>
        </w:tc>
        <w:tc>
          <w:tcPr>
            <w:tcW w:w="917" w:type="dxa"/>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18-21</w:t>
            </w:r>
          </w:p>
        </w:tc>
        <w:tc>
          <w:tcPr>
            <w:tcW w:w="1163" w:type="dxa"/>
            <w:tcBorders>
              <w:top w:val="single" w:sz="8" w:space="0" w:color="152935"/>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21</w:t>
            </w:r>
          </w:p>
        </w:tc>
        <w:tc>
          <w:tcPr>
            <w:tcW w:w="1025"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13.5</w:t>
            </w:r>
          </w:p>
        </w:tc>
        <w:tc>
          <w:tcPr>
            <w:tcW w:w="1392"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13.7</w:t>
            </w:r>
          </w:p>
        </w:tc>
        <w:tc>
          <w:tcPr>
            <w:tcW w:w="1469" w:type="dxa"/>
            <w:tcBorders>
              <w:top w:val="single" w:sz="8" w:space="0" w:color="152935"/>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13.7</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91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22-30</w:t>
            </w:r>
          </w:p>
        </w:tc>
        <w:tc>
          <w:tcPr>
            <w:tcW w:w="1163"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62</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39.7</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40.5</w:t>
            </w:r>
          </w:p>
        </w:tc>
        <w:tc>
          <w:tcPr>
            <w:tcW w:w="1469"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54.2</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91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31-40</w:t>
            </w:r>
          </w:p>
        </w:tc>
        <w:tc>
          <w:tcPr>
            <w:tcW w:w="1163"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50</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32.1</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32.7</w:t>
            </w:r>
          </w:p>
        </w:tc>
        <w:tc>
          <w:tcPr>
            <w:tcW w:w="1469"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86.9</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91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40+</w:t>
            </w:r>
          </w:p>
        </w:tc>
        <w:tc>
          <w:tcPr>
            <w:tcW w:w="1163"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20</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12.8</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13.1</w:t>
            </w:r>
          </w:p>
        </w:tc>
        <w:tc>
          <w:tcPr>
            <w:tcW w:w="1469"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91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163"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98.1</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c>
          <w:tcPr>
            <w:tcW w:w="1469"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1865" w:type="dxa"/>
            <w:gridSpan w:val="2"/>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163" w:type="dxa"/>
            <w:tcBorders>
              <w:top w:val="single" w:sz="8" w:space="0" w:color="AEAEAE"/>
              <w:left w:val="nil"/>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1025"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9" w:type="dxa"/>
            <w:tcBorders>
              <w:top w:val="single" w:sz="8" w:space="0" w:color="AEAEAE"/>
              <w:left w:val="single" w:sz="8" w:space="0" w:color="E0E0E0"/>
              <w:bottom w:val="single" w:sz="8" w:space="0" w:color="152935"/>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bl>
    <w:p w:rsidR="00493E4F" w:rsidRPr="009B587A" w:rsidRDefault="00493E4F" w:rsidP="00493E4F">
      <w:pPr>
        <w:autoSpaceDE w:val="0"/>
        <w:autoSpaceDN w:val="0"/>
        <w:adjustRightInd w:val="0"/>
        <w:spacing w:after="0" w:line="480" w:lineRule="auto"/>
        <w:jc w:val="center"/>
        <w:rPr>
          <w:rFonts w:asciiTheme="majorBidi" w:hAnsiTheme="majorBidi" w:cstheme="majorBidi"/>
          <w:sz w:val="20"/>
          <w:szCs w:val="20"/>
        </w:rPr>
      </w:pPr>
      <w:r w:rsidRPr="009B587A">
        <w:rPr>
          <w:rFonts w:asciiTheme="majorBidi" w:hAnsiTheme="majorBidi" w:cstheme="majorBidi"/>
          <w:sz w:val="20"/>
          <w:szCs w:val="20"/>
        </w:rPr>
        <w:t>Table 2 Age distribution of participants</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2D6402">
        <w:rPr>
          <w:rFonts w:asciiTheme="majorBidi" w:hAnsiTheme="majorBidi" w:cstheme="majorBidi"/>
          <w:sz w:val="24"/>
          <w:szCs w:val="24"/>
        </w:rPr>
        <w:t xml:space="preserve">The most common age groups </w:t>
      </w:r>
      <w:r w:rsidR="00992330">
        <w:rPr>
          <w:rFonts w:asciiTheme="majorBidi" w:hAnsiTheme="majorBidi" w:cstheme="majorBidi"/>
          <w:sz w:val="24"/>
          <w:szCs w:val="24"/>
        </w:rPr>
        <w:t>are the 22-30 at 40.5% and 31-40</w:t>
      </w:r>
      <w:r w:rsidRPr="002D6402">
        <w:rPr>
          <w:rFonts w:asciiTheme="majorBidi" w:hAnsiTheme="majorBidi" w:cstheme="majorBidi"/>
          <w:sz w:val="24"/>
          <w:szCs w:val="24"/>
        </w:rPr>
        <w:t xml:space="preserve"> at 32.7%. These figures in Table 2 include the newly graduated and those who are at the height of their professional careers. They are more likely to have bank accounts because they have mortgages and loans. Furthermore, they belong to the generation where employers paid their employees through banks. The younger generation is less likely to be fully employed and thus does not need a bank account.</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69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963"/>
        <w:gridCol w:w="1163"/>
        <w:gridCol w:w="1024"/>
        <w:gridCol w:w="1393"/>
        <w:gridCol w:w="1469"/>
      </w:tblGrid>
      <w:tr w:rsidR="00493E4F" w:rsidRPr="009B587A" w:rsidTr="00493E4F">
        <w:trPr>
          <w:cantSplit/>
          <w:jc w:val="center"/>
        </w:trPr>
        <w:tc>
          <w:tcPr>
            <w:tcW w:w="6960" w:type="dxa"/>
            <w:gridSpan w:val="6"/>
            <w:tcBorders>
              <w:top w:val="nil"/>
              <w:left w:val="nil"/>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9B587A">
              <w:rPr>
                <w:rFonts w:asciiTheme="majorBidi" w:hAnsiTheme="majorBidi" w:cstheme="majorBidi"/>
                <w:b/>
                <w:bCs/>
                <w:color w:val="010205"/>
              </w:rPr>
              <w:lastRenderedPageBreak/>
              <w:t>EL</w:t>
            </w:r>
          </w:p>
        </w:tc>
      </w:tr>
      <w:tr w:rsidR="00493E4F" w:rsidRPr="009B587A" w:rsidTr="00493E4F">
        <w:trPr>
          <w:cantSplit/>
          <w:jc w:val="center"/>
        </w:trPr>
        <w:tc>
          <w:tcPr>
            <w:tcW w:w="1911" w:type="dxa"/>
            <w:gridSpan w:val="2"/>
            <w:tcBorders>
              <w:top w:val="nil"/>
              <w:left w:val="nil"/>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163" w:type="dxa"/>
            <w:tcBorders>
              <w:top w:val="nil"/>
              <w:left w:val="nil"/>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Percent</w:t>
            </w:r>
          </w:p>
        </w:tc>
        <w:tc>
          <w:tcPr>
            <w:tcW w:w="1393"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Valid Percent</w:t>
            </w:r>
          </w:p>
        </w:tc>
        <w:tc>
          <w:tcPr>
            <w:tcW w:w="1469" w:type="dxa"/>
            <w:tcBorders>
              <w:top w:val="nil"/>
              <w:left w:val="single" w:sz="8" w:space="0" w:color="E0E0E0"/>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Cumulative Percent</w:t>
            </w:r>
          </w:p>
        </w:tc>
      </w:tr>
      <w:tr w:rsidR="00493E4F" w:rsidRPr="009B587A" w:rsidTr="00493E4F">
        <w:trPr>
          <w:cantSplit/>
          <w:jc w:val="center"/>
        </w:trPr>
        <w:tc>
          <w:tcPr>
            <w:tcW w:w="948" w:type="dxa"/>
            <w:vMerge w:val="restart"/>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Valid</w:t>
            </w:r>
          </w:p>
        </w:tc>
        <w:tc>
          <w:tcPr>
            <w:tcW w:w="963" w:type="dxa"/>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School</w:t>
            </w:r>
          </w:p>
        </w:tc>
        <w:tc>
          <w:tcPr>
            <w:tcW w:w="1163" w:type="dxa"/>
            <w:tcBorders>
              <w:top w:val="single" w:sz="8" w:space="0" w:color="152935"/>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14</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9.0</w:t>
            </w:r>
          </w:p>
        </w:tc>
        <w:tc>
          <w:tcPr>
            <w:tcW w:w="1393"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9.2</w:t>
            </w:r>
          </w:p>
        </w:tc>
        <w:tc>
          <w:tcPr>
            <w:tcW w:w="1469" w:type="dxa"/>
            <w:tcBorders>
              <w:top w:val="single" w:sz="8" w:space="0" w:color="152935"/>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9.2</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963"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License</w:t>
            </w:r>
          </w:p>
        </w:tc>
        <w:tc>
          <w:tcPr>
            <w:tcW w:w="1163"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82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52.6</w:t>
            </w:r>
          </w:p>
        </w:tc>
        <w:tc>
          <w:tcPr>
            <w:tcW w:w="1393"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53.6</w:t>
            </w:r>
          </w:p>
        </w:tc>
        <w:tc>
          <w:tcPr>
            <w:tcW w:w="1469"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62.7</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963"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Masters</w:t>
            </w:r>
          </w:p>
        </w:tc>
        <w:tc>
          <w:tcPr>
            <w:tcW w:w="1163"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32.1</w:t>
            </w:r>
          </w:p>
        </w:tc>
        <w:tc>
          <w:tcPr>
            <w:tcW w:w="1393"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32.7</w:t>
            </w:r>
          </w:p>
        </w:tc>
        <w:tc>
          <w:tcPr>
            <w:tcW w:w="1469"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95.4</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963"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PhD</w:t>
            </w:r>
          </w:p>
        </w:tc>
        <w:tc>
          <w:tcPr>
            <w:tcW w:w="1163"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4.5</w:t>
            </w:r>
          </w:p>
        </w:tc>
        <w:tc>
          <w:tcPr>
            <w:tcW w:w="1393"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4.6</w:t>
            </w:r>
          </w:p>
        </w:tc>
        <w:tc>
          <w:tcPr>
            <w:tcW w:w="1469"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963"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163"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98.1</w:t>
            </w:r>
          </w:p>
        </w:tc>
        <w:tc>
          <w:tcPr>
            <w:tcW w:w="1393"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c>
          <w:tcPr>
            <w:tcW w:w="1469"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1911" w:type="dxa"/>
            <w:gridSpan w:val="2"/>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163" w:type="dxa"/>
            <w:tcBorders>
              <w:top w:val="single" w:sz="8" w:space="0" w:color="AEAEAE"/>
              <w:left w:val="nil"/>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c>
          <w:tcPr>
            <w:tcW w:w="1393"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9" w:type="dxa"/>
            <w:tcBorders>
              <w:top w:val="single" w:sz="8" w:space="0" w:color="AEAEAE"/>
              <w:left w:val="single" w:sz="8" w:space="0" w:color="E0E0E0"/>
              <w:bottom w:val="single" w:sz="8" w:space="0" w:color="152935"/>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bl>
    <w:p w:rsidR="00493E4F" w:rsidRPr="009B587A" w:rsidRDefault="00493E4F" w:rsidP="00493E4F">
      <w:pPr>
        <w:autoSpaceDE w:val="0"/>
        <w:autoSpaceDN w:val="0"/>
        <w:adjustRightInd w:val="0"/>
        <w:spacing w:after="0" w:line="480" w:lineRule="auto"/>
        <w:jc w:val="center"/>
        <w:rPr>
          <w:rFonts w:asciiTheme="majorBidi" w:hAnsiTheme="majorBidi" w:cstheme="majorBidi"/>
          <w:sz w:val="20"/>
          <w:szCs w:val="20"/>
        </w:rPr>
      </w:pPr>
      <w:r w:rsidRPr="009B587A">
        <w:rPr>
          <w:rFonts w:asciiTheme="majorBidi" w:hAnsiTheme="majorBidi" w:cstheme="majorBidi"/>
          <w:sz w:val="20"/>
          <w:szCs w:val="20"/>
        </w:rPr>
        <w:t>Table 3 Educational level of participants</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The majority of the sample has a license or college degree (53.6%) followed by Masters</w:t>
      </w:r>
      <w:r w:rsidR="003000F2">
        <w:rPr>
          <w:rFonts w:asciiTheme="majorBidi" w:hAnsiTheme="majorBidi" w:cstheme="majorBidi"/>
          <w:sz w:val="24"/>
          <w:szCs w:val="24"/>
        </w:rPr>
        <w:t>’s</w:t>
      </w:r>
      <w:r w:rsidRPr="009B587A">
        <w:rPr>
          <w:rFonts w:asciiTheme="majorBidi" w:hAnsiTheme="majorBidi" w:cstheme="majorBidi"/>
          <w:sz w:val="24"/>
          <w:szCs w:val="24"/>
        </w:rPr>
        <w:t xml:space="preserve"> holders (32.7%) as seen in Table 3. This indicates that the participants are highly educated and informed.</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813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2142"/>
        <w:gridCol w:w="1162"/>
        <w:gridCol w:w="1024"/>
        <w:gridCol w:w="1393"/>
        <w:gridCol w:w="1469"/>
      </w:tblGrid>
      <w:tr w:rsidR="00493E4F" w:rsidRPr="009B587A" w:rsidTr="00493E4F">
        <w:trPr>
          <w:cantSplit/>
          <w:jc w:val="center"/>
        </w:trPr>
        <w:tc>
          <w:tcPr>
            <w:tcW w:w="8138" w:type="dxa"/>
            <w:gridSpan w:val="6"/>
            <w:tcBorders>
              <w:top w:val="nil"/>
              <w:left w:val="nil"/>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9B587A">
              <w:rPr>
                <w:rFonts w:asciiTheme="majorBidi" w:hAnsiTheme="majorBidi" w:cstheme="majorBidi"/>
                <w:b/>
                <w:bCs/>
                <w:color w:val="010205"/>
              </w:rPr>
              <w:t>Income</w:t>
            </w:r>
          </w:p>
        </w:tc>
      </w:tr>
      <w:tr w:rsidR="00493E4F" w:rsidRPr="009B587A" w:rsidTr="00493E4F">
        <w:trPr>
          <w:cantSplit/>
          <w:jc w:val="center"/>
        </w:trPr>
        <w:tc>
          <w:tcPr>
            <w:tcW w:w="3090" w:type="dxa"/>
            <w:gridSpan w:val="2"/>
            <w:tcBorders>
              <w:top w:val="nil"/>
              <w:left w:val="nil"/>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162" w:type="dxa"/>
            <w:tcBorders>
              <w:top w:val="nil"/>
              <w:left w:val="nil"/>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Percent</w:t>
            </w:r>
          </w:p>
        </w:tc>
        <w:tc>
          <w:tcPr>
            <w:tcW w:w="1393"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Valid Percent</w:t>
            </w:r>
          </w:p>
        </w:tc>
        <w:tc>
          <w:tcPr>
            <w:tcW w:w="1469" w:type="dxa"/>
            <w:tcBorders>
              <w:top w:val="nil"/>
              <w:left w:val="single" w:sz="8" w:space="0" w:color="E0E0E0"/>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Cumulative Percent</w:t>
            </w:r>
          </w:p>
        </w:tc>
      </w:tr>
      <w:tr w:rsidR="00493E4F" w:rsidRPr="009B587A" w:rsidTr="00493E4F">
        <w:trPr>
          <w:cantSplit/>
          <w:jc w:val="center"/>
        </w:trPr>
        <w:tc>
          <w:tcPr>
            <w:tcW w:w="948" w:type="dxa"/>
            <w:vMerge w:val="restart"/>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Valid</w:t>
            </w:r>
          </w:p>
        </w:tc>
        <w:tc>
          <w:tcPr>
            <w:tcW w:w="2142" w:type="dxa"/>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675,000</w:t>
            </w:r>
          </w:p>
        </w:tc>
        <w:tc>
          <w:tcPr>
            <w:tcW w:w="1162" w:type="dxa"/>
            <w:tcBorders>
              <w:top w:val="single" w:sz="8" w:space="0" w:color="152935"/>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22</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14.1</w:t>
            </w:r>
          </w:p>
        </w:tc>
        <w:tc>
          <w:tcPr>
            <w:tcW w:w="1393"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14.4</w:t>
            </w:r>
          </w:p>
        </w:tc>
        <w:tc>
          <w:tcPr>
            <w:tcW w:w="1469" w:type="dxa"/>
            <w:tcBorders>
              <w:top w:val="single" w:sz="8" w:space="0" w:color="152935"/>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14.4</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2142"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675,001-2,250,000</w:t>
            </w:r>
          </w:p>
        </w:tc>
        <w:tc>
          <w:tcPr>
            <w:tcW w:w="1162"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77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49.4</w:t>
            </w:r>
          </w:p>
        </w:tc>
        <w:tc>
          <w:tcPr>
            <w:tcW w:w="1393"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50.3</w:t>
            </w:r>
          </w:p>
        </w:tc>
        <w:tc>
          <w:tcPr>
            <w:tcW w:w="1469"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64.7</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2142"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2,251,000-3,3750,000</w:t>
            </w:r>
          </w:p>
        </w:tc>
        <w:tc>
          <w:tcPr>
            <w:tcW w:w="1162"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24</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15.4</w:t>
            </w:r>
          </w:p>
        </w:tc>
        <w:tc>
          <w:tcPr>
            <w:tcW w:w="1393"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15.7</w:t>
            </w:r>
          </w:p>
        </w:tc>
        <w:tc>
          <w:tcPr>
            <w:tcW w:w="1469"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80.4</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2142"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3,751,000+</w:t>
            </w:r>
          </w:p>
        </w:tc>
        <w:tc>
          <w:tcPr>
            <w:tcW w:w="1162"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19.2</w:t>
            </w:r>
          </w:p>
        </w:tc>
        <w:tc>
          <w:tcPr>
            <w:tcW w:w="1393"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19.6</w:t>
            </w:r>
          </w:p>
        </w:tc>
        <w:tc>
          <w:tcPr>
            <w:tcW w:w="1469"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2142"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162"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98.1</w:t>
            </w:r>
          </w:p>
        </w:tc>
        <w:tc>
          <w:tcPr>
            <w:tcW w:w="1393"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c>
          <w:tcPr>
            <w:tcW w:w="1469"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3090" w:type="dxa"/>
            <w:gridSpan w:val="2"/>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c>
          <w:tcPr>
            <w:tcW w:w="1393"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9" w:type="dxa"/>
            <w:tcBorders>
              <w:top w:val="single" w:sz="8" w:space="0" w:color="AEAEAE"/>
              <w:left w:val="single" w:sz="8" w:space="0" w:color="E0E0E0"/>
              <w:bottom w:val="single" w:sz="8" w:space="0" w:color="152935"/>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bl>
    <w:p w:rsidR="00493E4F" w:rsidRPr="009B587A" w:rsidRDefault="00493E4F" w:rsidP="00493E4F">
      <w:pPr>
        <w:autoSpaceDE w:val="0"/>
        <w:autoSpaceDN w:val="0"/>
        <w:adjustRightInd w:val="0"/>
        <w:spacing w:after="0" w:line="480" w:lineRule="auto"/>
        <w:jc w:val="center"/>
        <w:rPr>
          <w:rFonts w:asciiTheme="majorBidi" w:hAnsiTheme="majorBidi" w:cstheme="majorBidi"/>
          <w:sz w:val="20"/>
          <w:szCs w:val="20"/>
        </w:rPr>
      </w:pPr>
      <w:r w:rsidRPr="009B587A">
        <w:rPr>
          <w:rFonts w:asciiTheme="majorBidi" w:hAnsiTheme="majorBidi" w:cstheme="majorBidi"/>
          <w:sz w:val="20"/>
          <w:szCs w:val="20"/>
        </w:rPr>
        <w:t>Table 4 Income of participants</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lastRenderedPageBreak/>
        <w:t>The highest percentile belongs to income level 675,001 – 2,250,000 at 49.4% according to Table 4. The tough economic situation makes it unlikely that even a highly educated sample such as the participants will</w:t>
      </w:r>
      <w:r>
        <w:rPr>
          <w:rFonts w:asciiTheme="majorBidi" w:hAnsiTheme="majorBidi" w:cstheme="majorBidi"/>
          <w:sz w:val="24"/>
          <w:szCs w:val="24"/>
        </w:rPr>
        <w:t xml:space="preserve"> be able to make a high income.</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691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917"/>
        <w:gridCol w:w="1163"/>
        <w:gridCol w:w="1025"/>
        <w:gridCol w:w="1392"/>
        <w:gridCol w:w="1469"/>
      </w:tblGrid>
      <w:tr w:rsidR="00493E4F" w:rsidRPr="009B587A" w:rsidTr="00493E4F">
        <w:trPr>
          <w:cantSplit/>
          <w:jc w:val="center"/>
        </w:trPr>
        <w:tc>
          <w:tcPr>
            <w:tcW w:w="6914" w:type="dxa"/>
            <w:gridSpan w:val="6"/>
            <w:tcBorders>
              <w:top w:val="nil"/>
              <w:left w:val="nil"/>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9B587A">
              <w:rPr>
                <w:rFonts w:asciiTheme="majorBidi" w:hAnsiTheme="majorBidi" w:cstheme="majorBidi"/>
                <w:b/>
                <w:bCs/>
                <w:color w:val="010205"/>
              </w:rPr>
              <w:t>DEA</w:t>
            </w:r>
          </w:p>
        </w:tc>
      </w:tr>
      <w:tr w:rsidR="00493E4F" w:rsidRPr="009B587A" w:rsidTr="00493E4F">
        <w:trPr>
          <w:cantSplit/>
          <w:jc w:val="center"/>
        </w:trPr>
        <w:tc>
          <w:tcPr>
            <w:tcW w:w="1865" w:type="dxa"/>
            <w:gridSpan w:val="2"/>
            <w:tcBorders>
              <w:top w:val="nil"/>
              <w:left w:val="nil"/>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163" w:type="dxa"/>
            <w:tcBorders>
              <w:top w:val="nil"/>
              <w:left w:val="nil"/>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Frequency</w:t>
            </w:r>
          </w:p>
        </w:tc>
        <w:tc>
          <w:tcPr>
            <w:tcW w:w="1025"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Valid Percent</w:t>
            </w:r>
          </w:p>
        </w:tc>
        <w:tc>
          <w:tcPr>
            <w:tcW w:w="1469" w:type="dxa"/>
            <w:tcBorders>
              <w:top w:val="nil"/>
              <w:left w:val="single" w:sz="8" w:space="0" w:color="E0E0E0"/>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Cumulative Percent</w:t>
            </w:r>
          </w:p>
        </w:tc>
      </w:tr>
      <w:tr w:rsidR="00493E4F" w:rsidRPr="009B587A" w:rsidTr="00493E4F">
        <w:trPr>
          <w:cantSplit/>
          <w:jc w:val="center"/>
        </w:trPr>
        <w:tc>
          <w:tcPr>
            <w:tcW w:w="948" w:type="dxa"/>
            <w:vMerge w:val="restart"/>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Valid</w:t>
            </w:r>
          </w:p>
        </w:tc>
        <w:tc>
          <w:tcPr>
            <w:tcW w:w="917" w:type="dxa"/>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&lt;year</w:t>
            </w:r>
          </w:p>
        </w:tc>
        <w:tc>
          <w:tcPr>
            <w:tcW w:w="1163" w:type="dxa"/>
            <w:tcBorders>
              <w:top w:val="single" w:sz="8" w:space="0" w:color="152935"/>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22</w:t>
            </w:r>
          </w:p>
        </w:tc>
        <w:tc>
          <w:tcPr>
            <w:tcW w:w="1025"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14.1</w:t>
            </w:r>
          </w:p>
        </w:tc>
        <w:tc>
          <w:tcPr>
            <w:tcW w:w="1392"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14.4</w:t>
            </w:r>
          </w:p>
        </w:tc>
        <w:tc>
          <w:tcPr>
            <w:tcW w:w="1469" w:type="dxa"/>
            <w:tcBorders>
              <w:top w:val="single" w:sz="8" w:space="0" w:color="152935"/>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14.4</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91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1-3</w:t>
            </w:r>
          </w:p>
        </w:tc>
        <w:tc>
          <w:tcPr>
            <w:tcW w:w="1163"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77</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49.4</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50.3</w:t>
            </w:r>
          </w:p>
        </w:tc>
        <w:tc>
          <w:tcPr>
            <w:tcW w:w="1469"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64.7</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91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4-7</w:t>
            </w:r>
          </w:p>
        </w:tc>
        <w:tc>
          <w:tcPr>
            <w:tcW w:w="1163"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24</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15.4</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15.7</w:t>
            </w:r>
          </w:p>
        </w:tc>
        <w:tc>
          <w:tcPr>
            <w:tcW w:w="1469"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80.4</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91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&gt;8</w:t>
            </w:r>
          </w:p>
        </w:tc>
        <w:tc>
          <w:tcPr>
            <w:tcW w:w="1163"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30</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19.2</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19.6</w:t>
            </w:r>
          </w:p>
        </w:tc>
        <w:tc>
          <w:tcPr>
            <w:tcW w:w="1469"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91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163"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98.1</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c>
          <w:tcPr>
            <w:tcW w:w="1469"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1865" w:type="dxa"/>
            <w:gridSpan w:val="2"/>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163" w:type="dxa"/>
            <w:tcBorders>
              <w:top w:val="single" w:sz="8" w:space="0" w:color="AEAEAE"/>
              <w:left w:val="nil"/>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1025"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9" w:type="dxa"/>
            <w:tcBorders>
              <w:top w:val="single" w:sz="8" w:space="0" w:color="AEAEAE"/>
              <w:left w:val="single" w:sz="8" w:space="0" w:color="E0E0E0"/>
              <w:bottom w:val="single" w:sz="8" w:space="0" w:color="152935"/>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bl>
    <w:p w:rsidR="00493E4F" w:rsidRPr="009B587A" w:rsidRDefault="00493E4F" w:rsidP="00493E4F">
      <w:pPr>
        <w:autoSpaceDE w:val="0"/>
        <w:autoSpaceDN w:val="0"/>
        <w:adjustRightInd w:val="0"/>
        <w:spacing w:after="0" w:line="480" w:lineRule="auto"/>
        <w:jc w:val="center"/>
        <w:rPr>
          <w:rFonts w:asciiTheme="majorBidi" w:hAnsiTheme="majorBidi" w:cstheme="majorBidi"/>
          <w:sz w:val="20"/>
          <w:szCs w:val="20"/>
        </w:rPr>
      </w:pPr>
      <w:r w:rsidRPr="009B587A">
        <w:rPr>
          <w:rFonts w:asciiTheme="majorBidi" w:hAnsiTheme="majorBidi" w:cstheme="majorBidi"/>
          <w:sz w:val="20"/>
          <w:szCs w:val="20"/>
        </w:rPr>
        <w:t>Table 5 Duration of electronic bank account</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The most common answer for the duration of an electronic bank account is between 1 – 3 years (49.4%) as indicated in Table 5. This could be indicative that electronic banking hadn’t inspired much trust or attraction to users before this time. Surprisingly, only 14.4% of participants claimed to have opened a new electronic account in the last year when it would have been logical to expect it to be higher due to the restrictions of COVID-19. However, this low figure can be attributed to the lack of satisfaction and trust in Lebanese banks.</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In summary, the demographic population profile is of highly educated young individuals who can be said to constitute the lower middle class in Lebanon and most frequently use e-banking 2 – 3 times a week. There is no distinctive evidence of gender bias in this preliminary stage.</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 xml:space="preserve">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691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917"/>
        <w:gridCol w:w="1163"/>
        <w:gridCol w:w="1025"/>
        <w:gridCol w:w="1392"/>
        <w:gridCol w:w="1469"/>
      </w:tblGrid>
      <w:tr w:rsidR="00493E4F" w:rsidRPr="009B587A" w:rsidTr="00493E4F">
        <w:trPr>
          <w:cantSplit/>
          <w:jc w:val="center"/>
        </w:trPr>
        <w:tc>
          <w:tcPr>
            <w:tcW w:w="6914" w:type="dxa"/>
            <w:gridSpan w:val="6"/>
            <w:tcBorders>
              <w:top w:val="nil"/>
              <w:left w:val="nil"/>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9B587A">
              <w:rPr>
                <w:rFonts w:asciiTheme="majorBidi" w:hAnsiTheme="majorBidi" w:cstheme="majorBidi"/>
                <w:b/>
                <w:bCs/>
                <w:color w:val="010205"/>
              </w:rPr>
              <w:t>FoU</w:t>
            </w:r>
          </w:p>
        </w:tc>
      </w:tr>
      <w:tr w:rsidR="00493E4F" w:rsidRPr="009B587A" w:rsidTr="00493E4F">
        <w:trPr>
          <w:cantSplit/>
          <w:jc w:val="center"/>
        </w:trPr>
        <w:tc>
          <w:tcPr>
            <w:tcW w:w="1865" w:type="dxa"/>
            <w:gridSpan w:val="2"/>
            <w:tcBorders>
              <w:top w:val="nil"/>
              <w:left w:val="nil"/>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163" w:type="dxa"/>
            <w:tcBorders>
              <w:top w:val="nil"/>
              <w:left w:val="nil"/>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Frequency</w:t>
            </w:r>
          </w:p>
        </w:tc>
        <w:tc>
          <w:tcPr>
            <w:tcW w:w="1025"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Valid Percent</w:t>
            </w:r>
          </w:p>
        </w:tc>
        <w:tc>
          <w:tcPr>
            <w:tcW w:w="1469" w:type="dxa"/>
            <w:tcBorders>
              <w:top w:val="nil"/>
              <w:left w:val="single" w:sz="8" w:space="0" w:color="E0E0E0"/>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Cumulative Percent</w:t>
            </w:r>
          </w:p>
        </w:tc>
      </w:tr>
      <w:tr w:rsidR="00493E4F" w:rsidRPr="009B587A" w:rsidTr="00493E4F">
        <w:trPr>
          <w:cantSplit/>
          <w:jc w:val="center"/>
        </w:trPr>
        <w:tc>
          <w:tcPr>
            <w:tcW w:w="948" w:type="dxa"/>
            <w:vMerge w:val="restart"/>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Valid</w:t>
            </w:r>
          </w:p>
        </w:tc>
        <w:tc>
          <w:tcPr>
            <w:tcW w:w="917" w:type="dxa"/>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0-1</w:t>
            </w:r>
          </w:p>
        </w:tc>
        <w:tc>
          <w:tcPr>
            <w:tcW w:w="1163" w:type="dxa"/>
            <w:tcBorders>
              <w:top w:val="single" w:sz="8" w:space="0" w:color="152935"/>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57</w:t>
            </w:r>
          </w:p>
        </w:tc>
        <w:tc>
          <w:tcPr>
            <w:tcW w:w="1025"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36.5</w:t>
            </w:r>
          </w:p>
        </w:tc>
        <w:tc>
          <w:tcPr>
            <w:tcW w:w="1392"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37.3</w:t>
            </w:r>
          </w:p>
        </w:tc>
        <w:tc>
          <w:tcPr>
            <w:tcW w:w="1469" w:type="dxa"/>
            <w:tcBorders>
              <w:top w:val="single" w:sz="8" w:space="0" w:color="152935"/>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37.3</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91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2-3</w:t>
            </w:r>
          </w:p>
        </w:tc>
        <w:tc>
          <w:tcPr>
            <w:tcW w:w="1163"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74</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47.4</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48.4</w:t>
            </w:r>
          </w:p>
        </w:tc>
        <w:tc>
          <w:tcPr>
            <w:tcW w:w="1469"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85.6</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91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4-5</w:t>
            </w:r>
          </w:p>
        </w:tc>
        <w:tc>
          <w:tcPr>
            <w:tcW w:w="1163"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11</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7.1</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7.2</w:t>
            </w:r>
          </w:p>
        </w:tc>
        <w:tc>
          <w:tcPr>
            <w:tcW w:w="1469"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92.8</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91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Daily</w:t>
            </w:r>
          </w:p>
        </w:tc>
        <w:tc>
          <w:tcPr>
            <w:tcW w:w="1163"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11</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7.1</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7.2</w:t>
            </w:r>
          </w:p>
        </w:tc>
        <w:tc>
          <w:tcPr>
            <w:tcW w:w="1469"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r>
      <w:tr w:rsidR="00493E4F" w:rsidRPr="009B587A" w:rsidTr="00493E4F">
        <w:trPr>
          <w:cantSplit/>
          <w:jc w:val="center"/>
        </w:trPr>
        <w:tc>
          <w:tcPr>
            <w:tcW w:w="948"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91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163"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1025"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98.1</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c>
          <w:tcPr>
            <w:tcW w:w="1469"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1865" w:type="dxa"/>
            <w:gridSpan w:val="2"/>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163" w:type="dxa"/>
            <w:tcBorders>
              <w:top w:val="single" w:sz="8" w:space="0" w:color="AEAEAE"/>
              <w:left w:val="nil"/>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1025"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9" w:type="dxa"/>
            <w:tcBorders>
              <w:top w:val="single" w:sz="8" w:space="0" w:color="AEAEAE"/>
              <w:left w:val="single" w:sz="8" w:space="0" w:color="E0E0E0"/>
              <w:bottom w:val="single" w:sz="8" w:space="0" w:color="152935"/>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bl>
    <w:p w:rsidR="00493E4F" w:rsidRPr="009B587A" w:rsidRDefault="00493E4F" w:rsidP="00493E4F">
      <w:pPr>
        <w:autoSpaceDE w:val="0"/>
        <w:autoSpaceDN w:val="0"/>
        <w:adjustRightInd w:val="0"/>
        <w:spacing w:after="0" w:line="480" w:lineRule="auto"/>
        <w:jc w:val="center"/>
        <w:rPr>
          <w:rFonts w:asciiTheme="majorBidi" w:hAnsiTheme="majorBidi" w:cstheme="majorBidi"/>
          <w:sz w:val="20"/>
          <w:szCs w:val="20"/>
        </w:rPr>
      </w:pPr>
      <w:r w:rsidRPr="009B587A">
        <w:rPr>
          <w:rFonts w:asciiTheme="majorBidi" w:hAnsiTheme="majorBidi" w:cstheme="majorBidi"/>
          <w:sz w:val="20"/>
          <w:szCs w:val="20"/>
        </w:rPr>
        <w:t>Table 6 Frequency of use of electronic banking</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 xml:space="preserve">Most participants use their accounts up to 3 times weekly with a cumulative percentage of 85.6% according to Table 6. This percentage is understandably moderate taking into consideration the financial restrictions and tough economic situation in Lebanon.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818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7"/>
        <w:gridCol w:w="2142"/>
        <w:gridCol w:w="1025"/>
        <w:gridCol w:w="1025"/>
        <w:gridCol w:w="1025"/>
        <w:gridCol w:w="1025"/>
        <w:gridCol w:w="1025"/>
      </w:tblGrid>
      <w:tr w:rsidR="00493E4F" w:rsidRPr="009B587A" w:rsidTr="00493E4F">
        <w:trPr>
          <w:cantSplit/>
          <w:jc w:val="center"/>
        </w:trPr>
        <w:tc>
          <w:tcPr>
            <w:tcW w:w="8178" w:type="dxa"/>
            <w:gridSpan w:val="7"/>
            <w:tcBorders>
              <w:top w:val="nil"/>
              <w:left w:val="nil"/>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9B587A">
              <w:rPr>
                <w:rFonts w:asciiTheme="majorBidi" w:hAnsiTheme="majorBidi" w:cstheme="majorBidi"/>
                <w:b/>
                <w:bCs/>
                <w:color w:val="010205"/>
              </w:rPr>
              <w:t>Income * FoU Cross tabulation</w:t>
            </w:r>
          </w:p>
        </w:tc>
      </w:tr>
      <w:tr w:rsidR="00493E4F" w:rsidRPr="009B587A" w:rsidTr="00493E4F">
        <w:trPr>
          <w:cantSplit/>
          <w:jc w:val="center"/>
        </w:trPr>
        <w:tc>
          <w:tcPr>
            <w:tcW w:w="8178" w:type="dxa"/>
            <w:gridSpan w:val="7"/>
            <w:tcBorders>
              <w:top w:val="nil"/>
              <w:left w:val="nil"/>
              <w:bottom w:val="nil"/>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color w:val="010205"/>
                <w:sz w:val="18"/>
                <w:szCs w:val="18"/>
                <w:shd w:val="clear" w:color="auto" w:fill="FFFFFF"/>
              </w:rPr>
              <w:t xml:space="preserve">Count  </w:t>
            </w:r>
          </w:p>
        </w:tc>
      </w:tr>
      <w:tr w:rsidR="00493E4F" w:rsidRPr="009B587A" w:rsidTr="00493E4F">
        <w:trPr>
          <w:cantSplit/>
          <w:jc w:val="center"/>
        </w:trPr>
        <w:tc>
          <w:tcPr>
            <w:tcW w:w="3058" w:type="dxa"/>
            <w:gridSpan w:val="2"/>
            <w:vMerge w:val="restart"/>
            <w:tcBorders>
              <w:top w:val="nil"/>
              <w:left w:val="nil"/>
              <w:bottom w:val="nil"/>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4096" w:type="dxa"/>
            <w:gridSpan w:val="4"/>
            <w:tcBorders>
              <w:top w:val="nil"/>
              <w:left w:val="nil"/>
              <w:bottom w:val="nil"/>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FoU</w:t>
            </w:r>
          </w:p>
        </w:tc>
        <w:tc>
          <w:tcPr>
            <w:tcW w:w="1024" w:type="dxa"/>
            <w:vMerge w:val="restart"/>
            <w:tcBorders>
              <w:top w:val="nil"/>
              <w:left w:val="single" w:sz="8" w:space="0" w:color="E0E0E0"/>
              <w:bottom w:val="nil"/>
              <w:right w:val="nil"/>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r>
      <w:tr w:rsidR="00493E4F" w:rsidRPr="009B587A" w:rsidTr="00493E4F">
        <w:trPr>
          <w:cantSplit/>
          <w:jc w:val="center"/>
        </w:trPr>
        <w:tc>
          <w:tcPr>
            <w:tcW w:w="3058" w:type="dxa"/>
            <w:gridSpan w:val="2"/>
            <w:vMerge/>
            <w:tcBorders>
              <w:top w:val="nil"/>
              <w:left w:val="nil"/>
              <w:bottom w:val="nil"/>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264A60"/>
                <w:sz w:val="18"/>
                <w:szCs w:val="18"/>
              </w:rPr>
            </w:pPr>
          </w:p>
        </w:tc>
        <w:tc>
          <w:tcPr>
            <w:tcW w:w="1024" w:type="dxa"/>
            <w:tcBorders>
              <w:top w:val="nil"/>
              <w:left w:val="nil"/>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0-1</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2-3</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4-5</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Daily</w:t>
            </w:r>
          </w:p>
        </w:tc>
        <w:tc>
          <w:tcPr>
            <w:tcW w:w="1024" w:type="dxa"/>
            <w:vMerge/>
            <w:tcBorders>
              <w:top w:val="nil"/>
              <w:left w:val="single" w:sz="8" w:space="0" w:color="E0E0E0"/>
              <w:bottom w:val="nil"/>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264A60"/>
                <w:sz w:val="18"/>
                <w:szCs w:val="18"/>
              </w:rPr>
            </w:pPr>
          </w:p>
        </w:tc>
      </w:tr>
      <w:tr w:rsidR="00493E4F" w:rsidRPr="009B587A" w:rsidTr="00493E4F">
        <w:trPr>
          <w:cantSplit/>
          <w:jc w:val="center"/>
        </w:trPr>
        <w:tc>
          <w:tcPr>
            <w:tcW w:w="917" w:type="dxa"/>
            <w:vMerge w:val="restart"/>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Income</w:t>
            </w:r>
          </w:p>
        </w:tc>
        <w:tc>
          <w:tcPr>
            <w:tcW w:w="2141" w:type="dxa"/>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675,000</w:t>
            </w:r>
          </w:p>
        </w:tc>
        <w:tc>
          <w:tcPr>
            <w:tcW w:w="1024" w:type="dxa"/>
            <w:tcBorders>
              <w:top w:val="single" w:sz="8" w:space="0" w:color="152935"/>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13</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6</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w:t>
            </w:r>
          </w:p>
        </w:tc>
        <w:tc>
          <w:tcPr>
            <w:tcW w:w="1024" w:type="dxa"/>
            <w:tcBorders>
              <w:top w:val="single" w:sz="8" w:space="0" w:color="152935"/>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22</w:t>
            </w:r>
          </w:p>
        </w:tc>
      </w:tr>
      <w:tr w:rsidR="00493E4F" w:rsidRPr="009B587A" w:rsidTr="00493E4F">
        <w:trPr>
          <w:cantSplit/>
          <w:jc w:val="center"/>
        </w:trPr>
        <w:tc>
          <w:tcPr>
            <w:tcW w:w="917"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2141"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675,001-2,250,000</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49</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w:t>
            </w:r>
          </w:p>
        </w:tc>
        <w:tc>
          <w:tcPr>
            <w:tcW w:w="1024"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77</w:t>
            </w:r>
          </w:p>
        </w:tc>
      </w:tr>
      <w:tr w:rsidR="00493E4F" w:rsidRPr="009B587A" w:rsidTr="00493E4F">
        <w:trPr>
          <w:cantSplit/>
          <w:jc w:val="center"/>
        </w:trPr>
        <w:tc>
          <w:tcPr>
            <w:tcW w:w="917"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2141"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2,251,000-3,3750,000</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w:t>
            </w:r>
          </w:p>
        </w:tc>
        <w:tc>
          <w:tcPr>
            <w:tcW w:w="1024"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24</w:t>
            </w:r>
          </w:p>
        </w:tc>
      </w:tr>
      <w:tr w:rsidR="00493E4F" w:rsidRPr="009B587A" w:rsidTr="00493E4F">
        <w:trPr>
          <w:cantSplit/>
          <w:jc w:val="center"/>
        </w:trPr>
        <w:tc>
          <w:tcPr>
            <w:tcW w:w="917" w:type="dxa"/>
            <w:vMerge/>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2141"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3,751,000+</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13</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w:t>
            </w:r>
          </w:p>
        </w:tc>
        <w:tc>
          <w:tcPr>
            <w:tcW w:w="1024"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30</w:t>
            </w:r>
          </w:p>
        </w:tc>
      </w:tr>
      <w:tr w:rsidR="00493E4F" w:rsidRPr="009B587A" w:rsidTr="00493E4F">
        <w:trPr>
          <w:cantSplit/>
          <w:jc w:val="center"/>
        </w:trPr>
        <w:tc>
          <w:tcPr>
            <w:tcW w:w="3058" w:type="dxa"/>
            <w:gridSpan w:val="2"/>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024" w:type="dxa"/>
            <w:tcBorders>
              <w:top w:val="single" w:sz="8" w:space="0" w:color="AEAEAE"/>
              <w:left w:val="nil"/>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57</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74</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11</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11</w:t>
            </w:r>
          </w:p>
        </w:tc>
        <w:tc>
          <w:tcPr>
            <w:tcW w:w="1024" w:type="dxa"/>
            <w:tcBorders>
              <w:top w:val="single" w:sz="8" w:space="0" w:color="AEAEAE"/>
              <w:left w:val="single" w:sz="8" w:space="0" w:color="E0E0E0"/>
              <w:bottom w:val="single" w:sz="8" w:space="0" w:color="152935"/>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r>
    </w:tbl>
    <w:p w:rsidR="00493E4F" w:rsidRPr="009B587A" w:rsidRDefault="00493E4F" w:rsidP="00493E4F">
      <w:pPr>
        <w:autoSpaceDE w:val="0"/>
        <w:autoSpaceDN w:val="0"/>
        <w:adjustRightInd w:val="0"/>
        <w:spacing w:after="0" w:line="480" w:lineRule="auto"/>
        <w:jc w:val="center"/>
        <w:rPr>
          <w:rFonts w:asciiTheme="majorBidi" w:hAnsiTheme="majorBidi" w:cstheme="majorBidi"/>
          <w:sz w:val="20"/>
          <w:szCs w:val="20"/>
        </w:rPr>
      </w:pPr>
      <w:r w:rsidRPr="009B587A">
        <w:rPr>
          <w:rFonts w:asciiTheme="majorBidi" w:hAnsiTheme="majorBidi" w:cstheme="majorBidi"/>
          <w:sz w:val="20"/>
          <w:szCs w:val="20"/>
        </w:rPr>
        <w:t>Table 7 Income vs. frequency of usage</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Default="00493E4F" w:rsidP="00493E4F">
      <w:pPr>
        <w:autoSpaceDE w:val="0"/>
        <w:autoSpaceDN w:val="0"/>
        <w:adjustRightInd w:val="0"/>
        <w:spacing w:after="0" w:line="480" w:lineRule="auto"/>
        <w:jc w:val="both"/>
        <w:rPr>
          <w:rFonts w:asciiTheme="majorBidi" w:hAnsiTheme="majorBidi" w:cstheme="majorBidi"/>
          <w:sz w:val="24"/>
          <w:szCs w:val="24"/>
        </w:rPr>
      </w:pPr>
      <w:r w:rsidRPr="0034787D">
        <w:rPr>
          <w:rFonts w:asciiTheme="majorBidi" w:hAnsiTheme="majorBidi" w:cstheme="majorBidi"/>
          <w:sz w:val="24"/>
          <w:szCs w:val="24"/>
        </w:rPr>
        <w:t>Table 7 illustrates the frequency of use of electronic banking based on income. This portrays the nature of the most frequent users in terms of income since any recommendations will target this particular group. The income group with the highest count is between 675,001 – 2,250,000 LL, and it interacts by using e-banking 2 – 3 times a week.</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4.2 In-Depth Analysis</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 xml:space="preserve">The following section will try to prove the hypotheses that were extrapolated from the previous chapter.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 xml:space="preserve">4.2.1 E-banking and satisfaction </w:t>
      </w:r>
    </w:p>
    <w:p w:rsidR="00493E4F" w:rsidRPr="009B587A" w:rsidRDefault="00493E4F" w:rsidP="003000F2">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 xml:space="preserve">H1: </w:t>
      </w:r>
      <w:r w:rsidR="003000F2">
        <w:rPr>
          <w:rFonts w:asciiTheme="majorBidi" w:hAnsiTheme="majorBidi" w:cstheme="majorBidi"/>
          <w:sz w:val="24"/>
          <w:szCs w:val="24"/>
        </w:rPr>
        <w:t>Trust</w:t>
      </w:r>
      <w:r w:rsidRPr="009B587A">
        <w:rPr>
          <w:rFonts w:asciiTheme="majorBidi" w:hAnsiTheme="majorBidi" w:cstheme="majorBidi"/>
          <w:sz w:val="24"/>
          <w:szCs w:val="24"/>
        </w:rPr>
        <w:t xml:space="preserve"> in e-banking influences satisfaction.</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 xml:space="preserve">The first hypothesis postulates that having an efficient e-banking system will have a positive impact on the satisfaction rate of users. Before testing this, we want to compare the levels of satisfaction before and after the pandemic.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11800" w:type="dxa"/>
        <w:tblInd w:w="-12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8"/>
        <w:gridCol w:w="1126"/>
        <w:gridCol w:w="1078"/>
        <w:gridCol w:w="1125"/>
        <w:gridCol w:w="1077"/>
        <w:gridCol w:w="1125"/>
        <w:gridCol w:w="1077"/>
        <w:gridCol w:w="1125"/>
        <w:gridCol w:w="1077"/>
        <w:gridCol w:w="1125"/>
        <w:gridCol w:w="1077"/>
      </w:tblGrid>
      <w:tr w:rsidR="00493E4F" w:rsidRPr="009B587A" w:rsidTr="00493E4F">
        <w:trPr>
          <w:cantSplit/>
        </w:trPr>
        <w:tc>
          <w:tcPr>
            <w:tcW w:w="788" w:type="dxa"/>
            <w:vMerge w:val="restart"/>
            <w:tcBorders>
              <w:top w:val="nil"/>
              <w:left w:val="nil"/>
              <w:bottom w:val="nil"/>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2204" w:type="dxa"/>
            <w:gridSpan w:val="2"/>
            <w:tcBorders>
              <w:top w:val="nil"/>
              <w:left w:val="nil"/>
              <w:bottom w:val="nil"/>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1</w:t>
            </w:r>
          </w:p>
        </w:tc>
        <w:tc>
          <w:tcPr>
            <w:tcW w:w="2202" w:type="dxa"/>
            <w:gridSpan w:val="2"/>
            <w:tcBorders>
              <w:top w:val="nil"/>
              <w:left w:val="single" w:sz="8" w:space="0" w:color="E0E0E0"/>
              <w:bottom w:val="nil"/>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2</w:t>
            </w:r>
          </w:p>
        </w:tc>
        <w:tc>
          <w:tcPr>
            <w:tcW w:w="2202" w:type="dxa"/>
            <w:gridSpan w:val="2"/>
            <w:tcBorders>
              <w:top w:val="nil"/>
              <w:left w:val="single" w:sz="8" w:space="0" w:color="E0E0E0"/>
              <w:bottom w:val="nil"/>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3</w:t>
            </w:r>
          </w:p>
        </w:tc>
        <w:tc>
          <w:tcPr>
            <w:tcW w:w="2202" w:type="dxa"/>
            <w:gridSpan w:val="2"/>
            <w:tcBorders>
              <w:top w:val="nil"/>
              <w:left w:val="single" w:sz="8" w:space="0" w:color="E0E0E0"/>
              <w:bottom w:val="nil"/>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4</w:t>
            </w:r>
          </w:p>
        </w:tc>
        <w:tc>
          <w:tcPr>
            <w:tcW w:w="2202" w:type="dxa"/>
            <w:gridSpan w:val="2"/>
            <w:tcBorders>
              <w:top w:val="nil"/>
              <w:left w:val="single" w:sz="8" w:space="0" w:color="E0E0E0"/>
              <w:bottom w:val="nil"/>
              <w:right w:val="nil"/>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5</w:t>
            </w:r>
          </w:p>
        </w:tc>
      </w:tr>
      <w:tr w:rsidR="00493E4F" w:rsidRPr="009B587A" w:rsidTr="00493E4F">
        <w:trPr>
          <w:cantSplit/>
        </w:trPr>
        <w:tc>
          <w:tcPr>
            <w:tcW w:w="788" w:type="dxa"/>
            <w:vMerge/>
            <w:tcBorders>
              <w:top w:val="nil"/>
              <w:left w:val="nil"/>
              <w:bottom w:val="nil"/>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264A60"/>
                <w:sz w:val="18"/>
                <w:szCs w:val="18"/>
              </w:rPr>
            </w:pPr>
          </w:p>
        </w:tc>
        <w:tc>
          <w:tcPr>
            <w:tcW w:w="1126" w:type="dxa"/>
            <w:tcBorders>
              <w:top w:val="nil"/>
              <w:left w:val="nil"/>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Row N %</w:t>
            </w:r>
          </w:p>
        </w:tc>
        <w:tc>
          <w:tcPr>
            <w:tcW w:w="1078"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Count</w:t>
            </w:r>
          </w:p>
        </w:tc>
        <w:tc>
          <w:tcPr>
            <w:tcW w:w="1125"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Row N %</w:t>
            </w:r>
          </w:p>
        </w:tc>
        <w:tc>
          <w:tcPr>
            <w:tcW w:w="1077"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Count</w:t>
            </w:r>
          </w:p>
        </w:tc>
        <w:tc>
          <w:tcPr>
            <w:tcW w:w="1125"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Row N %</w:t>
            </w:r>
          </w:p>
        </w:tc>
        <w:tc>
          <w:tcPr>
            <w:tcW w:w="1077"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Count</w:t>
            </w:r>
          </w:p>
        </w:tc>
        <w:tc>
          <w:tcPr>
            <w:tcW w:w="1125"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Row N %</w:t>
            </w:r>
          </w:p>
        </w:tc>
        <w:tc>
          <w:tcPr>
            <w:tcW w:w="1077"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Count</w:t>
            </w:r>
          </w:p>
        </w:tc>
        <w:tc>
          <w:tcPr>
            <w:tcW w:w="1125"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Row N %</w:t>
            </w:r>
          </w:p>
        </w:tc>
        <w:tc>
          <w:tcPr>
            <w:tcW w:w="1077" w:type="dxa"/>
            <w:tcBorders>
              <w:top w:val="nil"/>
              <w:left w:val="single" w:sz="8" w:space="0" w:color="E0E0E0"/>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Count</w:t>
            </w:r>
          </w:p>
        </w:tc>
      </w:tr>
      <w:tr w:rsidR="00493E4F" w:rsidRPr="009B587A" w:rsidTr="00493E4F">
        <w:trPr>
          <w:cantSplit/>
        </w:trPr>
        <w:tc>
          <w:tcPr>
            <w:tcW w:w="788" w:type="dxa"/>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Sb4P</w:t>
            </w:r>
          </w:p>
        </w:tc>
        <w:tc>
          <w:tcPr>
            <w:tcW w:w="1126" w:type="dxa"/>
            <w:tcBorders>
              <w:top w:val="single" w:sz="8" w:space="0" w:color="152935"/>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34.6%</w:t>
            </w:r>
          </w:p>
        </w:tc>
        <w:tc>
          <w:tcPr>
            <w:tcW w:w="1078"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53</w:t>
            </w:r>
          </w:p>
        </w:tc>
        <w:tc>
          <w:tcPr>
            <w:tcW w:w="1125"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28.1%</w:t>
            </w:r>
          </w:p>
        </w:tc>
        <w:tc>
          <w:tcPr>
            <w:tcW w:w="1077"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43</w:t>
            </w:r>
          </w:p>
        </w:tc>
        <w:tc>
          <w:tcPr>
            <w:tcW w:w="1125"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18.3%</w:t>
            </w:r>
          </w:p>
        </w:tc>
        <w:tc>
          <w:tcPr>
            <w:tcW w:w="1077"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28</w:t>
            </w:r>
          </w:p>
        </w:tc>
        <w:tc>
          <w:tcPr>
            <w:tcW w:w="1125"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13.7%</w:t>
            </w:r>
          </w:p>
        </w:tc>
        <w:tc>
          <w:tcPr>
            <w:tcW w:w="1077"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21</w:t>
            </w:r>
          </w:p>
        </w:tc>
        <w:tc>
          <w:tcPr>
            <w:tcW w:w="1125"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5.2%</w:t>
            </w:r>
          </w:p>
        </w:tc>
        <w:tc>
          <w:tcPr>
            <w:tcW w:w="1077" w:type="dxa"/>
            <w:tcBorders>
              <w:top w:val="single" w:sz="8" w:space="0" w:color="152935"/>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8</w:t>
            </w:r>
          </w:p>
        </w:tc>
      </w:tr>
      <w:tr w:rsidR="00493E4F" w:rsidRPr="009B587A" w:rsidTr="00493E4F">
        <w:trPr>
          <w:cantSplit/>
        </w:trPr>
        <w:tc>
          <w:tcPr>
            <w:tcW w:w="788" w:type="dxa"/>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SafP</w:t>
            </w:r>
          </w:p>
        </w:tc>
        <w:tc>
          <w:tcPr>
            <w:tcW w:w="1126" w:type="dxa"/>
            <w:tcBorders>
              <w:top w:val="single" w:sz="8" w:space="0" w:color="AEAEAE"/>
              <w:left w:val="nil"/>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20.3%</w:t>
            </w:r>
          </w:p>
        </w:tc>
        <w:tc>
          <w:tcPr>
            <w:tcW w:w="1078"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31</w:t>
            </w:r>
          </w:p>
        </w:tc>
        <w:tc>
          <w:tcPr>
            <w:tcW w:w="1125"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24.8%</w:t>
            </w:r>
          </w:p>
        </w:tc>
        <w:tc>
          <w:tcPr>
            <w:tcW w:w="1077"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38</w:t>
            </w:r>
          </w:p>
        </w:tc>
        <w:tc>
          <w:tcPr>
            <w:tcW w:w="1125"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31.4%</w:t>
            </w:r>
          </w:p>
        </w:tc>
        <w:tc>
          <w:tcPr>
            <w:tcW w:w="1077"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48</w:t>
            </w:r>
          </w:p>
        </w:tc>
        <w:tc>
          <w:tcPr>
            <w:tcW w:w="1125"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15.7%</w:t>
            </w:r>
          </w:p>
        </w:tc>
        <w:tc>
          <w:tcPr>
            <w:tcW w:w="1077"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24</w:t>
            </w:r>
          </w:p>
        </w:tc>
        <w:tc>
          <w:tcPr>
            <w:tcW w:w="1125"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7.8%</w:t>
            </w:r>
          </w:p>
        </w:tc>
        <w:tc>
          <w:tcPr>
            <w:tcW w:w="1077" w:type="dxa"/>
            <w:tcBorders>
              <w:top w:val="single" w:sz="8" w:space="0" w:color="AEAEAE"/>
              <w:left w:val="single" w:sz="8" w:space="0" w:color="E0E0E0"/>
              <w:bottom w:val="single" w:sz="8" w:space="0" w:color="152935"/>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12</w:t>
            </w:r>
          </w:p>
        </w:tc>
      </w:tr>
    </w:tbl>
    <w:p w:rsidR="00493E4F" w:rsidRPr="009B587A" w:rsidRDefault="00493E4F" w:rsidP="00493E4F">
      <w:pPr>
        <w:autoSpaceDE w:val="0"/>
        <w:autoSpaceDN w:val="0"/>
        <w:adjustRightInd w:val="0"/>
        <w:spacing w:after="0" w:line="480" w:lineRule="auto"/>
        <w:jc w:val="center"/>
        <w:rPr>
          <w:rFonts w:asciiTheme="majorBidi" w:hAnsiTheme="majorBidi" w:cstheme="majorBidi"/>
          <w:sz w:val="20"/>
          <w:szCs w:val="20"/>
        </w:rPr>
      </w:pPr>
      <w:r w:rsidRPr="009B587A">
        <w:rPr>
          <w:rFonts w:asciiTheme="majorBidi" w:hAnsiTheme="majorBidi" w:cstheme="majorBidi"/>
          <w:sz w:val="20"/>
          <w:szCs w:val="20"/>
        </w:rPr>
        <w:t>Table 8 The level of satisfaction before and after the pandemic</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0"/>
          <w:szCs w:val="20"/>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 xml:space="preserve">Table 8 illustrates the decline in customer satisfaction with the Lebanese banking sector. On a scale from 1 to 5 with 1 being poorly satisfied to 5 being very satisfied, only 5.2 % of the participants </w:t>
      </w:r>
      <w:r>
        <w:rPr>
          <w:rFonts w:asciiTheme="majorBidi" w:hAnsiTheme="majorBidi" w:cstheme="majorBidi"/>
          <w:sz w:val="24"/>
          <w:szCs w:val="24"/>
        </w:rPr>
        <w:t>scored 5</w:t>
      </w:r>
      <w:r w:rsidRPr="009B587A">
        <w:rPr>
          <w:rFonts w:asciiTheme="majorBidi" w:hAnsiTheme="majorBidi" w:cstheme="majorBidi"/>
          <w:sz w:val="24"/>
          <w:szCs w:val="24"/>
        </w:rPr>
        <w:t xml:space="preserve"> on the satisfaction with the banking system. This can be attributed to the Lebanese banking crisis that occurred before the pandemic where banks took some extreme gestures for banking accounts. After the pandemic forced individuals to rely on online banking, the ultimate satisfaction was elevated to 7.8%. This is a very modest increase, but it can be observed a sustained elevation in satisfaction. Scores at 4 increased from 13.7% to 15.7%. Score 3 increased from 18.3% to 31.4%. It must be noted that the cumulative score of 1 and 2 on the scale decreased from 62.7% to 45.1%.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To furth</w:t>
      </w:r>
      <w:r w:rsidR="001A6819">
        <w:rPr>
          <w:rFonts w:asciiTheme="majorBidi" w:hAnsiTheme="majorBidi" w:cstheme="majorBidi"/>
          <w:sz w:val="24"/>
          <w:szCs w:val="24"/>
        </w:rPr>
        <w:t>er analyze these figures, a Chi-</w:t>
      </w:r>
      <w:r w:rsidRPr="009B587A">
        <w:rPr>
          <w:rFonts w:asciiTheme="majorBidi" w:hAnsiTheme="majorBidi" w:cstheme="majorBidi"/>
          <w:sz w:val="24"/>
          <w:szCs w:val="24"/>
        </w:rPr>
        <w:t xml:space="preserve">Square test was performed. </w:t>
      </w:r>
    </w:p>
    <w:tbl>
      <w:tblPr>
        <w:tblW w:w="596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9"/>
        <w:gridCol w:w="1024"/>
        <w:gridCol w:w="1024"/>
        <w:gridCol w:w="1468"/>
      </w:tblGrid>
      <w:tr w:rsidR="00493E4F" w:rsidRPr="009B587A" w:rsidTr="00493E4F">
        <w:trPr>
          <w:cantSplit/>
          <w:jc w:val="center"/>
        </w:trPr>
        <w:tc>
          <w:tcPr>
            <w:tcW w:w="2449" w:type="dxa"/>
            <w:tcBorders>
              <w:top w:val="nil"/>
              <w:left w:val="nil"/>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nil"/>
              <w:left w:val="nil"/>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Value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df</w:t>
            </w:r>
          </w:p>
        </w:tc>
        <w:tc>
          <w:tcPr>
            <w:tcW w:w="1468" w:type="dxa"/>
            <w:tcBorders>
              <w:top w:val="nil"/>
              <w:left w:val="single" w:sz="8" w:space="0" w:color="E0E0E0"/>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Asymptotic Significance (2-sided)</w:t>
            </w:r>
          </w:p>
        </w:tc>
      </w:tr>
      <w:tr w:rsidR="00493E4F" w:rsidRPr="009B587A" w:rsidTr="00493E4F">
        <w:trPr>
          <w:cantSplit/>
          <w:jc w:val="center"/>
        </w:trPr>
        <w:tc>
          <w:tcPr>
            <w:tcW w:w="2449" w:type="dxa"/>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Pearson Chi-Square</w:t>
            </w:r>
          </w:p>
        </w:tc>
        <w:tc>
          <w:tcPr>
            <w:tcW w:w="1024" w:type="dxa"/>
            <w:tcBorders>
              <w:top w:val="single" w:sz="8" w:space="0" w:color="152935"/>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52.048</w:t>
            </w:r>
            <w:r w:rsidRPr="009B587A">
              <w:rPr>
                <w:rFonts w:asciiTheme="majorBidi" w:hAnsiTheme="majorBidi" w:cstheme="majorBidi"/>
                <w:color w:val="010205"/>
                <w:sz w:val="18"/>
                <w:szCs w:val="18"/>
                <w:vertAlign w:val="superscript"/>
              </w:rPr>
              <w:t>a</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16</w:t>
            </w:r>
          </w:p>
        </w:tc>
        <w:tc>
          <w:tcPr>
            <w:tcW w:w="1468" w:type="dxa"/>
            <w:tcBorders>
              <w:top w:val="single" w:sz="8" w:space="0" w:color="152935"/>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.000</w:t>
            </w:r>
          </w:p>
        </w:tc>
      </w:tr>
      <w:tr w:rsidR="00493E4F" w:rsidRPr="009B587A" w:rsidTr="00493E4F">
        <w:trPr>
          <w:cantSplit/>
          <w:jc w:val="center"/>
        </w:trPr>
        <w:tc>
          <w:tcPr>
            <w:tcW w:w="2449"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Likelihood Ratio</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51.103</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16</w:t>
            </w:r>
          </w:p>
        </w:tc>
        <w:tc>
          <w:tcPr>
            <w:tcW w:w="1468"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.000</w:t>
            </w:r>
          </w:p>
        </w:tc>
      </w:tr>
      <w:tr w:rsidR="00493E4F" w:rsidRPr="009B587A" w:rsidTr="00493E4F">
        <w:trPr>
          <w:cantSplit/>
          <w:jc w:val="center"/>
        </w:trPr>
        <w:tc>
          <w:tcPr>
            <w:tcW w:w="2449"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Linear-by-Linear Association</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3.196</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.074</w:t>
            </w:r>
          </w:p>
        </w:tc>
      </w:tr>
      <w:tr w:rsidR="00493E4F" w:rsidRPr="009B587A" w:rsidTr="00493E4F">
        <w:trPr>
          <w:cantSplit/>
          <w:jc w:val="center"/>
        </w:trPr>
        <w:tc>
          <w:tcPr>
            <w:tcW w:w="2449" w:type="dxa"/>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N of Valid Cases</w:t>
            </w:r>
          </w:p>
        </w:tc>
        <w:tc>
          <w:tcPr>
            <w:tcW w:w="1024" w:type="dxa"/>
            <w:tcBorders>
              <w:top w:val="single" w:sz="8" w:space="0" w:color="AEAEAE"/>
              <w:left w:val="nil"/>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152935"/>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5965" w:type="dxa"/>
            <w:gridSpan w:val="4"/>
            <w:tcBorders>
              <w:top w:val="nil"/>
              <w:left w:val="nil"/>
              <w:bottom w:val="nil"/>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a. 12 cells (48.0%) have expected count less than 5. The minimum expected count is .63.</w:t>
            </w:r>
          </w:p>
        </w:tc>
      </w:tr>
    </w:tbl>
    <w:p w:rsidR="00493E4F" w:rsidRPr="009B587A" w:rsidRDefault="00493E4F" w:rsidP="00493E4F">
      <w:pPr>
        <w:autoSpaceDE w:val="0"/>
        <w:autoSpaceDN w:val="0"/>
        <w:adjustRightInd w:val="0"/>
        <w:spacing w:after="0" w:line="480" w:lineRule="auto"/>
        <w:jc w:val="center"/>
        <w:rPr>
          <w:rFonts w:asciiTheme="majorBidi" w:hAnsiTheme="majorBidi" w:cstheme="majorBidi"/>
          <w:sz w:val="20"/>
          <w:szCs w:val="20"/>
        </w:rPr>
      </w:pPr>
      <w:r w:rsidRPr="009B587A">
        <w:rPr>
          <w:rFonts w:asciiTheme="majorBidi" w:hAnsiTheme="majorBidi" w:cstheme="majorBidi"/>
          <w:sz w:val="20"/>
          <w:szCs w:val="20"/>
        </w:rPr>
        <w:t>Table 9 The χ</w:t>
      </w:r>
      <w:r w:rsidRPr="009B587A">
        <w:rPr>
          <w:rFonts w:asciiTheme="majorBidi" w:hAnsiTheme="majorBidi" w:cstheme="majorBidi"/>
          <w:sz w:val="20"/>
          <w:szCs w:val="20"/>
          <w:vertAlign w:val="superscript"/>
        </w:rPr>
        <w:t>2</w:t>
      </w:r>
      <w:r w:rsidRPr="009B587A">
        <w:rPr>
          <w:rFonts w:asciiTheme="majorBidi" w:hAnsiTheme="majorBidi" w:cstheme="majorBidi"/>
          <w:sz w:val="20"/>
          <w:szCs w:val="20"/>
        </w:rPr>
        <w:t xml:space="preserve"> Test of satisfaction before and after the pandemic</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1A6819">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The obtained value of χ</w:t>
      </w:r>
      <w:r w:rsidRPr="009B587A">
        <w:rPr>
          <w:rFonts w:asciiTheme="majorBidi" w:hAnsiTheme="majorBidi" w:cstheme="majorBidi"/>
          <w:sz w:val="24"/>
          <w:szCs w:val="24"/>
          <w:vertAlign w:val="superscript"/>
        </w:rPr>
        <w:t>2</w:t>
      </w:r>
      <w:r w:rsidRPr="009B587A">
        <w:rPr>
          <w:rFonts w:asciiTheme="majorBidi" w:hAnsiTheme="majorBidi" w:cstheme="majorBidi"/>
          <w:sz w:val="24"/>
          <w:szCs w:val="24"/>
        </w:rPr>
        <w:t xml:space="preserve"> was 0.000 wh</w:t>
      </w:r>
      <w:r>
        <w:rPr>
          <w:rFonts w:asciiTheme="majorBidi" w:hAnsiTheme="majorBidi" w:cstheme="majorBidi"/>
          <w:sz w:val="24"/>
          <w:szCs w:val="24"/>
        </w:rPr>
        <w:t xml:space="preserve">ich indicates that </w:t>
      </w:r>
      <w:r w:rsidRPr="009B587A">
        <w:rPr>
          <w:rFonts w:asciiTheme="majorBidi" w:hAnsiTheme="majorBidi" w:cstheme="majorBidi"/>
          <w:sz w:val="24"/>
          <w:szCs w:val="24"/>
        </w:rPr>
        <w:t xml:space="preserve">the two sets of data before and after the pandemic </w:t>
      </w:r>
      <w:r>
        <w:rPr>
          <w:rFonts w:asciiTheme="majorBidi" w:hAnsiTheme="majorBidi" w:cstheme="majorBidi"/>
          <w:sz w:val="24"/>
          <w:szCs w:val="24"/>
        </w:rPr>
        <w:t xml:space="preserve">are dependent </w:t>
      </w:r>
      <w:r w:rsidRPr="009B587A">
        <w:rPr>
          <w:rFonts w:asciiTheme="majorBidi" w:hAnsiTheme="majorBidi" w:cstheme="majorBidi"/>
          <w:sz w:val="24"/>
          <w:szCs w:val="24"/>
        </w:rPr>
        <w:t xml:space="preserve">as observed in Table 9. The value also shows that these values can be </w:t>
      </w:r>
      <w:r w:rsidRPr="009B587A">
        <w:rPr>
          <w:rFonts w:asciiTheme="majorBidi" w:hAnsiTheme="majorBidi" w:cstheme="majorBidi"/>
          <w:sz w:val="24"/>
          <w:szCs w:val="24"/>
        </w:rPr>
        <w:lastRenderedPageBreak/>
        <w:t xml:space="preserve">considered reflective of the general population. When applied to the Lebanese situation, the lockdown of COVID-19 forced further dependence </w:t>
      </w:r>
      <w:r w:rsidR="001A6819">
        <w:rPr>
          <w:rFonts w:asciiTheme="majorBidi" w:hAnsiTheme="majorBidi" w:cstheme="majorBidi"/>
          <w:sz w:val="24"/>
          <w:szCs w:val="24"/>
        </w:rPr>
        <w:t>on</w:t>
      </w:r>
      <w:r w:rsidRPr="009B587A">
        <w:rPr>
          <w:rFonts w:asciiTheme="majorBidi" w:hAnsiTheme="majorBidi" w:cstheme="majorBidi"/>
          <w:sz w:val="24"/>
          <w:szCs w:val="24"/>
        </w:rPr>
        <w:t xml:space="preserve"> e-banking because of social distancing. The satisfaction increased despite the heavy restrictions. As more people use e-banking with </w:t>
      </w:r>
      <w:r w:rsidR="001A6819">
        <w:rPr>
          <w:rFonts w:asciiTheme="majorBidi" w:hAnsiTheme="majorBidi" w:cstheme="majorBidi"/>
          <w:sz w:val="24"/>
          <w:szCs w:val="24"/>
        </w:rPr>
        <w:t xml:space="preserve">a </w:t>
      </w:r>
      <w:r w:rsidRPr="009B587A">
        <w:rPr>
          <w:rFonts w:asciiTheme="majorBidi" w:hAnsiTheme="majorBidi" w:cstheme="majorBidi"/>
          <w:sz w:val="24"/>
          <w:szCs w:val="24"/>
        </w:rPr>
        <w:t>high level of familiarity, satisfaction</w:t>
      </w:r>
      <w:r w:rsidR="001A6819">
        <w:rPr>
          <w:rFonts w:asciiTheme="majorBidi" w:hAnsiTheme="majorBidi" w:cstheme="majorBidi"/>
          <w:sz w:val="24"/>
          <w:szCs w:val="24"/>
        </w:rPr>
        <w:t>,</w:t>
      </w:r>
      <w:r w:rsidRPr="009B587A">
        <w:rPr>
          <w:rFonts w:asciiTheme="majorBidi" w:hAnsiTheme="majorBidi" w:cstheme="majorBidi"/>
          <w:sz w:val="24"/>
          <w:szCs w:val="24"/>
        </w:rPr>
        <w:t xml:space="preserve"> and trust, it becomes more viable than regular banking. To further analyze, we want to consider all the features of online banking that will enhance the trust that people have in e-banking.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1024"/>
        <w:gridCol w:w="1024"/>
        <w:gridCol w:w="1469"/>
        <w:gridCol w:w="1469"/>
        <w:gridCol w:w="1469"/>
      </w:tblGrid>
      <w:tr w:rsidR="00493E4F" w:rsidRPr="009B587A" w:rsidTr="00493E4F">
        <w:trPr>
          <w:cantSplit/>
        </w:trPr>
        <w:tc>
          <w:tcPr>
            <w:tcW w:w="8899" w:type="dxa"/>
            <w:gridSpan w:val="6"/>
            <w:tcBorders>
              <w:top w:val="nil"/>
              <w:left w:val="nil"/>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9B587A">
              <w:rPr>
                <w:rFonts w:asciiTheme="majorBidi" w:hAnsiTheme="majorBidi" w:cstheme="majorBidi"/>
                <w:b/>
                <w:bCs/>
                <w:color w:val="010205"/>
              </w:rPr>
              <w:t>Chi-Square Tests</w:t>
            </w:r>
          </w:p>
        </w:tc>
      </w:tr>
      <w:tr w:rsidR="00493E4F" w:rsidRPr="009B587A" w:rsidTr="00493E4F">
        <w:trPr>
          <w:cantSplit/>
        </w:trPr>
        <w:tc>
          <w:tcPr>
            <w:tcW w:w="2447" w:type="dxa"/>
            <w:tcBorders>
              <w:top w:val="nil"/>
              <w:left w:val="nil"/>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nil"/>
              <w:left w:val="nil"/>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Value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df</w:t>
            </w:r>
          </w:p>
        </w:tc>
        <w:tc>
          <w:tcPr>
            <w:tcW w:w="1468"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Asymptotic Significance (2-sided)</w:t>
            </w:r>
          </w:p>
        </w:tc>
        <w:tc>
          <w:tcPr>
            <w:tcW w:w="1468"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Exact Sig. (2-sided)</w:t>
            </w:r>
          </w:p>
        </w:tc>
        <w:tc>
          <w:tcPr>
            <w:tcW w:w="1468" w:type="dxa"/>
            <w:tcBorders>
              <w:top w:val="nil"/>
              <w:left w:val="single" w:sz="8" w:space="0" w:color="E0E0E0"/>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Exact Sig. (1-sided)</w:t>
            </w:r>
          </w:p>
        </w:tc>
      </w:tr>
      <w:tr w:rsidR="00493E4F" w:rsidRPr="009B587A" w:rsidTr="00493E4F">
        <w:trPr>
          <w:cantSplit/>
        </w:trPr>
        <w:tc>
          <w:tcPr>
            <w:tcW w:w="2447" w:type="dxa"/>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Pearson Chi-Square</w:t>
            </w:r>
          </w:p>
        </w:tc>
        <w:tc>
          <w:tcPr>
            <w:tcW w:w="1024" w:type="dxa"/>
            <w:tcBorders>
              <w:top w:val="single" w:sz="8" w:space="0" w:color="152935"/>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8.073</w:t>
            </w:r>
            <w:r w:rsidRPr="009B587A">
              <w:rPr>
                <w:rFonts w:asciiTheme="majorBidi" w:hAnsiTheme="majorBidi" w:cstheme="majorBidi"/>
                <w:color w:val="010205"/>
                <w:sz w:val="18"/>
                <w:szCs w:val="18"/>
                <w:vertAlign w:val="superscript"/>
              </w:rPr>
              <w:t>a</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.004</w:t>
            </w:r>
          </w:p>
        </w:tc>
        <w:tc>
          <w:tcPr>
            <w:tcW w:w="1468"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152935"/>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Continuity Correction</w:t>
            </w:r>
            <w:r w:rsidRPr="009B587A">
              <w:rPr>
                <w:rFonts w:asciiTheme="majorBidi" w:hAnsiTheme="majorBidi" w:cstheme="majorBidi"/>
                <w:color w:val="264A60"/>
                <w:sz w:val="18"/>
                <w:szCs w:val="18"/>
                <w:vertAlign w:val="superscript"/>
              </w:rPr>
              <w:t>b</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6.578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.010</w:t>
            </w:r>
          </w:p>
        </w:tc>
        <w:tc>
          <w:tcPr>
            <w:tcW w:w="146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Likelihood Ratio</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7.003</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.008</w:t>
            </w:r>
          </w:p>
        </w:tc>
        <w:tc>
          <w:tcPr>
            <w:tcW w:w="146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Fisher's Exact Test</w:t>
            </w:r>
          </w:p>
        </w:tc>
        <w:tc>
          <w:tcPr>
            <w:tcW w:w="1024" w:type="dxa"/>
            <w:tcBorders>
              <w:top w:val="single" w:sz="8" w:space="0" w:color="AEAEAE"/>
              <w:left w:val="nil"/>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.010</w:t>
            </w:r>
          </w:p>
        </w:tc>
        <w:tc>
          <w:tcPr>
            <w:tcW w:w="1468"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.008</w:t>
            </w:r>
          </w:p>
        </w:tc>
      </w:tr>
      <w:tr w:rsidR="00493E4F" w:rsidRPr="009B587A" w:rsidTr="00493E4F">
        <w:trPr>
          <w:cantSplit/>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Linear-by-Linear Association</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8.020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.005</w:t>
            </w:r>
          </w:p>
        </w:tc>
        <w:tc>
          <w:tcPr>
            <w:tcW w:w="146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trPr>
        <w:tc>
          <w:tcPr>
            <w:tcW w:w="2447" w:type="dxa"/>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N of Valid Cases</w:t>
            </w:r>
          </w:p>
        </w:tc>
        <w:tc>
          <w:tcPr>
            <w:tcW w:w="1024" w:type="dxa"/>
            <w:tcBorders>
              <w:top w:val="single" w:sz="8" w:space="0" w:color="AEAEAE"/>
              <w:left w:val="nil"/>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152935"/>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trPr>
        <w:tc>
          <w:tcPr>
            <w:tcW w:w="8899" w:type="dxa"/>
            <w:gridSpan w:val="6"/>
            <w:tcBorders>
              <w:top w:val="nil"/>
              <w:left w:val="nil"/>
              <w:bottom w:val="nil"/>
              <w:right w:val="nil"/>
            </w:tcBorders>
            <w:shd w:val="clear" w:color="auto" w:fill="FFFFFF"/>
          </w:tcPr>
          <w:p w:rsidR="00493E4F" w:rsidRPr="009B587A" w:rsidRDefault="001649F2" w:rsidP="00493E4F">
            <w:pPr>
              <w:autoSpaceDE w:val="0"/>
              <w:autoSpaceDN w:val="0"/>
              <w:adjustRightInd w:val="0"/>
              <w:spacing w:after="0" w:line="480" w:lineRule="auto"/>
              <w:ind w:left="60" w:right="60"/>
              <w:jc w:val="both"/>
              <w:rPr>
                <w:rFonts w:asciiTheme="majorBidi" w:hAnsiTheme="majorBidi" w:cstheme="majorBidi"/>
                <w:color w:val="010205"/>
                <w:sz w:val="16"/>
                <w:szCs w:val="16"/>
              </w:rPr>
            </w:pPr>
            <w:r>
              <w:rPr>
                <w:rFonts w:asciiTheme="majorBidi" w:hAnsiTheme="majorBidi" w:cstheme="majorBidi"/>
                <w:color w:val="010205"/>
                <w:sz w:val="16"/>
                <w:szCs w:val="16"/>
              </w:rPr>
              <w:t>a. 1 cells (25.0%) have</w:t>
            </w:r>
            <w:r w:rsidR="001A6819">
              <w:rPr>
                <w:rFonts w:asciiTheme="majorBidi" w:hAnsiTheme="majorBidi" w:cstheme="majorBidi"/>
                <w:color w:val="010205"/>
                <w:sz w:val="16"/>
                <w:szCs w:val="16"/>
              </w:rPr>
              <w:t xml:space="preserve"> </w:t>
            </w:r>
            <w:r w:rsidR="00493E4F" w:rsidRPr="009B587A">
              <w:rPr>
                <w:rFonts w:asciiTheme="majorBidi" w:hAnsiTheme="majorBidi" w:cstheme="majorBidi"/>
                <w:color w:val="010205"/>
                <w:sz w:val="16"/>
                <w:szCs w:val="16"/>
              </w:rPr>
              <w:t>expected count less than 5. The minimum expected count is 4.86.</w:t>
            </w:r>
          </w:p>
        </w:tc>
      </w:tr>
      <w:tr w:rsidR="00493E4F" w:rsidRPr="009B587A" w:rsidTr="00493E4F">
        <w:trPr>
          <w:cantSplit/>
        </w:trPr>
        <w:tc>
          <w:tcPr>
            <w:tcW w:w="8899" w:type="dxa"/>
            <w:gridSpan w:val="6"/>
            <w:tcBorders>
              <w:top w:val="nil"/>
              <w:left w:val="nil"/>
              <w:bottom w:val="nil"/>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6"/>
                <w:szCs w:val="16"/>
              </w:rPr>
            </w:pPr>
            <w:r w:rsidRPr="009B587A">
              <w:rPr>
                <w:rFonts w:asciiTheme="majorBidi" w:hAnsiTheme="majorBidi" w:cstheme="majorBidi"/>
                <w:color w:val="010205"/>
                <w:sz w:val="16"/>
                <w:szCs w:val="16"/>
              </w:rPr>
              <w:t>b. Computed only for a 2x2 table</w:t>
            </w:r>
          </w:p>
        </w:tc>
      </w:tr>
    </w:tbl>
    <w:p w:rsidR="00493E4F" w:rsidRPr="009B587A" w:rsidRDefault="001649F2" w:rsidP="00493E4F">
      <w:pPr>
        <w:autoSpaceDE w:val="0"/>
        <w:autoSpaceDN w:val="0"/>
        <w:adjustRightInd w:val="0"/>
        <w:spacing w:after="0" w:line="480" w:lineRule="auto"/>
        <w:jc w:val="center"/>
        <w:rPr>
          <w:rFonts w:asciiTheme="majorBidi" w:hAnsiTheme="majorBidi" w:cstheme="majorBidi"/>
          <w:sz w:val="20"/>
          <w:szCs w:val="20"/>
        </w:rPr>
      </w:pPr>
      <w:r>
        <w:rPr>
          <w:rFonts w:asciiTheme="majorBidi" w:hAnsiTheme="majorBidi" w:cstheme="majorBidi"/>
          <w:sz w:val="20"/>
          <w:szCs w:val="20"/>
        </w:rPr>
        <w:t>Table 10 Chi-</w:t>
      </w:r>
      <w:r w:rsidR="00493E4F" w:rsidRPr="009B587A">
        <w:rPr>
          <w:rFonts w:asciiTheme="majorBidi" w:hAnsiTheme="majorBidi" w:cstheme="majorBidi"/>
          <w:sz w:val="20"/>
          <w:szCs w:val="20"/>
        </w:rPr>
        <w:t>Square val</w:t>
      </w:r>
      <w:r>
        <w:rPr>
          <w:rFonts w:asciiTheme="majorBidi" w:hAnsiTheme="majorBidi" w:cstheme="majorBidi"/>
          <w:sz w:val="20"/>
          <w:szCs w:val="20"/>
        </w:rPr>
        <w:t>u</w:t>
      </w:r>
      <w:r w:rsidR="00493E4F" w:rsidRPr="009B587A">
        <w:rPr>
          <w:rFonts w:asciiTheme="majorBidi" w:hAnsiTheme="majorBidi" w:cstheme="majorBidi"/>
          <w:sz w:val="20"/>
          <w:szCs w:val="20"/>
        </w:rPr>
        <w:t>es for regaining trust through access to all accounts</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0"/>
          <w:szCs w:val="20"/>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The percentage of participants who stated that they have access to all their accounts was 79.7%. The χ</w:t>
      </w:r>
      <w:r w:rsidRPr="009B587A">
        <w:rPr>
          <w:rFonts w:asciiTheme="majorBidi" w:hAnsiTheme="majorBidi" w:cstheme="majorBidi"/>
          <w:sz w:val="24"/>
          <w:szCs w:val="24"/>
          <w:vertAlign w:val="superscript"/>
        </w:rPr>
        <w:t>2</w:t>
      </w:r>
      <w:r w:rsidRPr="009B587A">
        <w:rPr>
          <w:rFonts w:asciiTheme="majorBidi" w:hAnsiTheme="majorBidi" w:cstheme="majorBidi"/>
          <w:sz w:val="24"/>
          <w:szCs w:val="24"/>
        </w:rPr>
        <w:t xml:space="preserve"> value was 0.004 as indicated in Table 10 which indicates a high </w:t>
      </w:r>
      <w:r>
        <w:rPr>
          <w:rFonts w:asciiTheme="majorBidi" w:hAnsiTheme="majorBidi" w:cstheme="majorBidi"/>
          <w:sz w:val="24"/>
          <w:szCs w:val="24"/>
        </w:rPr>
        <w:t>dependency</w:t>
      </w:r>
      <w:r w:rsidRPr="009B587A">
        <w:rPr>
          <w:rFonts w:asciiTheme="majorBidi" w:hAnsiTheme="majorBidi" w:cstheme="majorBidi"/>
          <w:sz w:val="24"/>
          <w:szCs w:val="24"/>
        </w:rPr>
        <w:t xml:space="preserve"> between having access to all accounts and regaining trust.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596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9"/>
        <w:gridCol w:w="1024"/>
        <w:gridCol w:w="1024"/>
        <w:gridCol w:w="1468"/>
      </w:tblGrid>
      <w:tr w:rsidR="00493E4F" w:rsidRPr="009B587A" w:rsidTr="00493E4F">
        <w:trPr>
          <w:cantSplit/>
          <w:jc w:val="center"/>
        </w:trPr>
        <w:tc>
          <w:tcPr>
            <w:tcW w:w="5963" w:type="dxa"/>
            <w:gridSpan w:val="4"/>
            <w:tcBorders>
              <w:top w:val="nil"/>
              <w:left w:val="nil"/>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9B587A">
              <w:rPr>
                <w:rFonts w:asciiTheme="majorBidi" w:hAnsiTheme="majorBidi" w:cstheme="majorBidi"/>
                <w:b/>
                <w:bCs/>
                <w:color w:val="010205"/>
              </w:rPr>
              <w:lastRenderedPageBreak/>
              <w:t>Chi-Square Tests</w:t>
            </w:r>
          </w:p>
        </w:tc>
      </w:tr>
      <w:tr w:rsidR="00493E4F" w:rsidRPr="009B587A" w:rsidTr="00493E4F">
        <w:trPr>
          <w:cantSplit/>
          <w:jc w:val="center"/>
        </w:trPr>
        <w:tc>
          <w:tcPr>
            <w:tcW w:w="2447" w:type="dxa"/>
            <w:tcBorders>
              <w:top w:val="nil"/>
              <w:left w:val="nil"/>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nil"/>
              <w:left w:val="nil"/>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Value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df</w:t>
            </w:r>
          </w:p>
        </w:tc>
        <w:tc>
          <w:tcPr>
            <w:tcW w:w="1468" w:type="dxa"/>
            <w:tcBorders>
              <w:top w:val="nil"/>
              <w:left w:val="single" w:sz="8" w:space="0" w:color="E0E0E0"/>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Asymptotic Significance (2-sided)</w:t>
            </w:r>
          </w:p>
        </w:tc>
      </w:tr>
      <w:tr w:rsidR="00493E4F" w:rsidRPr="009B587A" w:rsidTr="00493E4F">
        <w:trPr>
          <w:cantSplit/>
          <w:jc w:val="center"/>
        </w:trPr>
        <w:tc>
          <w:tcPr>
            <w:tcW w:w="2447" w:type="dxa"/>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Pearson Chi-Square</w:t>
            </w:r>
          </w:p>
        </w:tc>
        <w:tc>
          <w:tcPr>
            <w:tcW w:w="1024" w:type="dxa"/>
            <w:tcBorders>
              <w:top w:val="single" w:sz="8" w:space="0" w:color="152935"/>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9.656</w:t>
            </w:r>
            <w:r w:rsidRPr="009B587A">
              <w:rPr>
                <w:rFonts w:asciiTheme="majorBidi" w:hAnsiTheme="majorBidi" w:cstheme="majorBidi"/>
                <w:color w:val="010205"/>
                <w:sz w:val="18"/>
                <w:szCs w:val="18"/>
                <w:vertAlign w:val="superscript"/>
              </w:rPr>
              <w:t>a</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w:t>
            </w:r>
          </w:p>
        </w:tc>
        <w:tc>
          <w:tcPr>
            <w:tcW w:w="1468" w:type="dxa"/>
            <w:tcBorders>
              <w:top w:val="single" w:sz="8" w:space="0" w:color="152935"/>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.008</w:t>
            </w:r>
          </w:p>
        </w:tc>
      </w:tr>
      <w:tr w:rsidR="00493E4F" w:rsidRPr="009B587A" w:rsidTr="00493E4F">
        <w:trPr>
          <w:cantSplit/>
          <w:jc w:val="center"/>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Likelihood Ratio</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8.383</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w:t>
            </w:r>
          </w:p>
        </w:tc>
        <w:tc>
          <w:tcPr>
            <w:tcW w:w="1468"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.015</w:t>
            </w:r>
          </w:p>
        </w:tc>
      </w:tr>
      <w:tr w:rsidR="00493E4F" w:rsidRPr="009B587A" w:rsidTr="00493E4F">
        <w:trPr>
          <w:cantSplit/>
          <w:jc w:val="center"/>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Linear-by-Linear Association</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.951</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.329</w:t>
            </w:r>
          </w:p>
        </w:tc>
      </w:tr>
      <w:tr w:rsidR="00493E4F" w:rsidRPr="009B587A" w:rsidTr="00493E4F">
        <w:trPr>
          <w:cantSplit/>
          <w:jc w:val="center"/>
        </w:trPr>
        <w:tc>
          <w:tcPr>
            <w:tcW w:w="2447" w:type="dxa"/>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N of Valid Cases</w:t>
            </w:r>
          </w:p>
        </w:tc>
        <w:tc>
          <w:tcPr>
            <w:tcW w:w="1024" w:type="dxa"/>
            <w:tcBorders>
              <w:top w:val="single" w:sz="8" w:space="0" w:color="AEAEAE"/>
              <w:left w:val="nil"/>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152935"/>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5963" w:type="dxa"/>
            <w:gridSpan w:val="4"/>
            <w:tcBorders>
              <w:top w:val="nil"/>
              <w:left w:val="nil"/>
              <w:bottom w:val="nil"/>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a. 3 cells (50.0%) have expected count less than 5. The minimum expected count is .16.</w:t>
            </w:r>
          </w:p>
        </w:tc>
      </w:tr>
      <w:tr w:rsidR="00493E4F" w:rsidRPr="009B587A" w:rsidTr="00493E4F">
        <w:trPr>
          <w:cantSplit/>
          <w:jc w:val="center"/>
        </w:trPr>
        <w:tc>
          <w:tcPr>
            <w:tcW w:w="5963" w:type="dxa"/>
            <w:gridSpan w:val="4"/>
            <w:tcBorders>
              <w:top w:val="nil"/>
              <w:left w:val="nil"/>
              <w:bottom w:val="nil"/>
              <w:right w:val="nil"/>
            </w:tcBorders>
            <w:shd w:val="clear" w:color="auto" w:fill="FFFFFF"/>
          </w:tcPr>
          <w:p w:rsidR="00493E4F" w:rsidRPr="009B587A" w:rsidRDefault="001649F2" w:rsidP="00493E4F">
            <w:pPr>
              <w:autoSpaceDE w:val="0"/>
              <w:autoSpaceDN w:val="0"/>
              <w:adjustRightInd w:val="0"/>
              <w:spacing w:after="0" w:line="480" w:lineRule="auto"/>
              <w:ind w:left="60" w:right="60"/>
              <w:jc w:val="both"/>
              <w:rPr>
                <w:rFonts w:asciiTheme="majorBidi" w:hAnsiTheme="majorBidi" w:cstheme="majorBidi"/>
                <w:color w:val="010205"/>
                <w:sz w:val="20"/>
                <w:szCs w:val="20"/>
              </w:rPr>
            </w:pPr>
            <w:r>
              <w:rPr>
                <w:rFonts w:asciiTheme="majorBidi" w:hAnsiTheme="majorBidi" w:cstheme="majorBidi"/>
                <w:color w:val="010205"/>
                <w:sz w:val="20"/>
                <w:szCs w:val="20"/>
              </w:rPr>
              <w:t>Table 11 Chi-</w:t>
            </w:r>
            <w:r w:rsidR="00493E4F" w:rsidRPr="009B587A">
              <w:rPr>
                <w:rFonts w:asciiTheme="majorBidi" w:hAnsiTheme="majorBidi" w:cstheme="majorBidi"/>
                <w:color w:val="010205"/>
                <w:sz w:val="20"/>
                <w:szCs w:val="20"/>
              </w:rPr>
              <w:t xml:space="preserve">Square values for regaining trust through the ability to transfer money </w:t>
            </w:r>
          </w:p>
        </w:tc>
      </w:tr>
    </w:tbl>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1649F2">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The percentage of participants who said they had the ability to transfer money was 80.4%. The χ</w:t>
      </w:r>
      <w:r w:rsidRPr="009B587A">
        <w:rPr>
          <w:rFonts w:asciiTheme="majorBidi" w:hAnsiTheme="majorBidi" w:cstheme="majorBidi"/>
          <w:sz w:val="24"/>
          <w:szCs w:val="24"/>
          <w:vertAlign w:val="superscript"/>
        </w:rPr>
        <w:t>2</w:t>
      </w:r>
      <w:r w:rsidRPr="009B587A">
        <w:rPr>
          <w:rFonts w:asciiTheme="majorBidi" w:hAnsiTheme="majorBidi" w:cstheme="majorBidi"/>
          <w:sz w:val="24"/>
          <w:szCs w:val="24"/>
        </w:rPr>
        <w:t xml:space="preserve"> value was 0.008 as indicated in Table 11 which indicates a high </w:t>
      </w:r>
      <w:r>
        <w:rPr>
          <w:rFonts w:asciiTheme="majorBidi" w:hAnsiTheme="majorBidi" w:cstheme="majorBidi"/>
          <w:sz w:val="24"/>
          <w:szCs w:val="24"/>
        </w:rPr>
        <w:t>dependency</w:t>
      </w:r>
      <w:r w:rsidRPr="009B587A">
        <w:rPr>
          <w:rFonts w:asciiTheme="majorBidi" w:hAnsiTheme="majorBidi" w:cstheme="majorBidi"/>
          <w:sz w:val="24"/>
          <w:szCs w:val="24"/>
        </w:rPr>
        <w:t xml:space="preserve"> between having the ability </w:t>
      </w:r>
      <w:r w:rsidR="001649F2">
        <w:rPr>
          <w:rFonts w:asciiTheme="majorBidi" w:hAnsiTheme="majorBidi" w:cstheme="majorBidi"/>
          <w:sz w:val="24"/>
          <w:szCs w:val="24"/>
        </w:rPr>
        <w:t>to</w:t>
      </w:r>
      <w:r w:rsidRPr="009B587A">
        <w:rPr>
          <w:rFonts w:asciiTheme="majorBidi" w:hAnsiTheme="majorBidi" w:cstheme="majorBidi"/>
          <w:sz w:val="24"/>
          <w:szCs w:val="24"/>
        </w:rPr>
        <w:t xml:space="preserve"> transfer money and regaining trust.</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1024"/>
        <w:gridCol w:w="1024"/>
        <w:gridCol w:w="1469"/>
        <w:gridCol w:w="1469"/>
        <w:gridCol w:w="1469"/>
      </w:tblGrid>
      <w:tr w:rsidR="00493E4F" w:rsidRPr="009B587A" w:rsidTr="00493E4F">
        <w:trPr>
          <w:cantSplit/>
        </w:trPr>
        <w:tc>
          <w:tcPr>
            <w:tcW w:w="8899" w:type="dxa"/>
            <w:gridSpan w:val="6"/>
            <w:tcBorders>
              <w:top w:val="nil"/>
              <w:left w:val="nil"/>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9B587A">
              <w:rPr>
                <w:rFonts w:asciiTheme="majorBidi" w:hAnsiTheme="majorBidi" w:cstheme="majorBidi"/>
                <w:b/>
                <w:bCs/>
                <w:color w:val="010205"/>
              </w:rPr>
              <w:t>Chi-Square Tests</w:t>
            </w:r>
          </w:p>
        </w:tc>
      </w:tr>
      <w:tr w:rsidR="00493E4F" w:rsidRPr="009B587A" w:rsidTr="00493E4F">
        <w:trPr>
          <w:cantSplit/>
        </w:trPr>
        <w:tc>
          <w:tcPr>
            <w:tcW w:w="2447" w:type="dxa"/>
            <w:tcBorders>
              <w:top w:val="nil"/>
              <w:left w:val="nil"/>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nil"/>
              <w:left w:val="nil"/>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Value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df</w:t>
            </w:r>
          </w:p>
        </w:tc>
        <w:tc>
          <w:tcPr>
            <w:tcW w:w="1468"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Asymptotic Significance (2-sided)</w:t>
            </w:r>
          </w:p>
        </w:tc>
        <w:tc>
          <w:tcPr>
            <w:tcW w:w="1468"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Exact Sig. (2-sided)</w:t>
            </w:r>
          </w:p>
        </w:tc>
        <w:tc>
          <w:tcPr>
            <w:tcW w:w="1468" w:type="dxa"/>
            <w:tcBorders>
              <w:top w:val="nil"/>
              <w:left w:val="single" w:sz="8" w:space="0" w:color="E0E0E0"/>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Exact Sig. (1-sided)</w:t>
            </w:r>
          </w:p>
        </w:tc>
      </w:tr>
      <w:tr w:rsidR="00493E4F" w:rsidRPr="009B587A" w:rsidTr="00493E4F">
        <w:trPr>
          <w:cantSplit/>
        </w:trPr>
        <w:tc>
          <w:tcPr>
            <w:tcW w:w="2447" w:type="dxa"/>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Pearson Chi-Square</w:t>
            </w:r>
          </w:p>
        </w:tc>
        <w:tc>
          <w:tcPr>
            <w:tcW w:w="1024" w:type="dxa"/>
            <w:tcBorders>
              <w:top w:val="single" w:sz="8" w:space="0" w:color="152935"/>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2.608</w:t>
            </w:r>
            <w:r w:rsidRPr="009B587A">
              <w:rPr>
                <w:rFonts w:asciiTheme="majorBidi" w:hAnsiTheme="majorBidi" w:cstheme="majorBidi"/>
                <w:color w:val="010205"/>
                <w:sz w:val="18"/>
                <w:szCs w:val="18"/>
                <w:vertAlign w:val="superscript"/>
              </w:rPr>
              <w:t>a</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.106</w:t>
            </w:r>
          </w:p>
        </w:tc>
        <w:tc>
          <w:tcPr>
            <w:tcW w:w="1468"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152935"/>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Continuity Correction</w:t>
            </w:r>
            <w:r w:rsidRPr="009B587A">
              <w:rPr>
                <w:rFonts w:asciiTheme="majorBidi" w:hAnsiTheme="majorBidi" w:cstheme="majorBidi"/>
                <w:color w:val="264A60"/>
                <w:sz w:val="18"/>
                <w:szCs w:val="18"/>
                <w:vertAlign w:val="superscript"/>
              </w:rPr>
              <w:t>b</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1.685</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.194</w:t>
            </w:r>
          </w:p>
        </w:tc>
        <w:tc>
          <w:tcPr>
            <w:tcW w:w="146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Likelihood Ratio</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2.295</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.130</w:t>
            </w:r>
          </w:p>
        </w:tc>
        <w:tc>
          <w:tcPr>
            <w:tcW w:w="146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Fisher's Exact Test</w:t>
            </w:r>
          </w:p>
        </w:tc>
        <w:tc>
          <w:tcPr>
            <w:tcW w:w="1024" w:type="dxa"/>
            <w:tcBorders>
              <w:top w:val="single" w:sz="8" w:space="0" w:color="AEAEAE"/>
              <w:left w:val="nil"/>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.118</w:t>
            </w:r>
          </w:p>
        </w:tc>
        <w:tc>
          <w:tcPr>
            <w:tcW w:w="1468"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.101</w:t>
            </w:r>
          </w:p>
        </w:tc>
      </w:tr>
      <w:tr w:rsidR="00493E4F" w:rsidRPr="009B587A" w:rsidTr="00493E4F">
        <w:trPr>
          <w:cantSplit/>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Linear-by-Linear Association</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2.591</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.107</w:t>
            </w:r>
          </w:p>
        </w:tc>
        <w:tc>
          <w:tcPr>
            <w:tcW w:w="146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trPr>
        <w:tc>
          <w:tcPr>
            <w:tcW w:w="2447" w:type="dxa"/>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lastRenderedPageBreak/>
              <w:t>N of Valid Cases</w:t>
            </w:r>
          </w:p>
        </w:tc>
        <w:tc>
          <w:tcPr>
            <w:tcW w:w="1024" w:type="dxa"/>
            <w:tcBorders>
              <w:top w:val="single" w:sz="8" w:space="0" w:color="AEAEAE"/>
              <w:left w:val="nil"/>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152935"/>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trPr>
        <w:tc>
          <w:tcPr>
            <w:tcW w:w="8899" w:type="dxa"/>
            <w:gridSpan w:val="6"/>
            <w:tcBorders>
              <w:top w:val="nil"/>
              <w:left w:val="nil"/>
              <w:bottom w:val="nil"/>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a. 1 cells (25.0%) have expected count less than 5. The minimum expected count is 3.45.</w:t>
            </w:r>
          </w:p>
        </w:tc>
      </w:tr>
      <w:tr w:rsidR="00493E4F" w:rsidRPr="009B587A" w:rsidTr="00493E4F">
        <w:trPr>
          <w:cantSplit/>
        </w:trPr>
        <w:tc>
          <w:tcPr>
            <w:tcW w:w="8899" w:type="dxa"/>
            <w:gridSpan w:val="6"/>
            <w:tcBorders>
              <w:top w:val="nil"/>
              <w:left w:val="nil"/>
              <w:bottom w:val="nil"/>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b. Computed only for a 2x2 table</w:t>
            </w:r>
          </w:p>
        </w:tc>
      </w:tr>
    </w:tbl>
    <w:p w:rsidR="00493E4F" w:rsidRPr="009B587A" w:rsidRDefault="001649F2" w:rsidP="00493E4F">
      <w:pPr>
        <w:autoSpaceDE w:val="0"/>
        <w:autoSpaceDN w:val="0"/>
        <w:adjustRightInd w:val="0"/>
        <w:spacing w:after="0" w:line="480" w:lineRule="auto"/>
        <w:jc w:val="center"/>
        <w:rPr>
          <w:rFonts w:asciiTheme="majorBidi" w:hAnsiTheme="majorBidi" w:cstheme="majorBidi"/>
          <w:sz w:val="20"/>
          <w:szCs w:val="20"/>
        </w:rPr>
      </w:pPr>
      <w:r>
        <w:rPr>
          <w:rFonts w:asciiTheme="majorBidi" w:hAnsiTheme="majorBidi" w:cstheme="majorBidi"/>
          <w:sz w:val="20"/>
          <w:szCs w:val="20"/>
        </w:rPr>
        <w:t>Table 12 Chi-</w:t>
      </w:r>
      <w:r w:rsidR="00493E4F" w:rsidRPr="009B587A">
        <w:rPr>
          <w:rFonts w:asciiTheme="majorBidi" w:hAnsiTheme="majorBidi" w:cstheme="majorBidi"/>
          <w:sz w:val="20"/>
          <w:szCs w:val="20"/>
        </w:rPr>
        <w:t>Square values for regaining trust through the ability to pay bills</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0"/>
          <w:szCs w:val="20"/>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The percentage of participants who indicated their ability to pay bills was 85.6%. The χ</w:t>
      </w:r>
      <w:r w:rsidRPr="009B587A">
        <w:rPr>
          <w:rFonts w:asciiTheme="majorBidi" w:hAnsiTheme="majorBidi" w:cstheme="majorBidi"/>
          <w:sz w:val="24"/>
          <w:szCs w:val="24"/>
          <w:vertAlign w:val="superscript"/>
        </w:rPr>
        <w:t>2</w:t>
      </w:r>
      <w:r w:rsidRPr="009B587A">
        <w:rPr>
          <w:rFonts w:asciiTheme="majorBidi" w:hAnsiTheme="majorBidi" w:cstheme="majorBidi"/>
          <w:sz w:val="24"/>
          <w:szCs w:val="24"/>
        </w:rPr>
        <w:t xml:space="preserve"> value for regaining trust through the ability to pay bills is 0.106 which does not indicate any significant </w:t>
      </w:r>
      <w:r>
        <w:rPr>
          <w:rFonts w:asciiTheme="majorBidi" w:hAnsiTheme="majorBidi" w:cstheme="majorBidi"/>
          <w:sz w:val="24"/>
          <w:szCs w:val="24"/>
        </w:rPr>
        <w:t>dependency</w:t>
      </w:r>
      <w:r w:rsidRPr="009B587A">
        <w:rPr>
          <w:rFonts w:asciiTheme="majorBidi" w:hAnsiTheme="majorBidi" w:cstheme="majorBidi"/>
          <w:sz w:val="24"/>
          <w:szCs w:val="24"/>
        </w:rPr>
        <w:t xml:space="preserve"> between the ability to pay bills and regaining trust. </w:t>
      </w:r>
      <w:r>
        <w:rPr>
          <w:rFonts w:asciiTheme="majorBidi" w:hAnsiTheme="majorBidi" w:cstheme="majorBidi"/>
          <w:sz w:val="24"/>
          <w:szCs w:val="24"/>
        </w:rPr>
        <w:t xml:space="preserve">There is no relationship between the two variables. </w:t>
      </w:r>
      <w:r w:rsidRPr="009B587A">
        <w:rPr>
          <w:rFonts w:asciiTheme="majorBidi" w:hAnsiTheme="majorBidi" w:cstheme="majorBidi"/>
          <w:sz w:val="24"/>
          <w:szCs w:val="24"/>
        </w:rPr>
        <w:t xml:space="preserve">We can attribute this lack to the lack of a comprehensive online billing system from the Lebanese government which makes this option somewhat obsolete locally.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8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1024"/>
        <w:gridCol w:w="1024"/>
        <w:gridCol w:w="1469"/>
        <w:gridCol w:w="1469"/>
        <w:gridCol w:w="1469"/>
      </w:tblGrid>
      <w:tr w:rsidR="00493E4F" w:rsidRPr="009B587A" w:rsidTr="00493E4F">
        <w:trPr>
          <w:cantSplit/>
        </w:trPr>
        <w:tc>
          <w:tcPr>
            <w:tcW w:w="8899" w:type="dxa"/>
            <w:gridSpan w:val="6"/>
            <w:tcBorders>
              <w:top w:val="nil"/>
              <w:left w:val="nil"/>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9B587A">
              <w:rPr>
                <w:rFonts w:asciiTheme="majorBidi" w:hAnsiTheme="majorBidi" w:cstheme="majorBidi"/>
                <w:b/>
                <w:bCs/>
                <w:color w:val="010205"/>
              </w:rPr>
              <w:t>Chi-Square Tests</w:t>
            </w:r>
          </w:p>
        </w:tc>
      </w:tr>
      <w:tr w:rsidR="00493E4F" w:rsidRPr="009B587A" w:rsidTr="00493E4F">
        <w:trPr>
          <w:cantSplit/>
        </w:trPr>
        <w:tc>
          <w:tcPr>
            <w:tcW w:w="2447" w:type="dxa"/>
            <w:tcBorders>
              <w:top w:val="nil"/>
              <w:left w:val="nil"/>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nil"/>
              <w:left w:val="nil"/>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Value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df</w:t>
            </w:r>
          </w:p>
        </w:tc>
        <w:tc>
          <w:tcPr>
            <w:tcW w:w="1468"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Asymptotic Significance (2-sided)</w:t>
            </w:r>
          </w:p>
        </w:tc>
        <w:tc>
          <w:tcPr>
            <w:tcW w:w="1468"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Exact Sig. (2-sided)</w:t>
            </w:r>
          </w:p>
        </w:tc>
        <w:tc>
          <w:tcPr>
            <w:tcW w:w="1468" w:type="dxa"/>
            <w:tcBorders>
              <w:top w:val="nil"/>
              <w:left w:val="single" w:sz="8" w:space="0" w:color="E0E0E0"/>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Exact Sig. (1-sided)</w:t>
            </w:r>
          </w:p>
        </w:tc>
      </w:tr>
      <w:tr w:rsidR="00493E4F" w:rsidRPr="009B587A" w:rsidTr="00493E4F">
        <w:trPr>
          <w:cantSplit/>
        </w:trPr>
        <w:tc>
          <w:tcPr>
            <w:tcW w:w="2447" w:type="dxa"/>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Pearson Chi-Square</w:t>
            </w:r>
          </w:p>
        </w:tc>
        <w:tc>
          <w:tcPr>
            <w:tcW w:w="1024" w:type="dxa"/>
            <w:tcBorders>
              <w:top w:val="single" w:sz="8" w:space="0" w:color="152935"/>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5.204</w:t>
            </w:r>
            <w:r w:rsidRPr="009B587A">
              <w:rPr>
                <w:rFonts w:asciiTheme="majorBidi" w:hAnsiTheme="majorBidi" w:cstheme="majorBidi"/>
                <w:color w:val="010205"/>
                <w:sz w:val="18"/>
                <w:szCs w:val="18"/>
                <w:vertAlign w:val="superscript"/>
              </w:rPr>
              <w:t>a</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.023</w:t>
            </w:r>
          </w:p>
        </w:tc>
        <w:tc>
          <w:tcPr>
            <w:tcW w:w="1468"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152935"/>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Continuity Correction</w:t>
            </w:r>
            <w:r w:rsidRPr="009B587A">
              <w:rPr>
                <w:rFonts w:asciiTheme="majorBidi" w:hAnsiTheme="majorBidi" w:cstheme="majorBidi"/>
                <w:color w:val="264A60"/>
                <w:sz w:val="18"/>
                <w:szCs w:val="18"/>
                <w:vertAlign w:val="superscript"/>
              </w:rPr>
              <w:t>b</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4.077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.043</w:t>
            </w:r>
          </w:p>
        </w:tc>
        <w:tc>
          <w:tcPr>
            <w:tcW w:w="146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Likelihood Ratio</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4.694</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.030</w:t>
            </w:r>
          </w:p>
        </w:tc>
        <w:tc>
          <w:tcPr>
            <w:tcW w:w="146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Fisher's Exact Test</w:t>
            </w:r>
          </w:p>
        </w:tc>
        <w:tc>
          <w:tcPr>
            <w:tcW w:w="1024" w:type="dxa"/>
            <w:tcBorders>
              <w:top w:val="single" w:sz="8" w:space="0" w:color="AEAEAE"/>
              <w:left w:val="nil"/>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.034</w:t>
            </w:r>
          </w:p>
        </w:tc>
        <w:tc>
          <w:tcPr>
            <w:tcW w:w="1468"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.026</w:t>
            </w:r>
          </w:p>
        </w:tc>
      </w:tr>
      <w:tr w:rsidR="00493E4F" w:rsidRPr="009B587A" w:rsidTr="00493E4F">
        <w:trPr>
          <w:cantSplit/>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Linear-by-Linear Association</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5.170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.023</w:t>
            </w:r>
          </w:p>
        </w:tc>
        <w:tc>
          <w:tcPr>
            <w:tcW w:w="146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trPr>
        <w:tc>
          <w:tcPr>
            <w:tcW w:w="2447" w:type="dxa"/>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N of Valid Cases</w:t>
            </w:r>
          </w:p>
        </w:tc>
        <w:tc>
          <w:tcPr>
            <w:tcW w:w="1024" w:type="dxa"/>
            <w:tcBorders>
              <w:top w:val="single" w:sz="8" w:space="0" w:color="AEAEAE"/>
              <w:left w:val="nil"/>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152935"/>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trPr>
        <w:tc>
          <w:tcPr>
            <w:tcW w:w="8899" w:type="dxa"/>
            <w:gridSpan w:val="6"/>
            <w:tcBorders>
              <w:top w:val="nil"/>
              <w:left w:val="nil"/>
              <w:bottom w:val="nil"/>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a. 0 cells (0.0%) have expected count less than 5. The minimum expected count is 5.65.</w:t>
            </w:r>
          </w:p>
        </w:tc>
      </w:tr>
      <w:tr w:rsidR="00493E4F" w:rsidRPr="009B587A" w:rsidTr="00493E4F">
        <w:trPr>
          <w:cantSplit/>
        </w:trPr>
        <w:tc>
          <w:tcPr>
            <w:tcW w:w="8899" w:type="dxa"/>
            <w:gridSpan w:val="6"/>
            <w:tcBorders>
              <w:top w:val="nil"/>
              <w:left w:val="nil"/>
              <w:bottom w:val="nil"/>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b. Computed only for a 2x2 table</w:t>
            </w:r>
          </w:p>
        </w:tc>
      </w:tr>
    </w:tbl>
    <w:p w:rsidR="00493E4F" w:rsidRPr="009B587A" w:rsidRDefault="001649F2" w:rsidP="00493E4F">
      <w:pPr>
        <w:autoSpaceDE w:val="0"/>
        <w:autoSpaceDN w:val="0"/>
        <w:adjustRightInd w:val="0"/>
        <w:spacing w:after="0" w:line="480" w:lineRule="auto"/>
        <w:jc w:val="center"/>
        <w:rPr>
          <w:rFonts w:asciiTheme="majorBidi" w:hAnsiTheme="majorBidi" w:cstheme="majorBidi"/>
          <w:sz w:val="20"/>
          <w:szCs w:val="20"/>
        </w:rPr>
      </w:pPr>
      <w:r>
        <w:rPr>
          <w:rFonts w:asciiTheme="majorBidi" w:hAnsiTheme="majorBidi" w:cstheme="majorBidi"/>
          <w:sz w:val="20"/>
          <w:szCs w:val="20"/>
        </w:rPr>
        <w:t>Table 13 Chi-</w:t>
      </w:r>
      <w:r w:rsidR="00493E4F" w:rsidRPr="009B587A">
        <w:rPr>
          <w:rFonts w:asciiTheme="majorBidi" w:hAnsiTheme="majorBidi" w:cstheme="majorBidi"/>
          <w:sz w:val="20"/>
          <w:szCs w:val="20"/>
        </w:rPr>
        <w:t>Square values for regaining trust through the ability to apply for loans</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0"/>
          <w:szCs w:val="20"/>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lastRenderedPageBreak/>
        <w:t>Only 23.5% of participants said that online banking allows them to ap</w:t>
      </w:r>
      <w:r w:rsidR="001649F2">
        <w:rPr>
          <w:rFonts w:asciiTheme="majorBidi" w:hAnsiTheme="majorBidi" w:cstheme="majorBidi"/>
          <w:sz w:val="24"/>
          <w:szCs w:val="24"/>
        </w:rPr>
        <w:t>ply for loans. However, the Chi-</w:t>
      </w:r>
      <w:r w:rsidRPr="009B587A">
        <w:rPr>
          <w:rFonts w:asciiTheme="majorBidi" w:hAnsiTheme="majorBidi" w:cstheme="majorBidi"/>
          <w:sz w:val="24"/>
          <w:szCs w:val="24"/>
        </w:rPr>
        <w:t xml:space="preserve">Square value was 0.023 which shows a high </w:t>
      </w:r>
      <w:r>
        <w:rPr>
          <w:rFonts w:asciiTheme="majorBidi" w:hAnsiTheme="majorBidi" w:cstheme="majorBidi"/>
          <w:sz w:val="24"/>
          <w:szCs w:val="24"/>
        </w:rPr>
        <w:t>dependency</w:t>
      </w:r>
      <w:r w:rsidRPr="009B587A">
        <w:rPr>
          <w:rFonts w:asciiTheme="majorBidi" w:hAnsiTheme="majorBidi" w:cstheme="majorBidi"/>
          <w:sz w:val="24"/>
          <w:szCs w:val="24"/>
        </w:rPr>
        <w:t xml:space="preserve"> between the ability to apply for loans and regaining trust as indicated in Table 13.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890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8"/>
        <w:gridCol w:w="1024"/>
        <w:gridCol w:w="1024"/>
        <w:gridCol w:w="1469"/>
        <w:gridCol w:w="1469"/>
        <w:gridCol w:w="1469"/>
      </w:tblGrid>
      <w:tr w:rsidR="00493E4F" w:rsidRPr="009B587A" w:rsidTr="00493E4F">
        <w:trPr>
          <w:cantSplit/>
          <w:jc w:val="center"/>
        </w:trPr>
        <w:tc>
          <w:tcPr>
            <w:tcW w:w="8899" w:type="dxa"/>
            <w:gridSpan w:val="6"/>
            <w:tcBorders>
              <w:top w:val="nil"/>
              <w:left w:val="nil"/>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9B587A">
              <w:rPr>
                <w:rFonts w:asciiTheme="majorBidi" w:hAnsiTheme="majorBidi" w:cstheme="majorBidi"/>
                <w:b/>
                <w:bCs/>
                <w:color w:val="010205"/>
              </w:rPr>
              <w:t>Chi-Square Tests</w:t>
            </w:r>
          </w:p>
        </w:tc>
      </w:tr>
      <w:tr w:rsidR="00493E4F" w:rsidRPr="009B587A" w:rsidTr="00493E4F">
        <w:trPr>
          <w:cantSplit/>
          <w:jc w:val="center"/>
        </w:trPr>
        <w:tc>
          <w:tcPr>
            <w:tcW w:w="2447" w:type="dxa"/>
            <w:tcBorders>
              <w:top w:val="nil"/>
              <w:left w:val="nil"/>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nil"/>
              <w:left w:val="nil"/>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Value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df</w:t>
            </w:r>
          </w:p>
        </w:tc>
        <w:tc>
          <w:tcPr>
            <w:tcW w:w="1468"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Asymptotic Significance (2-sided)</w:t>
            </w:r>
          </w:p>
        </w:tc>
        <w:tc>
          <w:tcPr>
            <w:tcW w:w="1468"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Exact Sig. (2-sided)</w:t>
            </w:r>
          </w:p>
        </w:tc>
        <w:tc>
          <w:tcPr>
            <w:tcW w:w="1468" w:type="dxa"/>
            <w:tcBorders>
              <w:top w:val="nil"/>
              <w:left w:val="single" w:sz="8" w:space="0" w:color="E0E0E0"/>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Exact Sig. (1-sided)</w:t>
            </w:r>
          </w:p>
        </w:tc>
      </w:tr>
      <w:tr w:rsidR="00493E4F" w:rsidRPr="009B587A" w:rsidTr="00493E4F">
        <w:trPr>
          <w:cantSplit/>
          <w:jc w:val="center"/>
        </w:trPr>
        <w:tc>
          <w:tcPr>
            <w:tcW w:w="2447" w:type="dxa"/>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Pearson Chi-Square</w:t>
            </w:r>
          </w:p>
        </w:tc>
        <w:tc>
          <w:tcPr>
            <w:tcW w:w="1024" w:type="dxa"/>
            <w:tcBorders>
              <w:top w:val="single" w:sz="8" w:space="0" w:color="152935"/>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2.033</w:t>
            </w:r>
            <w:r w:rsidRPr="009B587A">
              <w:rPr>
                <w:rFonts w:asciiTheme="majorBidi" w:hAnsiTheme="majorBidi" w:cstheme="majorBidi"/>
                <w:color w:val="010205"/>
                <w:sz w:val="18"/>
                <w:szCs w:val="18"/>
                <w:vertAlign w:val="superscript"/>
              </w:rPr>
              <w:t>a</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.154</w:t>
            </w:r>
          </w:p>
        </w:tc>
        <w:tc>
          <w:tcPr>
            <w:tcW w:w="1468"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152935"/>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Continuity Correction</w:t>
            </w:r>
            <w:r w:rsidRPr="009B587A">
              <w:rPr>
                <w:rFonts w:asciiTheme="majorBidi" w:hAnsiTheme="majorBidi" w:cstheme="majorBidi"/>
                <w:color w:val="264A60"/>
                <w:sz w:val="18"/>
                <w:szCs w:val="18"/>
                <w:vertAlign w:val="superscript"/>
              </w:rPr>
              <w:t>b</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1.342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.247</w:t>
            </w:r>
          </w:p>
        </w:tc>
        <w:tc>
          <w:tcPr>
            <w:tcW w:w="146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Likelihood Ratio</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1.881</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.170</w:t>
            </w:r>
          </w:p>
        </w:tc>
        <w:tc>
          <w:tcPr>
            <w:tcW w:w="146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Fisher's Exact Test</w:t>
            </w:r>
          </w:p>
        </w:tc>
        <w:tc>
          <w:tcPr>
            <w:tcW w:w="1024" w:type="dxa"/>
            <w:tcBorders>
              <w:top w:val="single" w:sz="8" w:space="0" w:color="AEAEAE"/>
              <w:left w:val="nil"/>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.182</w:t>
            </w:r>
          </w:p>
        </w:tc>
        <w:tc>
          <w:tcPr>
            <w:tcW w:w="1468"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.125</w:t>
            </w:r>
          </w:p>
        </w:tc>
      </w:tr>
      <w:tr w:rsidR="00493E4F" w:rsidRPr="009B587A" w:rsidTr="00493E4F">
        <w:trPr>
          <w:cantSplit/>
          <w:jc w:val="center"/>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Linear-by-Linear Association</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2.020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.155</w:t>
            </w:r>
          </w:p>
        </w:tc>
        <w:tc>
          <w:tcPr>
            <w:tcW w:w="146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2447" w:type="dxa"/>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N of Valid Cases</w:t>
            </w:r>
          </w:p>
        </w:tc>
        <w:tc>
          <w:tcPr>
            <w:tcW w:w="1024" w:type="dxa"/>
            <w:tcBorders>
              <w:top w:val="single" w:sz="8" w:space="0" w:color="AEAEAE"/>
              <w:left w:val="nil"/>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152935"/>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8899" w:type="dxa"/>
            <w:gridSpan w:val="6"/>
            <w:tcBorders>
              <w:top w:val="nil"/>
              <w:left w:val="nil"/>
              <w:bottom w:val="nil"/>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a. 0 cells (0.0%) have expected count less than 5. The minimum expected count is 5.33.</w:t>
            </w:r>
          </w:p>
        </w:tc>
      </w:tr>
      <w:tr w:rsidR="00493E4F" w:rsidRPr="009B587A" w:rsidTr="00493E4F">
        <w:trPr>
          <w:cantSplit/>
          <w:jc w:val="center"/>
        </w:trPr>
        <w:tc>
          <w:tcPr>
            <w:tcW w:w="8899" w:type="dxa"/>
            <w:gridSpan w:val="6"/>
            <w:tcBorders>
              <w:top w:val="nil"/>
              <w:left w:val="nil"/>
              <w:bottom w:val="nil"/>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b. Computed only for a 2x2 table</w:t>
            </w:r>
          </w:p>
        </w:tc>
      </w:tr>
    </w:tbl>
    <w:p w:rsidR="00493E4F" w:rsidRPr="009B587A" w:rsidRDefault="001649F2" w:rsidP="00493E4F">
      <w:pPr>
        <w:autoSpaceDE w:val="0"/>
        <w:autoSpaceDN w:val="0"/>
        <w:adjustRightInd w:val="0"/>
        <w:spacing w:after="0" w:line="480" w:lineRule="auto"/>
        <w:jc w:val="center"/>
        <w:rPr>
          <w:rFonts w:asciiTheme="majorBidi" w:hAnsiTheme="majorBidi" w:cstheme="majorBidi"/>
          <w:sz w:val="20"/>
          <w:szCs w:val="20"/>
        </w:rPr>
      </w:pPr>
      <w:r>
        <w:rPr>
          <w:rFonts w:asciiTheme="majorBidi" w:hAnsiTheme="majorBidi" w:cstheme="majorBidi"/>
          <w:sz w:val="20"/>
          <w:szCs w:val="20"/>
        </w:rPr>
        <w:t>Table 14 Chi-</w:t>
      </w:r>
      <w:r w:rsidR="00493E4F" w:rsidRPr="009B587A">
        <w:rPr>
          <w:rFonts w:asciiTheme="majorBidi" w:hAnsiTheme="majorBidi" w:cstheme="majorBidi"/>
          <w:sz w:val="20"/>
          <w:szCs w:val="20"/>
        </w:rPr>
        <w:t>Square values for regaining trust through the ability to use USD</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0"/>
          <w:szCs w:val="20"/>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4C62DF">
        <w:rPr>
          <w:rFonts w:asciiTheme="majorBidi" w:hAnsiTheme="majorBidi" w:cstheme="majorBidi"/>
          <w:sz w:val="24"/>
          <w:szCs w:val="24"/>
        </w:rPr>
        <w:t>Only 22.2% of participants indicat</w:t>
      </w:r>
      <w:r>
        <w:rPr>
          <w:rFonts w:asciiTheme="majorBidi" w:hAnsiTheme="majorBidi" w:cstheme="majorBidi"/>
          <w:sz w:val="24"/>
          <w:szCs w:val="24"/>
        </w:rPr>
        <w:t>ed that they can use USD. The χ</w:t>
      </w:r>
      <w:r>
        <w:rPr>
          <w:rFonts w:asciiTheme="majorBidi" w:hAnsiTheme="majorBidi" w:cstheme="majorBidi"/>
          <w:sz w:val="24"/>
          <w:szCs w:val="24"/>
          <w:vertAlign w:val="superscript"/>
        </w:rPr>
        <w:t>2</w:t>
      </w:r>
      <w:r w:rsidRPr="004C62DF">
        <w:rPr>
          <w:rFonts w:asciiTheme="majorBidi" w:hAnsiTheme="majorBidi" w:cstheme="majorBidi"/>
          <w:sz w:val="24"/>
          <w:szCs w:val="24"/>
        </w:rPr>
        <w:t xml:space="preserve"> value was 0.154 as shown in Table 14 which indicates no dependency between having access to USD and regaining trust. Therefore, the issue of trust between the Lebanese consumer and the banking system goes beyond the dollar crisis.</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596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9"/>
        <w:gridCol w:w="1024"/>
        <w:gridCol w:w="1024"/>
        <w:gridCol w:w="1468"/>
      </w:tblGrid>
      <w:tr w:rsidR="00493E4F" w:rsidRPr="009B587A" w:rsidTr="00493E4F">
        <w:trPr>
          <w:cantSplit/>
          <w:jc w:val="center"/>
        </w:trPr>
        <w:tc>
          <w:tcPr>
            <w:tcW w:w="5963" w:type="dxa"/>
            <w:gridSpan w:val="4"/>
            <w:tcBorders>
              <w:top w:val="nil"/>
              <w:left w:val="nil"/>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9B587A">
              <w:rPr>
                <w:rFonts w:asciiTheme="majorBidi" w:hAnsiTheme="majorBidi" w:cstheme="majorBidi"/>
                <w:b/>
                <w:bCs/>
                <w:color w:val="010205"/>
              </w:rPr>
              <w:t>Chi-Square Tests</w:t>
            </w:r>
          </w:p>
        </w:tc>
      </w:tr>
      <w:tr w:rsidR="00493E4F" w:rsidRPr="009B587A" w:rsidTr="00493E4F">
        <w:trPr>
          <w:cantSplit/>
          <w:jc w:val="center"/>
        </w:trPr>
        <w:tc>
          <w:tcPr>
            <w:tcW w:w="2447" w:type="dxa"/>
            <w:tcBorders>
              <w:top w:val="nil"/>
              <w:left w:val="nil"/>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nil"/>
              <w:left w:val="nil"/>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Value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df</w:t>
            </w:r>
          </w:p>
        </w:tc>
        <w:tc>
          <w:tcPr>
            <w:tcW w:w="1468" w:type="dxa"/>
            <w:tcBorders>
              <w:top w:val="nil"/>
              <w:left w:val="single" w:sz="8" w:space="0" w:color="E0E0E0"/>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Asymptotic Significance (2-sided)</w:t>
            </w:r>
          </w:p>
        </w:tc>
      </w:tr>
      <w:tr w:rsidR="00493E4F" w:rsidRPr="009B587A" w:rsidTr="00493E4F">
        <w:trPr>
          <w:cantSplit/>
          <w:jc w:val="center"/>
        </w:trPr>
        <w:tc>
          <w:tcPr>
            <w:tcW w:w="2447" w:type="dxa"/>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Pearson Chi-Square</w:t>
            </w:r>
          </w:p>
        </w:tc>
        <w:tc>
          <w:tcPr>
            <w:tcW w:w="1024" w:type="dxa"/>
            <w:tcBorders>
              <w:top w:val="single" w:sz="8" w:space="0" w:color="152935"/>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1.796</w:t>
            </w:r>
            <w:r w:rsidRPr="009B587A">
              <w:rPr>
                <w:rFonts w:asciiTheme="majorBidi" w:hAnsiTheme="majorBidi" w:cstheme="majorBidi"/>
                <w:color w:val="010205"/>
                <w:sz w:val="18"/>
                <w:szCs w:val="18"/>
                <w:vertAlign w:val="superscript"/>
              </w:rPr>
              <w:t>a</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w:t>
            </w:r>
          </w:p>
        </w:tc>
        <w:tc>
          <w:tcPr>
            <w:tcW w:w="1468" w:type="dxa"/>
            <w:tcBorders>
              <w:top w:val="single" w:sz="8" w:space="0" w:color="152935"/>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.407</w:t>
            </w:r>
          </w:p>
        </w:tc>
      </w:tr>
      <w:tr w:rsidR="00493E4F" w:rsidRPr="009B587A" w:rsidTr="00493E4F">
        <w:trPr>
          <w:cantSplit/>
          <w:jc w:val="center"/>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Likelihood Ratio</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1.819</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w:t>
            </w:r>
          </w:p>
        </w:tc>
        <w:tc>
          <w:tcPr>
            <w:tcW w:w="1468"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.403</w:t>
            </w:r>
          </w:p>
        </w:tc>
      </w:tr>
      <w:tr w:rsidR="00493E4F" w:rsidRPr="009B587A" w:rsidTr="00493E4F">
        <w:trPr>
          <w:cantSplit/>
          <w:jc w:val="center"/>
        </w:trPr>
        <w:tc>
          <w:tcPr>
            <w:tcW w:w="244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Linear-by-Linear Association</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.536</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w:t>
            </w:r>
          </w:p>
        </w:tc>
        <w:tc>
          <w:tcPr>
            <w:tcW w:w="1468"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.464</w:t>
            </w:r>
          </w:p>
        </w:tc>
      </w:tr>
      <w:tr w:rsidR="00493E4F" w:rsidRPr="009B587A" w:rsidTr="00493E4F">
        <w:trPr>
          <w:cantSplit/>
          <w:jc w:val="center"/>
        </w:trPr>
        <w:tc>
          <w:tcPr>
            <w:tcW w:w="2447" w:type="dxa"/>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N of Valid Cases</w:t>
            </w:r>
          </w:p>
        </w:tc>
        <w:tc>
          <w:tcPr>
            <w:tcW w:w="1024" w:type="dxa"/>
            <w:tcBorders>
              <w:top w:val="single" w:sz="8" w:space="0" w:color="AEAEAE"/>
              <w:left w:val="nil"/>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152935"/>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5963" w:type="dxa"/>
            <w:gridSpan w:val="4"/>
            <w:tcBorders>
              <w:top w:val="nil"/>
              <w:left w:val="nil"/>
              <w:bottom w:val="nil"/>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a. 3 cells (50.0%) have expected count less than 5. The minimum expected count is .16.</w:t>
            </w:r>
          </w:p>
        </w:tc>
      </w:tr>
    </w:tbl>
    <w:p w:rsidR="00493E4F" w:rsidRPr="009B587A" w:rsidRDefault="001649F2" w:rsidP="00493E4F">
      <w:pPr>
        <w:autoSpaceDE w:val="0"/>
        <w:autoSpaceDN w:val="0"/>
        <w:adjustRightInd w:val="0"/>
        <w:spacing w:after="0" w:line="480" w:lineRule="auto"/>
        <w:jc w:val="center"/>
        <w:rPr>
          <w:rFonts w:asciiTheme="majorBidi" w:hAnsiTheme="majorBidi" w:cstheme="majorBidi"/>
          <w:sz w:val="20"/>
          <w:szCs w:val="20"/>
        </w:rPr>
      </w:pPr>
      <w:r>
        <w:rPr>
          <w:rFonts w:asciiTheme="majorBidi" w:hAnsiTheme="majorBidi" w:cstheme="majorBidi"/>
          <w:sz w:val="20"/>
          <w:szCs w:val="20"/>
        </w:rPr>
        <w:t>Table 15 Chi-</w:t>
      </w:r>
      <w:r w:rsidR="00493E4F" w:rsidRPr="009B587A">
        <w:rPr>
          <w:rFonts w:asciiTheme="majorBidi" w:hAnsiTheme="majorBidi" w:cstheme="majorBidi"/>
          <w:sz w:val="20"/>
          <w:szCs w:val="20"/>
        </w:rPr>
        <w:t>Square values for regaining trust through the ability to send money abroad</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0"/>
          <w:szCs w:val="20"/>
        </w:rPr>
      </w:pPr>
    </w:p>
    <w:p w:rsidR="00493E4F" w:rsidRPr="004C62DF" w:rsidRDefault="00493E4F" w:rsidP="00493E4F">
      <w:pPr>
        <w:autoSpaceDE w:val="0"/>
        <w:autoSpaceDN w:val="0"/>
        <w:adjustRightInd w:val="0"/>
        <w:spacing w:after="0" w:line="480" w:lineRule="auto"/>
        <w:jc w:val="both"/>
        <w:rPr>
          <w:rFonts w:asciiTheme="majorBidi" w:hAnsiTheme="majorBidi" w:cstheme="majorBidi"/>
          <w:sz w:val="24"/>
          <w:szCs w:val="24"/>
        </w:rPr>
      </w:pPr>
      <w:r w:rsidRPr="004C62DF">
        <w:rPr>
          <w:rFonts w:asciiTheme="majorBidi" w:hAnsiTheme="majorBidi" w:cstheme="majorBidi"/>
          <w:sz w:val="24"/>
          <w:szCs w:val="24"/>
        </w:rPr>
        <w:t xml:space="preserve">19.6% of participants answered yes to having the ability to transfer money abroad. The Chi-Square value was not significant at 0.407 which shows no dependency between the ability to transfer money abroad and regaining trust. Most of the transactions in Lebanon come from relatives who live abroad sending to Lebanon, so this option is not in high demand. </w:t>
      </w:r>
    </w:p>
    <w:p w:rsidR="00493E4F" w:rsidRDefault="00493E4F" w:rsidP="00493E4F">
      <w:pPr>
        <w:autoSpaceDE w:val="0"/>
        <w:autoSpaceDN w:val="0"/>
        <w:adjustRightInd w:val="0"/>
        <w:spacing w:after="0" w:line="480" w:lineRule="auto"/>
        <w:jc w:val="both"/>
        <w:rPr>
          <w:rFonts w:asciiTheme="majorBidi" w:hAnsiTheme="majorBidi" w:cstheme="majorBidi"/>
          <w:sz w:val="24"/>
          <w:szCs w:val="24"/>
        </w:rPr>
      </w:pPr>
      <w:r w:rsidRPr="004C62DF">
        <w:rPr>
          <w:rFonts w:asciiTheme="majorBidi" w:hAnsiTheme="majorBidi" w:cstheme="majorBidi"/>
          <w:sz w:val="24"/>
          <w:szCs w:val="24"/>
        </w:rPr>
        <w:t>From all of the above, we can accept H1 as a valid hypothesis that correlates trust and satisfaction. However, this trust can be regained through having access to all accounts, the ability to transfer money and apply for loans.</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 xml:space="preserve">4.2.2 Efficiency of E-banking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 xml:space="preserve">The second hypothesis tests the efficiency of e-banking. The one-way ANOVA test was used to find the correlations between the various components associated with efficiency as shown below in Table 16.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859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48"/>
        <w:gridCol w:w="1697"/>
        <w:gridCol w:w="1469"/>
        <w:gridCol w:w="1025"/>
        <w:gridCol w:w="1408"/>
        <w:gridCol w:w="1025"/>
        <w:gridCol w:w="1025"/>
      </w:tblGrid>
      <w:tr w:rsidR="00493E4F" w:rsidRPr="009B587A" w:rsidTr="00493E4F">
        <w:trPr>
          <w:cantSplit/>
          <w:jc w:val="center"/>
        </w:trPr>
        <w:tc>
          <w:tcPr>
            <w:tcW w:w="8592" w:type="dxa"/>
            <w:gridSpan w:val="7"/>
            <w:tcBorders>
              <w:top w:val="nil"/>
              <w:left w:val="nil"/>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9B587A">
              <w:rPr>
                <w:rFonts w:asciiTheme="majorBidi" w:hAnsiTheme="majorBidi" w:cstheme="majorBidi"/>
                <w:b/>
                <w:bCs/>
                <w:color w:val="010205"/>
              </w:rPr>
              <w:t>ANOVA</w:t>
            </w:r>
          </w:p>
        </w:tc>
      </w:tr>
      <w:tr w:rsidR="00493E4F" w:rsidRPr="009B587A" w:rsidTr="00493E4F">
        <w:trPr>
          <w:cantSplit/>
          <w:jc w:val="center"/>
        </w:trPr>
        <w:tc>
          <w:tcPr>
            <w:tcW w:w="2645" w:type="dxa"/>
            <w:gridSpan w:val="2"/>
            <w:tcBorders>
              <w:top w:val="nil"/>
              <w:left w:val="nil"/>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nil"/>
              <w:left w:val="nil"/>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Sig.</w:t>
            </w:r>
          </w:p>
        </w:tc>
      </w:tr>
      <w:tr w:rsidR="00493E4F" w:rsidRPr="009B587A" w:rsidTr="00493E4F">
        <w:trPr>
          <w:cantSplit/>
          <w:jc w:val="center"/>
        </w:trPr>
        <w:tc>
          <w:tcPr>
            <w:tcW w:w="948" w:type="dxa"/>
            <w:vMerge w:val="restart"/>
            <w:tcBorders>
              <w:top w:val="single" w:sz="8" w:space="0" w:color="152935"/>
              <w:left w:val="nil"/>
              <w:bottom w:val="nil"/>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CoE</w:t>
            </w:r>
          </w:p>
        </w:tc>
        <w:tc>
          <w:tcPr>
            <w:tcW w:w="1697" w:type="dxa"/>
            <w:tcBorders>
              <w:top w:val="single" w:sz="8" w:space="0" w:color="152935"/>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Between Groups</w:t>
            </w:r>
          </w:p>
        </w:tc>
        <w:tc>
          <w:tcPr>
            <w:tcW w:w="1468" w:type="dxa"/>
            <w:tcBorders>
              <w:top w:val="single" w:sz="8" w:space="0" w:color="152935"/>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12.645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3.161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.855</w:t>
            </w:r>
          </w:p>
        </w:tc>
        <w:tc>
          <w:tcPr>
            <w:tcW w:w="1024" w:type="dxa"/>
            <w:tcBorders>
              <w:top w:val="single" w:sz="8" w:space="0" w:color="152935"/>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.493</w:t>
            </w:r>
          </w:p>
        </w:tc>
      </w:tr>
      <w:tr w:rsidR="00493E4F" w:rsidRPr="009B587A" w:rsidTr="00493E4F">
        <w:trPr>
          <w:cantSplit/>
          <w:jc w:val="center"/>
        </w:trPr>
        <w:tc>
          <w:tcPr>
            <w:tcW w:w="948" w:type="dxa"/>
            <w:vMerge/>
            <w:tcBorders>
              <w:top w:val="single" w:sz="8" w:space="0" w:color="152935"/>
              <w:left w:val="nil"/>
              <w:bottom w:val="nil"/>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169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Within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547.251</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3.698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948" w:type="dxa"/>
            <w:vMerge/>
            <w:tcBorders>
              <w:top w:val="single" w:sz="8" w:space="0" w:color="152935"/>
              <w:left w:val="nil"/>
              <w:bottom w:val="nil"/>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697" w:type="dxa"/>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468" w:type="dxa"/>
            <w:tcBorders>
              <w:top w:val="single" w:sz="8" w:space="0" w:color="AEAEAE"/>
              <w:left w:val="nil"/>
              <w:bottom w:val="nil"/>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559.895</w:t>
            </w:r>
          </w:p>
        </w:tc>
        <w:tc>
          <w:tcPr>
            <w:tcW w:w="1024" w:type="dxa"/>
            <w:tcBorders>
              <w:top w:val="single" w:sz="8" w:space="0" w:color="AEAEAE"/>
              <w:left w:val="single" w:sz="8" w:space="0" w:color="E0E0E0"/>
              <w:bottom w:val="nil"/>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152</w:t>
            </w:r>
          </w:p>
        </w:tc>
        <w:tc>
          <w:tcPr>
            <w:tcW w:w="1407" w:type="dxa"/>
            <w:tcBorders>
              <w:top w:val="single" w:sz="8" w:space="0" w:color="AEAEAE"/>
              <w:left w:val="single" w:sz="8" w:space="0" w:color="E0E0E0"/>
              <w:bottom w:val="nil"/>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948" w:type="dxa"/>
            <w:vMerge w:val="restart"/>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ST</w:t>
            </w:r>
          </w:p>
        </w:tc>
        <w:tc>
          <w:tcPr>
            <w:tcW w:w="169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Between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2.641</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.660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1.574</w:t>
            </w:r>
          </w:p>
        </w:tc>
        <w:tc>
          <w:tcPr>
            <w:tcW w:w="1024"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.184</w:t>
            </w:r>
          </w:p>
        </w:tc>
      </w:tr>
      <w:tr w:rsidR="00493E4F" w:rsidRPr="009B587A" w:rsidTr="00493E4F">
        <w:trPr>
          <w:cantSplit/>
          <w:jc w:val="center"/>
        </w:trPr>
        <w:tc>
          <w:tcPr>
            <w:tcW w:w="948" w:type="dxa"/>
            <w:vMerge/>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169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Within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62.078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.419</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948" w:type="dxa"/>
            <w:vMerge/>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697" w:type="dxa"/>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468" w:type="dxa"/>
            <w:tcBorders>
              <w:top w:val="single" w:sz="8" w:space="0" w:color="AEAEAE"/>
              <w:left w:val="nil"/>
              <w:bottom w:val="nil"/>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64.719</w:t>
            </w:r>
          </w:p>
        </w:tc>
        <w:tc>
          <w:tcPr>
            <w:tcW w:w="1024" w:type="dxa"/>
            <w:tcBorders>
              <w:top w:val="single" w:sz="8" w:space="0" w:color="AEAEAE"/>
              <w:left w:val="single" w:sz="8" w:space="0" w:color="E0E0E0"/>
              <w:bottom w:val="nil"/>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152</w:t>
            </w:r>
          </w:p>
        </w:tc>
        <w:tc>
          <w:tcPr>
            <w:tcW w:w="1407" w:type="dxa"/>
            <w:tcBorders>
              <w:top w:val="single" w:sz="8" w:space="0" w:color="AEAEAE"/>
              <w:left w:val="single" w:sz="8" w:space="0" w:color="E0E0E0"/>
              <w:bottom w:val="nil"/>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948" w:type="dxa"/>
            <w:vMerge w:val="restart"/>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CST</w:t>
            </w:r>
          </w:p>
        </w:tc>
        <w:tc>
          <w:tcPr>
            <w:tcW w:w="169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Between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6.095</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1.524</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1.164</w:t>
            </w:r>
          </w:p>
        </w:tc>
        <w:tc>
          <w:tcPr>
            <w:tcW w:w="1024"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.329</w:t>
            </w:r>
          </w:p>
        </w:tc>
      </w:tr>
      <w:tr w:rsidR="00493E4F" w:rsidRPr="009B587A" w:rsidTr="00493E4F">
        <w:trPr>
          <w:cantSplit/>
          <w:jc w:val="center"/>
        </w:trPr>
        <w:tc>
          <w:tcPr>
            <w:tcW w:w="948" w:type="dxa"/>
            <w:vMerge/>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169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Within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193.801</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1.309</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948" w:type="dxa"/>
            <w:vMerge/>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697" w:type="dxa"/>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468" w:type="dxa"/>
            <w:tcBorders>
              <w:top w:val="single" w:sz="8" w:space="0" w:color="AEAEAE"/>
              <w:left w:val="nil"/>
              <w:bottom w:val="nil"/>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199.895</w:t>
            </w:r>
          </w:p>
        </w:tc>
        <w:tc>
          <w:tcPr>
            <w:tcW w:w="1024" w:type="dxa"/>
            <w:tcBorders>
              <w:top w:val="single" w:sz="8" w:space="0" w:color="AEAEAE"/>
              <w:left w:val="single" w:sz="8" w:space="0" w:color="E0E0E0"/>
              <w:bottom w:val="nil"/>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152</w:t>
            </w:r>
          </w:p>
        </w:tc>
        <w:tc>
          <w:tcPr>
            <w:tcW w:w="1407" w:type="dxa"/>
            <w:tcBorders>
              <w:top w:val="single" w:sz="8" w:space="0" w:color="AEAEAE"/>
              <w:left w:val="single" w:sz="8" w:space="0" w:color="E0E0E0"/>
              <w:bottom w:val="nil"/>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948" w:type="dxa"/>
            <w:vMerge w:val="restart"/>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EN</w:t>
            </w:r>
          </w:p>
        </w:tc>
        <w:tc>
          <w:tcPr>
            <w:tcW w:w="169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Between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3.774</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.944</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1.084</w:t>
            </w:r>
          </w:p>
        </w:tc>
        <w:tc>
          <w:tcPr>
            <w:tcW w:w="1024"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.366</w:t>
            </w:r>
          </w:p>
        </w:tc>
      </w:tr>
      <w:tr w:rsidR="00493E4F" w:rsidRPr="009B587A" w:rsidTr="00493E4F">
        <w:trPr>
          <w:cantSplit/>
          <w:jc w:val="center"/>
        </w:trPr>
        <w:tc>
          <w:tcPr>
            <w:tcW w:w="948" w:type="dxa"/>
            <w:vMerge/>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169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Within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128.788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.870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948" w:type="dxa"/>
            <w:vMerge/>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697" w:type="dxa"/>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468" w:type="dxa"/>
            <w:tcBorders>
              <w:top w:val="single" w:sz="8" w:space="0" w:color="AEAEAE"/>
              <w:left w:val="nil"/>
              <w:bottom w:val="nil"/>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132.562</w:t>
            </w:r>
          </w:p>
        </w:tc>
        <w:tc>
          <w:tcPr>
            <w:tcW w:w="1024" w:type="dxa"/>
            <w:tcBorders>
              <w:top w:val="single" w:sz="8" w:space="0" w:color="AEAEAE"/>
              <w:left w:val="single" w:sz="8" w:space="0" w:color="E0E0E0"/>
              <w:bottom w:val="nil"/>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152</w:t>
            </w:r>
          </w:p>
        </w:tc>
        <w:tc>
          <w:tcPr>
            <w:tcW w:w="1407" w:type="dxa"/>
            <w:tcBorders>
              <w:top w:val="single" w:sz="8" w:space="0" w:color="AEAEAE"/>
              <w:left w:val="single" w:sz="8" w:space="0" w:color="E0E0E0"/>
              <w:bottom w:val="nil"/>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948" w:type="dxa"/>
            <w:vMerge w:val="restart"/>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CEN</w:t>
            </w:r>
          </w:p>
        </w:tc>
        <w:tc>
          <w:tcPr>
            <w:tcW w:w="169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Between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9.386</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2.346</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2.353</w:t>
            </w:r>
          </w:p>
        </w:tc>
        <w:tc>
          <w:tcPr>
            <w:tcW w:w="1024"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.057</w:t>
            </w:r>
          </w:p>
        </w:tc>
      </w:tr>
      <w:tr w:rsidR="00493E4F" w:rsidRPr="009B587A" w:rsidTr="00493E4F">
        <w:trPr>
          <w:cantSplit/>
          <w:jc w:val="center"/>
        </w:trPr>
        <w:tc>
          <w:tcPr>
            <w:tcW w:w="948" w:type="dxa"/>
            <w:vMerge/>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169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Within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147.608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.997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948" w:type="dxa"/>
            <w:vMerge/>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697" w:type="dxa"/>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468" w:type="dxa"/>
            <w:tcBorders>
              <w:top w:val="single" w:sz="8" w:space="0" w:color="AEAEAE"/>
              <w:left w:val="nil"/>
              <w:bottom w:val="nil"/>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156.993</w:t>
            </w:r>
          </w:p>
        </w:tc>
        <w:tc>
          <w:tcPr>
            <w:tcW w:w="1024" w:type="dxa"/>
            <w:tcBorders>
              <w:top w:val="single" w:sz="8" w:space="0" w:color="AEAEAE"/>
              <w:left w:val="single" w:sz="8" w:space="0" w:color="E0E0E0"/>
              <w:bottom w:val="nil"/>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152</w:t>
            </w:r>
          </w:p>
        </w:tc>
        <w:tc>
          <w:tcPr>
            <w:tcW w:w="1407" w:type="dxa"/>
            <w:tcBorders>
              <w:top w:val="single" w:sz="8" w:space="0" w:color="AEAEAE"/>
              <w:left w:val="single" w:sz="8" w:space="0" w:color="E0E0E0"/>
              <w:bottom w:val="nil"/>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948" w:type="dxa"/>
            <w:vMerge w:val="restart"/>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NP</w:t>
            </w:r>
          </w:p>
        </w:tc>
        <w:tc>
          <w:tcPr>
            <w:tcW w:w="169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Between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8.010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2.003</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1.414</w:t>
            </w:r>
          </w:p>
        </w:tc>
        <w:tc>
          <w:tcPr>
            <w:tcW w:w="1024"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.232</w:t>
            </w:r>
          </w:p>
        </w:tc>
      </w:tr>
      <w:tr w:rsidR="00493E4F" w:rsidRPr="009B587A" w:rsidTr="00493E4F">
        <w:trPr>
          <w:cantSplit/>
          <w:jc w:val="center"/>
        </w:trPr>
        <w:tc>
          <w:tcPr>
            <w:tcW w:w="948" w:type="dxa"/>
            <w:vMerge/>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169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Within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209.532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1.416</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948" w:type="dxa"/>
            <w:vMerge/>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697" w:type="dxa"/>
            <w:tcBorders>
              <w:top w:val="single" w:sz="8" w:space="0" w:color="AEAEAE"/>
              <w:left w:val="nil"/>
              <w:bottom w:val="nil"/>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468" w:type="dxa"/>
            <w:tcBorders>
              <w:top w:val="single" w:sz="8" w:space="0" w:color="AEAEAE"/>
              <w:left w:val="nil"/>
              <w:bottom w:val="nil"/>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217.542</w:t>
            </w:r>
          </w:p>
        </w:tc>
        <w:tc>
          <w:tcPr>
            <w:tcW w:w="1024" w:type="dxa"/>
            <w:tcBorders>
              <w:top w:val="single" w:sz="8" w:space="0" w:color="AEAEAE"/>
              <w:left w:val="single" w:sz="8" w:space="0" w:color="E0E0E0"/>
              <w:bottom w:val="nil"/>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152</w:t>
            </w:r>
          </w:p>
        </w:tc>
        <w:tc>
          <w:tcPr>
            <w:tcW w:w="1407" w:type="dxa"/>
            <w:tcBorders>
              <w:top w:val="single" w:sz="8" w:space="0" w:color="AEAEAE"/>
              <w:left w:val="single" w:sz="8" w:space="0" w:color="E0E0E0"/>
              <w:bottom w:val="nil"/>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948" w:type="dxa"/>
            <w:vMerge w:val="restart"/>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Efficient</w:t>
            </w:r>
          </w:p>
        </w:tc>
        <w:tc>
          <w:tcPr>
            <w:tcW w:w="169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Between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4.432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4</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1.108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1.900</w:t>
            </w:r>
          </w:p>
        </w:tc>
        <w:tc>
          <w:tcPr>
            <w:tcW w:w="1024" w:type="dxa"/>
            <w:tcBorders>
              <w:top w:val="single" w:sz="8" w:space="0" w:color="AEAEAE"/>
              <w:left w:val="single" w:sz="8" w:space="0" w:color="E0E0E0"/>
              <w:bottom w:val="single" w:sz="8" w:space="0" w:color="AEAEAE"/>
              <w:right w:val="nil"/>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.113</w:t>
            </w:r>
          </w:p>
        </w:tc>
      </w:tr>
      <w:tr w:rsidR="00493E4F" w:rsidRPr="009B587A" w:rsidTr="00493E4F">
        <w:trPr>
          <w:cantSplit/>
          <w:jc w:val="center"/>
        </w:trPr>
        <w:tc>
          <w:tcPr>
            <w:tcW w:w="948" w:type="dxa"/>
            <w:vMerge/>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1697" w:type="dxa"/>
            <w:tcBorders>
              <w:top w:val="single" w:sz="8" w:space="0" w:color="AEAEAE"/>
              <w:left w:val="nil"/>
              <w:bottom w:val="single" w:sz="8" w:space="0" w:color="AEAEAE"/>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Within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86.287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.583</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9B587A" w:rsidTr="00493E4F">
        <w:trPr>
          <w:cantSplit/>
          <w:jc w:val="center"/>
        </w:trPr>
        <w:tc>
          <w:tcPr>
            <w:tcW w:w="948" w:type="dxa"/>
            <w:vMerge/>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697" w:type="dxa"/>
            <w:tcBorders>
              <w:top w:val="single" w:sz="8" w:space="0" w:color="AEAEAE"/>
              <w:left w:val="nil"/>
              <w:bottom w:val="single" w:sz="8" w:space="0" w:color="152935"/>
              <w:right w:val="nil"/>
            </w:tcBorders>
            <w:shd w:val="clear" w:color="auto" w:fill="E0E0E0"/>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9B587A">
              <w:rPr>
                <w:rFonts w:asciiTheme="majorBidi" w:hAnsiTheme="majorBidi" w:cstheme="majorBidi"/>
                <w:color w:val="264A6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90.719</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493E4F" w:rsidRPr="009B587A"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9B587A">
              <w:rPr>
                <w:rFonts w:asciiTheme="majorBidi" w:hAnsiTheme="majorBidi" w:cstheme="majorBidi"/>
                <w:color w:val="010205"/>
                <w:sz w:val="18"/>
                <w:szCs w:val="18"/>
              </w:rPr>
              <w:t>152</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tc>
      </w:tr>
    </w:tbl>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center"/>
        <w:rPr>
          <w:rFonts w:asciiTheme="majorBidi" w:hAnsiTheme="majorBidi" w:cstheme="majorBidi"/>
          <w:sz w:val="20"/>
          <w:szCs w:val="20"/>
        </w:rPr>
      </w:pPr>
      <w:r w:rsidRPr="009B587A">
        <w:rPr>
          <w:rFonts w:asciiTheme="majorBidi" w:hAnsiTheme="majorBidi" w:cstheme="majorBidi"/>
          <w:sz w:val="20"/>
          <w:szCs w:val="20"/>
        </w:rPr>
        <w:t>Table 16 ANOVA of factors associated with</w:t>
      </w:r>
      <w:r w:rsidR="001649F2">
        <w:rPr>
          <w:rFonts w:asciiTheme="majorBidi" w:hAnsiTheme="majorBidi" w:cstheme="majorBidi"/>
          <w:sz w:val="20"/>
          <w:szCs w:val="20"/>
        </w:rPr>
        <w:t xml:space="preserve"> the</w:t>
      </w:r>
      <w:r w:rsidRPr="009B587A">
        <w:rPr>
          <w:rFonts w:asciiTheme="majorBidi" w:hAnsiTheme="majorBidi" w:cstheme="majorBidi"/>
          <w:sz w:val="20"/>
          <w:szCs w:val="20"/>
        </w:rPr>
        <w:t xml:space="preserve"> efficiency of e-banking</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0"/>
          <w:szCs w:val="20"/>
        </w:rPr>
      </w:pPr>
    </w:p>
    <w:p w:rsidR="00493E4F" w:rsidRPr="004C62DF" w:rsidRDefault="00493E4F" w:rsidP="001649F2">
      <w:pPr>
        <w:autoSpaceDE w:val="0"/>
        <w:autoSpaceDN w:val="0"/>
        <w:adjustRightInd w:val="0"/>
        <w:spacing w:after="0" w:line="480" w:lineRule="auto"/>
        <w:jc w:val="both"/>
        <w:rPr>
          <w:rFonts w:asciiTheme="majorBidi" w:hAnsiTheme="majorBidi" w:cstheme="majorBidi"/>
          <w:sz w:val="24"/>
          <w:szCs w:val="24"/>
        </w:rPr>
      </w:pPr>
      <w:r w:rsidRPr="004C62DF">
        <w:rPr>
          <w:rFonts w:asciiTheme="majorBidi" w:hAnsiTheme="majorBidi" w:cstheme="majorBidi"/>
          <w:sz w:val="24"/>
          <w:szCs w:val="24"/>
        </w:rPr>
        <w:lastRenderedPageBreak/>
        <w:t xml:space="preserve">Efficiency was found to be an important criterion in establishing and maintaining the clients’ satisfaction. 77.8% of participants answered by strongly agree and agree to e-banking being efficient. The ANOVA test was done to determine which factors will homogenize with satisfaction after the pandemic and those who will not. Starting with efficiency as a whole, there no statistically significant difference between satisfaction and efficiency at p= 0113 &lt; 0.05. There is no statistically significant difference between satisfaction and the various causes of efficiency at p= 0.184. There is no statistically significant difference between satisfaction and saving time at p= 0.329 or the causes of saving time at p= 0.366. There is no statistically significant difference between satisfaction and the ease of navigation at p= 0.057 or the causes of ease of navigation at p= 0.232. This gives us no conclusive correlation between efficiency and satisfaction. Thus we cannot conclusively say that efficiency will have an impact on the satisfaction of clients of Lebanese banks. </w:t>
      </w:r>
    </w:p>
    <w:p w:rsidR="00493E4F" w:rsidRDefault="00493E4F" w:rsidP="00493E4F">
      <w:pPr>
        <w:autoSpaceDE w:val="0"/>
        <w:autoSpaceDN w:val="0"/>
        <w:adjustRightInd w:val="0"/>
        <w:spacing w:after="0" w:line="480" w:lineRule="auto"/>
        <w:jc w:val="both"/>
        <w:rPr>
          <w:rFonts w:asciiTheme="majorBidi" w:hAnsiTheme="majorBidi" w:cstheme="majorBidi"/>
          <w:sz w:val="24"/>
          <w:szCs w:val="24"/>
        </w:rPr>
      </w:pPr>
      <w:r w:rsidRPr="004C62DF">
        <w:rPr>
          <w:rFonts w:asciiTheme="majorBidi" w:hAnsiTheme="majorBidi" w:cstheme="majorBidi"/>
          <w:sz w:val="24"/>
          <w:szCs w:val="24"/>
        </w:rPr>
        <w:t>These factors can be further illustrated. With regards to causes of efficiency, participants answered 51.9% that it has all services available in real-time and 30.8% that it saves trips to the bank. The percentage of people who strongly agreed and agreed about saving time amounted to 88.2% with the emphasis that having a well-designed website and/or application (23.5%) and ease of navigation (58.8%) influence the ability to save time. Participants also strongly agreed and agreed at 90.2% that ease of navigation is essential. The two leading causes for ease of navigation were found to be accurate sequencing of services (40.5%) and easily defined layout (36.6%).</w:t>
      </w:r>
    </w:p>
    <w:p w:rsidR="00493E4F"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 xml:space="preserve">4.2.3. Reliability of e-banking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lastRenderedPageBreak/>
        <w:t>Reliability in this context is related to how the participants are interacting with e-banking. We wanted to study how engaged they are with e-banking and how better they understand e-banking. For this purpose, a χ</w:t>
      </w:r>
      <w:r w:rsidRPr="009B587A">
        <w:rPr>
          <w:rFonts w:asciiTheme="majorBidi" w:hAnsiTheme="majorBidi" w:cstheme="majorBidi"/>
          <w:sz w:val="24"/>
          <w:szCs w:val="24"/>
          <w:vertAlign w:val="superscript"/>
        </w:rPr>
        <w:t>2</w:t>
      </w:r>
      <w:r w:rsidRPr="009B587A">
        <w:rPr>
          <w:rFonts w:asciiTheme="majorBidi" w:hAnsiTheme="majorBidi" w:cstheme="majorBidi"/>
          <w:sz w:val="24"/>
          <w:szCs w:val="24"/>
        </w:rPr>
        <w:t xml:space="preserve"> test was done. </w:t>
      </w:r>
    </w:p>
    <w:p w:rsidR="00493E4F" w:rsidRPr="005968B3"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596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9"/>
        <w:gridCol w:w="1024"/>
        <w:gridCol w:w="1024"/>
        <w:gridCol w:w="1468"/>
      </w:tblGrid>
      <w:tr w:rsidR="00493E4F" w:rsidRPr="005968B3" w:rsidTr="00493E4F">
        <w:trPr>
          <w:cantSplit/>
          <w:jc w:val="center"/>
        </w:trPr>
        <w:tc>
          <w:tcPr>
            <w:tcW w:w="5963" w:type="dxa"/>
            <w:gridSpan w:val="4"/>
            <w:tcBorders>
              <w:top w:val="nil"/>
              <w:left w:val="nil"/>
              <w:bottom w:val="nil"/>
              <w:right w:val="nil"/>
            </w:tcBorders>
            <w:shd w:val="clear" w:color="auto" w:fill="FFFFFF"/>
            <w:vAlign w:val="center"/>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5968B3">
              <w:rPr>
                <w:rFonts w:asciiTheme="majorBidi" w:hAnsiTheme="majorBidi" w:cstheme="majorBidi"/>
                <w:b/>
                <w:bCs/>
                <w:color w:val="010205"/>
              </w:rPr>
              <w:t>Chi-Square Tests</w:t>
            </w:r>
          </w:p>
        </w:tc>
      </w:tr>
      <w:tr w:rsidR="00493E4F" w:rsidRPr="005968B3" w:rsidTr="00493E4F">
        <w:trPr>
          <w:cantSplit/>
          <w:jc w:val="center"/>
        </w:trPr>
        <w:tc>
          <w:tcPr>
            <w:tcW w:w="2447" w:type="dxa"/>
            <w:tcBorders>
              <w:top w:val="nil"/>
              <w:left w:val="nil"/>
              <w:bottom w:val="single" w:sz="8" w:space="0" w:color="152935"/>
              <w:right w:val="nil"/>
            </w:tcBorders>
            <w:shd w:val="clear" w:color="auto" w:fill="FFFFFF"/>
            <w:vAlign w:val="bottom"/>
          </w:tcPr>
          <w:p w:rsidR="00493E4F" w:rsidRPr="005968B3"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nil"/>
              <w:left w:val="nil"/>
              <w:bottom w:val="single" w:sz="8" w:space="0" w:color="152935"/>
              <w:right w:val="single" w:sz="8" w:space="0" w:color="E0E0E0"/>
            </w:tcBorders>
            <w:shd w:val="clear" w:color="auto" w:fill="FFFFFF"/>
            <w:vAlign w:val="bottom"/>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5968B3">
              <w:rPr>
                <w:rFonts w:asciiTheme="majorBidi" w:hAnsiTheme="majorBidi" w:cstheme="majorBidi"/>
                <w:color w:val="264A60"/>
                <w:sz w:val="18"/>
                <w:szCs w:val="18"/>
              </w:rPr>
              <w:t>Value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5968B3">
              <w:rPr>
                <w:rFonts w:asciiTheme="majorBidi" w:hAnsiTheme="majorBidi" w:cstheme="majorBidi"/>
                <w:color w:val="264A60"/>
                <w:sz w:val="18"/>
                <w:szCs w:val="18"/>
              </w:rPr>
              <w:t>df</w:t>
            </w:r>
          </w:p>
        </w:tc>
        <w:tc>
          <w:tcPr>
            <w:tcW w:w="1468" w:type="dxa"/>
            <w:tcBorders>
              <w:top w:val="nil"/>
              <w:left w:val="single" w:sz="8" w:space="0" w:color="E0E0E0"/>
              <w:bottom w:val="single" w:sz="8" w:space="0" w:color="152935"/>
              <w:right w:val="nil"/>
            </w:tcBorders>
            <w:shd w:val="clear" w:color="auto" w:fill="FFFFFF"/>
            <w:vAlign w:val="bottom"/>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5968B3">
              <w:rPr>
                <w:rFonts w:asciiTheme="majorBidi" w:hAnsiTheme="majorBidi" w:cstheme="majorBidi"/>
                <w:color w:val="264A60"/>
                <w:sz w:val="18"/>
                <w:szCs w:val="18"/>
              </w:rPr>
              <w:t>Asymptotic Significance (2-sided)</w:t>
            </w:r>
          </w:p>
        </w:tc>
      </w:tr>
      <w:tr w:rsidR="00493E4F" w:rsidRPr="005968B3" w:rsidTr="00493E4F">
        <w:trPr>
          <w:cantSplit/>
          <w:jc w:val="center"/>
        </w:trPr>
        <w:tc>
          <w:tcPr>
            <w:tcW w:w="2447" w:type="dxa"/>
            <w:tcBorders>
              <w:top w:val="single" w:sz="8" w:space="0" w:color="152935"/>
              <w:left w:val="nil"/>
              <w:bottom w:val="single" w:sz="8" w:space="0" w:color="AEAEAE"/>
              <w:right w:val="nil"/>
            </w:tcBorders>
            <w:shd w:val="clear" w:color="auto" w:fill="E0E0E0"/>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5968B3">
              <w:rPr>
                <w:rFonts w:asciiTheme="majorBidi" w:hAnsiTheme="majorBidi" w:cstheme="majorBidi"/>
                <w:color w:val="264A60"/>
                <w:sz w:val="18"/>
                <w:szCs w:val="18"/>
              </w:rPr>
              <w:t>Pearson Chi-Square</w:t>
            </w:r>
          </w:p>
        </w:tc>
        <w:tc>
          <w:tcPr>
            <w:tcW w:w="1024" w:type="dxa"/>
            <w:tcBorders>
              <w:top w:val="single" w:sz="8" w:space="0" w:color="152935"/>
              <w:left w:val="nil"/>
              <w:bottom w:val="single" w:sz="8" w:space="0" w:color="AEAEAE"/>
              <w:right w:val="single" w:sz="8" w:space="0" w:color="E0E0E0"/>
            </w:tcBorders>
            <w:shd w:val="clear" w:color="auto" w:fill="FFFFFF"/>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5968B3">
              <w:rPr>
                <w:rFonts w:asciiTheme="majorBidi" w:hAnsiTheme="majorBidi" w:cstheme="majorBidi"/>
                <w:color w:val="010205"/>
                <w:sz w:val="18"/>
                <w:szCs w:val="18"/>
              </w:rPr>
              <w:t>12.969</w:t>
            </w:r>
            <w:r w:rsidRPr="005968B3">
              <w:rPr>
                <w:rFonts w:asciiTheme="majorBidi" w:hAnsiTheme="majorBidi" w:cstheme="majorBidi"/>
                <w:color w:val="010205"/>
                <w:sz w:val="18"/>
                <w:szCs w:val="18"/>
                <w:vertAlign w:val="superscript"/>
              </w:rPr>
              <w:t>a</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5968B3">
              <w:rPr>
                <w:rFonts w:asciiTheme="majorBidi" w:hAnsiTheme="majorBidi" w:cstheme="majorBidi"/>
                <w:color w:val="010205"/>
                <w:sz w:val="18"/>
                <w:szCs w:val="18"/>
              </w:rPr>
              <w:t>4</w:t>
            </w:r>
          </w:p>
        </w:tc>
        <w:tc>
          <w:tcPr>
            <w:tcW w:w="1468" w:type="dxa"/>
            <w:tcBorders>
              <w:top w:val="single" w:sz="8" w:space="0" w:color="152935"/>
              <w:left w:val="single" w:sz="8" w:space="0" w:color="E0E0E0"/>
              <w:bottom w:val="single" w:sz="8" w:space="0" w:color="AEAEAE"/>
              <w:right w:val="nil"/>
            </w:tcBorders>
            <w:shd w:val="clear" w:color="auto" w:fill="FFFFFF"/>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5968B3">
              <w:rPr>
                <w:rFonts w:asciiTheme="majorBidi" w:hAnsiTheme="majorBidi" w:cstheme="majorBidi"/>
                <w:color w:val="010205"/>
                <w:sz w:val="18"/>
                <w:szCs w:val="18"/>
              </w:rPr>
              <w:t>.011</w:t>
            </w:r>
          </w:p>
        </w:tc>
      </w:tr>
      <w:tr w:rsidR="00493E4F" w:rsidRPr="005968B3" w:rsidTr="00493E4F">
        <w:trPr>
          <w:cantSplit/>
          <w:jc w:val="center"/>
        </w:trPr>
        <w:tc>
          <w:tcPr>
            <w:tcW w:w="2447" w:type="dxa"/>
            <w:tcBorders>
              <w:top w:val="single" w:sz="8" w:space="0" w:color="AEAEAE"/>
              <w:left w:val="nil"/>
              <w:bottom w:val="single" w:sz="8" w:space="0" w:color="AEAEAE"/>
              <w:right w:val="nil"/>
            </w:tcBorders>
            <w:shd w:val="clear" w:color="auto" w:fill="E0E0E0"/>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5968B3">
              <w:rPr>
                <w:rFonts w:asciiTheme="majorBidi" w:hAnsiTheme="majorBidi" w:cstheme="majorBidi"/>
                <w:color w:val="264A60"/>
                <w:sz w:val="18"/>
                <w:szCs w:val="18"/>
              </w:rPr>
              <w:t>Likelihood Ratio</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5968B3">
              <w:rPr>
                <w:rFonts w:asciiTheme="majorBidi" w:hAnsiTheme="majorBidi" w:cstheme="majorBidi"/>
                <w:color w:val="010205"/>
                <w:sz w:val="18"/>
                <w:szCs w:val="18"/>
              </w:rPr>
              <w:t>11.777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5968B3">
              <w:rPr>
                <w:rFonts w:asciiTheme="majorBidi" w:hAnsiTheme="majorBidi" w:cstheme="majorBidi"/>
                <w:color w:val="010205"/>
                <w:sz w:val="18"/>
                <w:szCs w:val="18"/>
              </w:rPr>
              <w:t>4</w:t>
            </w:r>
          </w:p>
        </w:tc>
        <w:tc>
          <w:tcPr>
            <w:tcW w:w="1468" w:type="dxa"/>
            <w:tcBorders>
              <w:top w:val="single" w:sz="8" w:space="0" w:color="AEAEAE"/>
              <w:left w:val="single" w:sz="8" w:space="0" w:color="E0E0E0"/>
              <w:bottom w:val="single" w:sz="8" w:space="0" w:color="AEAEAE"/>
              <w:right w:val="nil"/>
            </w:tcBorders>
            <w:shd w:val="clear" w:color="auto" w:fill="FFFFFF"/>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5968B3">
              <w:rPr>
                <w:rFonts w:asciiTheme="majorBidi" w:hAnsiTheme="majorBidi" w:cstheme="majorBidi"/>
                <w:color w:val="010205"/>
                <w:sz w:val="18"/>
                <w:szCs w:val="18"/>
              </w:rPr>
              <w:t>.019</w:t>
            </w:r>
          </w:p>
        </w:tc>
      </w:tr>
      <w:tr w:rsidR="00493E4F" w:rsidRPr="005968B3" w:rsidTr="00493E4F">
        <w:trPr>
          <w:cantSplit/>
          <w:jc w:val="center"/>
        </w:trPr>
        <w:tc>
          <w:tcPr>
            <w:tcW w:w="2447" w:type="dxa"/>
            <w:tcBorders>
              <w:top w:val="single" w:sz="8" w:space="0" w:color="AEAEAE"/>
              <w:left w:val="nil"/>
              <w:bottom w:val="single" w:sz="8" w:space="0" w:color="AEAEAE"/>
              <w:right w:val="nil"/>
            </w:tcBorders>
            <w:shd w:val="clear" w:color="auto" w:fill="E0E0E0"/>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5968B3">
              <w:rPr>
                <w:rFonts w:asciiTheme="majorBidi" w:hAnsiTheme="majorBidi" w:cstheme="majorBidi"/>
                <w:color w:val="264A60"/>
                <w:sz w:val="18"/>
                <w:szCs w:val="18"/>
              </w:rPr>
              <w:t>Linear-by-Linear Association</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5968B3">
              <w:rPr>
                <w:rFonts w:asciiTheme="majorBidi" w:hAnsiTheme="majorBidi" w:cstheme="majorBidi"/>
                <w:color w:val="010205"/>
                <w:sz w:val="18"/>
                <w:szCs w:val="18"/>
              </w:rPr>
              <w:t>.829</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5968B3">
              <w:rPr>
                <w:rFonts w:asciiTheme="majorBidi" w:hAnsiTheme="majorBidi" w:cstheme="majorBidi"/>
                <w:color w:val="010205"/>
                <w:sz w:val="18"/>
                <w:szCs w:val="18"/>
              </w:rPr>
              <w:t>1</w:t>
            </w:r>
          </w:p>
        </w:tc>
        <w:tc>
          <w:tcPr>
            <w:tcW w:w="1468" w:type="dxa"/>
            <w:tcBorders>
              <w:top w:val="single" w:sz="8" w:space="0" w:color="AEAEAE"/>
              <w:left w:val="single" w:sz="8" w:space="0" w:color="E0E0E0"/>
              <w:bottom w:val="single" w:sz="8" w:space="0" w:color="AEAEAE"/>
              <w:right w:val="nil"/>
            </w:tcBorders>
            <w:shd w:val="clear" w:color="auto" w:fill="FFFFFF"/>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5968B3">
              <w:rPr>
                <w:rFonts w:asciiTheme="majorBidi" w:hAnsiTheme="majorBidi" w:cstheme="majorBidi"/>
                <w:color w:val="010205"/>
                <w:sz w:val="18"/>
                <w:szCs w:val="18"/>
              </w:rPr>
              <w:t>.363</w:t>
            </w:r>
          </w:p>
        </w:tc>
      </w:tr>
      <w:tr w:rsidR="00493E4F" w:rsidRPr="005968B3" w:rsidTr="00493E4F">
        <w:trPr>
          <w:cantSplit/>
          <w:jc w:val="center"/>
        </w:trPr>
        <w:tc>
          <w:tcPr>
            <w:tcW w:w="2447" w:type="dxa"/>
            <w:tcBorders>
              <w:top w:val="single" w:sz="8" w:space="0" w:color="AEAEAE"/>
              <w:left w:val="nil"/>
              <w:bottom w:val="single" w:sz="8" w:space="0" w:color="152935"/>
              <w:right w:val="nil"/>
            </w:tcBorders>
            <w:shd w:val="clear" w:color="auto" w:fill="E0E0E0"/>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5968B3">
              <w:rPr>
                <w:rFonts w:asciiTheme="majorBidi" w:hAnsiTheme="majorBidi" w:cstheme="majorBidi"/>
                <w:color w:val="264A60"/>
                <w:sz w:val="18"/>
                <w:szCs w:val="18"/>
              </w:rPr>
              <w:t>N of Valid Cases</w:t>
            </w:r>
          </w:p>
        </w:tc>
        <w:tc>
          <w:tcPr>
            <w:tcW w:w="1024" w:type="dxa"/>
            <w:tcBorders>
              <w:top w:val="single" w:sz="8" w:space="0" w:color="AEAEAE"/>
              <w:left w:val="nil"/>
              <w:bottom w:val="single" w:sz="8" w:space="0" w:color="152935"/>
              <w:right w:val="single" w:sz="8" w:space="0" w:color="E0E0E0"/>
            </w:tcBorders>
            <w:shd w:val="clear" w:color="auto" w:fill="FFFFFF"/>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5968B3">
              <w:rPr>
                <w:rFonts w:asciiTheme="majorBidi" w:hAnsiTheme="majorBidi" w:cstheme="majorBidi"/>
                <w:color w:val="010205"/>
                <w:sz w:val="18"/>
                <w:szCs w:val="18"/>
              </w:rPr>
              <w:t>153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5968B3"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152935"/>
              <w:right w:val="nil"/>
            </w:tcBorders>
            <w:shd w:val="clear" w:color="auto" w:fill="FFFFFF"/>
            <w:vAlign w:val="center"/>
          </w:tcPr>
          <w:p w:rsidR="00493E4F" w:rsidRPr="005968B3"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5968B3" w:rsidTr="00493E4F">
        <w:trPr>
          <w:cantSplit/>
          <w:jc w:val="center"/>
        </w:trPr>
        <w:tc>
          <w:tcPr>
            <w:tcW w:w="5963" w:type="dxa"/>
            <w:gridSpan w:val="4"/>
            <w:tcBorders>
              <w:top w:val="nil"/>
              <w:left w:val="nil"/>
              <w:bottom w:val="nil"/>
              <w:right w:val="nil"/>
            </w:tcBorders>
            <w:shd w:val="clear" w:color="auto" w:fill="FFFFFF"/>
          </w:tcPr>
          <w:p w:rsidR="00493E4F" w:rsidRPr="005968B3"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5968B3">
              <w:rPr>
                <w:rFonts w:asciiTheme="majorBidi" w:hAnsiTheme="majorBidi" w:cstheme="majorBidi"/>
                <w:color w:val="010205"/>
                <w:sz w:val="18"/>
                <w:szCs w:val="18"/>
              </w:rPr>
              <w:t>a. 4 cells (40.0%) have expected count less than 5. The minimum expected count is 1.33.</w:t>
            </w:r>
          </w:p>
        </w:tc>
      </w:tr>
    </w:tbl>
    <w:p w:rsidR="00493E4F" w:rsidRPr="009B587A" w:rsidRDefault="001649F2" w:rsidP="00493E4F">
      <w:pPr>
        <w:autoSpaceDE w:val="0"/>
        <w:autoSpaceDN w:val="0"/>
        <w:adjustRightInd w:val="0"/>
        <w:spacing w:after="0" w:line="480" w:lineRule="auto"/>
        <w:jc w:val="center"/>
        <w:rPr>
          <w:rFonts w:asciiTheme="majorBidi" w:hAnsiTheme="majorBidi" w:cstheme="majorBidi"/>
          <w:sz w:val="20"/>
          <w:szCs w:val="20"/>
        </w:rPr>
      </w:pPr>
      <w:r>
        <w:rPr>
          <w:rFonts w:asciiTheme="majorBidi" w:hAnsiTheme="majorBidi" w:cstheme="majorBidi"/>
          <w:sz w:val="20"/>
          <w:szCs w:val="20"/>
        </w:rPr>
        <w:t>Table 17 Chi-</w:t>
      </w:r>
      <w:r w:rsidR="00493E4F" w:rsidRPr="009B587A">
        <w:rPr>
          <w:rFonts w:asciiTheme="majorBidi" w:hAnsiTheme="majorBidi" w:cstheme="majorBidi"/>
          <w:sz w:val="20"/>
          <w:szCs w:val="20"/>
        </w:rPr>
        <w:t>Square values of engagement with e-banking</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The value of the test is p= 0.011 &lt; 0.05 whic</w:t>
      </w:r>
      <w:r>
        <w:rPr>
          <w:rFonts w:asciiTheme="majorBidi" w:hAnsiTheme="majorBidi" w:cstheme="majorBidi"/>
          <w:sz w:val="24"/>
          <w:szCs w:val="24"/>
        </w:rPr>
        <w:t>h indicates a strong dependency</w:t>
      </w:r>
      <w:r w:rsidRPr="009B587A">
        <w:rPr>
          <w:rFonts w:asciiTheme="majorBidi" w:hAnsiTheme="majorBidi" w:cstheme="majorBidi"/>
          <w:sz w:val="24"/>
          <w:szCs w:val="24"/>
        </w:rPr>
        <w:t xml:space="preserve"> regarding engagement with e-banking</w:t>
      </w:r>
      <w:r>
        <w:rPr>
          <w:rFonts w:asciiTheme="majorBidi" w:hAnsiTheme="majorBidi" w:cstheme="majorBidi"/>
          <w:sz w:val="24"/>
          <w:szCs w:val="24"/>
        </w:rPr>
        <w:t xml:space="preserve"> and satisfaction</w:t>
      </w:r>
      <w:r w:rsidRPr="009B587A">
        <w:rPr>
          <w:rFonts w:asciiTheme="majorBidi" w:hAnsiTheme="majorBidi" w:cstheme="majorBidi"/>
          <w:sz w:val="24"/>
          <w:szCs w:val="24"/>
        </w:rPr>
        <w:t xml:space="preserve">. </w:t>
      </w:r>
    </w:p>
    <w:p w:rsidR="00493E4F" w:rsidRPr="00472D71"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596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9"/>
        <w:gridCol w:w="1024"/>
        <w:gridCol w:w="1024"/>
        <w:gridCol w:w="1468"/>
      </w:tblGrid>
      <w:tr w:rsidR="00493E4F" w:rsidRPr="00472D71" w:rsidTr="00493E4F">
        <w:trPr>
          <w:cantSplit/>
          <w:jc w:val="center"/>
        </w:trPr>
        <w:tc>
          <w:tcPr>
            <w:tcW w:w="5963" w:type="dxa"/>
            <w:gridSpan w:val="4"/>
            <w:tcBorders>
              <w:top w:val="nil"/>
              <w:left w:val="nil"/>
              <w:bottom w:val="nil"/>
              <w:right w:val="nil"/>
            </w:tcBorders>
            <w:shd w:val="clear" w:color="auto" w:fill="FFFFFF"/>
            <w:vAlign w:val="center"/>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472D71">
              <w:rPr>
                <w:rFonts w:asciiTheme="majorBidi" w:hAnsiTheme="majorBidi" w:cstheme="majorBidi"/>
                <w:b/>
                <w:bCs/>
                <w:color w:val="010205"/>
              </w:rPr>
              <w:t>Chi-Square Tests</w:t>
            </w:r>
          </w:p>
        </w:tc>
      </w:tr>
      <w:tr w:rsidR="00493E4F" w:rsidRPr="00472D71" w:rsidTr="00493E4F">
        <w:trPr>
          <w:cantSplit/>
          <w:jc w:val="center"/>
        </w:trPr>
        <w:tc>
          <w:tcPr>
            <w:tcW w:w="2447" w:type="dxa"/>
            <w:tcBorders>
              <w:top w:val="nil"/>
              <w:left w:val="nil"/>
              <w:bottom w:val="single" w:sz="8" w:space="0" w:color="152935"/>
              <w:right w:val="nil"/>
            </w:tcBorders>
            <w:shd w:val="clear" w:color="auto" w:fill="FFFFFF"/>
            <w:vAlign w:val="bottom"/>
          </w:tcPr>
          <w:p w:rsidR="00493E4F" w:rsidRPr="00472D71"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nil"/>
              <w:left w:val="nil"/>
              <w:bottom w:val="single" w:sz="8" w:space="0" w:color="152935"/>
              <w:right w:val="single" w:sz="8" w:space="0" w:color="E0E0E0"/>
            </w:tcBorders>
            <w:shd w:val="clear" w:color="auto" w:fill="FFFFFF"/>
            <w:vAlign w:val="bottom"/>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472D71">
              <w:rPr>
                <w:rFonts w:asciiTheme="majorBidi" w:hAnsiTheme="majorBidi" w:cstheme="majorBidi"/>
                <w:color w:val="264A60"/>
                <w:sz w:val="18"/>
                <w:szCs w:val="18"/>
              </w:rPr>
              <w:t>Value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472D71">
              <w:rPr>
                <w:rFonts w:asciiTheme="majorBidi" w:hAnsiTheme="majorBidi" w:cstheme="majorBidi"/>
                <w:color w:val="264A60"/>
                <w:sz w:val="18"/>
                <w:szCs w:val="18"/>
              </w:rPr>
              <w:t>df</w:t>
            </w:r>
          </w:p>
        </w:tc>
        <w:tc>
          <w:tcPr>
            <w:tcW w:w="1468" w:type="dxa"/>
            <w:tcBorders>
              <w:top w:val="nil"/>
              <w:left w:val="single" w:sz="8" w:space="0" w:color="E0E0E0"/>
              <w:bottom w:val="single" w:sz="8" w:space="0" w:color="152935"/>
              <w:right w:val="nil"/>
            </w:tcBorders>
            <w:shd w:val="clear" w:color="auto" w:fill="FFFFFF"/>
            <w:vAlign w:val="bottom"/>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472D71">
              <w:rPr>
                <w:rFonts w:asciiTheme="majorBidi" w:hAnsiTheme="majorBidi" w:cstheme="majorBidi"/>
                <w:color w:val="264A60"/>
                <w:sz w:val="18"/>
                <w:szCs w:val="18"/>
              </w:rPr>
              <w:t>Asymptotic Significance (2-sided)</w:t>
            </w:r>
          </w:p>
        </w:tc>
      </w:tr>
      <w:tr w:rsidR="00493E4F" w:rsidRPr="00472D71" w:rsidTr="00493E4F">
        <w:trPr>
          <w:cantSplit/>
          <w:jc w:val="center"/>
        </w:trPr>
        <w:tc>
          <w:tcPr>
            <w:tcW w:w="2447" w:type="dxa"/>
            <w:tcBorders>
              <w:top w:val="single" w:sz="8" w:space="0" w:color="152935"/>
              <w:left w:val="nil"/>
              <w:bottom w:val="single" w:sz="8" w:space="0" w:color="AEAEAE"/>
              <w:right w:val="nil"/>
            </w:tcBorders>
            <w:shd w:val="clear" w:color="auto" w:fill="E0E0E0"/>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472D71">
              <w:rPr>
                <w:rFonts w:asciiTheme="majorBidi" w:hAnsiTheme="majorBidi" w:cstheme="majorBidi"/>
                <w:color w:val="264A60"/>
                <w:sz w:val="18"/>
                <w:szCs w:val="18"/>
              </w:rPr>
              <w:t>Pearson Chi-Square</w:t>
            </w:r>
          </w:p>
        </w:tc>
        <w:tc>
          <w:tcPr>
            <w:tcW w:w="1024" w:type="dxa"/>
            <w:tcBorders>
              <w:top w:val="single" w:sz="8" w:space="0" w:color="152935"/>
              <w:left w:val="nil"/>
              <w:bottom w:val="single" w:sz="8" w:space="0" w:color="AEAEAE"/>
              <w:right w:val="single" w:sz="8" w:space="0" w:color="E0E0E0"/>
            </w:tcBorders>
            <w:shd w:val="clear" w:color="auto" w:fill="FFFFFF"/>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472D71">
              <w:rPr>
                <w:rFonts w:asciiTheme="majorBidi" w:hAnsiTheme="majorBidi" w:cstheme="majorBidi"/>
                <w:color w:val="010205"/>
                <w:sz w:val="18"/>
                <w:szCs w:val="18"/>
              </w:rPr>
              <w:t>14.663</w:t>
            </w:r>
            <w:r w:rsidRPr="00472D71">
              <w:rPr>
                <w:rFonts w:asciiTheme="majorBidi" w:hAnsiTheme="majorBidi" w:cstheme="majorBidi"/>
                <w:color w:val="010205"/>
                <w:sz w:val="18"/>
                <w:szCs w:val="18"/>
                <w:vertAlign w:val="superscript"/>
              </w:rPr>
              <w:t>a</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472D71">
              <w:rPr>
                <w:rFonts w:asciiTheme="majorBidi" w:hAnsiTheme="majorBidi" w:cstheme="majorBidi"/>
                <w:color w:val="010205"/>
                <w:sz w:val="18"/>
                <w:szCs w:val="18"/>
              </w:rPr>
              <w:t>4</w:t>
            </w:r>
          </w:p>
        </w:tc>
        <w:tc>
          <w:tcPr>
            <w:tcW w:w="1468" w:type="dxa"/>
            <w:tcBorders>
              <w:top w:val="single" w:sz="8" w:space="0" w:color="152935"/>
              <w:left w:val="single" w:sz="8" w:space="0" w:color="E0E0E0"/>
              <w:bottom w:val="single" w:sz="8" w:space="0" w:color="AEAEAE"/>
              <w:right w:val="nil"/>
            </w:tcBorders>
            <w:shd w:val="clear" w:color="auto" w:fill="FFFFFF"/>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472D71">
              <w:rPr>
                <w:rFonts w:asciiTheme="majorBidi" w:hAnsiTheme="majorBidi" w:cstheme="majorBidi"/>
                <w:color w:val="010205"/>
                <w:sz w:val="18"/>
                <w:szCs w:val="18"/>
              </w:rPr>
              <w:t>.005</w:t>
            </w:r>
          </w:p>
        </w:tc>
      </w:tr>
      <w:tr w:rsidR="00493E4F" w:rsidRPr="00472D71" w:rsidTr="00493E4F">
        <w:trPr>
          <w:cantSplit/>
          <w:jc w:val="center"/>
        </w:trPr>
        <w:tc>
          <w:tcPr>
            <w:tcW w:w="2447" w:type="dxa"/>
            <w:tcBorders>
              <w:top w:val="single" w:sz="8" w:space="0" w:color="AEAEAE"/>
              <w:left w:val="nil"/>
              <w:bottom w:val="single" w:sz="8" w:space="0" w:color="AEAEAE"/>
              <w:right w:val="nil"/>
            </w:tcBorders>
            <w:shd w:val="clear" w:color="auto" w:fill="E0E0E0"/>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472D71">
              <w:rPr>
                <w:rFonts w:asciiTheme="majorBidi" w:hAnsiTheme="majorBidi" w:cstheme="majorBidi"/>
                <w:color w:val="264A60"/>
                <w:sz w:val="18"/>
                <w:szCs w:val="18"/>
              </w:rPr>
              <w:t>Likelihood Ratio</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472D71">
              <w:rPr>
                <w:rFonts w:asciiTheme="majorBidi" w:hAnsiTheme="majorBidi" w:cstheme="majorBidi"/>
                <w:color w:val="010205"/>
                <w:sz w:val="18"/>
                <w:szCs w:val="18"/>
              </w:rPr>
              <w:t>15.195</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472D71">
              <w:rPr>
                <w:rFonts w:asciiTheme="majorBidi" w:hAnsiTheme="majorBidi" w:cstheme="majorBidi"/>
                <w:color w:val="010205"/>
                <w:sz w:val="18"/>
                <w:szCs w:val="18"/>
              </w:rPr>
              <w:t>4</w:t>
            </w:r>
          </w:p>
        </w:tc>
        <w:tc>
          <w:tcPr>
            <w:tcW w:w="1468" w:type="dxa"/>
            <w:tcBorders>
              <w:top w:val="single" w:sz="8" w:space="0" w:color="AEAEAE"/>
              <w:left w:val="single" w:sz="8" w:space="0" w:color="E0E0E0"/>
              <w:bottom w:val="single" w:sz="8" w:space="0" w:color="AEAEAE"/>
              <w:right w:val="nil"/>
            </w:tcBorders>
            <w:shd w:val="clear" w:color="auto" w:fill="FFFFFF"/>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472D71">
              <w:rPr>
                <w:rFonts w:asciiTheme="majorBidi" w:hAnsiTheme="majorBidi" w:cstheme="majorBidi"/>
                <w:color w:val="010205"/>
                <w:sz w:val="18"/>
                <w:szCs w:val="18"/>
              </w:rPr>
              <w:t>.004</w:t>
            </w:r>
          </w:p>
        </w:tc>
      </w:tr>
      <w:tr w:rsidR="00493E4F" w:rsidRPr="00472D71" w:rsidTr="00493E4F">
        <w:trPr>
          <w:cantSplit/>
          <w:jc w:val="center"/>
        </w:trPr>
        <w:tc>
          <w:tcPr>
            <w:tcW w:w="2447" w:type="dxa"/>
            <w:tcBorders>
              <w:top w:val="single" w:sz="8" w:space="0" w:color="AEAEAE"/>
              <w:left w:val="nil"/>
              <w:bottom w:val="single" w:sz="8" w:space="0" w:color="AEAEAE"/>
              <w:right w:val="nil"/>
            </w:tcBorders>
            <w:shd w:val="clear" w:color="auto" w:fill="E0E0E0"/>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472D71">
              <w:rPr>
                <w:rFonts w:asciiTheme="majorBidi" w:hAnsiTheme="majorBidi" w:cstheme="majorBidi"/>
                <w:color w:val="264A60"/>
                <w:sz w:val="18"/>
                <w:szCs w:val="18"/>
              </w:rPr>
              <w:t>Linear-by-Linear Association</w:t>
            </w:r>
          </w:p>
        </w:tc>
        <w:tc>
          <w:tcPr>
            <w:tcW w:w="1024" w:type="dxa"/>
            <w:tcBorders>
              <w:top w:val="single" w:sz="8" w:space="0" w:color="AEAEAE"/>
              <w:left w:val="nil"/>
              <w:bottom w:val="single" w:sz="8" w:space="0" w:color="AEAEAE"/>
              <w:right w:val="single" w:sz="8" w:space="0" w:color="E0E0E0"/>
            </w:tcBorders>
            <w:shd w:val="clear" w:color="auto" w:fill="FFFFFF"/>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472D71">
              <w:rPr>
                <w:rFonts w:asciiTheme="majorBidi" w:hAnsiTheme="majorBidi" w:cstheme="majorBidi"/>
                <w:color w:val="010205"/>
                <w:sz w:val="18"/>
                <w:szCs w:val="18"/>
              </w:rPr>
              <w:t>2.311</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472D71">
              <w:rPr>
                <w:rFonts w:asciiTheme="majorBidi" w:hAnsiTheme="majorBidi" w:cstheme="majorBidi"/>
                <w:color w:val="010205"/>
                <w:sz w:val="18"/>
                <w:szCs w:val="18"/>
              </w:rPr>
              <w:t>1</w:t>
            </w:r>
          </w:p>
        </w:tc>
        <w:tc>
          <w:tcPr>
            <w:tcW w:w="1468" w:type="dxa"/>
            <w:tcBorders>
              <w:top w:val="single" w:sz="8" w:space="0" w:color="AEAEAE"/>
              <w:left w:val="single" w:sz="8" w:space="0" w:color="E0E0E0"/>
              <w:bottom w:val="single" w:sz="8" w:space="0" w:color="AEAEAE"/>
              <w:right w:val="nil"/>
            </w:tcBorders>
            <w:shd w:val="clear" w:color="auto" w:fill="FFFFFF"/>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472D71">
              <w:rPr>
                <w:rFonts w:asciiTheme="majorBidi" w:hAnsiTheme="majorBidi" w:cstheme="majorBidi"/>
                <w:color w:val="010205"/>
                <w:sz w:val="18"/>
                <w:szCs w:val="18"/>
              </w:rPr>
              <w:t>.128</w:t>
            </w:r>
          </w:p>
        </w:tc>
      </w:tr>
      <w:tr w:rsidR="00493E4F" w:rsidRPr="00472D71" w:rsidTr="00493E4F">
        <w:trPr>
          <w:cantSplit/>
          <w:jc w:val="center"/>
        </w:trPr>
        <w:tc>
          <w:tcPr>
            <w:tcW w:w="2447" w:type="dxa"/>
            <w:tcBorders>
              <w:top w:val="single" w:sz="8" w:space="0" w:color="AEAEAE"/>
              <w:left w:val="nil"/>
              <w:bottom w:val="single" w:sz="8" w:space="0" w:color="152935"/>
              <w:right w:val="nil"/>
            </w:tcBorders>
            <w:shd w:val="clear" w:color="auto" w:fill="E0E0E0"/>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472D71">
              <w:rPr>
                <w:rFonts w:asciiTheme="majorBidi" w:hAnsiTheme="majorBidi" w:cstheme="majorBidi"/>
                <w:color w:val="264A60"/>
                <w:sz w:val="18"/>
                <w:szCs w:val="18"/>
              </w:rPr>
              <w:lastRenderedPageBreak/>
              <w:t>N of Valid Cases</w:t>
            </w:r>
          </w:p>
        </w:tc>
        <w:tc>
          <w:tcPr>
            <w:tcW w:w="1024" w:type="dxa"/>
            <w:tcBorders>
              <w:top w:val="single" w:sz="8" w:space="0" w:color="AEAEAE"/>
              <w:left w:val="nil"/>
              <w:bottom w:val="single" w:sz="8" w:space="0" w:color="152935"/>
              <w:right w:val="single" w:sz="8" w:space="0" w:color="E0E0E0"/>
            </w:tcBorders>
            <w:shd w:val="clear" w:color="auto" w:fill="FFFFFF"/>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472D71">
              <w:rPr>
                <w:rFonts w:asciiTheme="majorBidi" w:hAnsiTheme="majorBidi" w:cstheme="majorBidi"/>
                <w:color w:val="010205"/>
                <w:sz w:val="18"/>
                <w:szCs w:val="18"/>
              </w:rPr>
              <w:t>153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472D71"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single" w:sz="8" w:space="0" w:color="AEAEAE"/>
              <w:left w:val="single" w:sz="8" w:space="0" w:color="E0E0E0"/>
              <w:bottom w:val="single" w:sz="8" w:space="0" w:color="152935"/>
              <w:right w:val="nil"/>
            </w:tcBorders>
            <w:shd w:val="clear" w:color="auto" w:fill="FFFFFF"/>
            <w:vAlign w:val="center"/>
          </w:tcPr>
          <w:p w:rsidR="00493E4F" w:rsidRPr="00472D71"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472D71" w:rsidTr="00493E4F">
        <w:trPr>
          <w:cantSplit/>
          <w:jc w:val="center"/>
        </w:trPr>
        <w:tc>
          <w:tcPr>
            <w:tcW w:w="5963" w:type="dxa"/>
            <w:gridSpan w:val="4"/>
            <w:tcBorders>
              <w:top w:val="nil"/>
              <w:left w:val="nil"/>
              <w:bottom w:val="nil"/>
              <w:right w:val="nil"/>
            </w:tcBorders>
            <w:shd w:val="clear" w:color="auto" w:fill="FFFFFF"/>
          </w:tcPr>
          <w:p w:rsidR="00493E4F" w:rsidRPr="00472D71"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472D71">
              <w:rPr>
                <w:rFonts w:asciiTheme="majorBidi" w:hAnsiTheme="majorBidi" w:cstheme="majorBidi"/>
                <w:color w:val="010205"/>
                <w:sz w:val="18"/>
                <w:szCs w:val="18"/>
              </w:rPr>
              <w:t>a. 1 cells (10.0%) have expected count less than 5. The minimum expected count is 2.51.</w:t>
            </w:r>
          </w:p>
        </w:tc>
      </w:tr>
    </w:tbl>
    <w:p w:rsidR="00493E4F" w:rsidRPr="009B587A" w:rsidRDefault="001649F2" w:rsidP="00493E4F">
      <w:pPr>
        <w:autoSpaceDE w:val="0"/>
        <w:autoSpaceDN w:val="0"/>
        <w:adjustRightInd w:val="0"/>
        <w:spacing w:after="0" w:line="480" w:lineRule="auto"/>
        <w:jc w:val="center"/>
        <w:rPr>
          <w:rFonts w:asciiTheme="majorBidi" w:hAnsiTheme="majorBidi" w:cstheme="majorBidi"/>
          <w:sz w:val="20"/>
          <w:szCs w:val="20"/>
        </w:rPr>
      </w:pPr>
      <w:r>
        <w:rPr>
          <w:rFonts w:asciiTheme="majorBidi" w:hAnsiTheme="majorBidi" w:cstheme="majorBidi"/>
          <w:sz w:val="20"/>
          <w:szCs w:val="20"/>
        </w:rPr>
        <w:t>Table 18 Chi-</w:t>
      </w:r>
      <w:r w:rsidR="00493E4F" w:rsidRPr="009B587A">
        <w:rPr>
          <w:rFonts w:asciiTheme="majorBidi" w:hAnsiTheme="majorBidi" w:cstheme="majorBidi"/>
          <w:sz w:val="20"/>
          <w:szCs w:val="20"/>
        </w:rPr>
        <w:t>Square values of understanding of e-banking</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The χ</w:t>
      </w:r>
      <w:r w:rsidRPr="009B587A">
        <w:rPr>
          <w:rFonts w:asciiTheme="majorBidi" w:hAnsiTheme="majorBidi" w:cstheme="majorBidi"/>
          <w:sz w:val="24"/>
          <w:szCs w:val="24"/>
          <w:vertAlign w:val="superscript"/>
        </w:rPr>
        <w:t xml:space="preserve">2 </w:t>
      </w:r>
      <w:r w:rsidRPr="009B587A">
        <w:rPr>
          <w:rFonts w:asciiTheme="majorBidi" w:hAnsiTheme="majorBidi" w:cstheme="majorBidi"/>
          <w:sz w:val="24"/>
          <w:szCs w:val="24"/>
        </w:rPr>
        <w:t xml:space="preserve">value was p= 0.005 &lt; 0.05 which shows a strong </w:t>
      </w:r>
      <w:r>
        <w:rPr>
          <w:rFonts w:asciiTheme="majorBidi" w:hAnsiTheme="majorBidi" w:cstheme="majorBidi"/>
          <w:sz w:val="24"/>
          <w:szCs w:val="24"/>
        </w:rPr>
        <w:t>dependency between</w:t>
      </w:r>
      <w:r w:rsidRPr="009B587A">
        <w:rPr>
          <w:rFonts w:asciiTheme="majorBidi" w:hAnsiTheme="majorBidi" w:cstheme="majorBidi"/>
          <w:sz w:val="24"/>
          <w:szCs w:val="24"/>
        </w:rPr>
        <w:t xml:space="preserve"> increased understanding of e-banking and satisfaction.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 xml:space="preserve">With these two highly relevant trends, it can be said that individuals are coming to rely more on e-banking.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spacing w:line="480" w:lineRule="auto"/>
        <w:jc w:val="both"/>
        <w:rPr>
          <w:rFonts w:asciiTheme="majorBidi" w:hAnsiTheme="majorBidi" w:cstheme="majorBidi"/>
          <w:sz w:val="24"/>
          <w:szCs w:val="24"/>
        </w:rPr>
      </w:pPr>
      <w:r w:rsidRPr="009B587A">
        <w:rPr>
          <w:rFonts w:asciiTheme="majorBidi" w:hAnsiTheme="majorBidi" w:cstheme="majorBidi"/>
          <w:sz w:val="24"/>
          <w:szCs w:val="24"/>
        </w:rPr>
        <w:t xml:space="preserve">4.2.4 Security of e-banking </w:t>
      </w:r>
    </w:p>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83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698"/>
        <w:gridCol w:w="1469"/>
        <w:gridCol w:w="1024"/>
        <w:gridCol w:w="1408"/>
        <w:gridCol w:w="1024"/>
        <w:gridCol w:w="1024"/>
      </w:tblGrid>
      <w:tr w:rsidR="00493E4F" w:rsidRPr="00350248" w:rsidTr="00493E4F">
        <w:trPr>
          <w:cantSplit/>
        </w:trPr>
        <w:tc>
          <w:tcPr>
            <w:tcW w:w="8378" w:type="dxa"/>
            <w:gridSpan w:val="7"/>
            <w:tcBorders>
              <w:top w:val="nil"/>
              <w:left w:val="nil"/>
              <w:bottom w:val="nil"/>
              <w:right w:val="nil"/>
            </w:tcBorders>
            <w:shd w:val="clear" w:color="auto" w:fill="FFFFFF"/>
            <w:vAlign w:val="center"/>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350248">
              <w:rPr>
                <w:rFonts w:asciiTheme="majorBidi" w:hAnsiTheme="majorBidi" w:cstheme="majorBidi"/>
                <w:b/>
                <w:bCs/>
                <w:color w:val="010205"/>
              </w:rPr>
              <w:t>ANOVA</w:t>
            </w:r>
          </w:p>
        </w:tc>
      </w:tr>
      <w:tr w:rsidR="00493E4F" w:rsidRPr="00350248" w:rsidTr="00493E4F">
        <w:trPr>
          <w:cantSplit/>
        </w:trPr>
        <w:tc>
          <w:tcPr>
            <w:tcW w:w="2431" w:type="dxa"/>
            <w:gridSpan w:val="2"/>
            <w:tcBorders>
              <w:top w:val="nil"/>
              <w:left w:val="nil"/>
              <w:bottom w:val="single" w:sz="8" w:space="0" w:color="152935"/>
              <w:right w:val="nil"/>
            </w:tcBorders>
            <w:shd w:val="clear" w:color="auto" w:fill="FFFFFF"/>
            <w:vAlign w:val="bottom"/>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nil"/>
              <w:left w:val="nil"/>
              <w:bottom w:val="single" w:sz="8" w:space="0" w:color="152935"/>
              <w:right w:val="single" w:sz="8" w:space="0" w:color="E0E0E0"/>
            </w:tcBorders>
            <w:shd w:val="clear" w:color="auto" w:fill="FFFFFF"/>
            <w:vAlign w:val="bottom"/>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350248">
              <w:rPr>
                <w:rFonts w:asciiTheme="majorBidi" w:hAnsiTheme="majorBidi" w:cstheme="majorBidi"/>
                <w:color w:val="264A6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350248">
              <w:rPr>
                <w:rFonts w:asciiTheme="majorBidi" w:hAnsiTheme="majorBidi" w:cstheme="majorBidi"/>
                <w:color w:val="264A6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350248">
              <w:rPr>
                <w:rFonts w:asciiTheme="majorBidi" w:hAnsiTheme="majorBidi" w:cstheme="majorBidi"/>
                <w:color w:val="264A6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350248">
              <w:rPr>
                <w:rFonts w:asciiTheme="majorBidi" w:hAnsiTheme="majorBidi" w:cstheme="majorBidi"/>
                <w:color w:val="264A6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350248">
              <w:rPr>
                <w:rFonts w:asciiTheme="majorBidi" w:hAnsiTheme="majorBidi" w:cstheme="majorBidi"/>
                <w:color w:val="264A60"/>
                <w:sz w:val="18"/>
                <w:szCs w:val="18"/>
              </w:rPr>
              <w:t>Sig.</w:t>
            </w:r>
          </w:p>
        </w:tc>
      </w:tr>
      <w:tr w:rsidR="00493E4F" w:rsidRPr="00350248" w:rsidTr="00493E4F">
        <w:trPr>
          <w:cantSplit/>
        </w:trPr>
        <w:tc>
          <w:tcPr>
            <w:tcW w:w="734" w:type="dxa"/>
            <w:vMerge w:val="restart"/>
            <w:tcBorders>
              <w:top w:val="single" w:sz="8" w:space="0" w:color="152935"/>
              <w:left w:val="nil"/>
              <w:bottom w:val="nil"/>
              <w:right w:val="nil"/>
            </w:tcBorders>
            <w:shd w:val="clear" w:color="auto" w:fill="E0E0E0"/>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350248">
              <w:rPr>
                <w:rFonts w:asciiTheme="majorBidi" w:hAnsiTheme="majorBidi" w:cstheme="majorBidi"/>
                <w:color w:val="264A60"/>
                <w:sz w:val="18"/>
                <w:szCs w:val="18"/>
              </w:rPr>
              <w:t>SM</w:t>
            </w:r>
          </w:p>
        </w:tc>
        <w:tc>
          <w:tcPr>
            <w:tcW w:w="1697" w:type="dxa"/>
            <w:tcBorders>
              <w:top w:val="single" w:sz="8" w:space="0" w:color="152935"/>
              <w:left w:val="nil"/>
              <w:bottom w:val="single" w:sz="8" w:space="0" w:color="AEAEAE"/>
              <w:right w:val="nil"/>
            </w:tcBorders>
            <w:shd w:val="clear" w:color="auto" w:fill="E0E0E0"/>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350248">
              <w:rPr>
                <w:rFonts w:asciiTheme="majorBidi" w:hAnsiTheme="majorBidi" w:cstheme="majorBidi"/>
                <w:color w:val="264A60"/>
                <w:sz w:val="18"/>
                <w:szCs w:val="18"/>
              </w:rPr>
              <w:t>Between Groups</w:t>
            </w:r>
          </w:p>
        </w:tc>
        <w:tc>
          <w:tcPr>
            <w:tcW w:w="1468" w:type="dxa"/>
            <w:tcBorders>
              <w:top w:val="single" w:sz="8" w:space="0" w:color="152935"/>
              <w:left w:val="nil"/>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.525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4</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.131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.223</w:t>
            </w:r>
          </w:p>
        </w:tc>
        <w:tc>
          <w:tcPr>
            <w:tcW w:w="1024" w:type="dxa"/>
            <w:tcBorders>
              <w:top w:val="single" w:sz="8" w:space="0" w:color="152935"/>
              <w:left w:val="single" w:sz="8" w:space="0" w:color="E0E0E0"/>
              <w:bottom w:val="single" w:sz="8" w:space="0" w:color="AEAEAE"/>
              <w:right w:val="nil"/>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.925</w:t>
            </w:r>
          </w:p>
        </w:tc>
      </w:tr>
      <w:tr w:rsidR="00493E4F" w:rsidRPr="00350248" w:rsidTr="00493E4F">
        <w:trPr>
          <w:cantSplit/>
        </w:trPr>
        <w:tc>
          <w:tcPr>
            <w:tcW w:w="734" w:type="dxa"/>
            <w:vMerge/>
            <w:tcBorders>
              <w:top w:val="single" w:sz="8" w:space="0" w:color="152935"/>
              <w:left w:val="nil"/>
              <w:bottom w:val="nil"/>
              <w:right w:val="nil"/>
            </w:tcBorders>
            <w:shd w:val="clear" w:color="auto" w:fill="E0E0E0"/>
          </w:tcPr>
          <w:p w:rsidR="00493E4F" w:rsidRPr="00350248"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1697" w:type="dxa"/>
            <w:tcBorders>
              <w:top w:val="single" w:sz="8" w:space="0" w:color="AEAEAE"/>
              <w:left w:val="nil"/>
              <w:bottom w:val="single" w:sz="8" w:space="0" w:color="AEAEAE"/>
              <w:right w:val="nil"/>
            </w:tcBorders>
            <w:shd w:val="clear" w:color="auto" w:fill="E0E0E0"/>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350248">
              <w:rPr>
                <w:rFonts w:asciiTheme="majorBidi" w:hAnsiTheme="majorBidi" w:cstheme="majorBidi"/>
                <w:color w:val="264A60"/>
                <w:sz w:val="18"/>
                <w:szCs w:val="18"/>
              </w:rPr>
              <w:t>Within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86.861</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.587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350248" w:rsidTr="00493E4F">
        <w:trPr>
          <w:cantSplit/>
        </w:trPr>
        <w:tc>
          <w:tcPr>
            <w:tcW w:w="734" w:type="dxa"/>
            <w:vMerge/>
            <w:tcBorders>
              <w:top w:val="single" w:sz="8" w:space="0" w:color="152935"/>
              <w:left w:val="nil"/>
              <w:bottom w:val="nil"/>
              <w:right w:val="nil"/>
            </w:tcBorders>
            <w:shd w:val="clear" w:color="auto" w:fill="E0E0E0"/>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697" w:type="dxa"/>
            <w:tcBorders>
              <w:top w:val="single" w:sz="8" w:space="0" w:color="AEAEAE"/>
              <w:left w:val="nil"/>
              <w:bottom w:val="nil"/>
              <w:right w:val="nil"/>
            </w:tcBorders>
            <w:shd w:val="clear" w:color="auto" w:fill="E0E0E0"/>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350248">
              <w:rPr>
                <w:rFonts w:asciiTheme="majorBidi" w:hAnsiTheme="majorBidi" w:cstheme="majorBidi"/>
                <w:color w:val="264A60"/>
                <w:sz w:val="18"/>
                <w:szCs w:val="18"/>
              </w:rPr>
              <w:t>Total</w:t>
            </w:r>
          </w:p>
        </w:tc>
        <w:tc>
          <w:tcPr>
            <w:tcW w:w="1468" w:type="dxa"/>
            <w:tcBorders>
              <w:top w:val="single" w:sz="8" w:space="0" w:color="AEAEAE"/>
              <w:left w:val="nil"/>
              <w:bottom w:val="nil"/>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87.386</w:t>
            </w:r>
          </w:p>
        </w:tc>
        <w:tc>
          <w:tcPr>
            <w:tcW w:w="1024" w:type="dxa"/>
            <w:tcBorders>
              <w:top w:val="single" w:sz="8" w:space="0" w:color="AEAEAE"/>
              <w:left w:val="single" w:sz="8" w:space="0" w:color="E0E0E0"/>
              <w:bottom w:val="nil"/>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152</w:t>
            </w:r>
          </w:p>
        </w:tc>
        <w:tc>
          <w:tcPr>
            <w:tcW w:w="1407" w:type="dxa"/>
            <w:tcBorders>
              <w:top w:val="single" w:sz="8" w:space="0" w:color="AEAEAE"/>
              <w:left w:val="single" w:sz="8" w:space="0" w:color="E0E0E0"/>
              <w:bottom w:val="nil"/>
              <w:right w:val="single" w:sz="8" w:space="0" w:color="E0E0E0"/>
            </w:tcBorders>
            <w:shd w:val="clear" w:color="auto" w:fill="FFFFFF"/>
            <w:vAlign w:val="center"/>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single" w:sz="8" w:space="0" w:color="E0E0E0"/>
            </w:tcBorders>
            <w:shd w:val="clear" w:color="auto" w:fill="FFFFFF"/>
            <w:vAlign w:val="center"/>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nil"/>
            </w:tcBorders>
            <w:shd w:val="clear" w:color="auto" w:fill="FFFFFF"/>
            <w:vAlign w:val="center"/>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350248" w:rsidTr="00493E4F">
        <w:trPr>
          <w:cantSplit/>
        </w:trPr>
        <w:tc>
          <w:tcPr>
            <w:tcW w:w="734" w:type="dxa"/>
            <w:vMerge w:val="restart"/>
            <w:tcBorders>
              <w:top w:val="single" w:sz="8" w:space="0" w:color="AEAEAE"/>
              <w:left w:val="nil"/>
              <w:bottom w:val="nil"/>
              <w:right w:val="nil"/>
            </w:tcBorders>
            <w:shd w:val="clear" w:color="auto" w:fill="E0E0E0"/>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350248">
              <w:rPr>
                <w:rFonts w:asciiTheme="majorBidi" w:hAnsiTheme="majorBidi" w:cstheme="majorBidi"/>
                <w:color w:val="264A60"/>
                <w:sz w:val="18"/>
                <w:szCs w:val="18"/>
              </w:rPr>
              <w:t>SR</w:t>
            </w:r>
          </w:p>
        </w:tc>
        <w:tc>
          <w:tcPr>
            <w:tcW w:w="1697" w:type="dxa"/>
            <w:tcBorders>
              <w:top w:val="single" w:sz="8" w:space="0" w:color="AEAEAE"/>
              <w:left w:val="nil"/>
              <w:bottom w:val="single" w:sz="8" w:space="0" w:color="AEAEAE"/>
              <w:right w:val="nil"/>
            </w:tcBorders>
            <w:shd w:val="clear" w:color="auto" w:fill="E0E0E0"/>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350248">
              <w:rPr>
                <w:rFonts w:asciiTheme="majorBidi" w:hAnsiTheme="majorBidi" w:cstheme="majorBidi"/>
                <w:color w:val="264A60"/>
                <w:sz w:val="18"/>
                <w:szCs w:val="18"/>
              </w:rPr>
              <w:t>Between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1.781</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4</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.445</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.513</w:t>
            </w:r>
          </w:p>
        </w:tc>
        <w:tc>
          <w:tcPr>
            <w:tcW w:w="1024" w:type="dxa"/>
            <w:tcBorders>
              <w:top w:val="single" w:sz="8" w:space="0" w:color="AEAEAE"/>
              <w:left w:val="single" w:sz="8" w:space="0" w:color="E0E0E0"/>
              <w:bottom w:val="single" w:sz="8" w:space="0" w:color="AEAEAE"/>
              <w:right w:val="nil"/>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.726</w:t>
            </w:r>
          </w:p>
        </w:tc>
      </w:tr>
      <w:tr w:rsidR="00493E4F" w:rsidRPr="00350248" w:rsidTr="00493E4F">
        <w:trPr>
          <w:cantSplit/>
        </w:trPr>
        <w:tc>
          <w:tcPr>
            <w:tcW w:w="734" w:type="dxa"/>
            <w:vMerge/>
            <w:tcBorders>
              <w:top w:val="single" w:sz="8" w:space="0" w:color="AEAEAE"/>
              <w:left w:val="nil"/>
              <w:bottom w:val="nil"/>
              <w:right w:val="nil"/>
            </w:tcBorders>
            <w:shd w:val="clear" w:color="auto" w:fill="E0E0E0"/>
          </w:tcPr>
          <w:p w:rsidR="00493E4F" w:rsidRPr="00350248"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1697" w:type="dxa"/>
            <w:tcBorders>
              <w:top w:val="single" w:sz="8" w:space="0" w:color="AEAEAE"/>
              <w:left w:val="nil"/>
              <w:bottom w:val="single" w:sz="8" w:space="0" w:color="AEAEAE"/>
              <w:right w:val="nil"/>
            </w:tcBorders>
            <w:shd w:val="clear" w:color="auto" w:fill="E0E0E0"/>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350248">
              <w:rPr>
                <w:rFonts w:asciiTheme="majorBidi" w:hAnsiTheme="majorBidi" w:cstheme="majorBidi"/>
                <w:color w:val="264A60"/>
                <w:sz w:val="18"/>
                <w:szCs w:val="18"/>
              </w:rPr>
              <w:t>Within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128.454</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.868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350248" w:rsidTr="00493E4F">
        <w:trPr>
          <w:cantSplit/>
        </w:trPr>
        <w:tc>
          <w:tcPr>
            <w:tcW w:w="734" w:type="dxa"/>
            <w:vMerge/>
            <w:tcBorders>
              <w:top w:val="single" w:sz="8" w:space="0" w:color="AEAEAE"/>
              <w:left w:val="nil"/>
              <w:bottom w:val="nil"/>
              <w:right w:val="nil"/>
            </w:tcBorders>
            <w:shd w:val="clear" w:color="auto" w:fill="E0E0E0"/>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697" w:type="dxa"/>
            <w:tcBorders>
              <w:top w:val="single" w:sz="8" w:space="0" w:color="AEAEAE"/>
              <w:left w:val="nil"/>
              <w:bottom w:val="nil"/>
              <w:right w:val="nil"/>
            </w:tcBorders>
            <w:shd w:val="clear" w:color="auto" w:fill="E0E0E0"/>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350248">
              <w:rPr>
                <w:rFonts w:asciiTheme="majorBidi" w:hAnsiTheme="majorBidi" w:cstheme="majorBidi"/>
                <w:color w:val="264A60"/>
                <w:sz w:val="18"/>
                <w:szCs w:val="18"/>
              </w:rPr>
              <w:t>Total</w:t>
            </w:r>
          </w:p>
        </w:tc>
        <w:tc>
          <w:tcPr>
            <w:tcW w:w="1468" w:type="dxa"/>
            <w:tcBorders>
              <w:top w:val="single" w:sz="8" w:space="0" w:color="AEAEAE"/>
              <w:left w:val="nil"/>
              <w:bottom w:val="nil"/>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130.235</w:t>
            </w:r>
          </w:p>
        </w:tc>
        <w:tc>
          <w:tcPr>
            <w:tcW w:w="1024" w:type="dxa"/>
            <w:tcBorders>
              <w:top w:val="single" w:sz="8" w:space="0" w:color="AEAEAE"/>
              <w:left w:val="single" w:sz="8" w:space="0" w:color="E0E0E0"/>
              <w:bottom w:val="nil"/>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152</w:t>
            </w:r>
          </w:p>
        </w:tc>
        <w:tc>
          <w:tcPr>
            <w:tcW w:w="1407" w:type="dxa"/>
            <w:tcBorders>
              <w:top w:val="single" w:sz="8" w:space="0" w:color="AEAEAE"/>
              <w:left w:val="single" w:sz="8" w:space="0" w:color="E0E0E0"/>
              <w:bottom w:val="nil"/>
              <w:right w:val="single" w:sz="8" w:space="0" w:color="E0E0E0"/>
            </w:tcBorders>
            <w:shd w:val="clear" w:color="auto" w:fill="FFFFFF"/>
            <w:vAlign w:val="center"/>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single" w:sz="8" w:space="0" w:color="E0E0E0"/>
            </w:tcBorders>
            <w:shd w:val="clear" w:color="auto" w:fill="FFFFFF"/>
            <w:vAlign w:val="center"/>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nil"/>
            </w:tcBorders>
            <w:shd w:val="clear" w:color="auto" w:fill="FFFFFF"/>
            <w:vAlign w:val="center"/>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350248" w:rsidTr="00493E4F">
        <w:trPr>
          <w:cantSplit/>
        </w:trPr>
        <w:tc>
          <w:tcPr>
            <w:tcW w:w="734" w:type="dxa"/>
            <w:vMerge w:val="restart"/>
            <w:tcBorders>
              <w:top w:val="single" w:sz="8" w:space="0" w:color="AEAEAE"/>
              <w:left w:val="nil"/>
              <w:bottom w:val="single" w:sz="8" w:space="0" w:color="152935"/>
              <w:right w:val="nil"/>
            </w:tcBorders>
            <w:shd w:val="clear" w:color="auto" w:fill="E0E0E0"/>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350248">
              <w:rPr>
                <w:rFonts w:asciiTheme="majorBidi" w:hAnsiTheme="majorBidi" w:cstheme="majorBidi"/>
                <w:color w:val="264A60"/>
                <w:sz w:val="18"/>
                <w:szCs w:val="18"/>
              </w:rPr>
              <w:t>DP</w:t>
            </w:r>
          </w:p>
        </w:tc>
        <w:tc>
          <w:tcPr>
            <w:tcW w:w="1697" w:type="dxa"/>
            <w:tcBorders>
              <w:top w:val="single" w:sz="8" w:space="0" w:color="AEAEAE"/>
              <w:left w:val="nil"/>
              <w:bottom w:val="single" w:sz="8" w:space="0" w:color="AEAEAE"/>
              <w:right w:val="nil"/>
            </w:tcBorders>
            <w:shd w:val="clear" w:color="auto" w:fill="E0E0E0"/>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350248">
              <w:rPr>
                <w:rFonts w:asciiTheme="majorBidi" w:hAnsiTheme="majorBidi" w:cstheme="majorBidi"/>
                <w:color w:val="264A60"/>
                <w:sz w:val="18"/>
                <w:szCs w:val="18"/>
              </w:rPr>
              <w:t>Between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.963</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4</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.241</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.420</w:t>
            </w:r>
          </w:p>
        </w:tc>
        <w:tc>
          <w:tcPr>
            <w:tcW w:w="1024" w:type="dxa"/>
            <w:tcBorders>
              <w:top w:val="single" w:sz="8" w:space="0" w:color="AEAEAE"/>
              <w:left w:val="single" w:sz="8" w:space="0" w:color="E0E0E0"/>
              <w:bottom w:val="single" w:sz="8" w:space="0" w:color="AEAEAE"/>
              <w:right w:val="nil"/>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.794</w:t>
            </w:r>
          </w:p>
        </w:tc>
      </w:tr>
      <w:tr w:rsidR="00493E4F" w:rsidRPr="00350248" w:rsidTr="00493E4F">
        <w:trPr>
          <w:cantSplit/>
        </w:trPr>
        <w:tc>
          <w:tcPr>
            <w:tcW w:w="734" w:type="dxa"/>
            <w:vMerge/>
            <w:tcBorders>
              <w:top w:val="single" w:sz="8" w:space="0" w:color="AEAEAE"/>
              <w:left w:val="nil"/>
              <w:bottom w:val="single" w:sz="8" w:space="0" w:color="152935"/>
              <w:right w:val="nil"/>
            </w:tcBorders>
            <w:shd w:val="clear" w:color="auto" w:fill="E0E0E0"/>
          </w:tcPr>
          <w:p w:rsidR="00493E4F" w:rsidRPr="00350248"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1697" w:type="dxa"/>
            <w:tcBorders>
              <w:top w:val="single" w:sz="8" w:space="0" w:color="AEAEAE"/>
              <w:left w:val="nil"/>
              <w:bottom w:val="single" w:sz="8" w:space="0" w:color="AEAEAE"/>
              <w:right w:val="nil"/>
            </w:tcBorders>
            <w:shd w:val="clear" w:color="auto" w:fill="E0E0E0"/>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350248">
              <w:rPr>
                <w:rFonts w:asciiTheme="majorBidi" w:hAnsiTheme="majorBidi" w:cstheme="majorBidi"/>
                <w:color w:val="264A60"/>
                <w:sz w:val="18"/>
                <w:szCs w:val="18"/>
              </w:rPr>
              <w:t>Within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84.919</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.574</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350248" w:rsidTr="00493E4F">
        <w:trPr>
          <w:cantSplit/>
        </w:trPr>
        <w:tc>
          <w:tcPr>
            <w:tcW w:w="734" w:type="dxa"/>
            <w:vMerge/>
            <w:tcBorders>
              <w:top w:val="single" w:sz="8" w:space="0" w:color="AEAEAE"/>
              <w:left w:val="nil"/>
              <w:bottom w:val="single" w:sz="8" w:space="0" w:color="152935"/>
              <w:right w:val="nil"/>
            </w:tcBorders>
            <w:shd w:val="clear" w:color="auto" w:fill="E0E0E0"/>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697" w:type="dxa"/>
            <w:tcBorders>
              <w:top w:val="single" w:sz="8" w:space="0" w:color="AEAEAE"/>
              <w:left w:val="nil"/>
              <w:bottom w:val="single" w:sz="8" w:space="0" w:color="152935"/>
              <w:right w:val="nil"/>
            </w:tcBorders>
            <w:shd w:val="clear" w:color="auto" w:fill="E0E0E0"/>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350248">
              <w:rPr>
                <w:rFonts w:asciiTheme="majorBidi" w:hAnsiTheme="majorBidi" w:cstheme="majorBidi"/>
                <w:color w:val="264A6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85.882</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493E4F" w:rsidRPr="00350248"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350248">
              <w:rPr>
                <w:rFonts w:asciiTheme="majorBidi" w:hAnsiTheme="majorBidi" w:cstheme="majorBidi"/>
                <w:color w:val="010205"/>
                <w:sz w:val="18"/>
                <w:szCs w:val="18"/>
              </w:rPr>
              <w:t>152</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493E4F" w:rsidRPr="00350248" w:rsidRDefault="00493E4F" w:rsidP="00493E4F">
            <w:pPr>
              <w:autoSpaceDE w:val="0"/>
              <w:autoSpaceDN w:val="0"/>
              <w:adjustRightInd w:val="0"/>
              <w:spacing w:after="0" w:line="480" w:lineRule="auto"/>
              <w:jc w:val="both"/>
              <w:rPr>
                <w:rFonts w:asciiTheme="majorBidi" w:hAnsiTheme="majorBidi" w:cstheme="majorBidi"/>
                <w:sz w:val="24"/>
                <w:szCs w:val="24"/>
              </w:rPr>
            </w:pPr>
          </w:p>
        </w:tc>
      </w:tr>
    </w:tbl>
    <w:p w:rsidR="00493E4F" w:rsidRPr="009B587A" w:rsidRDefault="00493E4F" w:rsidP="00493E4F">
      <w:pPr>
        <w:autoSpaceDE w:val="0"/>
        <w:autoSpaceDN w:val="0"/>
        <w:adjustRightInd w:val="0"/>
        <w:spacing w:after="0" w:line="480" w:lineRule="auto"/>
        <w:jc w:val="center"/>
        <w:rPr>
          <w:rFonts w:asciiTheme="majorBidi" w:hAnsiTheme="majorBidi" w:cstheme="majorBidi"/>
          <w:sz w:val="20"/>
          <w:szCs w:val="20"/>
        </w:rPr>
      </w:pPr>
      <w:r>
        <w:rPr>
          <w:rFonts w:asciiTheme="majorBidi" w:hAnsiTheme="majorBidi" w:cstheme="majorBidi"/>
          <w:sz w:val="20"/>
          <w:szCs w:val="20"/>
        </w:rPr>
        <w:t>Table 18</w:t>
      </w:r>
      <w:r w:rsidRPr="009B587A">
        <w:rPr>
          <w:rFonts w:asciiTheme="majorBidi" w:hAnsiTheme="majorBidi" w:cstheme="majorBidi"/>
          <w:sz w:val="20"/>
          <w:szCs w:val="20"/>
        </w:rPr>
        <w:t xml:space="preserve"> ANOVA test regarding security and satisfaction</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lastRenderedPageBreak/>
        <w:t xml:space="preserve">Similar to other factors, the ANOVA test did not show any statistically significant between security and satisfaction (p= 0.925), security reasons (p= 0.726), and data protection (p= 0.794).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 xml:space="preserve">The sample voted favorably when it comes to the security of the online platforms. A cumulative percentage of 79.7% said that they strongly agree and agree that e-banking is secure. 81% of all participants strongly agreed and agreed that e-banking can protect your data. These figures can be justified by having these platforms have strong requirements for passwords and a firewall (70.6%). So even though there was no clear connection between security and satisfaction, it remains an important aspect to enhance e-banking services through.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 xml:space="preserve">4.2.5 Communication in E-banking </w:t>
      </w:r>
    </w:p>
    <w:p w:rsidR="00493E4F" w:rsidRPr="00761DB2" w:rsidRDefault="00493E4F" w:rsidP="00493E4F">
      <w:pPr>
        <w:autoSpaceDE w:val="0"/>
        <w:autoSpaceDN w:val="0"/>
        <w:adjustRightInd w:val="0"/>
        <w:spacing w:after="0" w:line="480" w:lineRule="auto"/>
        <w:jc w:val="both"/>
        <w:rPr>
          <w:rFonts w:asciiTheme="majorBidi" w:hAnsiTheme="majorBidi" w:cstheme="majorBidi"/>
          <w:sz w:val="24"/>
          <w:szCs w:val="24"/>
        </w:rPr>
      </w:pPr>
    </w:p>
    <w:tbl>
      <w:tblPr>
        <w:tblW w:w="83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698"/>
        <w:gridCol w:w="1469"/>
        <w:gridCol w:w="1024"/>
        <w:gridCol w:w="1408"/>
        <w:gridCol w:w="1024"/>
        <w:gridCol w:w="1024"/>
      </w:tblGrid>
      <w:tr w:rsidR="00493E4F" w:rsidRPr="00761DB2" w:rsidTr="00493E4F">
        <w:trPr>
          <w:cantSplit/>
        </w:trPr>
        <w:tc>
          <w:tcPr>
            <w:tcW w:w="8378" w:type="dxa"/>
            <w:gridSpan w:val="7"/>
            <w:tcBorders>
              <w:top w:val="nil"/>
              <w:left w:val="nil"/>
              <w:bottom w:val="nil"/>
              <w:right w:val="nil"/>
            </w:tcBorders>
            <w:shd w:val="clear" w:color="auto" w:fill="FFFFFF"/>
            <w:vAlign w:val="center"/>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rPr>
            </w:pPr>
            <w:r w:rsidRPr="00761DB2">
              <w:rPr>
                <w:rFonts w:asciiTheme="majorBidi" w:hAnsiTheme="majorBidi" w:cstheme="majorBidi"/>
                <w:b/>
                <w:bCs/>
                <w:color w:val="010205"/>
              </w:rPr>
              <w:t>ANOVA</w:t>
            </w:r>
          </w:p>
        </w:tc>
      </w:tr>
      <w:tr w:rsidR="00493E4F" w:rsidRPr="00761DB2" w:rsidTr="00493E4F">
        <w:trPr>
          <w:cantSplit/>
        </w:trPr>
        <w:tc>
          <w:tcPr>
            <w:tcW w:w="2431" w:type="dxa"/>
            <w:gridSpan w:val="2"/>
            <w:tcBorders>
              <w:top w:val="nil"/>
              <w:left w:val="nil"/>
              <w:bottom w:val="single" w:sz="8" w:space="0" w:color="152935"/>
              <w:right w:val="nil"/>
            </w:tcBorders>
            <w:shd w:val="clear" w:color="auto" w:fill="FFFFFF"/>
            <w:vAlign w:val="bottom"/>
          </w:tcPr>
          <w:p w:rsidR="00493E4F" w:rsidRPr="00761DB2"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468" w:type="dxa"/>
            <w:tcBorders>
              <w:top w:val="nil"/>
              <w:left w:val="nil"/>
              <w:bottom w:val="single" w:sz="8" w:space="0" w:color="152935"/>
              <w:right w:val="single" w:sz="8" w:space="0" w:color="E0E0E0"/>
            </w:tcBorders>
            <w:shd w:val="clear" w:color="auto" w:fill="FFFFFF"/>
            <w:vAlign w:val="bottom"/>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761DB2">
              <w:rPr>
                <w:rFonts w:asciiTheme="majorBidi" w:hAnsiTheme="majorBidi" w:cstheme="majorBidi"/>
                <w:color w:val="264A6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761DB2">
              <w:rPr>
                <w:rFonts w:asciiTheme="majorBidi" w:hAnsiTheme="majorBidi" w:cstheme="majorBidi"/>
                <w:color w:val="264A6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761DB2">
              <w:rPr>
                <w:rFonts w:asciiTheme="majorBidi" w:hAnsiTheme="majorBidi" w:cstheme="majorBidi"/>
                <w:color w:val="264A6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761DB2">
              <w:rPr>
                <w:rFonts w:asciiTheme="majorBidi" w:hAnsiTheme="majorBidi" w:cstheme="majorBidi"/>
                <w:color w:val="264A6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761DB2">
              <w:rPr>
                <w:rFonts w:asciiTheme="majorBidi" w:hAnsiTheme="majorBidi" w:cstheme="majorBidi"/>
                <w:color w:val="264A60"/>
                <w:sz w:val="18"/>
                <w:szCs w:val="18"/>
              </w:rPr>
              <w:t>Sig.</w:t>
            </w:r>
          </w:p>
        </w:tc>
      </w:tr>
      <w:tr w:rsidR="00493E4F" w:rsidRPr="00761DB2" w:rsidTr="00493E4F">
        <w:trPr>
          <w:cantSplit/>
        </w:trPr>
        <w:tc>
          <w:tcPr>
            <w:tcW w:w="734" w:type="dxa"/>
            <w:vMerge w:val="restart"/>
            <w:tcBorders>
              <w:top w:val="single" w:sz="8" w:space="0" w:color="152935"/>
              <w:left w:val="nil"/>
              <w:bottom w:val="nil"/>
              <w:right w:val="nil"/>
            </w:tcBorders>
            <w:shd w:val="clear" w:color="auto" w:fill="E0E0E0"/>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761DB2">
              <w:rPr>
                <w:rFonts w:asciiTheme="majorBidi" w:hAnsiTheme="majorBidi" w:cstheme="majorBidi"/>
                <w:color w:val="264A60"/>
                <w:sz w:val="18"/>
                <w:szCs w:val="18"/>
              </w:rPr>
              <w:t>247S</w:t>
            </w:r>
          </w:p>
        </w:tc>
        <w:tc>
          <w:tcPr>
            <w:tcW w:w="1697" w:type="dxa"/>
            <w:tcBorders>
              <w:top w:val="single" w:sz="8" w:space="0" w:color="152935"/>
              <w:left w:val="nil"/>
              <w:bottom w:val="single" w:sz="8" w:space="0" w:color="AEAEAE"/>
              <w:right w:val="nil"/>
            </w:tcBorders>
            <w:shd w:val="clear" w:color="auto" w:fill="E0E0E0"/>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761DB2">
              <w:rPr>
                <w:rFonts w:asciiTheme="majorBidi" w:hAnsiTheme="majorBidi" w:cstheme="majorBidi"/>
                <w:color w:val="264A60"/>
                <w:sz w:val="18"/>
                <w:szCs w:val="18"/>
              </w:rPr>
              <w:t>Between Groups</w:t>
            </w:r>
          </w:p>
        </w:tc>
        <w:tc>
          <w:tcPr>
            <w:tcW w:w="1468" w:type="dxa"/>
            <w:tcBorders>
              <w:top w:val="single" w:sz="8" w:space="0" w:color="152935"/>
              <w:left w:val="nil"/>
              <w:bottom w:val="single" w:sz="8" w:space="0" w:color="AEAEAE"/>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3.619</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4</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.905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1.571</w:t>
            </w:r>
          </w:p>
        </w:tc>
        <w:tc>
          <w:tcPr>
            <w:tcW w:w="1024" w:type="dxa"/>
            <w:tcBorders>
              <w:top w:val="single" w:sz="8" w:space="0" w:color="152935"/>
              <w:left w:val="single" w:sz="8" w:space="0" w:color="E0E0E0"/>
              <w:bottom w:val="single" w:sz="8" w:space="0" w:color="AEAEAE"/>
              <w:right w:val="nil"/>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.185</w:t>
            </w:r>
          </w:p>
        </w:tc>
      </w:tr>
      <w:tr w:rsidR="00493E4F" w:rsidRPr="00761DB2" w:rsidTr="00493E4F">
        <w:trPr>
          <w:cantSplit/>
        </w:trPr>
        <w:tc>
          <w:tcPr>
            <w:tcW w:w="734" w:type="dxa"/>
            <w:vMerge/>
            <w:tcBorders>
              <w:top w:val="single" w:sz="8" w:space="0" w:color="152935"/>
              <w:left w:val="nil"/>
              <w:bottom w:val="nil"/>
              <w:right w:val="nil"/>
            </w:tcBorders>
            <w:shd w:val="clear" w:color="auto" w:fill="E0E0E0"/>
          </w:tcPr>
          <w:p w:rsidR="00493E4F" w:rsidRPr="00761DB2"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1697" w:type="dxa"/>
            <w:tcBorders>
              <w:top w:val="single" w:sz="8" w:space="0" w:color="AEAEAE"/>
              <w:left w:val="nil"/>
              <w:bottom w:val="single" w:sz="8" w:space="0" w:color="AEAEAE"/>
              <w:right w:val="nil"/>
            </w:tcBorders>
            <w:shd w:val="clear" w:color="auto" w:fill="E0E0E0"/>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761DB2">
              <w:rPr>
                <w:rFonts w:asciiTheme="majorBidi" w:hAnsiTheme="majorBidi" w:cstheme="majorBidi"/>
                <w:color w:val="264A60"/>
                <w:sz w:val="18"/>
                <w:szCs w:val="18"/>
              </w:rPr>
              <w:t>Within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85.257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.576</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761DB2"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493E4F" w:rsidRPr="00761DB2"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761DB2" w:rsidTr="00493E4F">
        <w:trPr>
          <w:cantSplit/>
        </w:trPr>
        <w:tc>
          <w:tcPr>
            <w:tcW w:w="734" w:type="dxa"/>
            <w:vMerge/>
            <w:tcBorders>
              <w:top w:val="single" w:sz="8" w:space="0" w:color="152935"/>
              <w:left w:val="nil"/>
              <w:bottom w:val="nil"/>
              <w:right w:val="nil"/>
            </w:tcBorders>
            <w:shd w:val="clear" w:color="auto" w:fill="E0E0E0"/>
          </w:tcPr>
          <w:p w:rsidR="00493E4F" w:rsidRPr="00761DB2"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697" w:type="dxa"/>
            <w:tcBorders>
              <w:top w:val="single" w:sz="8" w:space="0" w:color="AEAEAE"/>
              <w:left w:val="nil"/>
              <w:bottom w:val="nil"/>
              <w:right w:val="nil"/>
            </w:tcBorders>
            <w:shd w:val="clear" w:color="auto" w:fill="E0E0E0"/>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761DB2">
              <w:rPr>
                <w:rFonts w:asciiTheme="majorBidi" w:hAnsiTheme="majorBidi" w:cstheme="majorBidi"/>
                <w:color w:val="264A60"/>
                <w:sz w:val="18"/>
                <w:szCs w:val="18"/>
              </w:rPr>
              <w:t>Total</w:t>
            </w:r>
          </w:p>
        </w:tc>
        <w:tc>
          <w:tcPr>
            <w:tcW w:w="1468" w:type="dxa"/>
            <w:tcBorders>
              <w:top w:val="single" w:sz="8" w:space="0" w:color="AEAEAE"/>
              <w:left w:val="nil"/>
              <w:bottom w:val="nil"/>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88.876</w:t>
            </w:r>
          </w:p>
        </w:tc>
        <w:tc>
          <w:tcPr>
            <w:tcW w:w="1024" w:type="dxa"/>
            <w:tcBorders>
              <w:top w:val="single" w:sz="8" w:space="0" w:color="AEAEAE"/>
              <w:left w:val="single" w:sz="8" w:space="0" w:color="E0E0E0"/>
              <w:bottom w:val="nil"/>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152</w:t>
            </w:r>
          </w:p>
        </w:tc>
        <w:tc>
          <w:tcPr>
            <w:tcW w:w="1407" w:type="dxa"/>
            <w:tcBorders>
              <w:top w:val="single" w:sz="8" w:space="0" w:color="AEAEAE"/>
              <w:left w:val="single" w:sz="8" w:space="0" w:color="E0E0E0"/>
              <w:bottom w:val="nil"/>
              <w:right w:val="single" w:sz="8" w:space="0" w:color="E0E0E0"/>
            </w:tcBorders>
            <w:shd w:val="clear" w:color="auto" w:fill="FFFFFF"/>
            <w:vAlign w:val="center"/>
          </w:tcPr>
          <w:p w:rsidR="00493E4F" w:rsidRPr="00761DB2"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single" w:sz="8" w:space="0" w:color="E0E0E0"/>
            </w:tcBorders>
            <w:shd w:val="clear" w:color="auto" w:fill="FFFFFF"/>
            <w:vAlign w:val="center"/>
          </w:tcPr>
          <w:p w:rsidR="00493E4F" w:rsidRPr="00761DB2"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nil"/>
              <w:right w:val="nil"/>
            </w:tcBorders>
            <w:shd w:val="clear" w:color="auto" w:fill="FFFFFF"/>
            <w:vAlign w:val="center"/>
          </w:tcPr>
          <w:p w:rsidR="00493E4F" w:rsidRPr="00761DB2"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761DB2" w:rsidTr="00493E4F">
        <w:trPr>
          <w:cantSplit/>
        </w:trPr>
        <w:tc>
          <w:tcPr>
            <w:tcW w:w="734" w:type="dxa"/>
            <w:vMerge w:val="restart"/>
            <w:tcBorders>
              <w:top w:val="single" w:sz="8" w:space="0" w:color="AEAEAE"/>
              <w:left w:val="nil"/>
              <w:bottom w:val="single" w:sz="8" w:space="0" w:color="152935"/>
              <w:right w:val="nil"/>
            </w:tcBorders>
            <w:shd w:val="clear" w:color="auto" w:fill="E0E0E0"/>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761DB2">
              <w:rPr>
                <w:rFonts w:asciiTheme="majorBidi" w:hAnsiTheme="majorBidi" w:cstheme="majorBidi"/>
                <w:color w:val="264A60"/>
                <w:sz w:val="18"/>
                <w:szCs w:val="18"/>
              </w:rPr>
              <w:t>SRS</w:t>
            </w:r>
          </w:p>
        </w:tc>
        <w:tc>
          <w:tcPr>
            <w:tcW w:w="1697" w:type="dxa"/>
            <w:tcBorders>
              <w:top w:val="single" w:sz="8" w:space="0" w:color="AEAEAE"/>
              <w:left w:val="nil"/>
              <w:bottom w:val="single" w:sz="8" w:space="0" w:color="AEAEAE"/>
              <w:right w:val="nil"/>
            </w:tcBorders>
            <w:shd w:val="clear" w:color="auto" w:fill="E0E0E0"/>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761DB2">
              <w:rPr>
                <w:rFonts w:asciiTheme="majorBidi" w:hAnsiTheme="majorBidi" w:cstheme="majorBidi"/>
                <w:color w:val="264A60"/>
                <w:sz w:val="18"/>
                <w:szCs w:val="18"/>
              </w:rPr>
              <w:t>Between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6.594</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4</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1.648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1.701</w:t>
            </w:r>
          </w:p>
        </w:tc>
        <w:tc>
          <w:tcPr>
            <w:tcW w:w="1024" w:type="dxa"/>
            <w:tcBorders>
              <w:top w:val="single" w:sz="8" w:space="0" w:color="AEAEAE"/>
              <w:left w:val="single" w:sz="8" w:space="0" w:color="E0E0E0"/>
              <w:bottom w:val="single" w:sz="8" w:space="0" w:color="AEAEAE"/>
              <w:right w:val="nil"/>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.153</w:t>
            </w:r>
          </w:p>
        </w:tc>
      </w:tr>
      <w:tr w:rsidR="00493E4F" w:rsidRPr="00761DB2" w:rsidTr="00493E4F">
        <w:trPr>
          <w:cantSplit/>
        </w:trPr>
        <w:tc>
          <w:tcPr>
            <w:tcW w:w="734" w:type="dxa"/>
            <w:vMerge/>
            <w:tcBorders>
              <w:top w:val="single" w:sz="8" w:space="0" w:color="AEAEAE"/>
              <w:left w:val="nil"/>
              <w:bottom w:val="single" w:sz="8" w:space="0" w:color="152935"/>
              <w:right w:val="nil"/>
            </w:tcBorders>
            <w:shd w:val="clear" w:color="auto" w:fill="E0E0E0"/>
          </w:tcPr>
          <w:p w:rsidR="00493E4F" w:rsidRPr="00761DB2" w:rsidRDefault="00493E4F" w:rsidP="00493E4F">
            <w:pPr>
              <w:autoSpaceDE w:val="0"/>
              <w:autoSpaceDN w:val="0"/>
              <w:adjustRightInd w:val="0"/>
              <w:spacing w:after="0" w:line="480" w:lineRule="auto"/>
              <w:jc w:val="both"/>
              <w:rPr>
                <w:rFonts w:asciiTheme="majorBidi" w:hAnsiTheme="majorBidi" w:cstheme="majorBidi"/>
                <w:color w:val="010205"/>
                <w:sz w:val="18"/>
                <w:szCs w:val="18"/>
              </w:rPr>
            </w:pPr>
          </w:p>
        </w:tc>
        <w:tc>
          <w:tcPr>
            <w:tcW w:w="1697" w:type="dxa"/>
            <w:tcBorders>
              <w:top w:val="single" w:sz="8" w:space="0" w:color="AEAEAE"/>
              <w:left w:val="nil"/>
              <w:bottom w:val="single" w:sz="8" w:space="0" w:color="AEAEAE"/>
              <w:right w:val="nil"/>
            </w:tcBorders>
            <w:shd w:val="clear" w:color="auto" w:fill="E0E0E0"/>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761DB2">
              <w:rPr>
                <w:rFonts w:asciiTheme="majorBidi" w:hAnsiTheme="majorBidi" w:cstheme="majorBidi"/>
                <w:color w:val="264A60"/>
                <w:sz w:val="18"/>
                <w:szCs w:val="18"/>
              </w:rPr>
              <w:t>Within Groups</w:t>
            </w:r>
          </w:p>
        </w:tc>
        <w:tc>
          <w:tcPr>
            <w:tcW w:w="1468" w:type="dxa"/>
            <w:tcBorders>
              <w:top w:val="single" w:sz="8" w:space="0" w:color="AEAEAE"/>
              <w:left w:val="nil"/>
              <w:bottom w:val="single" w:sz="8" w:space="0" w:color="AEAEAE"/>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143.459</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148</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.969</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493E4F" w:rsidRPr="00761DB2"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493E4F" w:rsidRPr="00761DB2" w:rsidRDefault="00493E4F" w:rsidP="00493E4F">
            <w:pPr>
              <w:autoSpaceDE w:val="0"/>
              <w:autoSpaceDN w:val="0"/>
              <w:adjustRightInd w:val="0"/>
              <w:spacing w:after="0" w:line="480" w:lineRule="auto"/>
              <w:jc w:val="both"/>
              <w:rPr>
                <w:rFonts w:asciiTheme="majorBidi" w:hAnsiTheme="majorBidi" w:cstheme="majorBidi"/>
                <w:sz w:val="24"/>
                <w:szCs w:val="24"/>
              </w:rPr>
            </w:pPr>
          </w:p>
        </w:tc>
      </w:tr>
      <w:tr w:rsidR="00493E4F" w:rsidRPr="00761DB2" w:rsidTr="00493E4F">
        <w:trPr>
          <w:cantSplit/>
        </w:trPr>
        <w:tc>
          <w:tcPr>
            <w:tcW w:w="734" w:type="dxa"/>
            <w:vMerge/>
            <w:tcBorders>
              <w:top w:val="single" w:sz="8" w:space="0" w:color="AEAEAE"/>
              <w:left w:val="nil"/>
              <w:bottom w:val="single" w:sz="8" w:space="0" w:color="152935"/>
              <w:right w:val="nil"/>
            </w:tcBorders>
            <w:shd w:val="clear" w:color="auto" w:fill="E0E0E0"/>
          </w:tcPr>
          <w:p w:rsidR="00493E4F" w:rsidRPr="00761DB2"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697" w:type="dxa"/>
            <w:tcBorders>
              <w:top w:val="single" w:sz="8" w:space="0" w:color="AEAEAE"/>
              <w:left w:val="nil"/>
              <w:bottom w:val="single" w:sz="8" w:space="0" w:color="152935"/>
              <w:right w:val="nil"/>
            </w:tcBorders>
            <w:shd w:val="clear" w:color="auto" w:fill="E0E0E0"/>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264A60"/>
                <w:sz w:val="18"/>
                <w:szCs w:val="18"/>
              </w:rPr>
            </w:pPr>
            <w:r w:rsidRPr="00761DB2">
              <w:rPr>
                <w:rFonts w:asciiTheme="majorBidi" w:hAnsiTheme="majorBidi" w:cstheme="majorBidi"/>
                <w:color w:val="264A6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150.052</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493E4F" w:rsidRPr="00761DB2" w:rsidRDefault="00493E4F" w:rsidP="00493E4F">
            <w:pPr>
              <w:autoSpaceDE w:val="0"/>
              <w:autoSpaceDN w:val="0"/>
              <w:adjustRightInd w:val="0"/>
              <w:spacing w:after="0" w:line="480" w:lineRule="auto"/>
              <w:ind w:left="60" w:right="60"/>
              <w:jc w:val="both"/>
              <w:rPr>
                <w:rFonts w:asciiTheme="majorBidi" w:hAnsiTheme="majorBidi" w:cstheme="majorBidi"/>
                <w:color w:val="010205"/>
                <w:sz w:val="18"/>
                <w:szCs w:val="18"/>
              </w:rPr>
            </w:pPr>
            <w:r w:rsidRPr="00761DB2">
              <w:rPr>
                <w:rFonts w:asciiTheme="majorBidi" w:hAnsiTheme="majorBidi" w:cstheme="majorBidi"/>
                <w:color w:val="010205"/>
                <w:sz w:val="18"/>
                <w:szCs w:val="18"/>
              </w:rPr>
              <w:t>152</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761DB2"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493E4F" w:rsidRPr="00761DB2" w:rsidRDefault="00493E4F" w:rsidP="00493E4F">
            <w:pPr>
              <w:autoSpaceDE w:val="0"/>
              <w:autoSpaceDN w:val="0"/>
              <w:adjustRightInd w:val="0"/>
              <w:spacing w:after="0" w:line="480" w:lineRule="auto"/>
              <w:jc w:val="both"/>
              <w:rPr>
                <w:rFonts w:asciiTheme="majorBidi" w:hAnsiTheme="majorBidi" w:cstheme="majorBidi"/>
                <w:sz w:val="24"/>
                <w:szCs w:val="24"/>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493E4F" w:rsidRPr="00761DB2" w:rsidRDefault="00493E4F" w:rsidP="00493E4F">
            <w:pPr>
              <w:autoSpaceDE w:val="0"/>
              <w:autoSpaceDN w:val="0"/>
              <w:adjustRightInd w:val="0"/>
              <w:spacing w:after="0" w:line="480" w:lineRule="auto"/>
              <w:jc w:val="both"/>
              <w:rPr>
                <w:rFonts w:asciiTheme="majorBidi" w:hAnsiTheme="majorBidi" w:cstheme="majorBidi"/>
                <w:sz w:val="24"/>
                <w:szCs w:val="24"/>
              </w:rPr>
            </w:pPr>
          </w:p>
        </w:tc>
      </w:tr>
    </w:tbl>
    <w:p w:rsidR="00493E4F" w:rsidRPr="009B587A" w:rsidRDefault="00493E4F" w:rsidP="00493E4F">
      <w:pPr>
        <w:autoSpaceDE w:val="0"/>
        <w:autoSpaceDN w:val="0"/>
        <w:adjustRightInd w:val="0"/>
        <w:spacing w:after="0" w:line="480" w:lineRule="auto"/>
        <w:jc w:val="center"/>
        <w:rPr>
          <w:rFonts w:asciiTheme="majorBidi" w:hAnsiTheme="majorBidi" w:cstheme="majorBidi"/>
          <w:sz w:val="20"/>
          <w:szCs w:val="20"/>
        </w:rPr>
      </w:pPr>
      <w:r>
        <w:rPr>
          <w:rFonts w:asciiTheme="majorBidi" w:hAnsiTheme="majorBidi" w:cstheme="majorBidi"/>
          <w:sz w:val="20"/>
          <w:szCs w:val="20"/>
        </w:rPr>
        <w:t>Table 19</w:t>
      </w:r>
      <w:r w:rsidRPr="009B587A">
        <w:rPr>
          <w:rFonts w:asciiTheme="majorBidi" w:hAnsiTheme="majorBidi" w:cstheme="majorBidi"/>
          <w:sz w:val="20"/>
          <w:szCs w:val="20"/>
        </w:rPr>
        <w:t xml:space="preserve"> ANOVA test for Communication</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1649F2">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t>The ANOVA test did not yield any statistical significa</w:t>
      </w:r>
      <w:r w:rsidR="001649F2">
        <w:rPr>
          <w:rFonts w:asciiTheme="majorBidi" w:hAnsiTheme="majorBidi" w:cstheme="majorBidi"/>
          <w:sz w:val="24"/>
          <w:szCs w:val="24"/>
        </w:rPr>
        <w:t>nce</w:t>
      </w:r>
      <w:r w:rsidRPr="009B587A">
        <w:rPr>
          <w:rFonts w:asciiTheme="majorBidi" w:hAnsiTheme="majorBidi" w:cstheme="majorBidi"/>
          <w:sz w:val="24"/>
          <w:szCs w:val="24"/>
        </w:rPr>
        <w:t xml:space="preserve"> between satisfaction and having a 24/7 support system (p= 0.185) and being content with the services offered (p= 0.153). </w:t>
      </w: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p>
    <w:p w:rsidR="00493E4F" w:rsidRPr="009B587A" w:rsidRDefault="00493E4F" w:rsidP="00493E4F">
      <w:pPr>
        <w:autoSpaceDE w:val="0"/>
        <w:autoSpaceDN w:val="0"/>
        <w:adjustRightInd w:val="0"/>
        <w:spacing w:after="0" w:line="480" w:lineRule="auto"/>
        <w:jc w:val="both"/>
        <w:rPr>
          <w:rFonts w:asciiTheme="majorBidi" w:hAnsiTheme="majorBidi" w:cstheme="majorBidi"/>
          <w:sz w:val="24"/>
          <w:szCs w:val="24"/>
        </w:rPr>
      </w:pPr>
      <w:r w:rsidRPr="009B587A">
        <w:rPr>
          <w:rFonts w:asciiTheme="majorBidi" w:hAnsiTheme="majorBidi" w:cstheme="majorBidi"/>
          <w:sz w:val="24"/>
          <w:szCs w:val="24"/>
        </w:rPr>
        <w:lastRenderedPageBreak/>
        <w:t xml:space="preserve">4.2.6 Future of E-banking </w:t>
      </w:r>
    </w:p>
    <w:p w:rsidR="00493E4F" w:rsidRPr="00ED1AA1" w:rsidRDefault="00493E4F" w:rsidP="00493E4F">
      <w:pPr>
        <w:autoSpaceDE w:val="0"/>
        <w:autoSpaceDN w:val="0"/>
        <w:adjustRightInd w:val="0"/>
        <w:spacing w:after="0" w:line="480" w:lineRule="auto"/>
        <w:jc w:val="both"/>
        <w:rPr>
          <w:rFonts w:ascii="Times New Roman" w:hAnsi="Times New Roman" w:cs="Times New Roman"/>
          <w:sz w:val="24"/>
          <w:szCs w:val="24"/>
        </w:rPr>
      </w:pPr>
      <w:r w:rsidRPr="00ED1AA1">
        <w:rPr>
          <w:rFonts w:ascii="Times New Roman" w:hAnsi="Times New Roman" w:cs="Times New Roman"/>
          <w:sz w:val="24"/>
          <w:szCs w:val="24"/>
        </w:rPr>
        <w:t xml:space="preserve">When asked about how they would restore satisfaction, 77.1% of the sample agreed that trust and satisfaction can be regained. However, only 20% of the participants said that they believe that the banking system can recover from this crisis. This underlines how deeply unhappy clients are regarding the performance of banks. It seems that banks are not working diligently to restore satisfaction. This is illustrated in the only open-ended question of the survey that asked if the banks had provided any new services after the crisis. Only one participant out of 153 answered that it allowed withdrawing USD at a rate of 3,900 L.L. from the ATM. </w:t>
      </w:r>
    </w:p>
    <w:p w:rsidR="00493E4F" w:rsidRPr="00ED1AA1" w:rsidRDefault="00493E4F" w:rsidP="00493E4F">
      <w:pPr>
        <w:autoSpaceDE w:val="0"/>
        <w:autoSpaceDN w:val="0"/>
        <w:adjustRightInd w:val="0"/>
        <w:spacing w:after="0" w:line="480" w:lineRule="auto"/>
        <w:jc w:val="both"/>
        <w:rPr>
          <w:rFonts w:ascii="Times New Roman" w:hAnsi="Times New Roman" w:cs="Times New Roman"/>
          <w:sz w:val="24"/>
          <w:szCs w:val="24"/>
        </w:rPr>
      </w:pPr>
      <w:r w:rsidRPr="00ED1AA1">
        <w:rPr>
          <w:rFonts w:ascii="Times New Roman" w:hAnsi="Times New Roman" w:cs="Times New Roman"/>
          <w:sz w:val="24"/>
          <w:szCs w:val="24"/>
        </w:rPr>
        <w:t>Despite being provided with 5 different options, when asked about how to restore the former relationship, the participants said that they mainly want the banks to be more transparent with them (84.3%) and lift the restrictions on the transactions (15.7%). T</w:t>
      </w:r>
      <w:r>
        <w:rPr>
          <w:rFonts w:ascii="Times New Roman" w:hAnsi="Times New Roman" w:cs="Times New Roman"/>
          <w:sz w:val="24"/>
          <w:szCs w:val="24"/>
        </w:rPr>
        <w:t>his distinctive question gives a</w:t>
      </w:r>
      <w:r w:rsidRPr="00ED1AA1">
        <w:rPr>
          <w:rFonts w:ascii="Times New Roman" w:hAnsi="Times New Roman" w:cs="Times New Roman"/>
          <w:sz w:val="24"/>
          <w:szCs w:val="24"/>
        </w:rPr>
        <w:t xml:space="preserve"> clear indication to bankers what is needed to overcome this troubling situation. </w:t>
      </w:r>
    </w:p>
    <w:p w:rsidR="00493E4F" w:rsidRPr="00350248" w:rsidRDefault="00493E4F" w:rsidP="00493E4F">
      <w:pPr>
        <w:autoSpaceDE w:val="0"/>
        <w:autoSpaceDN w:val="0"/>
        <w:adjustRightInd w:val="0"/>
        <w:spacing w:after="0" w:line="480" w:lineRule="auto"/>
        <w:jc w:val="both"/>
        <w:rPr>
          <w:rFonts w:ascii="Times New Roman" w:hAnsi="Times New Roman" w:cs="Times New Roman"/>
          <w:sz w:val="24"/>
          <w:szCs w:val="24"/>
        </w:rPr>
      </w:pPr>
      <w:r w:rsidRPr="00ED1AA1">
        <w:rPr>
          <w:rFonts w:ascii="Times New Roman" w:hAnsi="Times New Roman" w:cs="Times New Roman"/>
          <w:sz w:val="24"/>
          <w:szCs w:val="24"/>
        </w:rPr>
        <w:t>One final result is the question regarding why individuals chose to interact more with e-banking. Surprisingly, only 8.5% said they are more engaged with e-banking because of the financial crisis and 91.5% said that they were prompted to do so because of COVID-19.</w:t>
      </w:r>
    </w:p>
    <w:p w:rsidR="00493E4F" w:rsidRDefault="00493E4F" w:rsidP="00493E4F">
      <w:pPr>
        <w:autoSpaceDE w:val="0"/>
        <w:autoSpaceDN w:val="0"/>
        <w:adjustRightInd w:val="0"/>
        <w:spacing w:after="0" w:line="400" w:lineRule="atLeast"/>
        <w:rPr>
          <w:rFonts w:ascii="Times New Roman" w:hAnsi="Times New Roman" w:cs="Times New Roman"/>
          <w:sz w:val="24"/>
          <w:szCs w:val="24"/>
        </w:rPr>
      </w:pPr>
    </w:p>
    <w:tbl>
      <w:tblPr>
        <w:tblStyle w:val="Tabellenraster"/>
        <w:tblW w:w="0" w:type="auto"/>
        <w:tblLook w:val="04A0" w:firstRow="1" w:lastRow="0" w:firstColumn="1" w:lastColumn="0" w:noHBand="0" w:noVBand="1"/>
      </w:tblPr>
      <w:tblGrid>
        <w:gridCol w:w="3192"/>
        <w:gridCol w:w="3192"/>
        <w:gridCol w:w="3192"/>
      </w:tblGrid>
      <w:tr w:rsidR="00493E4F" w:rsidRPr="004344D4" w:rsidTr="00493E4F">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Hypothesis</w:t>
            </w:r>
          </w:p>
        </w:tc>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Status</w:t>
            </w:r>
          </w:p>
        </w:tc>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 xml:space="preserve">Remarks </w:t>
            </w:r>
          </w:p>
        </w:tc>
      </w:tr>
      <w:tr w:rsidR="00493E4F" w:rsidRPr="004344D4" w:rsidTr="00493E4F">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H</w:t>
            </w:r>
            <w:r w:rsidRPr="004344D4">
              <w:rPr>
                <w:rFonts w:ascii="Times New Roman" w:hAnsi="Times New Roman" w:cs="Times New Roman"/>
                <w:sz w:val="24"/>
                <w:szCs w:val="24"/>
                <w:vertAlign w:val="subscript"/>
              </w:rPr>
              <w:t>1</w:t>
            </w:r>
            <w:r w:rsidRPr="004344D4">
              <w:rPr>
                <w:rFonts w:ascii="Times New Roman" w:hAnsi="Times New Roman" w:cs="Times New Roman"/>
                <w:sz w:val="24"/>
                <w:szCs w:val="24"/>
              </w:rPr>
              <w:t xml:space="preserve">: The trust in e-banking influences satisfaction. </w:t>
            </w:r>
          </w:p>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p>
        </w:tc>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 xml:space="preserve">Accepted </w:t>
            </w:r>
          </w:p>
        </w:tc>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 xml:space="preserve">Trust in banks can be regained by allowing access to all accounts, </w:t>
            </w:r>
            <w:r w:rsidR="001649F2">
              <w:rPr>
                <w:rFonts w:ascii="Times New Roman" w:hAnsi="Times New Roman" w:cs="Times New Roman"/>
                <w:sz w:val="24"/>
                <w:szCs w:val="24"/>
              </w:rPr>
              <w:t xml:space="preserve">the </w:t>
            </w:r>
            <w:r w:rsidRPr="004344D4">
              <w:rPr>
                <w:rFonts w:ascii="Times New Roman" w:hAnsi="Times New Roman" w:cs="Times New Roman"/>
                <w:sz w:val="24"/>
                <w:szCs w:val="24"/>
              </w:rPr>
              <w:t xml:space="preserve">ability to send money, and the ability to apply for loans. </w:t>
            </w:r>
          </w:p>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 xml:space="preserve">Regaining trust is not related to the ability to pay bills, using USD, or sending money abroad. </w:t>
            </w:r>
          </w:p>
        </w:tc>
      </w:tr>
      <w:tr w:rsidR="00493E4F" w:rsidRPr="004344D4" w:rsidTr="00493E4F">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lastRenderedPageBreak/>
              <w:t>H</w:t>
            </w:r>
            <w:r w:rsidRPr="004344D4">
              <w:rPr>
                <w:rFonts w:ascii="Times New Roman" w:hAnsi="Times New Roman" w:cs="Times New Roman"/>
                <w:sz w:val="24"/>
                <w:szCs w:val="24"/>
                <w:vertAlign w:val="subscript"/>
              </w:rPr>
              <w:t>2</w:t>
            </w:r>
            <w:r w:rsidRPr="004344D4">
              <w:rPr>
                <w:rFonts w:ascii="Times New Roman" w:hAnsi="Times New Roman" w:cs="Times New Roman"/>
                <w:sz w:val="24"/>
                <w:szCs w:val="24"/>
              </w:rPr>
              <w:t xml:space="preserve">: The efficiency of e-banking influences satisfaction. </w:t>
            </w:r>
          </w:p>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p>
        </w:tc>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 xml:space="preserve">Accepted but needs more understanding of factors </w:t>
            </w:r>
          </w:p>
        </w:tc>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 xml:space="preserve">Efficiency was found to be essential for satisfaction, but there were no data to explain the factors that contribute to efficiency. </w:t>
            </w:r>
          </w:p>
        </w:tc>
      </w:tr>
      <w:tr w:rsidR="00493E4F" w:rsidRPr="004344D4" w:rsidTr="00493E4F">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H</w:t>
            </w:r>
            <w:r w:rsidRPr="004344D4">
              <w:rPr>
                <w:rFonts w:ascii="Times New Roman" w:hAnsi="Times New Roman" w:cs="Times New Roman"/>
                <w:sz w:val="24"/>
                <w:szCs w:val="24"/>
                <w:vertAlign w:val="subscript"/>
              </w:rPr>
              <w:t>3</w:t>
            </w:r>
            <w:r w:rsidRPr="004344D4">
              <w:rPr>
                <w:rFonts w:ascii="Times New Roman" w:hAnsi="Times New Roman" w:cs="Times New Roman"/>
                <w:sz w:val="24"/>
                <w:szCs w:val="24"/>
              </w:rPr>
              <w:t xml:space="preserve">: The reliability of e-banking influences satisfaction. </w:t>
            </w:r>
          </w:p>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p>
        </w:tc>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 xml:space="preserve">Accepted </w:t>
            </w:r>
          </w:p>
        </w:tc>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 xml:space="preserve">Participants showed </w:t>
            </w:r>
            <w:r w:rsidR="001649F2">
              <w:rPr>
                <w:rFonts w:ascii="Times New Roman" w:hAnsi="Times New Roman" w:cs="Times New Roman"/>
                <w:sz w:val="24"/>
                <w:szCs w:val="24"/>
              </w:rPr>
              <w:t xml:space="preserve">a </w:t>
            </w:r>
            <w:r w:rsidRPr="004344D4">
              <w:rPr>
                <w:rFonts w:ascii="Times New Roman" w:hAnsi="Times New Roman" w:cs="Times New Roman"/>
                <w:sz w:val="24"/>
                <w:szCs w:val="24"/>
              </w:rPr>
              <w:t xml:space="preserve">strong inclination for engagement with e-banking and increased understanding. </w:t>
            </w:r>
          </w:p>
        </w:tc>
      </w:tr>
      <w:tr w:rsidR="00493E4F" w:rsidRPr="004344D4" w:rsidTr="00493E4F">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H</w:t>
            </w:r>
            <w:r w:rsidRPr="004344D4">
              <w:rPr>
                <w:rFonts w:ascii="Times New Roman" w:hAnsi="Times New Roman" w:cs="Times New Roman"/>
                <w:sz w:val="24"/>
                <w:szCs w:val="24"/>
                <w:vertAlign w:val="subscript"/>
              </w:rPr>
              <w:t>4</w:t>
            </w:r>
            <w:r w:rsidRPr="004344D4">
              <w:rPr>
                <w:rFonts w:ascii="Times New Roman" w:hAnsi="Times New Roman" w:cs="Times New Roman"/>
                <w:sz w:val="24"/>
                <w:szCs w:val="24"/>
              </w:rPr>
              <w:t>: The security and privacy of e-banking influence satisfaction</w:t>
            </w:r>
          </w:p>
        </w:tc>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Rejected</w:t>
            </w:r>
          </w:p>
        </w:tc>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 xml:space="preserve">ANOVA tests did not indicate any strong correlations. </w:t>
            </w:r>
          </w:p>
        </w:tc>
      </w:tr>
      <w:tr w:rsidR="00493E4F" w:rsidRPr="004344D4" w:rsidTr="00493E4F">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H</w:t>
            </w:r>
            <w:r w:rsidRPr="004344D4">
              <w:rPr>
                <w:rFonts w:ascii="Times New Roman" w:hAnsi="Times New Roman" w:cs="Times New Roman"/>
                <w:sz w:val="24"/>
                <w:szCs w:val="24"/>
                <w:vertAlign w:val="subscript"/>
              </w:rPr>
              <w:t>5</w:t>
            </w:r>
            <w:r w:rsidRPr="004344D4">
              <w:rPr>
                <w:rFonts w:ascii="Times New Roman" w:hAnsi="Times New Roman" w:cs="Times New Roman"/>
                <w:sz w:val="24"/>
                <w:szCs w:val="24"/>
              </w:rPr>
              <w:t>: The communication of e-banking influences satisfaction.</w:t>
            </w:r>
          </w:p>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p>
        </w:tc>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 xml:space="preserve">Rejected </w:t>
            </w:r>
          </w:p>
        </w:tc>
        <w:tc>
          <w:tcPr>
            <w:tcW w:w="3192" w:type="dxa"/>
          </w:tcPr>
          <w:p w:rsidR="00493E4F" w:rsidRPr="004344D4" w:rsidRDefault="00493E4F" w:rsidP="00493E4F">
            <w:pPr>
              <w:autoSpaceDE w:val="0"/>
              <w:autoSpaceDN w:val="0"/>
              <w:adjustRightInd w:val="0"/>
              <w:spacing w:line="400" w:lineRule="atLeast"/>
              <w:rPr>
                <w:rFonts w:ascii="Times New Roman" w:hAnsi="Times New Roman" w:cs="Times New Roman"/>
                <w:sz w:val="24"/>
                <w:szCs w:val="24"/>
              </w:rPr>
            </w:pPr>
            <w:r w:rsidRPr="004344D4">
              <w:rPr>
                <w:rFonts w:ascii="Times New Roman" w:hAnsi="Times New Roman" w:cs="Times New Roman"/>
                <w:sz w:val="24"/>
                <w:szCs w:val="24"/>
              </w:rPr>
              <w:t>ANOVA tests did not indicate any strong correlations.</w:t>
            </w:r>
          </w:p>
        </w:tc>
      </w:tr>
    </w:tbl>
    <w:p w:rsidR="00493E4F" w:rsidRPr="00E678D2" w:rsidRDefault="00493E4F" w:rsidP="00493E4F">
      <w:pPr>
        <w:autoSpaceDE w:val="0"/>
        <w:autoSpaceDN w:val="0"/>
        <w:adjustRightInd w:val="0"/>
        <w:spacing w:after="0" w:line="400" w:lineRule="atLeast"/>
        <w:jc w:val="center"/>
        <w:rPr>
          <w:rFonts w:ascii="Times New Roman" w:hAnsi="Times New Roman" w:cs="Times New Roman"/>
          <w:sz w:val="20"/>
          <w:szCs w:val="20"/>
        </w:rPr>
      </w:pPr>
      <w:r>
        <w:rPr>
          <w:rFonts w:ascii="Times New Roman" w:hAnsi="Times New Roman" w:cs="Times New Roman"/>
          <w:sz w:val="20"/>
          <w:szCs w:val="20"/>
        </w:rPr>
        <w:t>Table 20 Summary of Hypotheses</w:t>
      </w:r>
    </w:p>
    <w:p w:rsidR="00493E4F" w:rsidRPr="00943AFB" w:rsidRDefault="00493E4F" w:rsidP="00493E4F">
      <w:pPr>
        <w:autoSpaceDE w:val="0"/>
        <w:autoSpaceDN w:val="0"/>
        <w:adjustRightInd w:val="0"/>
        <w:spacing w:after="0" w:line="400" w:lineRule="atLeast"/>
        <w:jc w:val="both"/>
        <w:rPr>
          <w:rFonts w:ascii="Times New Roman" w:hAnsi="Times New Roman" w:cs="Times New Roman"/>
          <w:sz w:val="24"/>
          <w:szCs w:val="24"/>
        </w:rPr>
      </w:pPr>
    </w:p>
    <w:p w:rsidR="00493E4F" w:rsidRPr="005404B0" w:rsidRDefault="00493E4F" w:rsidP="00493E4F">
      <w:pPr>
        <w:autoSpaceDE w:val="0"/>
        <w:autoSpaceDN w:val="0"/>
        <w:adjustRightInd w:val="0"/>
        <w:spacing w:after="0" w:line="400" w:lineRule="atLeast"/>
        <w:jc w:val="both"/>
        <w:rPr>
          <w:rFonts w:ascii="Times New Roman" w:hAnsi="Times New Roman" w:cs="Times New Roman"/>
          <w:sz w:val="24"/>
          <w:szCs w:val="24"/>
        </w:rPr>
      </w:pPr>
    </w:p>
    <w:p w:rsidR="00493E4F" w:rsidRDefault="00493E4F" w:rsidP="00493E4F">
      <w:pPr>
        <w:autoSpaceDE w:val="0"/>
        <w:autoSpaceDN w:val="0"/>
        <w:adjustRightInd w:val="0"/>
        <w:spacing w:after="0" w:line="400" w:lineRule="atLeast"/>
        <w:rPr>
          <w:rFonts w:ascii="Times New Roman" w:hAnsi="Times New Roman" w:cs="Times New Roman"/>
          <w:sz w:val="24"/>
          <w:szCs w:val="24"/>
        </w:rPr>
      </w:pPr>
    </w:p>
    <w:p w:rsidR="004C5A7A" w:rsidRDefault="004C5A7A" w:rsidP="00493E4F">
      <w:pPr>
        <w:autoSpaceDE w:val="0"/>
        <w:autoSpaceDN w:val="0"/>
        <w:adjustRightInd w:val="0"/>
        <w:spacing w:after="0" w:line="400" w:lineRule="atLeast"/>
        <w:rPr>
          <w:rFonts w:ascii="Times New Roman" w:hAnsi="Times New Roman" w:cs="Times New Roman"/>
          <w:sz w:val="24"/>
          <w:szCs w:val="24"/>
        </w:rPr>
      </w:pPr>
    </w:p>
    <w:p w:rsidR="004C5A7A" w:rsidRDefault="004C5A7A" w:rsidP="00493E4F">
      <w:pPr>
        <w:autoSpaceDE w:val="0"/>
        <w:autoSpaceDN w:val="0"/>
        <w:adjustRightInd w:val="0"/>
        <w:spacing w:after="0" w:line="400" w:lineRule="atLeast"/>
        <w:rPr>
          <w:rFonts w:ascii="Times New Roman" w:hAnsi="Times New Roman" w:cs="Times New Roman"/>
          <w:sz w:val="24"/>
          <w:szCs w:val="24"/>
        </w:rPr>
      </w:pPr>
    </w:p>
    <w:p w:rsidR="004C5A7A" w:rsidRDefault="004C5A7A" w:rsidP="00493E4F">
      <w:pPr>
        <w:autoSpaceDE w:val="0"/>
        <w:autoSpaceDN w:val="0"/>
        <w:adjustRightInd w:val="0"/>
        <w:spacing w:after="0" w:line="400" w:lineRule="atLeast"/>
        <w:rPr>
          <w:rFonts w:ascii="Times New Roman" w:hAnsi="Times New Roman" w:cs="Times New Roman"/>
          <w:sz w:val="24"/>
          <w:szCs w:val="24"/>
        </w:rPr>
      </w:pPr>
    </w:p>
    <w:p w:rsidR="004C5A7A" w:rsidRDefault="004C5A7A" w:rsidP="00493E4F">
      <w:pPr>
        <w:autoSpaceDE w:val="0"/>
        <w:autoSpaceDN w:val="0"/>
        <w:adjustRightInd w:val="0"/>
        <w:spacing w:after="0" w:line="400" w:lineRule="atLeast"/>
        <w:rPr>
          <w:rFonts w:ascii="Times New Roman" w:hAnsi="Times New Roman" w:cs="Times New Roman"/>
          <w:sz w:val="24"/>
          <w:szCs w:val="24"/>
        </w:rPr>
      </w:pPr>
    </w:p>
    <w:p w:rsidR="004C5A7A" w:rsidRDefault="004C5A7A" w:rsidP="00493E4F">
      <w:pPr>
        <w:autoSpaceDE w:val="0"/>
        <w:autoSpaceDN w:val="0"/>
        <w:adjustRightInd w:val="0"/>
        <w:spacing w:after="0" w:line="400" w:lineRule="atLeast"/>
        <w:rPr>
          <w:rFonts w:ascii="Times New Roman" w:hAnsi="Times New Roman" w:cs="Times New Roman"/>
          <w:sz w:val="24"/>
          <w:szCs w:val="24"/>
        </w:rPr>
      </w:pPr>
    </w:p>
    <w:p w:rsidR="004C5A7A" w:rsidRDefault="004C5A7A" w:rsidP="00493E4F">
      <w:pPr>
        <w:autoSpaceDE w:val="0"/>
        <w:autoSpaceDN w:val="0"/>
        <w:adjustRightInd w:val="0"/>
        <w:spacing w:after="0" w:line="400" w:lineRule="atLeast"/>
        <w:rPr>
          <w:rFonts w:ascii="Times New Roman" w:hAnsi="Times New Roman" w:cs="Times New Roman"/>
          <w:sz w:val="24"/>
          <w:szCs w:val="24"/>
        </w:rPr>
      </w:pPr>
    </w:p>
    <w:p w:rsidR="004C5A7A" w:rsidRDefault="004C5A7A" w:rsidP="00493E4F">
      <w:pPr>
        <w:autoSpaceDE w:val="0"/>
        <w:autoSpaceDN w:val="0"/>
        <w:adjustRightInd w:val="0"/>
        <w:spacing w:after="0" w:line="400" w:lineRule="atLeast"/>
        <w:rPr>
          <w:rFonts w:ascii="Times New Roman" w:hAnsi="Times New Roman" w:cs="Times New Roman"/>
          <w:sz w:val="24"/>
          <w:szCs w:val="24"/>
        </w:rPr>
      </w:pPr>
    </w:p>
    <w:p w:rsidR="004C5A7A" w:rsidRDefault="004C5A7A" w:rsidP="00493E4F">
      <w:pPr>
        <w:autoSpaceDE w:val="0"/>
        <w:autoSpaceDN w:val="0"/>
        <w:adjustRightInd w:val="0"/>
        <w:spacing w:after="0" w:line="400" w:lineRule="atLeast"/>
        <w:rPr>
          <w:rFonts w:ascii="Times New Roman" w:hAnsi="Times New Roman" w:cs="Times New Roman"/>
          <w:sz w:val="24"/>
          <w:szCs w:val="24"/>
        </w:rPr>
      </w:pPr>
    </w:p>
    <w:p w:rsidR="004C5A7A" w:rsidRDefault="004C5A7A" w:rsidP="00493E4F">
      <w:pPr>
        <w:autoSpaceDE w:val="0"/>
        <w:autoSpaceDN w:val="0"/>
        <w:adjustRightInd w:val="0"/>
        <w:spacing w:after="0" w:line="400" w:lineRule="atLeast"/>
        <w:rPr>
          <w:rFonts w:ascii="Times New Roman" w:hAnsi="Times New Roman" w:cs="Times New Roman"/>
          <w:sz w:val="24"/>
          <w:szCs w:val="24"/>
        </w:rPr>
      </w:pPr>
    </w:p>
    <w:p w:rsidR="004C5A7A" w:rsidRDefault="004C5A7A" w:rsidP="00493E4F">
      <w:pPr>
        <w:autoSpaceDE w:val="0"/>
        <w:autoSpaceDN w:val="0"/>
        <w:adjustRightInd w:val="0"/>
        <w:spacing w:after="0" w:line="400" w:lineRule="atLeast"/>
        <w:rPr>
          <w:rFonts w:ascii="Times New Roman" w:hAnsi="Times New Roman" w:cs="Times New Roman"/>
          <w:sz w:val="24"/>
          <w:szCs w:val="24"/>
        </w:rPr>
      </w:pPr>
    </w:p>
    <w:p w:rsidR="004C5A7A" w:rsidRDefault="004C5A7A" w:rsidP="00493E4F">
      <w:pPr>
        <w:autoSpaceDE w:val="0"/>
        <w:autoSpaceDN w:val="0"/>
        <w:adjustRightInd w:val="0"/>
        <w:spacing w:after="0" w:line="400" w:lineRule="atLeast"/>
        <w:rPr>
          <w:rFonts w:ascii="Times New Roman" w:hAnsi="Times New Roman" w:cs="Times New Roman"/>
          <w:sz w:val="24"/>
          <w:szCs w:val="24"/>
        </w:rPr>
      </w:pPr>
    </w:p>
    <w:p w:rsidR="004C5A7A" w:rsidRDefault="004C5A7A" w:rsidP="00493E4F">
      <w:pPr>
        <w:autoSpaceDE w:val="0"/>
        <w:autoSpaceDN w:val="0"/>
        <w:adjustRightInd w:val="0"/>
        <w:spacing w:after="0" w:line="400" w:lineRule="atLeast"/>
        <w:rPr>
          <w:rFonts w:ascii="Times New Roman" w:hAnsi="Times New Roman" w:cs="Times New Roman"/>
          <w:sz w:val="24"/>
          <w:szCs w:val="24"/>
        </w:rPr>
      </w:pPr>
    </w:p>
    <w:p w:rsidR="004C5A7A" w:rsidRDefault="004C5A7A" w:rsidP="00493E4F">
      <w:pPr>
        <w:autoSpaceDE w:val="0"/>
        <w:autoSpaceDN w:val="0"/>
        <w:adjustRightInd w:val="0"/>
        <w:spacing w:after="0" w:line="400" w:lineRule="atLeast"/>
        <w:rPr>
          <w:rFonts w:ascii="Times New Roman" w:hAnsi="Times New Roman" w:cs="Times New Roman"/>
          <w:sz w:val="24"/>
          <w:szCs w:val="24"/>
        </w:rPr>
      </w:pPr>
    </w:p>
    <w:p w:rsidR="004C5A7A" w:rsidRPr="004C5A7A" w:rsidRDefault="004C5A7A" w:rsidP="00493E4F">
      <w:pPr>
        <w:autoSpaceDE w:val="0"/>
        <w:autoSpaceDN w:val="0"/>
        <w:adjustRightInd w:val="0"/>
        <w:spacing w:after="0" w:line="400" w:lineRule="atLeast"/>
        <w:rPr>
          <w:rFonts w:ascii="Times New Roman" w:hAnsi="Times New Roman" w:cs="Times New Roman"/>
          <w:b/>
          <w:bCs/>
          <w:sz w:val="28"/>
          <w:szCs w:val="28"/>
        </w:rPr>
      </w:pPr>
      <w:r w:rsidRPr="004C5A7A">
        <w:rPr>
          <w:rFonts w:ascii="Times New Roman" w:hAnsi="Times New Roman" w:cs="Times New Roman"/>
          <w:b/>
          <w:bCs/>
          <w:sz w:val="28"/>
          <w:szCs w:val="28"/>
        </w:rPr>
        <w:t xml:space="preserve">Chapter 5: Discussion </w:t>
      </w:r>
    </w:p>
    <w:p w:rsidR="004C5A7A" w:rsidRPr="004C5A7A" w:rsidRDefault="004C5A7A" w:rsidP="00493E4F">
      <w:pPr>
        <w:autoSpaceDE w:val="0"/>
        <w:autoSpaceDN w:val="0"/>
        <w:adjustRightInd w:val="0"/>
        <w:spacing w:after="0" w:line="400" w:lineRule="atLeast"/>
        <w:rPr>
          <w:rFonts w:ascii="Times New Roman" w:hAnsi="Times New Roman" w:cs="Times New Roman"/>
          <w:b/>
          <w:bCs/>
          <w:sz w:val="24"/>
          <w:szCs w:val="24"/>
        </w:rPr>
      </w:pP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The issue of satisfaction of Lebanese consumers and Lebanese banks presents a challenge in light of all the discrepancies between the performance before and after the financial crisis of 2019. The restrictions of COVID-19 provided a means for Lebanese banks to invest in e-banking as an alternative.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The questionnaire was done online instead of in-person to minimize any bias or outer influence on the participants. The data was extracted from the Google Forums as an Excel file and entered into SPSS. There was no manipulation of the data or attempts to alter any data. Google, Excel, SPSS are all credible software in their various fields that are relied upon by millions of users. The questionnaire did not include any questions that disclosed personal information about the participants or their banks. Concerning the questions, it is difficult to exclude bias, but the attempt was made by relying on multiple sources for the questions and including only close-ended questions that would minimize any subjective interpretation. </w:t>
      </w:r>
    </w:p>
    <w:p w:rsidR="00493E4F" w:rsidRPr="00BA2BD4" w:rsidRDefault="00493E4F" w:rsidP="001649F2">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The results showed a consistent trend in increasing satisfaction in the banking system through reliance on e-banking. This is consistent with the literature that shows the ability of e-banking to influence the loyalty and satisfaction of bank clients (Ul Haq &amp; Awan, 2020; Ketema, &amp; W/Selassie, 2020; Prasetyo et al., 2021). It seems that satisfaction can be regained through utilizing e-banking provided that certain criteria are satisfied. There needs to be accessib</w:t>
      </w:r>
      <w:r w:rsidR="001649F2">
        <w:rPr>
          <w:rFonts w:ascii="Times New Roman" w:eastAsia="Times New Roman" w:hAnsi="Times New Roman" w:cs="Times New Roman"/>
          <w:color w:val="0E101A"/>
          <w:sz w:val="24"/>
          <w:szCs w:val="24"/>
        </w:rPr>
        <w:t>le</w:t>
      </w:r>
      <w:r w:rsidRPr="00BA2BD4">
        <w:rPr>
          <w:rFonts w:ascii="Times New Roman" w:eastAsia="Times New Roman" w:hAnsi="Times New Roman" w:cs="Times New Roman"/>
          <w:color w:val="0E101A"/>
          <w:sz w:val="24"/>
          <w:szCs w:val="24"/>
        </w:rPr>
        <w:t xml:space="preserve"> to all accounts since many Lebanese people have several accounts especially in the case of loans and other services. Having e-banking connect all the accounts simplifies their lives. Another factor is the ability to transfer money which was highly inhibited following the 2019 crisis (Geldi, 2021). They need assurance that they will not have to wait for hours in line to receive their money or </w:t>
      </w:r>
      <w:r w:rsidRPr="00BA2BD4">
        <w:rPr>
          <w:rFonts w:ascii="Times New Roman" w:eastAsia="Times New Roman" w:hAnsi="Times New Roman" w:cs="Times New Roman"/>
          <w:color w:val="0E101A"/>
          <w:sz w:val="24"/>
          <w:szCs w:val="24"/>
        </w:rPr>
        <w:lastRenderedPageBreak/>
        <w:t xml:space="preserve">suddenly become denied the ability to access their money. They also want to be able to perform their banking activities without having to stand in endless lines waiting for the bank clerk to attend to them. This was especially dangerous during the early days of the financial crisis of 2019 where there were several acts of violence between people waiting in line amongst themselves and with bank employees. The danger was increased during COVID-19 where there was a real chance of becoming infected and spreading the virus from standing log hours in line with others. Another option that has been denied is the ability to apply for loans. Most banks have stopped giving loans to applicants because of the uncertainty of the financial crisis. Considering that most businesses in Lebanon are small and medium-sized businesses (95% of companies employing 50% of the population), this is a very important blow (Matta, 2018). Without these loans, the majority of the businesses are suffering and struggling to remain afloat. Most of the businesses opted to fire some of their employees which created a huge unemployment crisis that came at the worst time when the entire world shut down and prices skyrocketed. This connection to the Lebanese banks was essential in the relationship between bank and client, and being denied that option has deteriorated the trust and satisfaction between the two sides. Any attempt at regaining satisfaction cannot ignore these factors because they are the basis of the interaction between the two. Paying bills was analyzed, but there is not much evidence that it is an important factor. This is probably because the Lebanese governments and private companies do not put much stock in designing electronic payment methods. But perhaps there was not much motivation to create said systems because online banking is not as ubiquitous in Lebanon as it is in some countries. Therefore, even though these factors might have been influential in some countries, we found no evidence of that being the case in our study. The trust </w:t>
      </w:r>
      <w:r w:rsidRPr="00BA2BD4">
        <w:rPr>
          <w:rFonts w:ascii="Times New Roman" w:eastAsia="Times New Roman" w:hAnsi="Times New Roman" w:cs="Times New Roman"/>
          <w:color w:val="0E101A"/>
          <w:sz w:val="24"/>
          <w:szCs w:val="24"/>
        </w:rPr>
        <w:lastRenderedPageBreak/>
        <w:t>is not easily gained because clients have been deprived of many of the privileges that they had enjoyed before the 2019 crisis.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The next part dealt with the relationship between satisfaction and efficiency. Overall, the test did not show any statistically significant correlation between satisfaction and efficiency because of the low p values of the ANOVA test. However, this section highlighted more information regarding how participants view the various factors of efficiency such as availability of all services (Ozatac et al., 2016; Qadeer, 2013)and the importance of having a well-designed platform (Addai et al, 2015; Ling et al., 2016). These indicate that banks should take more time and money to invest in an efficient platform that will aid the users. Reliability is another factor that was found to be essential in the literature. It was measured by considering the levels of engagement and understanding of e-banking. The Chi-Square values were both significant in both questions which would indicate a high level of correlation between these two events and reliability. Reliability is a reoccurring theme in the literature of the study as being an influencing factor on satisfaction (Sleimi et al., 2018; Saha, 2016). E-banking has not been as popular with the Lebanese population, so it would justify why there was not an adequate understanding of how to navigate and interact with e-banking. This seems to be shifting as the enforced incarceration and fear of getting infected with COVID-19 could constitute strong motivations for adopting e-banking.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 xml:space="preserve">Security presented another angle for correlating e-banking with satisfaction. There is no denying that technology has become prevalent in every aspect of our lives, but it also presents several challenges and fears. Security is one of these fears since people are afraid that their identities and accounts can be used by hackers. With tension and dissatisfaction prevailing between clients and Lebanese banks, any source of assurance becomes essential. The results show no concrete </w:t>
      </w:r>
      <w:r w:rsidRPr="00BA2BD4">
        <w:rPr>
          <w:rFonts w:ascii="Times New Roman" w:eastAsia="Times New Roman" w:hAnsi="Times New Roman" w:cs="Times New Roman"/>
          <w:color w:val="0E101A"/>
          <w:sz w:val="24"/>
          <w:szCs w:val="24"/>
        </w:rPr>
        <w:lastRenderedPageBreak/>
        <w:t>correlations between satisfaction and security as represented by the sample. However, there is denying that the sample agrees with the importance of having a secure platform that will protect the data of users. This is in concurrence with the literature that highlights the importance of security in e-banking satisfaction (Kavitha, 2017; Vrincianu &amp; Popa, 2010; Hammoud et al., 2018).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Even with something like e-banking customers will always rely on customer service within the human capacity. In fact, there is a backlash against having everything regaled to answering machines and lists. This provides a personalized touch that can aid in the satisfaction of clients (Chicu et al., 2018). The study did not find any significant correlation, but clearly, it needs to be investigated further seeing that the general Lebanese public will not become completely accustomed to the idea of the absence of any human contact in the banking interactions. Having this human connection can be useful in bridging the gap for those who are not versed in using or comfortable dealing with e-banking. </w:t>
      </w:r>
    </w:p>
    <w:p w:rsidR="00493E4F" w:rsidRPr="00BA2BD4" w:rsidRDefault="00493E4F" w:rsidP="002E500B">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 xml:space="preserve">The sample was not able to conclusively find correlations in many aspects, but what it did establish was how trust is an essential factor in restoring satisfaction after the pandemic. It offers banks a roadmap of areas they can improve upon their online services e-banking is a highly promising medium to regain customers’ trust and restore the reputation of Lebanese banks and the loyalty that the local and international community had in this vital economic sector. It did also highlight that this engagement with e-banking is motivated by the pandemic rather than the financial crisis. There is a real chance that people will not remain as connected to e-banking after the restrictions of the pandemic end. This should motivate the banks to invest more in their online services because it managed to bring some peace to the turbulent relationship between the clients and banks during these last couple of years. Even though the study did not manage to </w:t>
      </w:r>
      <w:r w:rsidRPr="00BA2BD4">
        <w:rPr>
          <w:rFonts w:ascii="Times New Roman" w:eastAsia="Times New Roman" w:hAnsi="Times New Roman" w:cs="Times New Roman"/>
          <w:color w:val="0E101A"/>
          <w:sz w:val="24"/>
          <w:szCs w:val="24"/>
        </w:rPr>
        <w:lastRenderedPageBreak/>
        <w:t xml:space="preserve">have statistical proof of the correlation between many factors and customer satisfaction, it does not negate that these factors apply and should be further investigated </w:t>
      </w:r>
      <w:r w:rsidR="002E500B">
        <w:rPr>
          <w:rFonts w:ascii="Times New Roman" w:eastAsia="Times New Roman" w:hAnsi="Times New Roman" w:cs="Times New Roman"/>
          <w:color w:val="0E101A"/>
          <w:sz w:val="24"/>
          <w:szCs w:val="24"/>
        </w:rPr>
        <w:t>for obtaining clearer results.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b/>
          <w:bCs/>
          <w:color w:val="0E101A"/>
          <w:sz w:val="24"/>
          <w:szCs w:val="24"/>
        </w:rPr>
        <w:t>Conclusion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The Lebanese banking system was long considered one of the most important bedrock of the Lebanese economy. This has shifted in the recent two years after the corruption had intensified to the point that the Banque du Liban was incapable of patching up the situation as it has been doing for the decades following the Lebanese Civil War. Satisfaction is essential to maintaining the relationship that clients have with the banks, so unless some measures are taken to restore that satisfaction. This study examined the importance of having trust, efficiency, ease of navigation, reliability, privacy, and communication levels between clients and banks on the overall satisfaction of clients. Trust and reliability were clearly correlated to satisfaction, but it was a bit difficult to conclusively find a statistical correlation for the rest. Although there were no significant correlations established regarding how banks can regain satisfaction, it showed how vital trust for regaining the clients’ satisfaction. It also showcased many factors that will influence security, efficiency and communication have on satisfaction. By using these clues, banks can enhance their online services even if the study failed to establish any statistical proof.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b/>
          <w:bCs/>
          <w:color w:val="0E101A"/>
          <w:sz w:val="24"/>
          <w:szCs w:val="24"/>
        </w:rPr>
        <w:t>Limitations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 xml:space="preserve">This study is an attempt at verifying the possibility of using e-banking for restoring customer satisfaction in Lebanese banks. Adopting a quantitative methodology will naturally result in default limitations. The work focused on statistical tools and figures which would negate the observation of themes and relationships that were not verified by numbers but could prove to be </w:t>
      </w:r>
      <w:r w:rsidRPr="00BA2BD4">
        <w:rPr>
          <w:rFonts w:ascii="Times New Roman" w:eastAsia="Times New Roman" w:hAnsi="Times New Roman" w:cs="Times New Roman"/>
          <w:color w:val="0E101A"/>
          <w:sz w:val="24"/>
          <w:szCs w:val="24"/>
        </w:rPr>
        <w:lastRenderedPageBreak/>
        <w:t>interesting and integral research avenues. Bias is often an issue because the researcher is in complete control of designing the methodology and the nature of the gathered data. The answers will only prove or disprove certain hypotheses without providing explanations. Thus, research bias remains an element even without any deliberate effort by the researcher.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Another limitation is the fact that there is no information regarding the names of the bank of each participant. Various banks have different platforms that offer varying options for e-banking. We cannot be sure that the nature of the bank did not have to influence the results. If the name of the bank was available, it would have been possible to create profiles to verify if the nature of the e-banking services will influence customer satisfaction. This would have added more value to the work because banks would have had the opportunity to gather data about their performance which would enable them to enhance their services.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The sample size raises another issue. While it is true that the sample size is adequate and representative of the population, it might not be sufficient in certain areas.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The study is limited in another aspect based on the total disregard to demographic data aside from giving a representative picture about the participants. Demographic considerations can influence decisions and opinions, so they have to be taken into consideration. The study should have explored the influence of demographic data on the results. Furthermore, there should have been considered whether or not there is any bias based on the demographic data especially when it comes to gender and income.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R</w:t>
      </w:r>
      <w:r w:rsidRPr="00BA2BD4">
        <w:rPr>
          <w:rFonts w:ascii="Times New Roman" w:eastAsia="Times New Roman" w:hAnsi="Times New Roman" w:cs="Times New Roman"/>
          <w:b/>
          <w:bCs/>
          <w:color w:val="0E101A"/>
          <w:sz w:val="24"/>
          <w:szCs w:val="24"/>
        </w:rPr>
        <w:t>ecommendations for Future Studies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 xml:space="preserve">There are several available options for future studies. The most obvious option would be to select a smaller sample and proceed to ask open-ended questions that are similar to what was proposed </w:t>
      </w:r>
      <w:r w:rsidRPr="00BA2BD4">
        <w:rPr>
          <w:rFonts w:ascii="Times New Roman" w:eastAsia="Times New Roman" w:hAnsi="Times New Roman" w:cs="Times New Roman"/>
          <w:color w:val="0E101A"/>
          <w:sz w:val="24"/>
          <w:szCs w:val="24"/>
        </w:rPr>
        <w:lastRenderedPageBreak/>
        <w:t>in the survey used in this study. This would augment the results obtained and provide explanations about some of the conclusions. This can also provide some insights to open new avenues of studies regarding some unexplored correlations that were not obvious in the quantitative study. Future studies can expand on the questionnaire that was proposed.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The study was limited by choice to gather concrete data and verify certain hypotheses in the literature. However, the scope can be expanded to obtain more insight instead of focusing on proving or disproving the extrapolated hypotheses. The literature review can be expanded to similar studies in other countries to come up with new perspectives to be investigated. With an expanded questionnaire, it would be possible to obtain more data and get a wider understanding of the situation.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The focus of the analysis was not on the demographic data as it correlates to other in-depth analyses. Instead, the emphasis was to correlate everything with satisfaction disregarding demographic factors. Further analysis can be made by replicating the questionnaire to investigate how the demographic influences might skew the data and conclusions. The demographic data should also have included a distinction between urban and rural dwellers which can have an impact on their decisions and choices.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It is also possible to add more richness to the questions by including more numerical values and options that would allow more avenues of investigation especially since the majority of the cases where no significance was found included the ANOVA tests while the Chi-Square tests managed to have more significance. </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In light of these recommendations, it is possible to propose new questions for further research.</w:t>
      </w:r>
    </w:p>
    <w:p w:rsidR="00493E4F" w:rsidRPr="00BA2BD4" w:rsidRDefault="00493E4F" w:rsidP="00493E4F">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t>Q1: How do the specific lists of services provided by the major Lebanese banks affect the customers’ satisfaction?</w:t>
      </w:r>
    </w:p>
    <w:p w:rsidR="002C06C4" w:rsidRPr="002E500B" w:rsidRDefault="00493E4F" w:rsidP="002E500B">
      <w:pPr>
        <w:spacing w:after="0" w:line="480" w:lineRule="auto"/>
        <w:jc w:val="both"/>
        <w:rPr>
          <w:rFonts w:ascii="Times New Roman" w:eastAsia="Times New Roman" w:hAnsi="Times New Roman" w:cs="Times New Roman"/>
          <w:color w:val="0E101A"/>
          <w:sz w:val="24"/>
          <w:szCs w:val="24"/>
        </w:rPr>
      </w:pPr>
      <w:r w:rsidRPr="00BA2BD4">
        <w:rPr>
          <w:rFonts w:ascii="Times New Roman" w:eastAsia="Times New Roman" w:hAnsi="Times New Roman" w:cs="Times New Roman"/>
          <w:color w:val="0E101A"/>
          <w:sz w:val="24"/>
          <w:szCs w:val="24"/>
        </w:rPr>
        <w:lastRenderedPageBreak/>
        <w:t>Q2: How do the demographic differences affect customer satisfaction in Lebanese banks?</w:t>
      </w:r>
    </w:p>
    <w:p w:rsidR="00493E4F" w:rsidRDefault="00493E4F" w:rsidP="00BA77EA">
      <w:pPr>
        <w:spacing w:line="480" w:lineRule="auto"/>
        <w:rPr>
          <w:rFonts w:asciiTheme="majorBidi" w:hAnsiTheme="majorBidi" w:cstheme="majorBidi"/>
          <w:b/>
          <w:bCs/>
          <w:sz w:val="24"/>
          <w:szCs w:val="24"/>
        </w:rPr>
      </w:pPr>
      <w:r>
        <w:rPr>
          <w:rFonts w:asciiTheme="majorBidi" w:hAnsiTheme="majorBidi" w:cstheme="majorBidi"/>
          <w:b/>
          <w:bCs/>
          <w:sz w:val="24"/>
          <w:szCs w:val="24"/>
        </w:rPr>
        <w:t xml:space="preserve">References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Abou Ali, A. (2016). Customers’ Acceptance of Internet Banking: An Empirical Study in Lebanon. </w:t>
      </w:r>
      <w:r w:rsidRPr="003658BF">
        <w:rPr>
          <w:rFonts w:asciiTheme="majorBidi" w:hAnsiTheme="majorBidi" w:cstheme="majorBidi"/>
          <w:i/>
          <w:iCs/>
          <w:sz w:val="24"/>
          <w:szCs w:val="24"/>
        </w:rPr>
        <w:t>The Interna</w:t>
      </w:r>
      <w:r w:rsidRPr="003658BF">
        <w:rPr>
          <w:rFonts w:ascii="Roboto" w:hAnsi="Roboto"/>
          <w:color w:val="555555"/>
          <w:sz w:val="21"/>
          <w:szCs w:val="21"/>
          <w:shd w:val="clear" w:color="auto" w:fill="FFFFFF"/>
        </w:rPr>
        <w:t xml:space="preserve"> DOI:</w:t>
      </w:r>
      <w:hyperlink r:id="rId16" w:tgtFrame="_blank" w:history="1">
        <w:r w:rsidRPr="003658BF">
          <w:rPr>
            <w:rFonts w:ascii="Roboto" w:hAnsi="Roboto"/>
            <w:color w:val="0000FF"/>
            <w:sz w:val="21"/>
            <w:szCs w:val="21"/>
            <w:u w:val="single"/>
            <w:bdr w:val="none" w:sz="0" w:space="0" w:color="auto" w:frame="1"/>
            <w:shd w:val="clear" w:color="auto" w:fill="FFFFFF"/>
          </w:rPr>
          <w:t>10.9734/BJEMT/2015/19269</w:t>
        </w:r>
      </w:hyperlink>
      <w:r w:rsidRPr="003658BF">
        <w:rPr>
          <w:rFonts w:asciiTheme="majorBidi" w:hAnsiTheme="majorBidi" w:cstheme="majorBidi"/>
          <w:i/>
          <w:iCs/>
          <w:sz w:val="24"/>
          <w:szCs w:val="24"/>
        </w:rPr>
        <w:t>tional Journal of Management</w:t>
      </w:r>
      <w:r w:rsidRPr="003658BF">
        <w:rPr>
          <w:rFonts w:asciiTheme="majorBidi" w:hAnsiTheme="majorBidi" w:cstheme="majorBidi"/>
          <w:sz w:val="24"/>
          <w:szCs w:val="24"/>
        </w:rPr>
        <w:t>, Vol. (5), Issue (2), pp. 3 – 8</w:t>
      </w:r>
    </w:p>
    <w:p w:rsidR="00493E4F" w:rsidRPr="003658BF" w:rsidRDefault="00493E4F" w:rsidP="00493E4F">
      <w:pPr>
        <w:spacing w:line="360" w:lineRule="auto"/>
        <w:ind w:left="360"/>
        <w:jc w:val="both"/>
        <w:rPr>
          <w:rFonts w:asciiTheme="majorBidi" w:hAnsiTheme="majorBidi"/>
          <w:sz w:val="24"/>
          <w:szCs w:val="24"/>
        </w:rPr>
      </w:pPr>
      <w:r w:rsidRPr="003658BF">
        <w:rPr>
          <w:rFonts w:asciiTheme="majorBidi" w:hAnsiTheme="majorBidi" w:cstheme="majorBidi"/>
          <w:sz w:val="24"/>
          <w:szCs w:val="24"/>
        </w:rPr>
        <w:t xml:space="preserve">Addai, B. (2015).  </w:t>
      </w:r>
      <w:r w:rsidRPr="003658BF">
        <w:rPr>
          <w:rFonts w:asciiTheme="majorBidi" w:hAnsiTheme="majorBidi"/>
          <w:sz w:val="24"/>
          <w:szCs w:val="24"/>
        </w:rPr>
        <w:t xml:space="preserve">Electronic Banking and Customer Satisfaction: Empirical Evidence from Ghana. </w:t>
      </w:r>
      <w:r w:rsidRPr="003658BF">
        <w:rPr>
          <w:rFonts w:asciiTheme="majorBidi" w:hAnsiTheme="majorBidi" w:cstheme="majorBidi"/>
          <w:sz w:val="24"/>
          <w:szCs w:val="24"/>
        </w:rPr>
        <w:t>DOI:</w:t>
      </w:r>
      <w:hyperlink r:id="rId17" w:tgtFrame="_blank" w:history="1">
        <w:r w:rsidRPr="003658BF">
          <w:rPr>
            <w:rStyle w:val="Hyperlink"/>
            <w:rFonts w:asciiTheme="majorBidi" w:hAnsiTheme="majorBidi" w:cstheme="majorBidi"/>
            <w:sz w:val="24"/>
            <w:szCs w:val="24"/>
          </w:rPr>
          <w:t>10.9734/BJEMT/2015/19269</w:t>
        </w:r>
      </w:hyperlink>
    </w:p>
    <w:p w:rsidR="00493E4F" w:rsidRPr="003658BF" w:rsidRDefault="00493E4F" w:rsidP="00493E4F">
      <w:pPr>
        <w:spacing w:line="360" w:lineRule="auto"/>
        <w:ind w:left="360"/>
        <w:jc w:val="both"/>
        <w:rPr>
          <w:rFonts w:asciiTheme="majorBidi" w:hAnsiTheme="majorBidi" w:cstheme="majorBidi"/>
          <w:sz w:val="24"/>
          <w:szCs w:val="24"/>
        </w:rPr>
      </w:pPr>
      <w:r>
        <w:rPr>
          <w:rFonts w:asciiTheme="majorBidi" w:hAnsiTheme="majorBidi" w:cstheme="majorBidi"/>
          <w:sz w:val="24"/>
          <w:szCs w:val="24"/>
        </w:rPr>
        <w:t>Ahmad, S., Wasim, S., Irfan, S., Gogoi, S., Siravastava, A., &amp; Farheen, Z.</w:t>
      </w:r>
      <w:r w:rsidRPr="003658BF">
        <w:rPr>
          <w:rFonts w:asciiTheme="majorBidi" w:hAnsiTheme="majorBidi" w:cstheme="majorBidi"/>
          <w:sz w:val="24"/>
          <w:szCs w:val="24"/>
        </w:rPr>
        <w:t xml:space="preserve"> (2019). Qualitative v/s. Quantitative Research- A Summarized Review. </w:t>
      </w:r>
      <w:r w:rsidRPr="003658BF">
        <w:rPr>
          <w:rFonts w:asciiTheme="majorBidi" w:hAnsiTheme="majorBidi" w:cstheme="majorBidi"/>
          <w:i/>
          <w:iCs/>
          <w:sz w:val="24"/>
          <w:szCs w:val="24"/>
        </w:rPr>
        <w:t xml:space="preserve">Journal of Evidence Based Medical Health, </w:t>
      </w:r>
      <w:r w:rsidRPr="003658BF">
        <w:rPr>
          <w:rFonts w:asciiTheme="majorBidi" w:hAnsiTheme="majorBidi" w:cstheme="majorBidi"/>
          <w:sz w:val="24"/>
          <w:szCs w:val="24"/>
        </w:rPr>
        <w:t xml:space="preserve">Vol. (6), No. (43), pp. 2828 – 2832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Anesti, D. (2004). Interne</w:t>
      </w:r>
      <w:r>
        <w:rPr>
          <w:rFonts w:asciiTheme="majorBidi" w:hAnsiTheme="majorBidi" w:cstheme="majorBidi"/>
          <w:sz w:val="24"/>
          <w:szCs w:val="24"/>
        </w:rPr>
        <w:t>t banking history and strategies</w:t>
      </w:r>
      <w:r w:rsidRPr="003658BF">
        <w:rPr>
          <w:rFonts w:asciiTheme="majorBidi" w:hAnsiTheme="majorBidi" w:cstheme="majorBidi"/>
          <w:sz w:val="24"/>
          <w:szCs w:val="24"/>
        </w:rPr>
        <w:t xml:space="preserve">: a case study of U.S. and Greek banks. Retrieved January 6, 2020 from </w:t>
      </w:r>
      <w:hyperlink r:id="rId18" w:history="1">
        <w:r w:rsidRPr="003658BF">
          <w:rPr>
            <w:rStyle w:val="Hyperlink"/>
            <w:rFonts w:asciiTheme="majorBidi" w:hAnsiTheme="majorBidi" w:cstheme="majorBidi"/>
            <w:sz w:val="24"/>
            <w:szCs w:val="24"/>
          </w:rPr>
          <w:t>https://digitalcommons.csumb.edu/cgi/viewcontent.cgi?article=1369&amp;context=caps_thes</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Arnold, T. (2019). Breakdown of trust in financial system deepens crisis in Lebanon. Retrieved January 12, 2020 from </w:t>
      </w:r>
      <w:hyperlink r:id="rId19" w:history="1">
        <w:r w:rsidRPr="003658BF">
          <w:rPr>
            <w:rStyle w:val="Hyperlink"/>
            <w:rFonts w:asciiTheme="majorBidi" w:hAnsiTheme="majorBidi" w:cstheme="majorBidi"/>
            <w:sz w:val="24"/>
            <w:szCs w:val="24"/>
          </w:rPr>
          <w:t>https://www.reuters.com/article/us-lebanon-protests-banks-analysis-idUSKBN1XN1ER</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Arya, H. (2019). E-Banking: The Emerging Trend. </w:t>
      </w:r>
      <w:r w:rsidRPr="003658BF">
        <w:rPr>
          <w:rFonts w:asciiTheme="majorBidi" w:hAnsiTheme="majorBidi" w:cstheme="majorBidi"/>
          <w:i/>
          <w:iCs/>
          <w:sz w:val="24"/>
          <w:szCs w:val="24"/>
        </w:rPr>
        <w:t xml:space="preserve">International Journal of Trend in Scientific Research and Development, </w:t>
      </w:r>
      <w:r w:rsidRPr="003658BF">
        <w:rPr>
          <w:rFonts w:asciiTheme="majorBidi" w:hAnsiTheme="majorBidi" w:cstheme="majorBidi"/>
          <w:sz w:val="24"/>
          <w:szCs w:val="24"/>
        </w:rPr>
        <w:t>Vol. (3), No. (4), pp. 449 – 455</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Asiyanbi, H., &amp; Ishola, A. (2018). E-Banking services impact and customer satisfaction in selected bank branches in Ibadan metropolis, Oyo state, Nigeria. </w:t>
      </w:r>
      <w:r w:rsidRPr="003658BF">
        <w:rPr>
          <w:rFonts w:asciiTheme="majorBidi" w:hAnsiTheme="majorBidi" w:cstheme="majorBidi"/>
          <w:i/>
          <w:iCs/>
          <w:sz w:val="24"/>
          <w:szCs w:val="24"/>
        </w:rPr>
        <w:t>Accounting</w:t>
      </w:r>
      <w:r w:rsidRPr="003658BF">
        <w:rPr>
          <w:rFonts w:asciiTheme="majorBidi" w:hAnsiTheme="majorBidi" w:cstheme="majorBidi"/>
          <w:sz w:val="24"/>
          <w:szCs w:val="24"/>
        </w:rPr>
        <w:t xml:space="preserve">, Vol. (4), No, (4), pp. 153 – 160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Athiyaman, A. (2004). Antecedents and Consequences of Student Satisfaction with University Services: A longitudinal analysis</w:t>
      </w:r>
      <w:r w:rsidRPr="003658BF">
        <w:rPr>
          <w:rFonts w:asciiTheme="majorBidi" w:hAnsiTheme="majorBidi" w:cstheme="majorBidi"/>
          <w:i/>
          <w:iCs/>
          <w:sz w:val="24"/>
          <w:szCs w:val="24"/>
        </w:rPr>
        <w:t>. Academy of Marketing Studies Journal</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Awdeh, A. (2012). Banking Sector Development and Economic Growth in Lebanon. International Research Journal of Finance and Economics, Vol. (100), pp. 53 – 62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lastRenderedPageBreak/>
        <w:t xml:space="preserve">Baicu, C., Gardan, I., Gardan, D., &amp; Epuran, G. (2020). The impact of COVID-19 on consumer behavior in retail banking. Evidence from Romania. </w:t>
      </w:r>
      <w:r w:rsidRPr="003658BF">
        <w:rPr>
          <w:rFonts w:asciiTheme="majorBidi" w:hAnsiTheme="majorBidi" w:cstheme="majorBidi"/>
          <w:i/>
          <w:iCs/>
          <w:sz w:val="24"/>
          <w:szCs w:val="24"/>
        </w:rPr>
        <w:t>Management and Marketing: Challenges for the Knowledge Society</w:t>
      </w:r>
      <w:r w:rsidRPr="003658BF">
        <w:rPr>
          <w:rFonts w:asciiTheme="majorBidi" w:hAnsiTheme="majorBidi" w:cstheme="majorBidi"/>
          <w:sz w:val="24"/>
          <w:szCs w:val="24"/>
        </w:rPr>
        <w:t xml:space="preserve">, Vol. (15), No. (Special Issue), pp. 534 – 556  </w:t>
      </w:r>
    </w:p>
    <w:p w:rsidR="00493E4F" w:rsidRPr="003658BF" w:rsidRDefault="00493E4F" w:rsidP="00493E4F">
      <w:pPr>
        <w:spacing w:line="360" w:lineRule="auto"/>
        <w:ind w:left="360"/>
        <w:jc w:val="both"/>
        <w:rPr>
          <w:rFonts w:asciiTheme="majorBidi" w:hAnsiTheme="majorBidi"/>
          <w:b/>
          <w:bCs/>
          <w:sz w:val="24"/>
          <w:szCs w:val="24"/>
        </w:rPr>
      </w:pPr>
      <w:r w:rsidRPr="003658BF">
        <w:rPr>
          <w:rFonts w:asciiTheme="majorBidi" w:hAnsiTheme="majorBidi" w:cstheme="majorBidi"/>
          <w:sz w:val="24"/>
          <w:szCs w:val="24"/>
        </w:rPr>
        <w:t xml:space="preserve">Ball, H. (2019). </w:t>
      </w:r>
      <w:r w:rsidRPr="003658BF">
        <w:rPr>
          <w:rFonts w:asciiTheme="majorBidi" w:hAnsiTheme="majorBidi"/>
          <w:sz w:val="24"/>
          <w:szCs w:val="24"/>
        </w:rPr>
        <w:t xml:space="preserve">Conducting Online Surveys. doi: 10.1177/0890334419848734.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Banque du Liban (2020). History. Retrieved Feb. 3, 2021 from </w:t>
      </w:r>
      <w:hyperlink r:id="rId20" w:history="1">
        <w:r w:rsidRPr="003658BF">
          <w:rPr>
            <w:rStyle w:val="Hyperlink"/>
            <w:rFonts w:asciiTheme="majorBidi" w:hAnsiTheme="majorBidi" w:cstheme="majorBidi"/>
            <w:sz w:val="24"/>
            <w:szCs w:val="24"/>
          </w:rPr>
          <w:t>https://www.bdl.gov.lb/pages/index/4/24/History.html</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Banque du Liban (2016). Main Characteristics of Lebanon’s Banking System. Retrieved Feb. 3, 2021 from </w:t>
      </w:r>
      <w:hyperlink r:id="rId21" w:history="1">
        <w:r w:rsidRPr="003658BF">
          <w:rPr>
            <w:rStyle w:val="Hyperlink"/>
            <w:rFonts w:asciiTheme="majorBidi" w:hAnsiTheme="majorBidi" w:cstheme="majorBidi"/>
            <w:sz w:val="24"/>
            <w:szCs w:val="24"/>
          </w:rPr>
          <w:t>http://www.databank.com.lb/docs/Main%20Characteristics%20of%20Lebanon's%20Banking%20System-BDL-2016.pdf</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Banque du Liban (2020). List of Financial Institutes. Retrieved January 17, 2021 </w:t>
      </w:r>
      <w:hyperlink r:id="rId22" w:history="1">
        <w:r w:rsidRPr="003658BF">
          <w:rPr>
            <w:rStyle w:val="Hyperlink"/>
            <w:rFonts w:asciiTheme="majorBidi" w:hAnsiTheme="majorBidi" w:cstheme="majorBidi"/>
            <w:sz w:val="24"/>
            <w:szCs w:val="24"/>
          </w:rPr>
          <w:t>https://www.bdl.gov.lb/pages/index/4/25/List-of-InstitutionsSupervised-by-BDL.htm</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Belas, J. (2012). Social Responsibility and Ethics in the Banking Business: Myth or Reality? A case Study from the Slovac Republic. </w:t>
      </w:r>
      <w:r w:rsidRPr="003658BF">
        <w:rPr>
          <w:rFonts w:asciiTheme="majorBidi" w:hAnsiTheme="majorBidi" w:cstheme="majorBidi"/>
          <w:i/>
          <w:iCs/>
          <w:sz w:val="24"/>
          <w:szCs w:val="24"/>
        </w:rPr>
        <w:t xml:space="preserve">Economic Annal, </w:t>
      </w:r>
      <w:r w:rsidRPr="003658BF">
        <w:rPr>
          <w:rFonts w:asciiTheme="majorBidi" w:hAnsiTheme="majorBidi" w:cstheme="majorBidi"/>
          <w:sz w:val="24"/>
          <w:szCs w:val="24"/>
        </w:rPr>
        <w:t xml:space="preserve">Vol. (57), No. (195), pp. 115 – 137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Bena, I. (2010). Evaluating Customer Satisfaction in the Banking Services. </w:t>
      </w:r>
      <w:r w:rsidRPr="003658BF">
        <w:rPr>
          <w:rFonts w:asciiTheme="majorBidi" w:hAnsiTheme="majorBidi" w:cstheme="majorBidi"/>
          <w:i/>
          <w:iCs/>
          <w:sz w:val="24"/>
          <w:szCs w:val="24"/>
        </w:rPr>
        <w:t>Management &amp; Marketing</w:t>
      </w:r>
      <w:r w:rsidRPr="003658BF">
        <w:rPr>
          <w:rFonts w:asciiTheme="majorBidi" w:hAnsiTheme="majorBidi" w:cstheme="majorBidi"/>
          <w:sz w:val="24"/>
          <w:szCs w:val="24"/>
        </w:rPr>
        <w:t xml:space="preserve">, Vol. (5), No. (2), pp. 143 – 150  </w:t>
      </w:r>
    </w:p>
    <w:p w:rsidR="00493E4F" w:rsidRPr="003658BF" w:rsidRDefault="00493E4F" w:rsidP="00493E4F">
      <w:pPr>
        <w:spacing w:line="360" w:lineRule="auto"/>
        <w:ind w:left="360"/>
        <w:jc w:val="both"/>
        <w:rPr>
          <w:rFonts w:asciiTheme="majorBidi" w:hAnsiTheme="majorBidi"/>
          <w:sz w:val="24"/>
          <w:szCs w:val="24"/>
        </w:rPr>
      </w:pPr>
      <w:r w:rsidRPr="003658BF">
        <w:rPr>
          <w:rFonts w:asciiTheme="majorBidi" w:hAnsiTheme="majorBidi" w:cstheme="majorBidi"/>
          <w:sz w:val="24"/>
          <w:szCs w:val="24"/>
        </w:rPr>
        <w:t xml:space="preserve">Blair, E. (2020). </w:t>
      </w:r>
      <w:r w:rsidRPr="003658BF">
        <w:rPr>
          <w:rFonts w:asciiTheme="majorBidi" w:hAnsiTheme="majorBidi"/>
          <w:sz w:val="24"/>
          <w:szCs w:val="24"/>
        </w:rPr>
        <w:t xml:space="preserve">Explainer: Lebanon's financial meltdown and how it happened. Retrieved January 17, 2021 from </w:t>
      </w:r>
      <w:hyperlink r:id="rId23" w:history="1">
        <w:r w:rsidRPr="003658BF">
          <w:rPr>
            <w:rStyle w:val="Hyperlink"/>
            <w:rFonts w:asciiTheme="majorBidi" w:hAnsiTheme="majorBidi"/>
            <w:sz w:val="24"/>
            <w:szCs w:val="24"/>
          </w:rPr>
          <w:t>https://www.reuters.com/article/uk-lebanon-crisis-financial-explainer-idUKKBN268223</w:t>
        </w:r>
      </w:hyperlink>
      <w:r w:rsidRPr="003658BF">
        <w:rPr>
          <w:rFonts w:asciiTheme="majorBidi" w:hAnsiTheme="majorBidi"/>
          <w:sz w:val="24"/>
          <w:szCs w:val="24"/>
        </w:rPr>
        <w:t xml:space="preserve"> </w:t>
      </w:r>
    </w:p>
    <w:p w:rsidR="00493E4F" w:rsidRPr="003658BF" w:rsidRDefault="00493E4F" w:rsidP="00493E4F">
      <w:pPr>
        <w:spacing w:line="360" w:lineRule="auto"/>
        <w:ind w:left="360"/>
        <w:jc w:val="both"/>
        <w:rPr>
          <w:rFonts w:asciiTheme="majorBidi" w:hAnsiTheme="majorBidi"/>
          <w:sz w:val="24"/>
          <w:szCs w:val="24"/>
        </w:rPr>
      </w:pPr>
      <w:r w:rsidRPr="003658BF">
        <w:rPr>
          <w:rFonts w:asciiTheme="majorBidi" w:hAnsiTheme="majorBidi"/>
          <w:sz w:val="24"/>
          <w:szCs w:val="24"/>
        </w:rPr>
        <w:t xml:space="preserve">Bjork, S. (2015). Corporate Customer Loyalty within the Banking Sector: the case of SEB. Retrieved April 12, 2021 from </w:t>
      </w:r>
      <w:hyperlink r:id="rId24" w:history="1">
        <w:r w:rsidRPr="003658BF">
          <w:rPr>
            <w:rStyle w:val="Hyperlink"/>
            <w:rFonts w:asciiTheme="majorBidi" w:hAnsiTheme="majorBidi"/>
            <w:sz w:val="24"/>
            <w:szCs w:val="24"/>
          </w:rPr>
          <w:t>http://www.diva-portal.org/smash/get/diva2:886167/FULLTEXT01.pdf</w:t>
        </w:r>
      </w:hyperlink>
      <w:r w:rsidRPr="003658BF">
        <w:rPr>
          <w:rFonts w:asciiTheme="majorBidi" w:hAnsiTheme="majorBidi"/>
          <w:sz w:val="24"/>
          <w:szCs w:val="24"/>
        </w:rPr>
        <w:t xml:space="preserve"> </w:t>
      </w:r>
    </w:p>
    <w:p w:rsidR="00493E4F" w:rsidRPr="003658BF" w:rsidRDefault="00493E4F" w:rsidP="00493E4F">
      <w:pPr>
        <w:spacing w:line="360" w:lineRule="auto"/>
        <w:ind w:left="360"/>
        <w:jc w:val="both"/>
        <w:rPr>
          <w:rFonts w:asciiTheme="majorBidi" w:hAnsiTheme="majorBidi"/>
          <w:sz w:val="24"/>
          <w:szCs w:val="24"/>
        </w:rPr>
      </w:pPr>
      <w:r w:rsidRPr="003658BF">
        <w:rPr>
          <w:rFonts w:asciiTheme="majorBidi" w:hAnsiTheme="majorBidi"/>
          <w:sz w:val="24"/>
          <w:szCs w:val="24"/>
        </w:rPr>
        <w:t xml:space="preserve">Blominvest (2019). A Historical Analysis of Lebanon’s Public Debt. Retrieved Feb. 12, 2021 from </w:t>
      </w:r>
      <w:hyperlink r:id="rId25" w:history="1">
        <w:r w:rsidRPr="003658BF">
          <w:rPr>
            <w:rStyle w:val="Hyperlink"/>
            <w:rFonts w:asciiTheme="majorBidi" w:hAnsiTheme="majorBidi"/>
            <w:sz w:val="24"/>
            <w:szCs w:val="24"/>
          </w:rPr>
          <w:t>https://blog.blominvestbank.com/wp-content/uploads/2019/05/AHistorical-Analysis-of-Lebanon%E2%80%99s-Public-Debt.pdf</w:t>
        </w:r>
      </w:hyperlink>
      <w:r w:rsidRPr="003658BF">
        <w:rPr>
          <w:rFonts w:asciiTheme="majorBidi" w:hAnsi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lastRenderedPageBreak/>
        <w:t xml:space="preserve">Bradley L. &amp; Stewart K. (2002). A Delphi study of the drivers and inhibitors of Internet banking.  </w:t>
      </w:r>
      <w:r w:rsidRPr="003658BF">
        <w:rPr>
          <w:rFonts w:asciiTheme="majorBidi" w:hAnsiTheme="majorBidi" w:cstheme="majorBidi"/>
          <w:i/>
          <w:iCs/>
          <w:sz w:val="24"/>
          <w:szCs w:val="24"/>
        </w:rPr>
        <w:t>The International Journal of Bank Marketing</w:t>
      </w:r>
      <w:r w:rsidRPr="003658BF">
        <w:rPr>
          <w:rFonts w:asciiTheme="majorBidi" w:hAnsiTheme="majorBidi" w:cstheme="majorBidi"/>
          <w:sz w:val="24"/>
          <w:szCs w:val="24"/>
        </w:rPr>
        <w:t>. Vol. (20), No. (6)</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Caldararo, N. (2019). The theory of banking: Why banks exist and why we fear them. </w:t>
      </w:r>
      <w:r w:rsidRPr="003658BF">
        <w:rPr>
          <w:rFonts w:asciiTheme="majorBidi" w:hAnsiTheme="majorBidi" w:cstheme="majorBidi"/>
          <w:i/>
          <w:iCs/>
          <w:sz w:val="24"/>
          <w:szCs w:val="24"/>
        </w:rPr>
        <w:t xml:space="preserve">International Journal of Sociology and Anthropology, </w:t>
      </w:r>
      <w:r w:rsidRPr="003658BF">
        <w:rPr>
          <w:rFonts w:asciiTheme="majorBidi" w:hAnsiTheme="majorBidi" w:cstheme="majorBidi"/>
          <w:sz w:val="24"/>
          <w:szCs w:val="24"/>
        </w:rPr>
        <w:t xml:space="preserve">Vol. (5), No. (4), pp. 116 – 132 </w:t>
      </w:r>
    </w:p>
    <w:p w:rsidR="00493E4F" w:rsidRPr="003658BF" w:rsidRDefault="00493E4F" w:rsidP="00493E4F">
      <w:pPr>
        <w:spacing w:line="360" w:lineRule="auto"/>
        <w:ind w:left="360"/>
        <w:jc w:val="both"/>
        <w:rPr>
          <w:rFonts w:asciiTheme="majorBidi" w:hAnsiTheme="majorBidi"/>
          <w:sz w:val="24"/>
          <w:szCs w:val="24"/>
        </w:rPr>
      </w:pPr>
      <w:r>
        <w:rPr>
          <w:rFonts w:asciiTheme="majorBidi" w:hAnsiTheme="majorBidi" w:cstheme="majorBidi"/>
          <w:sz w:val="24"/>
          <w:szCs w:val="24"/>
        </w:rPr>
        <w:t xml:space="preserve">Chicu, D., Pamies, M., Ryan, G., &amp; Cross, C. </w:t>
      </w:r>
      <w:r w:rsidRPr="003658BF">
        <w:rPr>
          <w:rFonts w:asciiTheme="majorBidi" w:hAnsiTheme="majorBidi" w:cstheme="majorBidi"/>
          <w:sz w:val="24"/>
          <w:szCs w:val="24"/>
        </w:rPr>
        <w:t xml:space="preserve"> (2018). </w:t>
      </w:r>
      <w:r w:rsidRPr="003658BF">
        <w:rPr>
          <w:rFonts w:asciiTheme="majorBidi" w:hAnsiTheme="majorBidi"/>
          <w:sz w:val="24"/>
          <w:szCs w:val="24"/>
        </w:rPr>
        <w:t>Exploring the influence of the human factor on customer satisfaction in call centres. DOI:</w:t>
      </w:r>
      <w:hyperlink r:id="rId26" w:tgtFrame="_blank" w:history="1">
        <w:r w:rsidRPr="003658BF">
          <w:rPr>
            <w:rStyle w:val="Hyperlink"/>
            <w:rFonts w:asciiTheme="majorBidi" w:hAnsiTheme="majorBidi"/>
            <w:sz w:val="24"/>
            <w:szCs w:val="24"/>
          </w:rPr>
          <w:t>10.1016/j.brq.2018.08.004</w:t>
        </w:r>
      </w:hyperlink>
      <w:r w:rsidRPr="003658BF">
        <w:rPr>
          <w:rFonts w:asciiTheme="majorBidi" w:hAnsi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Chochoľáková, A., Gabčová, L., Belás, J., Sipko, J. (2015). Bank Customers’ Satisfaction, Customers’ Loyalty and Additional Purchases of Banking Products and Services. A Case Study from the Czech Republic. </w:t>
      </w:r>
      <w:r w:rsidRPr="003658BF">
        <w:rPr>
          <w:rFonts w:asciiTheme="majorBidi" w:hAnsiTheme="majorBidi" w:cstheme="majorBidi"/>
          <w:i/>
          <w:iCs/>
          <w:sz w:val="24"/>
          <w:szCs w:val="24"/>
        </w:rPr>
        <w:t>Economics and Sociology</w:t>
      </w:r>
      <w:r w:rsidRPr="003658BF">
        <w:rPr>
          <w:rFonts w:asciiTheme="majorBidi" w:hAnsiTheme="majorBidi" w:cstheme="majorBidi"/>
          <w:sz w:val="24"/>
          <w:szCs w:val="24"/>
        </w:rPr>
        <w:t xml:space="preserve">, Vol. (8), No (3), pp. 82 – 94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Creswell, J.W., &amp; Plano Clark, V.L. (2007). Designing and conducting mixed methods research. </w:t>
      </w:r>
      <w:r w:rsidRPr="003658BF">
        <w:rPr>
          <w:rFonts w:asciiTheme="majorBidi" w:hAnsiTheme="majorBidi" w:cstheme="majorBidi"/>
          <w:i/>
          <w:iCs/>
          <w:sz w:val="24"/>
          <w:szCs w:val="24"/>
        </w:rPr>
        <w:t>Thousand Oaks, CA: Sage Publications</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Digital (2020). Digital 2020: Lebanon. Retrieved February 12, 2021 from </w:t>
      </w:r>
      <w:hyperlink r:id="rId27" w:anchor=":~:text=There%20were%205.35%20million%20internet,at%2078%25%20in%20January%202020" w:history="1">
        <w:r w:rsidRPr="003658BF">
          <w:rPr>
            <w:rStyle w:val="Hyperlink"/>
            <w:rFonts w:asciiTheme="majorBidi" w:hAnsiTheme="majorBidi" w:cstheme="majorBidi"/>
            <w:sz w:val="24"/>
            <w:szCs w:val="24"/>
          </w:rPr>
          <w:t>https://datareportal.com/reports/digital-2020-lebanon#:~:text=There%20were%205.35%20million%20internet,at%2078%25%20in%20January%202020</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Dewatripont, M., Rochet, J.C., &amp; Tirole, J. (2010). Balancing the Banks: Global lessons from the financial crisis. </w:t>
      </w:r>
      <w:r>
        <w:rPr>
          <w:rFonts w:asciiTheme="majorBidi" w:hAnsiTheme="majorBidi" w:cstheme="majorBidi"/>
          <w:sz w:val="24"/>
          <w:szCs w:val="24"/>
        </w:rPr>
        <w:t xml:space="preserve">Retrieved January, 15, 2021 from </w:t>
      </w:r>
      <w:hyperlink r:id="rId28" w:history="1">
        <w:r w:rsidRPr="00870042">
          <w:rPr>
            <w:rStyle w:val="Hyperlink"/>
            <w:rFonts w:asciiTheme="majorBidi" w:hAnsiTheme="majorBidi" w:cstheme="majorBidi"/>
            <w:sz w:val="24"/>
            <w:szCs w:val="24"/>
          </w:rPr>
          <w:t>http://www.library.fa.ru/files/Tirole-Balancing.pdf</w:t>
        </w:r>
      </w:hyperlink>
      <w:r>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Duncan, E. &amp; Elliot, G. (2004). Efficiency, Customer Service and Financial Performance Among Australian Financial Institutions. </w:t>
      </w:r>
      <w:r w:rsidRPr="003658BF">
        <w:rPr>
          <w:rFonts w:asciiTheme="majorBidi" w:hAnsiTheme="majorBidi" w:cstheme="majorBidi"/>
          <w:i/>
          <w:iCs/>
          <w:sz w:val="24"/>
          <w:szCs w:val="24"/>
        </w:rPr>
        <w:t>The International Journal of Bank Marketing</w:t>
      </w:r>
      <w:r w:rsidRPr="003658BF">
        <w:rPr>
          <w:rFonts w:asciiTheme="majorBidi" w:hAnsiTheme="majorBidi" w:cstheme="majorBidi"/>
          <w:sz w:val="24"/>
          <w:szCs w:val="24"/>
        </w:rPr>
        <w:t xml:space="preserve">, Vol. (22), No. (5), pp. 319 – 342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Elia, J. (2020). Lebanese Banks: A Factor of the Current Lebanese Financial Crisis (2019-2020). Retrieved Feb. 13, 2021 from </w:t>
      </w:r>
      <w:hyperlink r:id="rId29" w:history="1">
        <w:r w:rsidRPr="003658BF">
          <w:rPr>
            <w:rStyle w:val="Hyperlink"/>
            <w:rFonts w:asciiTheme="majorBidi" w:hAnsiTheme="majorBidi" w:cstheme="majorBidi"/>
            <w:sz w:val="24"/>
            <w:szCs w:val="24"/>
          </w:rPr>
          <w:t>http://edoc.bseu.by/</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Einzig P (1947). Primitive Money. </w:t>
      </w:r>
      <w:r w:rsidRPr="003658BF">
        <w:rPr>
          <w:rFonts w:asciiTheme="majorBidi" w:hAnsiTheme="majorBidi" w:cstheme="majorBidi"/>
          <w:i/>
          <w:iCs/>
          <w:sz w:val="24"/>
          <w:szCs w:val="24"/>
        </w:rPr>
        <w:t>Oxford, Pergamon Press</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FAO (2008). Country Profile: Lebanon. Retrieved Feb. 3, 2021 from </w:t>
      </w:r>
      <w:hyperlink r:id="rId30" w:history="1">
        <w:r w:rsidRPr="003658BF">
          <w:rPr>
            <w:rStyle w:val="Hyperlink"/>
            <w:rFonts w:asciiTheme="majorBidi" w:hAnsiTheme="majorBidi" w:cstheme="majorBidi"/>
            <w:sz w:val="24"/>
            <w:szCs w:val="24"/>
          </w:rPr>
          <w:t>http://www.fao.org/3/ca0344en/CA0344EN.pdf</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lastRenderedPageBreak/>
        <w:t xml:space="preserve">Festinger, L. (1957). A Theory of Cognitive Dissonance. </w:t>
      </w:r>
      <w:r w:rsidRPr="003658BF">
        <w:rPr>
          <w:rFonts w:asciiTheme="majorBidi" w:hAnsiTheme="majorBidi" w:cstheme="majorBidi"/>
          <w:i/>
          <w:iCs/>
          <w:sz w:val="24"/>
          <w:szCs w:val="24"/>
        </w:rPr>
        <w:t>Stanford, CA: Stanford University Press.</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Furst, K., Lang, W. W. and Nolle, D. E. (2002). Internet banking.  </w:t>
      </w:r>
      <w:r w:rsidRPr="003658BF">
        <w:rPr>
          <w:rFonts w:asciiTheme="majorBidi" w:hAnsiTheme="majorBidi" w:cstheme="majorBidi"/>
          <w:i/>
          <w:iCs/>
          <w:sz w:val="24"/>
          <w:szCs w:val="24"/>
        </w:rPr>
        <w:t>Journal of Financial Services Research</w:t>
      </w:r>
      <w:r w:rsidRPr="003658BF">
        <w:rPr>
          <w:rFonts w:asciiTheme="majorBidi" w:hAnsiTheme="majorBidi" w:cstheme="majorBidi"/>
          <w:sz w:val="24"/>
          <w:szCs w:val="24"/>
        </w:rPr>
        <w:t>, Vol. (22), pp. 95 – 117</w:t>
      </w:r>
    </w:p>
    <w:p w:rsidR="00493E4F" w:rsidRPr="003658BF" w:rsidRDefault="00493E4F" w:rsidP="00493E4F">
      <w:pPr>
        <w:spacing w:line="360" w:lineRule="auto"/>
        <w:ind w:left="360"/>
        <w:jc w:val="both"/>
        <w:rPr>
          <w:rFonts w:asciiTheme="majorBidi" w:hAnsiTheme="majorBidi"/>
          <w:sz w:val="24"/>
          <w:szCs w:val="24"/>
        </w:rPr>
      </w:pPr>
      <w:r w:rsidRPr="003658BF">
        <w:rPr>
          <w:rFonts w:asciiTheme="majorBidi" w:hAnsiTheme="majorBidi" w:cstheme="majorBidi"/>
          <w:sz w:val="24"/>
          <w:szCs w:val="24"/>
        </w:rPr>
        <w:t xml:space="preserve">Geldi, M. (2021). </w:t>
      </w:r>
      <w:r w:rsidRPr="003658BF">
        <w:rPr>
          <w:rFonts w:asciiTheme="majorBidi" w:hAnsiTheme="majorBidi"/>
          <w:sz w:val="24"/>
          <w:szCs w:val="24"/>
        </w:rPr>
        <w:t xml:space="preserve">Lebanese cannot access money in banks since late 2019. Retrieved January 17, 2021 from </w:t>
      </w:r>
      <w:hyperlink r:id="rId31" w:history="1">
        <w:r w:rsidRPr="003658BF">
          <w:rPr>
            <w:rStyle w:val="Hyperlink"/>
            <w:rFonts w:asciiTheme="majorBidi" w:hAnsiTheme="majorBidi"/>
            <w:sz w:val="24"/>
            <w:szCs w:val="24"/>
          </w:rPr>
          <w:t>https://www.aa.com.tr/en/economy/lebanese-cannot-access-money-in-banks-since-late-2019/2158782</w:t>
        </w:r>
      </w:hyperlink>
      <w:r w:rsidRPr="003658BF">
        <w:rPr>
          <w:rFonts w:asciiTheme="majorBidi" w:hAnsiTheme="majorBidi"/>
          <w:sz w:val="24"/>
          <w:szCs w:val="24"/>
        </w:rPr>
        <w:t xml:space="preserve"> </w:t>
      </w:r>
    </w:p>
    <w:p w:rsidR="00493E4F" w:rsidRPr="003658BF" w:rsidRDefault="00493E4F" w:rsidP="00493E4F">
      <w:pPr>
        <w:spacing w:line="360" w:lineRule="auto"/>
        <w:ind w:left="360"/>
        <w:jc w:val="both"/>
        <w:rPr>
          <w:rFonts w:asciiTheme="majorBidi" w:hAnsiTheme="majorBidi"/>
          <w:i/>
          <w:iCs/>
          <w:sz w:val="24"/>
          <w:szCs w:val="24"/>
        </w:rPr>
      </w:pPr>
      <w:r w:rsidRPr="003658BF">
        <w:rPr>
          <w:rFonts w:asciiTheme="majorBidi" w:hAnsiTheme="majorBidi"/>
          <w:sz w:val="24"/>
          <w:szCs w:val="24"/>
        </w:rPr>
        <w:t xml:space="preserve">Hameed, H. (2020). Quantitative and qualitative research methods: Considerations and issues in qualitative research. </w:t>
      </w:r>
      <w:r w:rsidRPr="003658BF">
        <w:rPr>
          <w:rFonts w:asciiTheme="majorBidi" w:hAnsiTheme="majorBidi"/>
          <w:i/>
          <w:iCs/>
          <w:sz w:val="24"/>
          <w:szCs w:val="24"/>
        </w:rPr>
        <w:t>The Maldives National University</w:t>
      </w:r>
      <w:r w:rsidRPr="003658BF">
        <w:rPr>
          <w:rFonts w:asciiTheme="majorBidi" w:hAnsiTheme="majorBidi"/>
          <w:sz w:val="24"/>
          <w:szCs w:val="24"/>
        </w:rPr>
        <w:t xml:space="preserve"> </w:t>
      </w:r>
    </w:p>
    <w:p w:rsidR="00493E4F" w:rsidRPr="003658BF" w:rsidRDefault="00493E4F" w:rsidP="00493E4F">
      <w:pPr>
        <w:spacing w:line="360" w:lineRule="auto"/>
        <w:ind w:left="360"/>
        <w:jc w:val="both"/>
        <w:rPr>
          <w:rFonts w:asciiTheme="majorBidi" w:hAnsiTheme="majorBidi"/>
          <w:sz w:val="24"/>
          <w:szCs w:val="24"/>
        </w:rPr>
      </w:pPr>
      <w:r w:rsidRPr="003658BF">
        <w:rPr>
          <w:rFonts w:asciiTheme="majorBidi" w:hAnsiTheme="majorBidi"/>
          <w:sz w:val="24"/>
          <w:szCs w:val="24"/>
        </w:rPr>
        <w:t xml:space="preserve">Hammoud, J., Bizri, R. &amp; El Baba, I. (2018). The Impact of E-Banking Service Quality on Customer Satisfaction: Evidence From the Lebanese Banking Sector. </w:t>
      </w:r>
      <w:hyperlink r:id="rId32" w:history="1">
        <w:r w:rsidRPr="003658BF">
          <w:rPr>
            <w:rStyle w:val="Hyperlink"/>
            <w:rFonts w:asciiTheme="majorBidi" w:hAnsiTheme="majorBidi"/>
            <w:sz w:val="24"/>
            <w:szCs w:val="24"/>
          </w:rPr>
          <w:t>https://doi.org/10.1177/2158244018790633</w:t>
        </w:r>
      </w:hyperlink>
      <w:r w:rsidRPr="003658BF">
        <w:rPr>
          <w:rFonts w:asciiTheme="majorBidi" w:hAnsiTheme="majorBidi"/>
          <w:sz w:val="24"/>
          <w:szCs w:val="24"/>
        </w:rPr>
        <w:t xml:space="preserve"> </w:t>
      </w:r>
    </w:p>
    <w:p w:rsidR="00493E4F" w:rsidRPr="003658BF" w:rsidRDefault="00493E4F" w:rsidP="00493E4F">
      <w:pPr>
        <w:spacing w:line="360" w:lineRule="auto"/>
        <w:ind w:left="360"/>
        <w:jc w:val="both"/>
        <w:rPr>
          <w:rFonts w:asciiTheme="majorBidi" w:hAnsiTheme="majorBidi"/>
          <w:sz w:val="24"/>
          <w:szCs w:val="24"/>
        </w:rPr>
      </w:pPr>
      <w:r w:rsidRPr="003658BF">
        <w:rPr>
          <w:rFonts w:asciiTheme="majorBidi" w:hAnsiTheme="majorBidi"/>
          <w:sz w:val="24"/>
          <w:szCs w:val="24"/>
        </w:rPr>
        <w:t xml:space="preserve">Hannover (2021). Pandemics. Retrieved Mar. 1, 2021 from </w:t>
      </w:r>
      <w:hyperlink r:id="rId33" w:history="1">
        <w:r w:rsidRPr="003658BF">
          <w:rPr>
            <w:rStyle w:val="Hyperlink"/>
            <w:rFonts w:asciiTheme="majorBidi" w:hAnsiTheme="majorBidi"/>
            <w:sz w:val="24"/>
            <w:szCs w:val="24"/>
          </w:rPr>
          <w:t>https://www.hannover-re.com/180636/pandemics-2021.pdf</w:t>
        </w:r>
      </w:hyperlink>
      <w:r w:rsidRPr="003658BF">
        <w:rPr>
          <w:rFonts w:asciiTheme="majorBidi" w:hAnsiTheme="majorBidi"/>
          <w:sz w:val="24"/>
          <w:szCs w:val="24"/>
        </w:rPr>
        <w:t xml:space="preserve"> </w:t>
      </w:r>
    </w:p>
    <w:p w:rsidR="00493E4F" w:rsidRPr="003658BF" w:rsidRDefault="00493E4F" w:rsidP="00493E4F">
      <w:pPr>
        <w:spacing w:line="360" w:lineRule="auto"/>
        <w:ind w:left="360"/>
        <w:jc w:val="both"/>
        <w:rPr>
          <w:rFonts w:asciiTheme="majorBidi" w:hAnsiTheme="majorBidi"/>
          <w:sz w:val="24"/>
          <w:szCs w:val="24"/>
        </w:rPr>
      </w:pPr>
      <w:r>
        <w:rPr>
          <w:rFonts w:asciiTheme="majorBidi" w:hAnsiTheme="majorBidi"/>
          <w:sz w:val="24"/>
          <w:szCs w:val="24"/>
        </w:rPr>
        <w:t xml:space="preserve">Iberahim, H., Taufik, N.K., Adzmir, A.S., &amp; Saharuddin, H. </w:t>
      </w:r>
      <w:r w:rsidRPr="003658BF">
        <w:rPr>
          <w:rFonts w:asciiTheme="majorBidi" w:hAnsiTheme="majorBidi"/>
          <w:sz w:val="24"/>
          <w:szCs w:val="24"/>
        </w:rPr>
        <w:t xml:space="preserve"> (2016). Customer Satisfaction on Reliability and Responsiveness of Self Service Technology for Retail Banking Services. </w:t>
      </w:r>
      <w:r w:rsidRPr="003658BF">
        <w:rPr>
          <w:rFonts w:asciiTheme="majorBidi" w:hAnsiTheme="majorBidi"/>
          <w:i/>
          <w:iCs/>
          <w:sz w:val="24"/>
          <w:szCs w:val="24"/>
        </w:rPr>
        <w:t>Procedia Economics and Finance</w:t>
      </w:r>
      <w:r w:rsidRPr="003658BF">
        <w:rPr>
          <w:rFonts w:asciiTheme="majorBidi" w:hAnsiTheme="majorBidi"/>
          <w:sz w:val="24"/>
          <w:szCs w:val="24"/>
        </w:rPr>
        <w:t>, Vol. (37), pp. 13 – 20</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ILO (2020). Policy Report. Retrieved January 12, 2021 from </w:t>
      </w:r>
      <w:hyperlink r:id="rId34" w:history="1">
        <w:r w:rsidRPr="003658BF">
          <w:rPr>
            <w:rStyle w:val="Hyperlink"/>
            <w:rFonts w:asciiTheme="majorBidi" w:hAnsiTheme="majorBidi" w:cstheme="majorBidi"/>
            <w:sz w:val="24"/>
            <w:szCs w:val="24"/>
          </w:rPr>
          <w:t>https://www.ilo.org/wcmsp5/groups/public/---ed_emp/documents/publication/wcms_754666.pdf</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Isac, F. &amp; Rusu, S. (2014). Theories of Consumer’s Satisfaction and the Operationalization of the Expectation Disconfirmation Paradigm. </w:t>
      </w:r>
      <w:r w:rsidRPr="003658BF">
        <w:rPr>
          <w:rFonts w:asciiTheme="majorBidi" w:hAnsiTheme="majorBidi" w:cstheme="majorBidi"/>
          <w:i/>
          <w:iCs/>
          <w:sz w:val="24"/>
          <w:szCs w:val="24"/>
        </w:rPr>
        <w:t xml:space="preserve">Annals of the “Constantin Brâncuşi” University of Târgu Jiu, Economy Series, </w:t>
      </w:r>
      <w:r w:rsidRPr="003658BF">
        <w:rPr>
          <w:rFonts w:asciiTheme="majorBidi" w:hAnsiTheme="majorBidi" w:cstheme="majorBidi"/>
          <w:sz w:val="24"/>
          <w:szCs w:val="24"/>
        </w:rPr>
        <w:t>Vol. (2)</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Ishrakieh, L., Dagher, L., &amp; El Hariri, S. (2020). A financial stress index for a highly dollarized developing country: The case of Lebanon. </w:t>
      </w:r>
      <w:r w:rsidRPr="003658BF">
        <w:rPr>
          <w:rFonts w:asciiTheme="majorBidi" w:hAnsiTheme="majorBidi" w:cstheme="majorBidi"/>
          <w:i/>
          <w:iCs/>
          <w:sz w:val="24"/>
          <w:szCs w:val="24"/>
        </w:rPr>
        <w:t xml:space="preserve">Central Bank Review, </w:t>
      </w:r>
      <w:r w:rsidRPr="003658BF">
        <w:rPr>
          <w:rFonts w:asciiTheme="majorBidi" w:hAnsiTheme="majorBidi" w:cstheme="majorBidi"/>
          <w:sz w:val="24"/>
          <w:szCs w:val="24"/>
        </w:rPr>
        <w:t xml:space="preserve">Vol. (20), pp. 43 – 52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lastRenderedPageBreak/>
        <w:t xml:space="preserve">Jain, S. K., &amp; Gupta, G. (2004). Measuring service quality: SERVQUAL vs. SERVPERF scales. </w:t>
      </w:r>
      <w:r w:rsidRPr="003658BF">
        <w:rPr>
          <w:rFonts w:asciiTheme="majorBidi" w:hAnsiTheme="majorBidi" w:cstheme="majorBidi"/>
          <w:i/>
          <w:iCs/>
          <w:sz w:val="24"/>
          <w:szCs w:val="24"/>
        </w:rPr>
        <w:t>Vikalpa</w:t>
      </w:r>
      <w:r w:rsidRPr="003658BF">
        <w:rPr>
          <w:rFonts w:asciiTheme="majorBidi" w:hAnsiTheme="majorBidi" w:cstheme="majorBidi"/>
          <w:sz w:val="24"/>
          <w:szCs w:val="24"/>
        </w:rPr>
        <w:t xml:space="preserve">, Vol. (29), No. (2), pp. 25 – 38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Kano, N., N. Seraku, et al (1996). Must-be Quality and Attractive Quality. </w:t>
      </w:r>
      <w:r w:rsidRPr="003658BF">
        <w:rPr>
          <w:rFonts w:asciiTheme="majorBidi" w:hAnsiTheme="majorBidi" w:cstheme="majorBidi"/>
          <w:i/>
          <w:iCs/>
          <w:sz w:val="24"/>
          <w:szCs w:val="24"/>
        </w:rPr>
        <w:t>The Best on Quality,</w:t>
      </w:r>
      <w:r w:rsidRPr="003658BF">
        <w:rPr>
          <w:rFonts w:asciiTheme="majorBidi" w:hAnsiTheme="majorBidi" w:cstheme="majorBidi"/>
          <w:sz w:val="24"/>
          <w:szCs w:val="24"/>
        </w:rPr>
        <w:t xml:space="preserve"> 7: 165.</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Kavitha, S. (2017). Factors Influencing Satisfaction on E-Banking. </w:t>
      </w:r>
      <w:hyperlink r:id="rId35" w:history="1">
        <w:r w:rsidRPr="003658BF">
          <w:rPr>
            <w:rStyle w:val="Hyperlink"/>
            <w:rFonts w:asciiTheme="majorBidi" w:hAnsiTheme="majorBidi" w:cstheme="majorBidi"/>
            <w:i/>
            <w:iCs/>
            <w:sz w:val="24"/>
            <w:szCs w:val="24"/>
          </w:rPr>
          <w:t>AIMS International Journal of Management</w:t>
        </w:r>
      </w:hyperlink>
      <w:r w:rsidRPr="003658BF">
        <w:rPr>
          <w:rFonts w:asciiTheme="majorBidi" w:hAnsiTheme="majorBidi" w:cstheme="majorBidi"/>
          <w:i/>
          <w:iCs/>
          <w:sz w:val="24"/>
          <w:szCs w:val="24"/>
        </w:rPr>
        <w:t xml:space="preserve">, </w:t>
      </w:r>
      <w:r w:rsidRPr="003658BF">
        <w:rPr>
          <w:rFonts w:asciiTheme="majorBidi" w:hAnsiTheme="majorBidi" w:cstheme="majorBidi"/>
          <w:sz w:val="24"/>
          <w:szCs w:val="24"/>
        </w:rPr>
        <w:t xml:space="preserve">Vol. (11), No. (2), pp. 103 – 115 </w:t>
      </w:r>
    </w:p>
    <w:p w:rsidR="00493E4F" w:rsidRPr="003658BF" w:rsidRDefault="00493E4F" w:rsidP="00493E4F">
      <w:pPr>
        <w:spacing w:line="360" w:lineRule="auto"/>
        <w:ind w:left="360"/>
        <w:jc w:val="both"/>
        <w:rPr>
          <w:rFonts w:asciiTheme="majorBidi" w:hAnsiTheme="majorBidi" w:cstheme="majorBidi"/>
          <w:sz w:val="24"/>
          <w:szCs w:val="24"/>
        </w:rPr>
      </w:pPr>
      <w:r>
        <w:rPr>
          <w:rFonts w:asciiTheme="majorBidi" w:hAnsiTheme="majorBidi" w:cstheme="majorBidi"/>
          <w:sz w:val="24"/>
          <w:szCs w:val="24"/>
        </w:rPr>
        <w:t xml:space="preserve">Keivani, F., Jouzbarkand, M., Kodadadi, M., &amp; Sourkouhi, Z. </w:t>
      </w:r>
      <w:r w:rsidRPr="003658BF">
        <w:rPr>
          <w:rFonts w:asciiTheme="majorBidi" w:hAnsiTheme="majorBidi" w:cstheme="majorBidi"/>
          <w:sz w:val="24"/>
          <w:szCs w:val="24"/>
        </w:rPr>
        <w:t xml:space="preserve"> (2012). A General View on the E-banking. Retrieved January 17, 2021 from </w:t>
      </w:r>
      <w:hyperlink r:id="rId36" w:history="1">
        <w:r w:rsidRPr="003658BF">
          <w:rPr>
            <w:rStyle w:val="Hyperlink"/>
            <w:rFonts w:asciiTheme="majorBidi" w:hAnsiTheme="majorBidi" w:cstheme="majorBidi"/>
            <w:sz w:val="24"/>
            <w:szCs w:val="24"/>
          </w:rPr>
          <w:t>http://ipedr.com/vol43/013-ICFME2012-M00033.pdf</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Ketema, E. and W/Selassie, Y. (2020). The impact of M-banking quality service on customer’s satisfaction during Covid-19 lock down: The case of Bank of Abyssinia, Ethiopia. </w:t>
      </w:r>
      <w:r w:rsidRPr="003658BF">
        <w:rPr>
          <w:rFonts w:asciiTheme="majorBidi" w:hAnsiTheme="majorBidi" w:cstheme="majorBidi"/>
          <w:i/>
          <w:iCs/>
          <w:sz w:val="24"/>
          <w:szCs w:val="24"/>
        </w:rPr>
        <w:t xml:space="preserve">African Journal of Marketing Management, </w:t>
      </w:r>
      <w:r w:rsidRPr="003658BF">
        <w:rPr>
          <w:rFonts w:asciiTheme="majorBidi" w:hAnsiTheme="majorBidi" w:cstheme="majorBidi"/>
          <w:sz w:val="24"/>
          <w:szCs w:val="24"/>
        </w:rPr>
        <w:t xml:space="preserve">Vol. (12), No. (2), pp. 21 – 36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Khalek, Y. (2019). Online Banking in Emerging Markets: Lebanese Case. </w:t>
      </w:r>
      <w:r w:rsidRPr="003658BF">
        <w:rPr>
          <w:rFonts w:asciiTheme="majorBidi" w:hAnsiTheme="majorBidi" w:cstheme="majorBidi"/>
          <w:i/>
          <w:iCs/>
          <w:sz w:val="24"/>
          <w:szCs w:val="24"/>
        </w:rPr>
        <w:t>International Journal of Scientific and Research Publications</w:t>
      </w:r>
      <w:r w:rsidRPr="003658BF">
        <w:rPr>
          <w:rFonts w:asciiTheme="majorBidi" w:hAnsiTheme="majorBidi" w:cstheme="majorBidi"/>
          <w:sz w:val="24"/>
          <w:szCs w:val="24"/>
        </w:rPr>
        <w:t>, Vol. (9), No. (8)</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Kohn, D. (2009). Monetary policy research and the financial crisis: Strength and shortcomings. </w:t>
      </w:r>
      <w:r w:rsidRPr="003658BF">
        <w:rPr>
          <w:rFonts w:asciiTheme="majorBidi" w:hAnsiTheme="majorBidi" w:cstheme="majorBidi"/>
          <w:i/>
          <w:iCs/>
          <w:sz w:val="24"/>
          <w:szCs w:val="24"/>
        </w:rPr>
        <w:t>Speech at the Federal Reserve Conference on key developments in monetary policy, Washington, D.C.</w:t>
      </w:r>
    </w:p>
    <w:p w:rsidR="00493E4F" w:rsidRPr="003658BF" w:rsidRDefault="00493E4F" w:rsidP="00493E4F">
      <w:pPr>
        <w:spacing w:line="360" w:lineRule="auto"/>
        <w:ind w:left="360"/>
        <w:jc w:val="both"/>
        <w:rPr>
          <w:rFonts w:asciiTheme="majorBidi" w:hAnsiTheme="majorBidi" w:cstheme="majorBidi"/>
          <w:i/>
          <w:iCs/>
          <w:sz w:val="24"/>
          <w:szCs w:val="24"/>
        </w:rPr>
      </w:pPr>
      <w:r w:rsidRPr="003658BF">
        <w:rPr>
          <w:rFonts w:asciiTheme="majorBidi" w:hAnsiTheme="majorBidi" w:cstheme="majorBidi"/>
          <w:sz w:val="24"/>
          <w:szCs w:val="24"/>
        </w:rPr>
        <w:t xml:space="preserve">Kotler, P., &amp; Keller, K. (2011). Marketing management (14th ed.). </w:t>
      </w:r>
      <w:r w:rsidRPr="003658BF">
        <w:rPr>
          <w:rFonts w:asciiTheme="majorBidi" w:hAnsiTheme="majorBidi" w:cstheme="majorBidi"/>
          <w:i/>
          <w:iCs/>
          <w:sz w:val="24"/>
          <w:szCs w:val="24"/>
        </w:rPr>
        <w:t>New York, NY: Pearson.</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Lebanon Economic Monitor (2019). So when gravity beckons, the poor don’t fall. Retrieved Feb. 12, 2021 from </w:t>
      </w:r>
      <w:hyperlink r:id="rId37" w:history="1">
        <w:r w:rsidRPr="003658BF">
          <w:rPr>
            <w:rStyle w:val="Hyperlink"/>
            <w:rFonts w:asciiTheme="majorBidi" w:hAnsiTheme="majorBidi" w:cstheme="majorBidi"/>
            <w:sz w:val="24"/>
            <w:szCs w:val="24"/>
          </w:rPr>
          <w:t>https://openknowledge.worldbank.org/handle/10986/33279</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Pr>
          <w:rFonts w:asciiTheme="majorBidi" w:hAnsiTheme="majorBidi" w:cstheme="majorBidi"/>
          <w:sz w:val="24"/>
          <w:szCs w:val="24"/>
        </w:rPr>
        <w:t>Ling, G., Fern, Y. S., Boon, L. K., &amp; Huat, T. S.</w:t>
      </w:r>
      <w:r w:rsidRPr="003658BF">
        <w:rPr>
          <w:rFonts w:asciiTheme="majorBidi" w:hAnsiTheme="majorBidi" w:cstheme="majorBidi"/>
          <w:sz w:val="24"/>
          <w:szCs w:val="24"/>
        </w:rPr>
        <w:t xml:space="preserve"> (2016). Understanding Customer Satisfaction of Internet Banking: A Case Study in Malacca. </w:t>
      </w:r>
      <w:r w:rsidRPr="003658BF">
        <w:rPr>
          <w:rFonts w:asciiTheme="majorBidi" w:hAnsiTheme="majorBidi" w:cstheme="majorBidi"/>
          <w:i/>
          <w:iCs/>
          <w:sz w:val="24"/>
          <w:szCs w:val="24"/>
        </w:rPr>
        <w:t>Procedia Economics and Finance,</w:t>
      </w:r>
      <w:r w:rsidRPr="003658BF">
        <w:rPr>
          <w:rFonts w:asciiTheme="majorBidi" w:hAnsiTheme="majorBidi" w:cstheme="majorBidi"/>
          <w:sz w:val="24"/>
          <w:szCs w:val="24"/>
        </w:rPr>
        <w:t xml:space="preserve"> Vol. (37), pp. 80 – 85</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Loeb, S.</w:t>
      </w:r>
      <w:r>
        <w:rPr>
          <w:rFonts w:asciiTheme="majorBidi" w:hAnsiTheme="majorBidi" w:cstheme="majorBidi"/>
          <w:sz w:val="24"/>
          <w:szCs w:val="24"/>
        </w:rPr>
        <w:t xml:space="preserve">, Morris, P., Dynarski, S., Reardon, S., McFarland, D., &amp; Reber, S. </w:t>
      </w:r>
      <w:r w:rsidRPr="003658BF">
        <w:rPr>
          <w:rFonts w:asciiTheme="majorBidi" w:hAnsiTheme="majorBidi" w:cstheme="majorBidi"/>
          <w:sz w:val="24"/>
          <w:szCs w:val="24"/>
        </w:rPr>
        <w:t xml:space="preserve">(2017). Descriptive analysis in education: A guide for researchers. Retrieved May 10, 2021 from </w:t>
      </w:r>
      <w:hyperlink r:id="rId38" w:history="1">
        <w:r w:rsidRPr="003658BF">
          <w:rPr>
            <w:rStyle w:val="Hyperlink"/>
            <w:rFonts w:asciiTheme="majorBidi" w:hAnsiTheme="majorBidi" w:cstheme="majorBidi"/>
            <w:sz w:val="24"/>
            <w:szCs w:val="24"/>
          </w:rPr>
          <w:t>https://files.eric.ed.gov/fulltext/ED573325.pdf</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Pr>
          <w:rFonts w:asciiTheme="majorBidi" w:hAnsiTheme="majorBidi" w:cstheme="majorBidi"/>
          <w:sz w:val="24"/>
          <w:szCs w:val="24"/>
        </w:rPr>
        <w:lastRenderedPageBreak/>
        <w:t xml:space="preserve">Majid, U. </w:t>
      </w:r>
      <w:r w:rsidRPr="003658BF">
        <w:rPr>
          <w:rFonts w:asciiTheme="majorBidi" w:hAnsiTheme="majorBidi" w:cstheme="majorBidi"/>
          <w:sz w:val="24"/>
          <w:szCs w:val="24"/>
        </w:rPr>
        <w:t xml:space="preserve">(2018). Research Fundamentals: Study Design, Population, and Sample Size. </w:t>
      </w:r>
      <w:r w:rsidRPr="003658BF">
        <w:rPr>
          <w:rFonts w:asciiTheme="majorBidi" w:hAnsiTheme="majorBidi" w:cstheme="majorBidi"/>
          <w:i/>
          <w:iCs/>
          <w:sz w:val="24"/>
          <w:szCs w:val="24"/>
        </w:rPr>
        <w:t>URNCST Journal</w:t>
      </w:r>
      <w:r w:rsidRPr="003658BF">
        <w:rPr>
          <w:rFonts w:asciiTheme="majorBidi" w:hAnsiTheme="majorBidi" w:cstheme="majorBidi"/>
          <w:sz w:val="24"/>
          <w:szCs w:val="24"/>
        </w:rPr>
        <w:t>, Volume (2), No. (1)</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Matta, J. (2018). M/SMEs in Lebanon: Status, strategy and outcomes. Retrieved May 12, 2021 from </w:t>
      </w:r>
      <w:hyperlink r:id="rId39" w:history="1">
        <w:r w:rsidRPr="003658BF">
          <w:rPr>
            <w:rStyle w:val="Hyperlink"/>
            <w:rFonts w:asciiTheme="majorBidi" w:hAnsiTheme="majorBidi" w:cstheme="majorBidi"/>
            <w:sz w:val="24"/>
            <w:szCs w:val="24"/>
          </w:rPr>
          <w:t>https://www.economy.gov.lb/media/11222/smes-in-lebanon-180412-19-website.pdf</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Merhi, M., Hone, K. &amp; Tarhini, A. (2019). A cross-cultural study of the intention to use mobile banking between Lebanese and British consumers: Extending UTAUT2 with security, privacy and trust. </w:t>
      </w:r>
      <w:r w:rsidRPr="003658BF">
        <w:rPr>
          <w:rFonts w:asciiTheme="majorBidi" w:hAnsiTheme="majorBidi" w:cstheme="majorBidi"/>
          <w:i/>
          <w:iCs/>
          <w:sz w:val="24"/>
          <w:szCs w:val="24"/>
        </w:rPr>
        <w:t xml:space="preserve">Technology in Society, </w:t>
      </w:r>
      <w:r w:rsidRPr="003658BF">
        <w:rPr>
          <w:rFonts w:asciiTheme="majorBidi" w:hAnsiTheme="majorBidi" w:cstheme="majorBidi"/>
          <w:sz w:val="24"/>
          <w:szCs w:val="24"/>
        </w:rPr>
        <w:t>Vol. (59)</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Mcillen, M. (2012). Islamic Banking: A Brief Introduction. Retrieved Feb. 18, 2021 from : </w:t>
      </w:r>
      <w:hyperlink r:id="rId40" w:history="1">
        <w:r w:rsidRPr="003658BF">
          <w:rPr>
            <w:rStyle w:val="Hyperlink"/>
            <w:rFonts w:asciiTheme="majorBidi" w:hAnsiTheme="majorBidi" w:cstheme="majorBidi"/>
            <w:sz w:val="24"/>
            <w:szCs w:val="24"/>
          </w:rPr>
          <w:t>https://www.researchgate.net/publication/277948029</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sz w:val="24"/>
          <w:szCs w:val="24"/>
        </w:rPr>
      </w:pPr>
      <w:r w:rsidRPr="003658BF">
        <w:rPr>
          <w:rFonts w:asciiTheme="majorBidi" w:hAnsiTheme="majorBidi" w:cstheme="majorBidi"/>
          <w:sz w:val="24"/>
          <w:szCs w:val="24"/>
        </w:rPr>
        <w:t xml:space="preserve">Meynkhard, A. (2019). </w:t>
      </w:r>
      <w:r w:rsidRPr="003658BF">
        <w:rPr>
          <w:rFonts w:asciiTheme="majorBidi" w:hAnsiTheme="majorBidi"/>
          <w:sz w:val="24"/>
          <w:szCs w:val="24"/>
        </w:rPr>
        <w:t>Fair market value of bitcoin: halving effect.</w:t>
      </w:r>
      <w:r w:rsidRPr="003658BF">
        <w:rPr>
          <w:rFonts w:asciiTheme="majorBidi" w:hAnsiTheme="majorBidi"/>
          <w:i/>
          <w:iCs/>
          <w:sz w:val="24"/>
          <w:szCs w:val="24"/>
        </w:rPr>
        <w:t xml:space="preserve"> </w:t>
      </w:r>
      <w:hyperlink r:id="rId41" w:history="1">
        <w:r w:rsidRPr="003658BF">
          <w:rPr>
            <w:rStyle w:val="Hyperlink"/>
            <w:rFonts w:asciiTheme="majorBidi" w:hAnsiTheme="majorBidi"/>
            <w:i/>
            <w:iCs/>
            <w:sz w:val="24"/>
            <w:szCs w:val="24"/>
          </w:rPr>
          <w:t>Investment Management and Financial Innovations</w:t>
        </w:r>
      </w:hyperlink>
      <w:r w:rsidRPr="003658BF">
        <w:rPr>
          <w:rFonts w:asciiTheme="majorBidi" w:hAnsiTheme="majorBidi"/>
          <w:sz w:val="24"/>
          <w:szCs w:val="24"/>
        </w:rPr>
        <w:t xml:space="preserve">, Vol.(16), No. (4), pp. 72 – 85 </w:t>
      </w:r>
    </w:p>
    <w:p w:rsidR="00493E4F" w:rsidRPr="003658BF" w:rsidRDefault="00493E4F" w:rsidP="00493E4F">
      <w:pPr>
        <w:spacing w:line="360" w:lineRule="auto"/>
        <w:ind w:left="360"/>
        <w:jc w:val="both"/>
        <w:rPr>
          <w:rFonts w:asciiTheme="majorBidi" w:hAnsiTheme="majorBidi" w:cstheme="majorBidi"/>
          <w:sz w:val="24"/>
          <w:szCs w:val="24"/>
        </w:rPr>
      </w:pPr>
      <w:r>
        <w:rPr>
          <w:rFonts w:asciiTheme="majorBidi" w:hAnsiTheme="majorBidi" w:cstheme="majorBidi"/>
          <w:sz w:val="24"/>
          <w:szCs w:val="24"/>
        </w:rPr>
        <w:t xml:space="preserve">Mia, A., Rahman, M., &amp; Uddin, M. </w:t>
      </w:r>
      <w:r w:rsidRPr="003658BF">
        <w:rPr>
          <w:rFonts w:asciiTheme="majorBidi" w:hAnsiTheme="majorBidi" w:cstheme="majorBidi"/>
          <w:sz w:val="24"/>
          <w:szCs w:val="24"/>
        </w:rPr>
        <w:t xml:space="preserve"> (2007). E-Banking: Evolution, Status and Prospects. </w:t>
      </w:r>
      <w:r w:rsidRPr="003658BF">
        <w:rPr>
          <w:rFonts w:asciiTheme="majorBidi" w:hAnsiTheme="majorBidi" w:cstheme="majorBidi"/>
          <w:i/>
          <w:iCs/>
          <w:sz w:val="24"/>
          <w:szCs w:val="24"/>
        </w:rPr>
        <w:t xml:space="preserve">The Cost and Management, </w:t>
      </w:r>
      <w:r w:rsidRPr="003658BF">
        <w:rPr>
          <w:rFonts w:asciiTheme="majorBidi" w:hAnsiTheme="majorBidi" w:cstheme="majorBidi"/>
          <w:sz w:val="24"/>
          <w:szCs w:val="24"/>
        </w:rPr>
        <w:t xml:space="preserve">Vol. (35), No. (1), pp. 36 – 48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Mill, R. (2011). A Comprehensive Model of Customer Satisfaction In Hospitality And Tourism: Strategic Implications For Management. </w:t>
      </w:r>
      <w:r w:rsidRPr="003658BF">
        <w:rPr>
          <w:rFonts w:asciiTheme="majorBidi" w:hAnsiTheme="majorBidi" w:cstheme="majorBidi"/>
          <w:i/>
          <w:iCs/>
          <w:sz w:val="24"/>
          <w:szCs w:val="24"/>
        </w:rPr>
        <w:t>International Business &amp;Economics Research Journal</w:t>
      </w:r>
      <w:r w:rsidRPr="003658BF">
        <w:rPr>
          <w:rFonts w:asciiTheme="majorBidi" w:hAnsiTheme="majorBidi" w:cstheme="majorBidi"/>
          <w:sz w:val="24"/>
          <w:szCs w:val="24"/>
        </w:rPr>
        <w:t xml:space="preserve">, Vol. (1), No. (6), pp. 7 – 18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Mukaka, M. (2012). Statistics Corner: A guide to appropriate use of Correlation coefficient in medical research. </w:t>
      </w:r>
      <w:r w:rsidRPr="003658BF">
        <w:rPr>
          <w:rFonts w:asciiTheme="majorBidi" w:hAnsiTheme="majorBidi" w:cstheme="majorBidi"/>
          <w:i/>
          <w:iCs/>
          <w:sz w:val="24"/>
          <w:szCs w:val="24"/>
        </w:rPr>
        <w:t xml:space="preserve">Malawi Medical Journal, </w:t>
      </w:r>
      <w:r w:rsidRPr="003658BF">
        <w:rPr>
          <w:rFonts w:asciiTheme="majorBidi" w:hAnsiTheme="majorBidi" w:cstheme="majorBidi"/>
          <w:sz w:val="24"/>
          <w:szCs w:val="24"/>
        </w:rPr>
        <w:t xml:space="preserve">Vol. (24), No. (3), pp. 69 – 71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Murugiah, L. &amp; Akgam, H. (2015). Study of Customer Satisfaction in the Banking Sector in Libya. </w:t>
      </w:r>
      <w:r w:rsidRPr="003658BF">
        <w:rPr>
          <w:rFonts w:asciiTheme="majorBidi" w:hAnsiTheme="majorBidi" w:cstheme="majorBidi"/>
          <w:i/>
          <w:iCs/>
          <w:sz w:val="24"/>
          <w:szCs w:val="24"/>
        </w:rPr>
        <w:t>Journal of Economics, Business and Management</w:t>
      </w:r>
      <w:r w:rsidRPr="003658BF">
        <w:rPr>
          <w:rFonts w:asciiTheme="majorBidi" w:hAnsiTheme="majorBidi" w:cstheme="majorBidi"/>
          <w:sz w:val="24"/>
          <w:szCs w:val="24"/>
        </w:rPr>
        <w:t xml:space="preserve">, Vol. (3), No. (7), pp. 674 – 677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Oliver (1980) “Theoretical Bases of Consumer Satisfaction Research: Review, critique, and future direction. </w:t>
      </w:r>
      <w:r w:rsidRPr="003658BF">
        <w:rPr>
          <w:rFonts w:asciiTheme="majorBidi" w:hAnsiTheme="majorBidi" w:cstheme="majorBidi"/>
          <w:i/>
          <w:iCs/>
          <w:sz w:val="24"/>
          <w:szCs w:val="24"/>
        </w:rPr>
        <w:t>C. Lamb &amp; P. Dunne (Eds), Theoretical Developments in Marketing,</w:t>
      </w:r>
      <w:r w:rsidRPr="003658BF">
        <w:rPr>
          <w:rFonts w:asciiTheme="majorBidi" w:hAnsiTheme="majorBidi" w:cstheme="majorBidi"/>
          <w:sz w:val="24"/>
          <w:szCs w:val="24"/>
        </w:rPr>
        <w:t xml:space="preserve"> pp. 206 – 210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Ozatac, N.</w:t>
      </w:r>
      <w:r>
        <w:rPr>
          <w:rFonts w:asciiTheme="majorBidi" w:hAnsiTheme="majorBidi" w:cstheme="majorBidi"/>
          <w:sz w:val="24"/>
          <w:szCs w:val="24"/>
        </w:rPr>
        <w:t>, Saner, T., &amp; Sen, Z.</w:t>
      </w:r>
      <w:r w:rsidRPr="003658BF">
        <w:rPr>
          <w:rFonts w:asciiTheme="majorBidi" w:hAnsiTheme="majorBidi" w:cstheme="majorBidi"/>
          <w:sz w:val="24"/>
          <w:szCs w:val="24"/>
        </w:rPr>
        <w:t xml:space="preserve"> (2016). Customer Satisfaction in the Banking Sector : The Case of North Cyprus. doi: 10.1016/S2212-5671(16)30247-7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lastRenderedPageBreak/>
        <w:t xml:space="preserve">Pagano, M., (1993). Financial markets and growth: An overview. </w:t>
      </w:r>
      <w:r w:rsidRPr="003658BF">
        <w:rPr>
          <w:rFonts w:asciiTheme="majorBidi" w:hAnsiTheme="majorBidi" w:cstheme="majorBidi"/>
          <w:i/>
          <w:iCs/>
          <w:sz w:val="24"/>
          <w:szCs w:val="24"/>
        </w:rPr>
        <w:t>European Economic Review</w:t>
      </w:r>
      <w:r w:rsidRPr="003658BF">
        <w:rPr>
          <w:rFonts w:asciiTheme="majorBidi" w:hAnsiTheme="majorBidi" w:cstheme="majorBidi"/>
          <w:sz w:val="24"/>
          <w:szCs w:val="24"/>
        </w:rPr>
        <w:t xml:space="preserve">, Vol. (37), pp. 613 – 622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Parasuraman, A., Valarie, A. Zeithamal, and Leonard L. Berry (1988). “SERVQUAL: A Multiple-Item Scale for Measuring consumer Perceptions of Service Quality. </w:t>
      </w:r>
      <w:r w:rsidRPr="003658BF">
        <w:rPr>
          <w:rFonts w:asciiTheme="majorBidi" w:hAnsiTheme="majorBidi" w:cstheme="majorBidi"/>
          <w:i/>
          <w:iCs/>
          <w:sz w:val="24"/>
          <w:szCs w:val="24"/>
        </w:rPr>
        <w:t>Journal of Retailing</w:t>
      </w:r>
      <w:r w:rsidRPr="003658BF">
        <w:rPr>
          <w:rFonts w:asciiTheme="majorBidi" w:hAnsiTheme="majorBidi" w:cstheme="majorBidi"/>
          <w:sz w:val="24"/>
          <w:szCs w:val="24"/>
        </w:rPr>
        <w:t xml:space="preserve">, Vol. (64), No.(1), pp. 12 – 40  </w:t>
      </w:r>
    </w:p>
    <w:p w:rsidR="00493E4F" w:rsidRPr="003658BF" w:rsidRDefault="00493E4F" w:rsidP="00493E4F">
      <w:pPr>
        <w:spacing w:line="360" w:lineRule="auto"/>
        <w:ind w:left="360"/>
        <w:jc w:val="both"/>
        <w:rPr>
          <w:rFonts w:asciiTheme="majorBidi" w:hAnsiTheme="majorBidi" w:cstheme="majorBidi"/>
          <w:sz w:val="24"/>
          <w:szCs w:val="24"/>
        </w:rPr>
      </w:pPr>
      <w:r>
        <w:rPr>
          <w:rFonts w:asciiTheme="majorBidi" w:hAnsiTheme="majorBidi" w:cstheme="majorBidi"/>
          <w:sz w:val="24"/>
          <w:szCs w:val="24"/>
        </w:rPr>
        <w:t>Park, K., Cha, M., &amp; Rhim, E.</w:t>
      </w:r>
      <w:r w:rsidRPr="003658BF">
        <w:rPr>
          <w:rFonts w:asciiTheme="majorBidi" w:hAnsiTheme="majorBidi" w:cstheme="majorBidi"/>
          <w:sz w:val="24"/>
          <w:szCs w:val="24"/>
        </w:rPr>
        <w:t xml:space="preserve"> (2016). Positivity Bias in Customer Satisfaction Ratings. Retrieved April 12, 2021 from </w:t>
      </w:r>
      <w:hyperlink r:id="rId42" w:history="1">
        <w:r w:rsidRPr="003658BF">
          <w:rPr>
            <w:rStyle w:val="Hyperlink"/>
            <w:rFonts w:asciiTheme="majorBidi" w:hAnsiTheme="majorBidi" w:cstheme="majorBidi"/>
            <w:sz w:val="24"/>
            <w:szCs w:val="24"/>
          </w:rPr>
          <w:t>https://arxiv.org/pdf/1803.03346.pdf</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Pr>
          <w:rFonts w:asciiTheme="majorBidi" w:hAnsiTheme="majorBidi" w:cstheme="majorBidi"/>
          <w:sz w:val="24"/>
          <w:szCs w:val="24"/>
        </w:rPr>
        <w:t>Peters, D., Raad, E., &amp; Sinkey, J.</w:t>
      </w:r>
      <w:r w:rsidRPr="003658BF">
        <w:rPr>
          <w:rFonts w:asciiTheme="majorBidi" w:hAnsiTheme="majorBidi" w:cstheme="majorBidi"/>
          <w:sz w:val="24"/>
          <w:szCs w:val="24"/>
        </w:rPr>
        <w:t xml:space="preserve"> (2004). The Performance of Banks in Post-war Lebanon. </w:t>
      </w:r>
      <w:r w:rsidRPr="003658BF">
        <w:rPr>
          <w:rFonts w:asciiTheme="majorBidi" w:hAnsiTheme="majorBidi" w:cstheme="majorBidi"/>
          <w:i/>
          <w:iCs/>
          <w:sz w:val="24"/>
          <w:szCs w:val="24"/>
        </w:rPr>
        <w:t xml:space="preserve">International Journal of Business, </w:t>
      </w:r>
      <w:r w:rsidRPr="003658BF">
        <w:rPr>
          <w:rFonts w:asciiTheme="majorBidi" w:hAnsiTheme="majorBidi" w:cstheme="majorBidi"/>
          <w:sz w:val="24"/>
          <w:szCs w:val="24"/>
        </w:rPr>
        <w:t xml:space="preserve">Vol. (9), No. (3), pp. 259 – 286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Peyton, R., Pitts, S., Kamery, R.H., (2003). Consumer Satisfaction/Dissatisfaction: a review of the literature prior to the 1990’s. </w:t>
      </w:r>
      <w:r w:rsidRPr="003658BF">
        <w:rPr>
          <w:rFonts w:asciiTheme="majorBidi" w:hAnsiTheme="majorBidi" w:cstheme="majorBidi"/>
          <w:i/>
          <w:iCs/>
          <w:sz w:val="24"/>
          <w:szCs w:val="24"/>
        </w:rPr>
        <w:t>Proceedings of the Academy of Organizational Culture, Communication and Conflict</w:t>
      </w:r>
      <w:r w:rsidRPr="003658BF">
        <w:rPr>
          <w:rFonts w:asciiTheme="majorBidi" w:hAnsiTheme="majorBidi" w:cstheme="majorBidi"/>
          <w:sz w:val="24"/>
          <w:szCs w:val="24"/>
        </w:rPr>
        <w:t>, Vol. (7), No. (2)</w:t>
      </w:r>
    </w:p>
    <w:p w:rsidR="00493E4F" w:rsidRPr="003658BF" w:rsidRDefault="00493E4F" w:rsidP="00493E4F">
      <w:pPr>
        <w:spacing w:line="360" w:lineRule="auto"/>
        <w:ind w:left="360"/>
        <w:jc w:val="both"/>
        <w:rPr>
          <w:rFonts w:asciiTheme="majorBidi" w:hAnsiTheme="majorBidi" w:cstheme="majorBidi"/>
          <w:sz w:val="24"/>
          <w:szCs w:val="24"/>
        </w:rPr>
      </w:pPr>
      <w:r>
        <w:rPr>
          <w:rFonts w:asciiTheme="majorBidi" w:hAnsiTheme="majorBidi" w:cstheme="majorBidi"/>
          <w:sz w:val="24"/>
          <w:szCs w:val="24"/>
        </w:rPr>
        <w:t>Prasetyo, Y., Tanto, H., Mariyanto, M., Hanjaya, C., Young, M., Pesada, S., Miraja, B., and Redi, A.</w:t>
      </w:r>
      <w:r w:rsidRPr="003658BF">
        <w:rPr>
          <w:rFonts w:asciiTheme="majorBidi" w:hAnsiTheme="majorBidi" w:cstheme="majorBidi"/>
          <w:sz w:val="24"/>
          <w:szCs w:val="24"/>
        </w:rPr>
        <w:t xml:space="preserve"> (2021). Factors Affecting Customer Satisfaction and Loyalty in Online Food Delivery Service during the COVID-19 Pandemic: Its Relation with Open Innovation. </w:t>
      </w:r>
      <w:r w:rsidRPr="003658BF">
        <w:rPr>
          <w:rFonts w:asciiTheme="majorBidi" w:hAnsiTheme="majorBidi" w:cstheme="majorBidi"/>
          <w:i/>
          <w:iCs/>
          <w:sz w:val="24"/>
          <w:szCs w:val="24"/>
        </w:rPr>
        <w:t xml:space="preserve">Journal of Open Innovation, </w:t>
      </w:r>
      <w:r w:rsidRPr="003658BF">
        <w:rPr>
          <w:rFonts w:asciiTheme="majorBidi" w:hAnsiTheme="majorBidi" w:cstheme="majorBidi"/>
          <w:sz w:val="24"/>
          <w:szCs w:val="24"/>
        </w:rPr>
        <w:t xml:space="preserve">Vol. (7),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Pyun C. S., Scruggs L., Nam K., (2002).  Internet banking in the U.S.., Japan and Europe. </w:t>
      </w:r>
      <w:r w:rsidRPr="003658BF">
        <w:rPr>
          <w:rFonts w:asciiTheme="majorBidi" w:hAnsiTheme="majorBidi" w:cstheme="majorBidi"/>
          <w:i/>
          <w:iCs/>
          <w:sz w:val="24"/>
          <w:szCs w:val="24"/>
        </w:rPr>
        <w:t>Multinational Business Review</w:t>
      </w:r>
      <w:r w:rsidRPr="003658BF">
        <w:rPr>
          <w:rFonts w:asciiTheme="majorBidi" w:hAnsiTheme="majorBidi" w:cstheme="majorBidi"/>
          <w:sz w:val="24"/>
          <w:szCs w:val="24"/>
        </w:rPr>
        <w:t xml:space="preserve">, Vol. (10), No. (2), pp. 73 – 81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Qadeer, S. (2013). Service Quality &amp; Customer Satisfaction A case study in Banking Sector. Retrieved May 16, 2021 from </w:t>
      </w:r>
      <w:hyperlink r:id="rId43" w:history="1">
        <w:r w:rsidRPr="003658BF">
          <w:rPr>
            <w:rStyle w:val="Hyperlink"/>
            <w:rFonts w:asciiTheme="majorBidi" w:hAnsiTheme="majorBidi" w:cstheme="majorBidi"/>
            <w:sz w:val="24"/>
            <w:szCs w:val="24"/>
          </w:rPr>
          <w:t>http://www.diva-portal.org/smash/get/diva2:706160/FULLTEXT02.pdf</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Saha, S. (2016). An Analysis of Internet Banking Service Quality Affecting Customer Satisfaction with a focus on United Commercial Bank Limited in Bangladesh. Journal of Marketing and Consumer Research, Vol. (20), pp. 48 – 63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Salehi, M. &amp; Alipour, M. (2010). E-Banking in Emerging Economy: Empirical Evidence of Iran. </w:t>
      </w:r>
      <w:r w:rsidRPr="003658BF">
        <w:rPr>
          <w:rFonts w:asciiTheme="majorBidi" w:hAnsiTheme="majorBidi" w:cstheme="majorBidi"/>
          <w:i/>
          <w:iCs/>
          <w:sz w:val="24"/>
          <w:szCs w:val="24"/>
        </w:rPr>
        <w:t xml:space="preserve">International Journal of Economics and Finance, </w:t>
      </w:r>
      <w:r w:rsidRPr="003658BF">
        <w:rPr>
          <w:rFonts w:asciiTheme="majorBidi" w:hAnsiTheme="majorBidi" w:cstheme="majorBidi"/>
          <w:sz w:val="24"/>
          <w:szCs w:val="24"/>
        </w:rPr>
        <w:t xml:space="preserve">Vol. (2), No. (1), pp. 201 – 209 </w:t>
      </w:r>
    </w:p>
    <w:p w:rsidR="00493E4F" w:rsidRPr="003658BF" w:rsidRDefault="00493E4F" w:rsidP="00493E4F">
      <w:pPr>
        <w:spacing w:line="360" w:lineRule="auto"/>
        <w:ind w:left="360"/>
        <w:jc w:val="both"/>
        <w:rPr>
          <w:rFonts w:asciiTheme="majorBidi" w:hAnsiTheme="majorBidi"/>
          <w:sz w:val="24"/>
          <w:szCs w:val="24"/>
        </w:rPr>
      </w:pPr>
      <w:r>
        <w:rPr>
          <w:rFonts w:asciiTheme="majorBidi" w:hAnsiTheme="majorBidi" w:cstheme="majorBidi"/>
          <w:sz w:val="24"/>
          <w:szCs w:val="24"/>
        </w:rPr>
        <w:lastRenderedPageBreak/>
        <w:t xml:space="preserve">Sleimi, M., Karam, A., &amp; Qubbaj, I. </w:t>
      </w:r>
      <w:r w:rsidRPr="003658BF">
        <w:rPr>
          <w:rFonts w:asciiTheme="majorBidi" w:hAnsiTheme="majorBidi" w:cstheme="majorBidi"/>
          <w:sz w:val="24"/>
          <w:szCs w:val="24"/>
        </w:rPr>
        <w:t xml:space="preserve">(2018). </w:t>
      </w:r>
      <w:r w:rsidRPr="003658BF">
        <w:rPr>
          <w:rFonts w:asciiTheme="majorBidi" w:hAnsiTheme="majorBidi"/>
          <w:sz w:val="24"/>
          <w:szCs w:val="24"/>
        </w:rPr>
        <w:t>The Impact of E-Banking Services Quality on Customers Satisfaction Moderated by Customer Trust: Survey on Arab Bank in Amman, Jordan. DOI:</w:t>
      </w:r>
      <w:hyperlink r:id="rId44" w:tgtFrame="_blank" w:history="1">
        <w:r w:rsidRPr="003658BF">
          <w:rPr>
            <w:rStyle w:val="Hyperlink"/>
            <w:rFonts w:asciiTheme="majorBidi" w:hAnsiTheme="majorBidi"/>
            <w:sz w:val="24"/>
            <w:szCs w:val="24"/>
          </w:rPr>
          <w:t>10.5281/zenodo.1405450</w:t>
        </w:r>
      </w:hyperlink>
      <w:r w:rsidRPr="003658BF">
        <w:rPr>
          <w:rFonts w:asciiTheme="majorBidi" w:hAnsi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i/>
          <w:iCs/>
          <w:sz w:val="24"/>
          <w:szCs w:val="24"/>
        </w:rPr>
      </w:pPr>
      <w:r w:rsidRPr="003658BF">
        <w:rPr>
          <w:rFonts w:asciiTheme="majorBidi" w:hAnsiTheme="majorBidi" w:cstheme="majorBidi"/>
          <w:sz w:val="24"/>
          <w:szCs w:val="24"/>
        </w:rPr>
        <w:t xml:space="preserve">Samuelson, P., &amp; Nordhaus, W. (1995). Economics. </w:t>
      </w:r>
      <w:r w:rsidRPr="003658BF">
        <w:rPr>
          <w:rFonts w:asciiTheme="majorBidi" w:hAnsiTheme="majorBidi" w:cstheme="majorBidi"/>
          <w:i/>
          <w:iCs/>
          <w:sz w:val="24"/>
          <w:szCs w:val="24"/>
        </w:rPr>
        <w:t>New York: McGraw-Hill</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Soiferman, L. (2010). Compare and Contrast Inductive and Deductive: Research Approaches. Retrieved Mar. 1, 2021 from </w:t>
      </w:r>
      <w:hyperlink r:id="rId45" w:history="1">
        <w:r w:rsidRPr="003658BF">
          <w:rPr>
            <w:rStyle w:val="Hyperlink"/>
            <w:rFonts w:asciiTheme="majorBidi" w:hAnsiTheme="majorBidi" w:cstheme="majorBidi"/>
            <w:sz w:val="24"/>
            <w:szCs w:val="24"/>
          </w:rPr>
          <w:t>https://files.eric.ed.gov/fulltext/ED542066.pdf</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i/>
          <w:iCs/>
          <w:sz w:val="24"/>
          <w:szCs w:val="24"/>
        </w:rPr>
      </w:pPr>
      <w:r w:rsidRPr="003658BF">
        <w:rPr>
          <w:rFonts w:asciiTheme="majorBidi" w:hAnsiTheme="majorBidi" w:cstheme="majorBidi"/>
          <w:sz w:val="24"/>
          <w:szCs w:val="24"/>
        </w:rPr>
        <w:t xml:space="preserve">Taherdoost, H. (2016). Sampling Methods in Research Methodology; How to Choose a Sampling Technique for Research. </w:t>
      </w:r>
      <w:r w:rsidRPr="003658BF">
        <w:rPr>
          <w:rFonts w:asciiTheme="majorBidi" w:hAnsiTheme="majorBidi" w:cstheme="majorBidi"/>
          <w:i/>
          <w:iCs/>
          <w:sz w:val="24"/>
          <w:szCs w:val="24"/>
        </w:rPr>
        <w:t>International Journal of Academic Research in Management,</w:t>
      </w:r>
      <w:r w:rsidRPr="003658BF">
        <w:rPr>
          <w:rFonts w:asciiTheme="majorBidi" w:hAnsiTheme="majorBidi" w:cstheme="majorBidi"/>
          <w:sz w:val="24"/>
          <w:szCs w:val="24"/>
        </w:rPr>
        <w:t xml:space="preserve"> Vol. (5), No. (1), pp. 18 – 27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Thosmas, L. (2020). Independent and dependent variables. Retrieved Feb 3, 2021 from </w:t>
      </w:r>
      <w:hyperlink r:id="rId46" w:history="1">
        <w:r w:rsidRPr="003658BF">
          <w:rPr>
            <w:rStyle w:val="Hyperlink"/>
            <w:rFonts w:asciiTheme="majorBidi" w:hAnsiTheme="majorBidi" w:cstheme="majorBidi"/>
            <w:sz w:val="24"/>
            <w:szCs w:val="24"/>
          </w:rPr>
          <w:t>https://www.scribbr.com/methodology/independent-and-dependent-variables/</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Tolba, A.</w:t>
      </w:r>
      <w:r>
        <w:rPr>
          <w:rFonts w:asciiTheme="majorBidi" w:hAnsiTheme="majorBidi" w:cstheme="majorBidi"/>
          <w:sz w:val="24"/>
          <w:szCs w:val="24"/>
        </w:rPr>
        <w:t>, Seoudi, I., Meshriki, H., &amp; AbdelShahid, M.</w:t>
      </w:r>
      <w:r w:rsidRPr="003658BF">
        <w:rPr>
          <w:rFonts w:asciiTheme="majorBidi" w:hAnsiTheme="majorBidi" w:cstheme="majorBidi"/>
          <w:sz w:val="24"/>
          <w:szCs w:val="24"/>
        </w:rPr>
        <w:t xml:space="preserve"> (2015). Impact of Ethical Sales Behavior, Quality and Image on Customer Satisfaction and Loyalty: Evidence from Retail Banking in Egypt. </w:t>
      </w:r>
      <w:r w:rsidRPr="003658BF">
        <w:rPr>
          <w:rFonts w:asciiTheme="majorBidi" w:hAnsiTheme="majorBidi" w:cstheme="majorBidi"/>
          <w:i/>
          <w:iCs/>
          <w:sz w:val="24"/>
          <w:szCs w:val="24"/>
        </w:rPr>
        <w:t xml:space="preserve">International Journal of Management and Marketing Research, </w:t>
      </w:r>
      <w:r w:rsidRPr="003658BF">
        <w:rPr>
          <w:rFonts w:asciiTheme="majorBidi" w:hAnsiTheme="majorBidi" w:cstheme="majorBidi"/>
          <w:sz w:val="24"/>
          <w:szCs w:val="24"/>
        </w:rPr>
        <w:t>Vol. (8), No.( 2),  pp. 1 – 18</w:t>
      </w:r>
      <w:r w:rsidRPr="003658BF">
        <w:rPr>
          <w:rFonts w:asciiTheme="majorBidi" w:hAnsiTheme="majorBidi" w:cstheme="majorBidi"/>
          <w:i/>
          <w:iCs/>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Trade Economics (2020). World Population Review 2020. Retrieved Feb 17, 2021 from  https://tradingeconomics.com/ country-list/government-debt-to-gdp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Torbey, A. (2017). The Role of the Banking Sector in the Growth of Lebanese Economy. Retrieved January 13, 2021 from </w:t>
      </w:r>
      <w:hyperlink r:id="rId47" w:history="1">
        <w:r w:rsidRPr="003658BF">
          <w:rPr>
            <w:rStyle w:val="Hyperlink"/>
            <w:rFonts w:asciiTheme="majorBidi" w:hAnsiTheme="majorBidi" w:cstheme="majorBidi"/>
            <w:sz w:val="24"/>
            <w:szCs w:val="24"/>
          </w:rPr>
          <w:t>https://lebanon.eptalex.com/sites/default/files/Banking-Sector-and-Lebanese-Economy.pdf</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Ul Haq, I. and Awan, T. (2020). Impact of e-banking service quality on e-loyalty in pandemic times through interplay of e-satisfaction. </w:t>
      </w:r>
      <w:r w:rsidRPr="003658BF">
        <w:rPr>
          <w:rFonts w:asciiTheme="majorBidi" w:hAnsiTheme="majorBidi" w:cstheme="majorBidi"/>
          <w:i/>
          <w:iCs/>
          <w:sz w:val="24"/>
          <w:szCs w:val="24"/>
        </w:rPr>
        <w:t xml:space="preserve">Vilakshan - XIMB Journal of Management, </w:t>
      </w:r>
      <w:r w:rsidRPr="003658BF">
        <w:rPr>
          <w:rFonts w:asciiTheme="majorBidi" w:hAnsiTheme="majorBidi" w:cstheme="majorBidi"/>
          <w:sz w:val="24"/>
          <w:szCs w:val="24"/>
        </w:rPr>
        <w:t xml:space="preserve">Vol. (17), No. (1/2), pp. 39 – 55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UNESCO (2020). Cultural Policies and Development. Retrieved Feb. 3, 2021 from </w:t>
      </w:r>
      <w:hyperlink r:id="rId48" w:history="1">
        <w:r w:rsidRPr="003658BF">
          <w:rPr>
            <w:rStyle w:val="Hyperlink"/>
            <w:rFonts w:asciiTheme="majorBidi" w:hAnsiTheme="majorBidi" w:cstheme="majorBidi"/>
            <w:sz w:val="24"/>
            <w:szCs w:val="24"/>
          </w:rPr>
          <w:t>https://en.unesco.org/sites/default/files/clt-cpd_lebanon_analysis_2020.pdf</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lastRenderedPageBreak/>
        <w:t xml:space="preserve">Vavra, T.G. (1997). Improving Your Measurement of Customer Satisfaction: A Guide to Creating, Conducting, Analyzing, and Reporting Customer Satisfaction Measurement Programs. </w:t>
      </w:r>
      <w:r w:rsidRPr="003658BF">
        <w:rPr>
          <w:rFonts w:asciiTheme="majorBidi" w:hAnsiTheme="majorBidi" w:cstheme="majorBidi"/>
          <w:i/>
          <w:iCs/>
          <w:sz w:val="24"/>
          <w:szCs w:val="24"/>
        </w:rPr>
        <w:t>American Society for Quality</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Vrincianu, M. &amp; Popa, L. (2010). Considerations Regarding the Security and Portection of E-banking Services Consumers’ Interest. Retrieved May 13, 2021 from </w:t>
      </w:r>
      <w:hyperlink r:id="rId49" w:history="1">
        <w:r w:rsidRPr="003658BF">
          <w:rPr>
            <w:rStyle w:val="Hyperlink"/>
            <w:rFonts w:asciiTheme="majorBidi" w:hAnsiTheme="majorBidi" w:cstheme="majorBidi"/>
            <w:sz w:val="24"/>
            <w:szCs w:val="24"/>
          </w:rPr>
          <w:t>https://core.ac.uk/download/pdf/6492899.pdf</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Werner, R. (2015). A lost century in economics: Three theories of banking and the conclusive evidence. Retrieved Feb 18, 2021 from </w:t>
      </w:r>
      <w:hyperlink r:id="rId50" w:history="1">
        <w:r w:rsidRPr="003658BF">
          <w:rPr>
            <w:rStyle w:val="Hyperlink"/>
            <w:rFonts w:asciiTheme="majorBidi" w:hAnsiTheme="majorBidi" w:cstheme="majorBidi"/>
            <w:sz w:val="24"/>
            <w:szCs w:val="24"/>
          </w:rPr>
          <w:t>http://creativecommons.org/licenses/by-nc-nd/4.0/</w:t>
        </w:r>
      </w:hyperlink>
      <w:r w:rsidRPr="003658BF">
        <w:rPr>
          <w:rFonts w:asciiTheme="majorBidi" w:hAnsiTheme="majorBidi" w:cstheme="majorBidi"/>
          <w:sz w:val="24"/>
          <w:szCs w:val="24"/>
        </w:rPr>
        <w:t xml:space="preserve"> </w:t>
      </w:r>
    </w:p>
    <w:p w:rsidR="00493E4F" w:rsidRPr="003658BF" w:rsidRDefault="00493E4F" w:rsidP="00493E4F">
      <w:pPr>
        <w:spacing w:line="360" w:lineRule="auto"/>
        <w:ind w:left="360"/>
        <w:jc w:val="both"/>
        <w:rPr>
          <w:rFonts w:asciiTheme="majorBidi" w:hAnsiTheme="majorBidi" w:cstheme="majorBidi"/>
          <w:sz w:val="24"/>
          <w:szCs w:val="24"/>
        </w:rPr>
      </w:pPr>
      <w:r w:rsidRPr="003658BF">
        <w:rPr>
          <w:rFonts w:asciiTheme="majorBidi" w:hAnsiTheme="majorBidi" w:cstheme="majorBidi"/>
          <w:sz w:val="24"/>
          <w:szCs w:val="24"/>
        </w:rPr>
        <w:t xml:space="preserve">World Bank (2019). Lebanon Economic Monitor: So when gravity beckons, the poor don’t fall. Retrieved January 11, 2021 from </w:t>
      </w:r>
      <w:hyperlink r:id="rId51" w:history="1">
        <w:r w:rsidRPr="003658BF">
          <w:rPr>
            <w:rStyle w:val="Hyperlink"/>
            <w:rFonts w:asciiTheme="majorBidi" w:hAnsiTheme="majorBidi" w:cstheme="majorBidi"/>
            <w:sz w:val="24"/>
            <w:szCs w:val="24"/>
          </w:rPr>
          <w:t>https://www.worldbank.org/en/country/lebanon/publication/lebanon-economic-monitor-fall-2019</w:t>
        </w:r>
      </w:hyperlink>
      <w:r w:rsidRPr="003658BF">
        <w:rPr>
          <w:rFonts w:asciiTheme="majorBidi" w:hAnsiTheme="majorBidi" w:cstheme="majorBidi"/>
          <w:sz w:val="24"/>
          <w:szCs w:val="24"/>
        </w:rPr>
        <w:t xml:space="preserve"> </w:t>
      </w:r>
    </w:p>
    <w:p w:rsidR="00493E4F" w:rsidRDefault="00493E4F" w:rsidP="00493E4F">
      <w:pPr>
        <w:spacing w:line="360" w:lineRule="auto"/>
        <w:ind w:left="360"/>
        <w:jc w:val="both"/>
        <w:rPr>
          <w:rFonts w:asciiTheme="majorBidi" w:hAnsiTheme="majorBidi"/>
          <w:sz w:val="24"/>
          <w:szCs w:val="24"/>
        </w:rPr>
      </w:pPr>
      <w:r w:rsidRPr="003658BF">
        <w:rPr>
          <w:rFonts w:asciiTheme="majorBidi" w:hAnsiTheme="majorBidi" w:cstheme="majorBidi"/>
          <w:sz w:val="24"/>
          <w:szCs w:val="24"/>
        </w:rPr>
        <w:t xml:space="preserve">Yee, V. (2019). </w:t>
      </w:r>
      <w:r w:rsidRPr="003658BF">
        <w:rPr>
          <w:rFonts w:asciiTheme="majorBidi" w:hAnsiTheme="majorBidi"/>
          <w:sz w:val="24"/>
          <w:szCs w:val="24"/>
        </w:rPr>
        <w:t xml:space="preserve">Lebanon Protesters Shut Down Parliament and Clash with Police. Retrieved January 12, 2021 from </w:t>
      </w:r>
      <w:hyperlink r:id="rId52" w:history="1">
        <w:r w:rsidRPr="003658BF">
          <w:rPr>
            <w:rStyle w:val="Hyperlink"/>
            <w:rFonts w:asciiTheme="majorBidi" w:hAnsiTheme="majorBidi"/>
            <w:sz w:val="24"/>
            <w:szCs w:val="24"/>
          </w:rPr>
          <w:t>https://www.nytimes.com/2019/11/19/world/middleeast/lebanon-parliament-protest.html</w:t>
        </w:r>
      </w:hyperlink>
      <w:r w:rsidRPr="003658BF">
        <w:rPr>
          <w:rFonts w:asciiTheme="majorBidi" w:hAnsiTheme="majorBidi"/>
          <w:sz w:val="24"/>
          <w:szCs w:val="24"/>
        </w:rPr>
        <w:t xml:space="preserve"> </w:t>
      </w:r>
    </w:p>
    <w:p w:rsidR="002C06C4" w:rsidRDefault="002C06C4" w:rsidP="00493E4F">
      <w:pPr>
        <w:spacing w:line="360" w:lineRule="auto"/>
        <w:ind w:left="360"/>
        <w:jc w:val="both"/>
        <w:rPr>
          <w:rFonts w:asciiTheme="majorBidi" w:hAnsiTheme="majorBidi"/>
          <w:sz w:val="24"/>
          <w:szCs w:val="24"/>
        </w:rPr>
      </w:pPr>
    </w:p>
    <w:p w:rsidR="002C06C4" w:rsidRDefault="002C06C4" w:rsidP="00493E4F">
      <w:pPr>
        <w:spacing w:line="360" w:lineRule="auto"/>
        <w:ind w:left="360"/>
        <w:jc w:val="both"/>
        <w:rPr>
          <w:rFonts w:asciiTheme="majorBidi" w:hAnsiTheme="majorBidi"/>
          <w:sz w:val="24"/>
          <w:szCs w:val="24"/>
        </w:rPr>
      </w:pPr>
    </w:p>
    <w:p w:rsidR="002C06C4" w:rsidRDefault="002C06C4" w:rsidP="00493E4F">
      <w:pPr>
        <w:spacing w:line="360" w:lineRule="auto"/>
        <w:ind w:left="360"/>
        <w:jc w:val="both"/>
        <w:rPr>
          <w:rFonts w:asciiTheme="majorBidi" w:hAnsiTheme="majorBidi"/>
          <w:sz w:val="24"/>
          <w:szCs w:val="24"/>
        </w:rPr>
      </w:pPr>
    </w:p>
    <w:p w:rsidR="002C06C4" w:rsidRDefault="002C06C4" w:rsidP="00493E4F">
      <w:pPr>
        <w:spacing w:line="360" w:lineRule="auto"/>
        <w:ind w:left="360"/>
        <w:jc w:val="both"/>
        <w:rPr>
          <w:rFonts w:asciiTheme="majorBidi" w:hAnsiTheme="majorBidi"/>
          <w:sz w:val="24"/>
          <w:szCs w:val="24"/>
        </w:rPr>
      </w:pPr>
    </w:p>
    <w:p w:rsidR="002C06C4" w:rsidRDefault="002C06C4" w:rsidP="00493E4F">
      <w:pPr>
        <w:spacing w:line="360" w:lineRule="auto"/>
        <w:ind w:left="360"/>
        <w:jc w:val="both"/>
        <w:rPr>
          <w:rFonts w:asciiTheme="majorBidi" w:hAnsiTheme="majorBidi"/>
          <w:sz w:val="24"/>
          <w:szCs w:val="24"/>
        </w:rPr>
      </w:pPr>
    </w:p>
    <w:p w:rsidR="002C06C4" w:rsidRDefault="002C06C4" w:rsidP="00493E4F">
      <w:pPr>
        <w:spacing w:line="360" w:lineRule="auto"/>
        <w:ind w:left="360"/>
        <w:jc w:val="both"/>
        <w:rPr>
          <w:rFonts w:asciiTheme="majorBidi" w:hAnsiTheme="majorBidi"/>
          <w:sz w:val="24"/>
          <w:szCs w:val="24"/>
        </w:rPr>
      </w:pPr>
    </w:p>
    <w:p w:rsidR="002C06C4" w:rsidRDefault="002C06C4" w:rsidP="00493E4F">
      <w:pPr>
        <w:spacing w:line="360" w:lineRule="auto"/>
        <w:ind w:left="360"/>
        <w:jc w:val="both"/>
        <w:rPr>
          <w:rFonts w:asciiTheme="majorBidi" w:hAnsiTheme="majorBidi"/>
          <w:sz w:val="24"/>
          <w:szCs w:val="24"/>
        </w:rPr>
      </w:pPr>
    </w:p>
    <w:p w:rsidR="002C06C4" w:rsidRDefault="002C06C4" w:rsidP="00493E4F">
      <w:pPr>
        <w:spacing w:line="360" w:lineRule="auto"/>
        <w:ind w:left="360"/>
        <w:jc w:val="both"/>
        <w:rPr>
          <w:rFonts w:asciiTheme="majorBidi" w:hAnsiTheme="majorBidi"/>
          <w:sz w:val="24"/>
          <w:szCs w:val="24"/>
        </w:rPr>
      </w:pPr>
    </w:p>
    <w:p w:rsidR="002C06C4" w:rsidRDefault="002C06C4" w:rsidP="00493E4F">
      <w:pPr>
        <w:spacing w:line="360" w:lineRule="auto"/>
        <w:ind w:left="360"/>
        <w:jc w:val="both"/>
        <w:rPr>
          <w:rFonts w:asciiTheme="majorBidi" w:hAnsiTheme="majorBidi"/>
          <w:sz w:val="24"/>
          <w:szCs w:val="24"/>
        </w:rPr>
      </w:pPr>
    </w:p>
    <w:p w:rsidR="002C06C4" w:rsidRDefault="004E7338" w:rsidP="00493E4F">
      <w:pPr>
        <w:spacing w:line="360" w:lineRule="auto"/>
        <w:ind w:left="360"/>
        <w:jc w:val="both"/>
        <w:rPr>
          <w:rFonts w:asciiTheme="majorBidi" w:hAnsiTheme="majorBidi"/>
          <w:b/>
          <w:bCs/>
          <w:sz w:val="24"/>
          <w:szCs w:val="24"/>
        </w:rPr>
      </w:pPr>
      <w:r>
        <w:rPr>
          <w:rFonts w:asciiTheme="majorBidi" w:hAnsiTheme="majorBidi"/>
          <w:b/>
          <w:bCs/>
          <w:sz w:val="24"/>
          <w:szCs w:val="24"/>
        </w:rPr>
        <w:lastRenderedPageBreak/>
        <w:t xml:space="preserve">Appendices </w:t>
      </w:r>
    </w:p>
    <w:p w:rsidR="004E7338" w:rsidRDefault="004E7338" w:rsidP="00493E4F">
      <w:pPr>
        <w:spacing w:line="360" w:lineRule="auto"/>
        <w:ind w:left="360"/>
        <w:jc w:val="both"/>
        <w:rPr>
          <w:rFonts w:asciiTheme="majorBidi" w:hAnsiTheme="majorBidi"/>
          <w:sz w:val="24"/>
          <w:szCs w:val="24"/>
        </w:rPr>
      </w:pPr>
      <w:r>
        <w:rPr>
          <w:rFonts w:asciiTheme="majorBidi" w:hAnsiTheme="majorBidi"/>
          <w:sz w:val="24"/>
          <w:szCs w:val="24"/>
        </w:rPr>
        <w:t xml:space="preserve">Appendix 1: Questionnaire </w:t>
      </w:r>
    </w:p>
    <w:p w:rsidR="00F7749E" w:rsidRDefault="00F7749E" w:rsidP="00F7749E">
      <w:pPr>
        <w:tabs>
          <w:tab w:val="left" w:pos="6660"/>
        </w:tabs>
        <w:jc w:val="both"/>
        <w:rPr>
          <w:rFonts w:asciiTheme="majorBidi" w:hAnsiTheme="majorBidi" w:cstheme="majorBidi"/>
          <w:sz w:val="24"/>
          <w:szCs w:val="24"/>
        </w:rPr>
      </w:pPr>
      <w:r>
        <w:rPr>
          <w:rFonts w:asciiTheme="majorBidi" w:hAnsiTheme="majorBidi" w:cstheme="majorBidi"/>
          <w:sz w:val="24"/>
          <w:szCs w:val="24"/>
        </w:rPr>
        <w:t xml:space="preserve">Disclaimer: This questionnaire is completely voluntary and there are no obligations for sharing any information. All the gathered data will only be used within the context of this study. No personal information will be requested, and if any is provided, they will not be shared with any third party. There are no monetary or otherwise incentives for participation in this study. </w:t>
      </w:r>
    </w:p>
    <w:p w:rsidR="00F7749E" w:rsidRDefault="00F7749E" w:rsidP="00F7749E">
      <w:pPr>
        <w:rPr>
          <w:rFonts w:asciiTheme="majorBidi" w:hAnsiTheme="majorBidi" w:cstheme="majorBidi"/>
          <w:sz w:val="24"/>
          <w:szCs w:val="24"/>
        </w:rPr>
      </w:pPr>
    </w:p>
    <w:p w:rsidR="00F7749E" w:rsidRDefault="00F7749E" w:rsidP="00F7749E">
      <w:pPr>
        <w:rPr>
          <w:rFonts w:asciiTheme="majorBidi" w:hAnsiTheme="majorBidi" w:cstheme="majorBidi"/>
          <w:sz w:val="24"/>
          <w:szCs w:val="24"/>
        </w:rPr>
      </w:pPr>
      <w:r>
        <w:rPr>
          <w:rFonts w:asciiTheme="majorBidi" w:hAnsiTheme="majorBidi" w:cstheme="majorBidi"/>
          <w:sz w:val="24"/>
          <w:szCs w:val="24"/>
        </w:rPr>
        <w:t xml:space="preserve">Section I: Demographic Data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Age</w:t>
      </w:r>
    </w:p>
    <w:p w:rsidR="00F7749E" w:rsidRDefault="00F7749E" w:rsidP="00F7749E">
      <w:pPr>
        <w:pStyle w:val="Listenabsatz"/>
        <w:numPr>
          <w:ilvl w:val="0"/>
          <w:numId w:val="8"/>
        </w:numPr>
        <w:rPr>
          <w:rFonts w:asciiTheme="majorBidi" w:hAnsiTheme="majorBidi" w:cstheme="majorBidi"/>
          <w:sz w:val="24"/>
          <w:szCs w:val="24"/>
        </w:rPr>
      </w:pPr>
      <w:r>
        <w:rPr>
          <w:rFonts w:asciiTheme="majorBidi" w:hAnsiTheme="majorBidi" w:cstheme="majorBidi"/>
          <w:sz w:val="24"/>
          <w:szCs w:val="24"/>
        </w:rPr>
        <w:t>18-21</w:t>
      </w:r>
    </w:p>
    <w:p w:rsidR="00F7749E" w:rsidRDefault="00F7749E" w:rsidP="00F7749E">
      <w:pPr>
        <w:pStyle w:val="Listenabsatz"/>
        <w:numPr>
          <w:ilvl w:val="0"/>
          <w:numId w:val="8"/>
        </w:numPr>
        <w:rPr>
          <w:rFonts w:asciiTheme="majorBidi" w:hAnsiTheme="majorBidi" w:cstheme="majorBidi"/>
          <w:sz w:val="24"/>
          <w:szCs w:val="24"/>
        </w:rPr>
      </w:pPr>
      <w:r>
        <w:rPr>
          <w:rFonts w:asciiTheme="majorBidi" w:hAnsiTheme="majorBidi" w:cstheme="majorBidi"/>
          <w:sz w:val="24"/>
          <w:szCs w:val="24"/>
        </w:rPr>
        <w:t>22-30</w:t>
      </w:r>
    </w:p>
    <w:p w:rsidR="00F7749E" w:rsidRDefault="00F7749E" w:rsidP="00F7749E">
      <w:pPr>
        <w:pStyle w:val="Listenabsatz"/>
        <w:numPr>
          <w:ilvl w:val="0"/>
          <w:numId w:val="8"/>
        </w:numPr>
        <w:rPr>
          <w:rFonts w:asciiTheme="majorBidi" w:hAnsiTheme="majorBidi" w:cstheme="majorBidi"/>
          <w:sz w:val="24"/>
          <w:szCs w:val="24"/>
        </w:rPr>
      </w:pPr>
      <w:r>
        <w:rPr>
          <w:rFonts w:asciiTheme="majorBidi" w:hAnsiTheme="majorBidi" w:cstheme="majorBidi"/>
          <w:sz w:val="24"/>
          <w:szCs w:val="24"/>
        </w:rPr>
        <w:t>30-40</w:t>
      </w:r>
    </w:p>
    <w:p w:rsidR="00F7749E" w:rsidRDefault="00F7749E" w:rsidP="00F7749E">
      <w:pPr>
        <w:pStyle w:val="Listenabsatz"/>
        <w:numPr>
          <w:ilvl w:val="0"/>
          <w:numId w:val="8"/>
        </w:numPr>
        <w:rPr>
          <w:rFonts w:asciiTheme="majorBidi" w:hAnsiTheme="majorBidi" w:cstheme="majorBidi"/>
          <w:sz w:val="24"/>
          <w:szCs w:val="24"/>
        </w:rPr>
      </w:pPr>
      <w:r>
        <w:rPr>
          <w:rFonts w:asciiTheme="majorBidi" w:hAnsiTheme="majorBidi" w:cstheme="majorBidi"/>
          <w:sz w:val="24"/>
          <w:szCs w:val="24"/>
        </w:rPr>
        <w:t>40+</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Gender</w:t>
      </w:r>
    </w:p>
    <w:p w:rsidR="00F7749E" w:rsidRDefault="00F7749E" w:rsidP="00F7749E">
      <w:pPr>
        <w:pStyle w:val="Listenabsatz"/>
        <w:numPr>
          <w:ilvl w:val="0"/>
          <w:numId w:val="9"/>
        </w:numPr>
        <w:rPr>
          <w:rFonts w:asciiTheme="majorBidi" w:hAnsiTheme="majorBidi" w:cstheme="majorBidi"/>
          <w:sz w:val="24"/>
          <w:szCs w:val="24"/>
        </w:rPr>
      </w:pPr>
      <w:r>
        <w:rPr>
          <w:rFonts w:asciiTheme="majorBidi" w:hAnsiTheme="majorBidi" w:cstheme="majorBidi"/>
          <w:sz w:val="24"/>
          <w:szCs w:val="24"/>
        </w:rPr>
        <w:t xml:space="preserve">Male </w:t>
      </w:r>
    </w:p>
    <w:p w:rsidR="00F7749E" w:rsidRDefault="00F7749E" w:rsidP="00F7749E">
      <w:pPr>
        <w:pStyle w:val="Listenabsatz"/>
        <w:numPr>
          <w:ilvl w:val="0"/>
          <w:numId w:val="9"/>
        </w:numPr>
        <w:rPr>
          <w:rFonts w:asciiTheme="majorBidi" w:hAnsiTheme="majorBidi" w:cstheme="majorBidi"/>
          <w:sz w:val="24"/>
          <w:szCs w:val="24"/>
        </w:rPr>
      </w:pPr>
      <w:r>
        <w:rPr>
          <w:rFonts w:asciiTheme="majorBidi" w:hAnsiTheme="majorBidi" w:cstheme="majorBidi"/>
          <w:sz w:val="24"/>
          <w:szCs w:val="24"/>
        </w:rPr>
        <w:t xml:space="preserve">Female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Education level </w:t>
      </w:r>
    </w:p>
    <w:p w:rsidR="00F7749E" w:rsidRDefault="00F7749E" w:rsidP="00F7749E">
      <w:pPr>
        <w:pStyle w:val="Listenabsatz"/>
        <w:numPr>
          <w:ilvl w:val="0"/>
          <w:numId w:val="10"/>
        </w:numPr>
        <w:rPr>
          <w:rFonts w:asciiTheme="majorBidi" w:hAnsiTheme="majorBidi" w:cstheme="majorBidi"/>
          <w:sz w:val="24"/>
          <w:szCs w:val="24"/>
        </w:rPr>
      </w:pPr>
      <w:r>
        <w:rPr>
          <w:rFonts w:asciiTheme="majorBidi" w:hAnsiTheme="majorBidi" w:cstheme="majorBidi"/>
          <w:sz w:val="24"/>
          <w:szCs w:val="24"/>
        </w:rPr>
        <w:t xml:space="preserve">School </w:t>
      </w:r>
    </w:p>
    <w:p w:rsidR="00F7749E" w:rsidRDefault="00F7749E" w:rsidP="00F7749E">
      <w:pPr>
        <w:pStyle w:val="Listenabsatz"/>
        <w:numPr>
          <w:ilvl w:val="0"/>
          <w:numId w:val="10"/>
        </w:numPr>
        <w:rPr>
          <w:rFonts w:asciiTheme="majorBidi" w:hAnsiTheme="majorBidi" w:cstheme="majorBidi"/>
          <w:sz w:val="24"/>
          <w:szCs w:val="24"/>
        </w:rPr>
      </w:pPr>
      <w:r>
        <w:rPr>
          <w:rFonts w:asciiTheme="majorBidi" w:hAnsiTheme="majorBidi" w:cstheme="majorBidi"/>
          <w:sz w:val="24"/>
          <w:szCs w:val="24"/>
        </w:rPr>
        <w:t xml:space="preserve">License </w:t>
      </w:r>
    </w:p>
    <w:p w:rsidR="00F7749E" w:rsidRDefault="00F7749E" w:rsidP="00F7749E">
      <w:pPr>
        <w:pStyle w:val="Listenabsatz"/>
        <w:numPr>
          <w:ilvl w:val="0"/>
          <w:numId w:val="10"/>
        </w:numPr>
        <w:rPr>
          <w:rFonts w:asciiTheme="majorBidi" w:hAnsiTheme="majorBidi" w:cstheme="majorBidi"/>
          <w:sz w:val="24"/>
          <w:szCs w:val="24"/>
        </w:rPr>
      </w:pPr>
      <w:r>
        <w:rPr>
          <w:rFonts w:asciiTheme="majorBidi" w:hAnsiTheme="majorBidi" w:cstheme="majorBidi"/>
          <w:sz w:val="24"/>
          <w:szCs w:val="24"/>
        </w:rPr>
        <w:t xml:space="preserve">Masters </w:t>
      </w:r>
    </w:p>
    <w:p w:rsidR="00F7749E" w:rsidRDefault="00F7749E" w:rsidP="00F7749E">
      <w:pPr>
        <w:pStyle w:val="Listenabsatz"/>
        <w:numPr>
          <w:ilvl w:val="0"/>
          <w:numId w:val="10"/>
        </w:numPr>
        <w:rPr>
          <w:rFonts w:asciiTheme="majorBidi" w:hAnsiTheme="majorBidi" w:cstheme="majorBidi"/>
          <w:sz w:val="24"/>
          <w:szCs w:val="24"/>
        </w:rPr>
      </w:pPr>
      <w:r>
        <w:rPr>
          <w:rFonts w:asciiTheme="majorBidi" w:hAnsiTheme="majorBidi" w:cstheme="majorBidi"/>
          <w:sz w:val="24"/>
          <w:szCs w:val="24"/>
        </w:rPr>
        <w:t xml:space="preserve">PhD </w:t>
      </w:r>
    </w:p>
    <w:p w:rsidR="00F7749E" w:rsidRPr="003B48BA"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Income </w:t>
      </w:r>
    </w:p>
    <w:p w:rsidR="00F7749E" w:rsidRDefault="00F7749E" w:rsidP="00F7749E">
      <w:pPr>
        <w:pStyle w:val="Listenabsatz"/>
        <w:numPr>
          <w:ilvl w:val="0"/>
          <w:numId w:val="11"/>
        </w:numPr>
        <w:rPr>
          <w:rFonts w:asciiTheme="majorBidi" w:hAnsiTheme="majorBidi" w:cstheme="majorBidi"/>
          <w:sz w:val="24"/>
          <w:szCs w:val="24"/>
        </w:rPr>
      </w:pPr>
      <w:r>
        <w:rPr>
          <w:rFonts w:asciiTheme="majorBidi" w:hAnsiTheme="majorBidi" w:cstheme="majorBidi"/>
          <w:sz w:val="24"/>
          <w:szCs w:val="24"/>
        </w:rPr>
        <w:t>675,000 LL</w:t>
      </w:r>
    </w:p>
    <w:p w:rsidR="00F7749E" w:rsidRDefault="00F7749E" w:rsidP="00F7749E">
      <w:pPr>
        <w:pStyle w:val="Listenabsatz"/>
        <w:numPr>
          <w:ilvl w:val="0"/>
          <w:numId w:val="11"/>
        </w:numPr>
        <w:rPr>
          <w:rFonts w:asciiTheme="majorBidi" w:hAnsiTheme="majorBidi" w:cstheme="majorBidi"/>
          <w:sz w:val="24"/>
          <w:szCs w:val="24"/>
        </w:rPr>
      </w:pPr>
      <w:r>
        <w:rPr>
          <w:rFonts w:asciiTheme="majorBidi" w:hAnsiTheme="majorBidi" w:cstheme="majorBidi"/>
          <w:sz w:val="24"/>
          <w:szCs w:val="24"/>
        </w:rPr>
        <w:t xml:space="preserve">676,000 LL – 2,250,00 LL </w:t>
      </w:r>
    </w:p>
    <w:p w:rsidR="00F7749E" w:rsidRPr="003B48BA" w:rsidRDefault="00F7749E" w:rsidP="00F7749E">
      <w:pPr>
        <w:pStyle w:val="Listenabsatz"/>
        <w:numPr>
          <w:ilvl w:val="0"/>
          <w:numId w:val="11"/>
        </w:numPr>
        <w:rPr>
          <w:rFonts w:asciiTheme="majorBidi" w:hAnsiTheme="majorBidi" w:cstheme="majorBidi"/>
          <w:sz w:val="24"/>
          <w:szCs w:val="24"/>
        </w:rPr>
      </w:pPr>
      <w:r w:rsidRPr="003B48BA">
        <w:rPr>
          <w:rFonts w:asciiTheme="majorBidi" w:hAnsiTheme="majorBidi" w:cstheme="majorBidi"/>
          <w:sz w:val="24"/>
          <w:szCs w:val="24"/>
        </w:rPr>
        <w:t>2,251,000 LL – 3,750,000 LL</w:t>
      </w:r>
    </w:p>
    <w:p w:rsidR="00F7749E" w:rsidRDefault="00F7749E" w:rsidP="00F7749E">
      <w:pPr>
        <w:pStyle w:val="Listenabsatz"/>
        <w:numPr>
          <w:ilvl w:val="0"/>
          <w:numId w:val="11"/>
        </w:numPr>
        <w:rPr>
          <w:rFonts w:asciiTheme="majorBidi" w:hAnsiTheme="majorBidi" w:cstheme="majorBidi"/>
          <w:sz w:val="24"/>
          <w:szCs w:val="24"/>
        </w:rPr>
      </w:pPr>
      <w:r>
        <w:rPr>
          <w:rFonts w:asciiTheme="majorBidi" w:hAnsiTheme="majorBidi" w:cstheme="majorBidi"/>
          <w:sz w:val="24"/>
          <w:szCs w:val="24"/>
        </w:rPr>
        <w:t xml:space="preserve">3,751,000 LL +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Duration of electronic account </w:t>
      </w:r>
    </w:p>
    <w:p w:rsidR="00F7749E" w:rsidRDefault="00F7749E" w:rsidP="00F7749E">
      <w:pPr>
        <w:pStyle w:val="Listenabsatz"/>
        <w:numPr>
          <w:ilvl w:val="0"/>
          <w:numId w:val="12"/>
        </w:numPr>
        <w:rPr>
          <w:rFonts w:asciiTheme="majorBidi" w:hAnsiTheme="majorBidi" w:cstheme="majorBidi"/>
          <w:sz w:val="24"/>
          <w:szCs w:val="24"/>
        </w:rPr>
      </w:pPr>
      <w:r>
        <w:rPr>
          <w:rFonts w:asciiTheme="majorBidi" w:hAnsiTheme="majorBidi" w:cstheme="majorBidi"/>
          <w:sz w:val="24"/>
          <w:szCs w:val="24"/>
        </w:rPr>
        <w:t xml:space="preserve">Less than a year </w:t>
      </w:r>
    </w:p>
    <w:p w:rsidR="00F7749E" w:rsidRDefault="00F7749E" w:rsidP="00F7749E">
      <w:pPr>
        <w:pStyle w:val="Listenabsatz"/>
        <w:numPr>
          <w:ilvl w:val="0"/>
          <w:numId w:val="12"/>
        </w:numPr>
        <w:rPr>
          <w:rFonts w:asciiTheme="majorBidi" w:hAnsiTheme="majorBidi" w:cstheme="majorBidi"/>
          <w:sz w:val="24"/>
          <w:szCs w:val="24"/>
        </w:rPr>
      </w:pPr>
      <w:r>
        <w:rPr>
          <w:rFonts w:asciiTheme="majorBidi" w:hAnsiTheme="majorBidi" w:cstheme="majorBidi"/>
          <w:sz w:val="24"/>
          <w:szCs w:val="24"/>
        </w:rPr>
        <w:t xml:space="preserve">1 – 3 years </w:t>
      </w:r>
    </w:p>
    <w:p w:rsidR="00F7749E" w:rsidRDefault="00F7749E" w:rsidP="00F7749E">
      <w:pPr>
        <w:pStyle w:val="Listenabsatz"/>
        <w:numPr>
          <w:ilvl w:val="0"/>
          <w:numId w:val="12"/>
        </w:numPr>
        <w:rPr>
          <w:rFonts w:asciiTheme="majorBidi" w:hAnsiTheme="majorBidi" w:cstheme="majorBidi"/>
          <w:sz w:val="24"/>
          <w:szCs w:val="24"/>
        </w:rPr>
      </w:pPr>
      <w:r>
        <w:rPr>
          <w:rFonts w:asciiTheme="majorBidi" w:hAnsiTheme="majorBidi" w:cstheme="majorBidi"/>
          <w:sz w:val="24"/>
          <w:szCs w:val="24"/>
        </w:rPr>
        <w:t xml:space="preserve">4 – 7 years </w:t>
      </w:r>
    </w:p>
    <w:p w:rsidR="00F7749E" w:rsidRDefault="00F7749E" w:rsidP="00F7749E">
      <w:pPr>
        <w:pStyle w:val="Listenabsatz"/>
        <w:numPr>
          <w:ilvl w:val="0"/>
          <w:numId w:val="12"/>
        </w:numPr>
        <w:rPr>
          <w:rFonts w:asciiTheme="majorBidi" w:hAnsiTheme="majorBidi" w:cstheme="majorBidi"/>
          <w:sz w:val="24"/>
          <w:szCs w:val="24"/>
        </w:rPr>
      </w:pPr>
      <w:r>
        <w:rPr>
          <w:rFonts w:asciiTheme="majorBidi" w:hAnsiTheme="majorBidi" w:cstheme="majorBidi"/>
          <w:sz w:val="24"/>
          <w:szCs w:val="24"/>
        </w:rPr>
        <w:t>More than 8 years</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Frequency of using e-banking per week. </w:t>
      </w:r>
    </w:p>
    <w:p w:rsidR="00F7749E" w:rsidRDefault="00F7749E" w:rsidP="00F7749E">
      <w:pPr>
        <w:pStyle w:val="Listenabsatz"/>
        <w:numPr>
          <w:ilvl w:val="0"/>
          <w:numId w:val="22"/>
        </w:numPr>
        <w:rPr>
          <w:rFonts w:asciiTheme="majorBidi" w:hAnsiTheme="majorBidi" w:cstheme="majorBidi"/>
          <w:sz w:val="24"/>
          <w:szCs w:val="24"/>
        </w:rPr>
      </w:pPr>
      <w:r>
        <w:rPr>
          <w:rFonts w:asciiTheme="majorBidi" w:hAnsiTheme="majorBidi" w:cstheme="majorBidi"/>
          <w:sz w:val="24"/>
          <w:szCs w:val="24"/>
        </w:rPr>
        <w:t xml:space="preserve">0-1 </w:t>
      </w:r>
    </w:p>
    <w:p w:rsidR="00F7749E" w:rsidRDefault="00F7749E" w:rsidP="00F7749E">
      <w:pPr>
        <w:pStyle w:val="Listenabsatz"/>
        <w:numPr>
          <w:ilvl w:val="0"/>
          <w:numId w:val="22"/>
        </w:numPr>
        <w:rPr>
          <w:rFonts w:asciiTheme="majorBidi" w:hAnsiTheme="majorBidi" w:cstheme="majorBidi"/>
          <w:sz w:val="24"/>
          <w:szCs w:val="24"/>
        </w:rPr>
      </w:pPr>
      <w:r>
        <w:rPr>
          <w:rFonts w:asciiTheme="majorBidi" w:hAnsiTheme="majorBidi" w:cstheme="majorBidi"/>
          <w:sz w:val="24"/>
          <w:szCs w:val="24"/>
        </w:rPr>
        <w:t xml:space="preserve">2-3 </w:t>
      </w:r>
    </w:p>
    <w:p w:rsidR="00F7749E" w:rsidRDefault="00F7749E" w:rsidP="00F7749E">
      <w:pPr>
        <w:pStyle w:val="Listenabsatz"/>
        <w:numPr>
          <w:ilvl w:val="0"/>
          <w:numId w:val="22"/>
        </w:numPr>
        <w:rPr>
          <w:rFonts w:asciiTheme="majorBidi" w:hAnsiTheme="majorBidi" w:cstheme="majorBidi"/>
          <w:sz w:val="24"/>
          <w:szCs w:val="24"/>
        </w:rPr>
      </w:pPr>
      <w:r>
        <w:rPr>
          <w:rFonts w:asciiTheme="majorBidi" w:hAnsiTheme="majorBidi" w:cstheme="majorBidi"/>
          <w:sz w:val="24"/>
          <w:szCs w:val="24"/>
        </w:rPr>
        <w:t xml:space="preserve">4-5 </w:t>
      </w:r>
    </w:p>
    <w:p w:rsidR="00F7749E" w:rsidRDefault="00F7749E" w:rsidP="00F7749E">
      <w:pPr>
        <w:pStyle w:val="Listenabsatz"/>
        <w:numPr>
          <w:ilvl w:val="0"/>
          <w:numId w:val="22"/>
        </w:numPr>
        <w:rPr>
          <w:rFonts w:asciiTheme="majorBidi" w:hAnsiTheme="majorBidi" w:cstheme="majorBidi"/>
          <w:sz w:val="24"/>
          <w:szCs w:val="24"/>
        </w:rPr>
      </w:pPr>
      <w:r>
        <w:rPr>
          <w:rFonts w:asciiTheme="majorBidi" w:hAnsiTheme="majorBidi" w:cstheme="majorBidi"/>
          <w:sz w:val="24"/>
          <w:szCs w:val="24"/>
        </w:rPr>
        <w:t xml:space="preserve">Daily  </w:t>
      </w:r>
    </w:p>
    <w:p w:rsidR="00F7749E" w:rsidRDefault="00F7749E" w:rsidP="00F7749E">
      <w:pPr>
        <w:rPr>
          <w:rFonts w:asciiTheme="majorBidi" w:hAnsiTheme="majorBidi" w:cstheme="majorBidi"/>
          <w:sz w:val="24"/>
          <w:szCs w:val="24"/>
        </w:rPr>
      </w:pPr>
      <w:r>
        <w:rPr>
          <w:rFonts w:asciiTheme="majorBidi" w:hAnsiTheme="majorBidi" w:cstheme="majorBidi"/>
          <w:sz w:val="24"/>
          <w:szCs w:val="24"/>
        </w:rPr>
        <w:lastRenderedPageBreak/>
        <w:t xml:space="preserve">Section II: E-banking satisfaction </w:t>
      </w:r>
    </w:p>
    <w:p w:rsidR="00F7749E" w:rsidRDefault="00F7749E" w:rsidP="00F7749E">
      <w:pPr>
        <w:jc w:val="both"/>
        <w:rPr>
          <w:rFonts w:asciiTheme="majorBidi" w:hAnsiTheme="majorBidi" w:cstheme="majorBidi"/>
          <w:sz w:val="24"/>
          <w:szCs w:val="24"/>
        </w:rPr>
      </w:pPr>
      <w:r>
        <w:rPr>
          <w:rFonts w:asciiTheme="majorBidi" w:hAnsiTheme="majorBidi" w:cstheme="majorBidi"/>
          <w:sz w:val="24"/>
          <w:szCs w:val="24"/>
        </w:rPr>
        <w:t>For questions 7 and 8, not</w:t>
      </w:r>
      <w:r w:rsidR="00992330">
        <w:rPr>
          <w:rFonts w:asciiTheme="majorBidi" w:hAnsiTheme="majorBidi" w:cstheme="majorBidi"/>
          <w:sz w:val="24"/>
          <w:szCs w:val="24"/>
        </w:rPr>
        <w:t>e</w:t>
      </w:r>
      <w:r>
        <w:rPr>
          <w:rFonts w:asciiTheme="majorBidi" w:hAnsiTheme="majorBidi" w:cstheme="majorBidi"/>
          <w:sz w:val="24"/>
          <w:szCs w:val="24"/>
        </w:rPr>
        <w:t xml:space="preserve"> that 1 represents poor satisfaction with the performance of banks while 5 represents the highest levels of satisfaction with the performance.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Rate your satisfaction with e-banking before the pandemic</w:t>
      </w:r>
    </w:p>
    <w:tbl>
      <w:tblPr>
        <w:tblStyle w:val="Tabellenraster"/>
        <w:tblW w:w="0" w:type="auto"/>
        <w:tblInd w:w="720" w:type="dxa"/>
        <w:tblLook w:val="04A0" w:firstRow="1" w:lastRow="0" w:firstColumn="1" w:lastColumn="0" w:noHBand="0" w:noVBand="1"/>
      </w:tblPr>
      <w:tblGrid>
        <w:gridCol w:w="1771"/>
        <w:gridCol w:w="1771"/>
        <w:gridCol w:w="1771"/>
        <w:gridCol w:w="1771"/>
        <w:gridCol w:w="1772"/>
      </w:tblGrid>
      <w:tr w:rsidR="00F7749E" w:rsidTr="00D84BB3">
        <w:tc>
          <w:tcPr>
            <w:tcW w:w="1915" w:type="dxa"/>
          </w:tcPr>
          <w:p w:rsidR="00F7749E" w:rsidRDefault="00F7749E" w:rsidP="00D84BB3">
            <w:pPr>
              <w:pStyle w:val="Listenabsatz"/>
              <w:ind w:left="0"/>
              <w:jc w:val="center"/>
              <w:rPr>
                <w:rFonts w:asciiTheme="majorBidi" w:hAnsiTheme="majorBidi" w:cstheme="majorBidi"/>
                <w:sz w:val="24"/>
                <w:szCs w:val="24"/>
              </w:rPr>
            </w:pPr>
            <w:r>
              <w:rPr>
                <w:rFonts w:asciiTheme="majorBidi" w:hAnsiTheme="majorBidi" w:cstheme="majorBidi"/>
                <w:sz w:val="24"/>
                <w:szCs w:val="24"/>
              </w:rPr>
              <w:t>1</w:t>
            </w:r>
          </w:p>
        </w:tc>
        <w:tc>
          <w:tcPr>
            <w:tcW w:w="1915" w:type="dxa"/>
          </w:tcPr>
          <w:p w:rsidR="00F7749E" w:rsidRDefault="00F7749E" w:rsidP="00D84BB3">
            <w:pPr>
              <w:pStyle w:val="Listenabsatz"/>
              <w:ind w:left="0"/>
              <w:jc w:val="center"/>
              <w:rPr>
                <w:rFonts w:asciiTheme="majorBidi" w:hAnsiTheme="majorBidi" w:cstheme="majorBidi"/>
                <w:sz w:val="24"/>
                <w:szCs w:val="24"/>
              </w:rPr>
            </w:pPr>
            <w:r>
              <w:rPr>
                <w:rFonts w:asciiTheme="majorBidi" w:hAnsiTheme="majorBidi" w:cstheme="majorBidi"/>
                <w:sz w:val="24"/>
                <w:szCs w:val="24"/>
              </w:rPr>
              <w:t>2</w:t>
            </w:r>
          </w:p>
        </w:tc>
        <w:tc>
          <w:tcPr>
            <w:tcW w:w="1915" w:type="dxa"/>
          </w:tcPr>
          <w:p w:rsidR="00F7749E" w:rsidRDefault="00F7749E" w:rsidP="00D84BB3">
            <w:pPr>
              <w:pStyle w:val="Listenabsatz"/>
              <w:ind w:left="0"/>
              <w:jc w:val="center"/>
              <w:rPr>
                <w:rFonts w:asciiTheme="majorBidi" w:hAnsiTheme="majorBidi" w:cstheme="majorBidi"/>
                <w:sz w:val="24"/>
                <w:szCs w:val="24"/>
              </w:rPr>
            </w:pPr>
            <w:r>
              <w:rPr>
                <w:rFonts w:asciiTheme="majorBidi" w:hAnsiTheme="majorBidi" w:cstheme="majorBidi"/>
                <w:sz w:val="24"/>
                <w:szCs w:val="24"/>
              </w:rPr>
              <w:t>3</w:t>
            </w:r>
          </w:p>
        </w:tc>
        <w:tc>
          <w:tcPr>
            <w:tcW w:w="1915" w:type="dxa"/>
          </w:tcPr>
          <w:p w:rsidR="00F7749E" w:rsidRDefault="00F7749E" w:rsidP="00D84BB3">
            <w:pPr>
              <w:pStyle w:val="Listenabsatz"/>
              <w:ind w:left="0"/>
              <w:jc w:val="center"/>
              <w:rPr>
                <w:rFonts w:asciiTheme="majorBidi" w:hAnsiTheme="majorBidi" w:cstheme="majorBidi"/>
                <w:sz w:val="24"/>
                <w:szCs w:val="24"/>
              </w:rPr>
            </w:pPr>
            <w:r>
              <w:rPr>
                <w:rFonts w:asciiTheme="majorBidi" w:hAnsiTheme="majorBidi" w:cstheme="majorBidi"/>
                <w:sz w:val="24"/>
                <w:szCs w:val="24"/>
              </w:rPr>
              <w:t>4</w:t>
            </w:r>
          </w:p>
        </w:tc>
        <w:tc>
          <w:tcPr>
            <w:tcW w:w="1916" w:type="dxa"/>
          </w:tcPr>
          <w:p w:rsidR="00F7749E" w:rsidRDefault="00F7749E" w:rsidP="00D84BB3">
            <w:pPr>
              <w:pStyle w:val="Listenabsatz"/>
              <w:ind w:left="0"/>
              <w:jc w:val="center"/>
              <w:rPr>
                <w:rFonts w:asciiTheme="majorBidi" w:hAnsiTheme="majorBidi" w:cstheme="majorBidi"/>
                <w:sz w:val="24"/>
                <w:szCs w:val="24"/>
              </w:rPr>
            </w:pPr>
            <w:r>
              <w:rPr>
                <w:rFonts w:asciiTheme="majorBidi" w:hAnsiTheme="majorBidi" w:cstheme="majorBidi"/>
                <w:sz w:val="24"/>
                <w:szCs w:val="24"/>
              </w:rPr>
              <w:t>5</w:t>
            </w:r>
          </w:p>
        </w:tc>
      </w:tr>
    </w:tbl>
    <w:p w:rsidR="00F7749E" w:rsidRPr="003B48BA" w:rsidRDefault="00F7749E" w:rsidP="00F7749E">
      <w:pPr>
        <w:pStyle w:val="Listenabsatz"/>
        <w:rPr>
          <w:rFonts w:asciiTheme="majorBidi" w:hAnsiTheme="majorBidi" w:cstheme="majorBidi"/>
          <w:sz w:val="24"/>
          <w:szCs w:val="24"/>
        </w:rPr>
      </w:pP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Rate your satisfaction with e-banking after the pandemic</w:t>
      </w:r>
    </w:p>
    <w:tbl>
      <w:tblPr>
        <w:tblStyle w:val="Tabellenraster"/>
        <w:tblW w:w="0" w:type="auto"/>
        <w:tblInd w:w="720" w:type="dxa"/>
        <w:tblLook w:val="04A0" w:firstRow="1" w:lastRow="0" w:firstColumn="1" w:lastColumn="0" w:noHBand="0" w:noVBand="1"/>
      </w:tblPr>
      <w:tblGrid>
        <w:gridCol w:w="1771"/>
        <w:gridCol w:w="1771"/>
        <w:gridCol w:w="1771"/>
        <w:gridCol w:w="1771"/>
        <w:gridCol w:w="1772"/>
      </w:tblGrid>
      <w:tr w:rsidR="00F7749E" w:rsidTr="00D84BB3">
        <w:tc>
          <w:tcPr>
            <w:tcW w:w="1915" w:type="dxa"/>
          </w:tcPr>
          <w:p w:rsidR="00F7749E" w:rsidRDefault="00F7749E" w:rsidP="00D84BB3">
            <w:pPr>
              <w:pStyle w:val="Listenabsatz"/>
              <w:ind w:left="0"/>
              <w:jc w:val="center"/>
              <w:rPr>
                <w:rFonts w:asciiTheme="majorBidi" w:hAnsiTheme="majorBidi" w:cstheme="majorBidi"/>
                <w:sz w:val="24"/>
                <w:szCs w:val="24"/>
              </w:rPr>
            </w:pPr>
            <w:r>
              <w:rPr>
                <w:rFonts w:asciiTheme="majorBidi" w:hAnsiTheme="majorBidi" w:cstheme="majorBidi"/>
                <w:sz w:val="24"/>
                <w:szCs w:val="24"/>
              </w:rPr>
              <w:t>1</w:t>
            </w:r>
          </w:p>
        </w:tc>
        <w:tc>
          <w:tcPr>
            <w:tcW w:w="1915" w:type="dxa"/>
          </w:tcPr>
          <w:p w:rsidR="00F7749E" w:rsidRDefault="00F7749E" w:rsidP="00D84BB3">
            <w:pPr>
              <w:pStyle w:val="Listenabsatz"/>
              <w:ind w:left="0"/>
              <w:jc w:val="center"/>
              <w:rPr>
                <w:rFonts w:asciiTheme="majorBidi" w:hAnsiTheme="majorBidi" w:cstheme="majorBidi"/>
                <w:sz w:val="24"/>
                <w:szCs w:val="24"/>
              </w:rPr>
            </w:pPr>
            <w:r>
              <w:rPr>
                <w:rFonts w:asciiTheme="majorBidi" w:hAnsiTheme="majorBidi" w:cstheme="majorBidi"/>
                <w:sz w:val="24"/>
                <w:szCs w:val="24"/>
              </w:rPr>
              <w:t>2</w:t>
            </w:r>
          </w:p>
        </w:tc>
        <w:tc>
          <w:tcPr>
            <w:tcW w:w="1915" w:type="dxa"/>
          </w:tcPr>
          <w:p w:rsidR="00F7749E" w:rsidRDefault="00F7749E" w:rsidP="00D84BB3">
            <w:pPr>
              <w:pStyle w:val="Listenabsatz"/>
              <w:ind w:left="0"/>
              <w:jc w:val="center"/>
              <w:rPr>
                <w:rFonts w:asciiTheme="majorBidi" w:hAnsiTheme="majorBidi" w:cstheme="majorBidi"/>
                <w:sz w:val="24"/>
                <w:szCs w:val="24"/>
              </w:rPr>
            </w:pPr>
            <w:r>
              <w:rPr>
                <w:rFonts w:asciiTheme="majorBidi" w:hAnsiTheme="majorBidi" w:cstheme="majorBidi"/>
                <w:sz w:val="24"/>
                <w:szCs w:val="24"/>
              </w:rPr>
              <w:t>3</w:t>
            </w:r>
          </w:p>
        </w:tc>
        <w:tc>
          <w:tcPr>
            <w:tcW w:w="1915" w:type="dxa"/>
          </w:tcPr>
          <w:p w:rsidR="00F7749E" w:rsidRDefault="00F7749E" w:rsidP="00D84BB3">
            <w:pPr>
              <w:pStyle w:val="Listenabsatz"/>
              <w:ind w:left="0"/>
              <w:jc w:val="center"/>
              <w:rPr>
                <w:rFonts w:asciiTheme="majorBidi" w:hAnsiTheme="majorBidi" w:cstheme="majorBidi"/>
                <w:sz w:val="24"/>
                <w:szCs w:val="24"/>
              </w:rPr>
            </w:pPr>
            <w:r>
              <w:rPr>
                <w:rFonts w:asciiTheme="majorBidi" w:hAnsiTheme="majorBidi" w:cstheme="majorBidi"/>
                <w:sz w:val="24"/>
                <w:szCs w:val="24"/>
              </w:rPr>
              <w:t>4</w:t>
            </w:r>
          </w:p>
        </w:tc>
        <w:tc>
          <w:tcPr>
            <w:tcW w:w="1916" w:type="dxa"/>
          </w:tcPr>
          <w:p w:rsidR="00F7749E" w:rsidRDefault="00F7749E" w:rsidP="00D84BB3">
            <w:pPr>
              <w:pStyle w:val="Listenabsatz"/>
              <w:ind w:left="0"/>
              <w:jc w:val="center"/>
              <w:rPr>
                <w:rFonts w:asciiTheme="majorBidi" w:hAnsiTheme="majorBidi" w:cstheme="majorBidi"/>
                <w:sz w:val="24"/>
                <w:szCs w:val="24"/>
              </w:rPr>
            </w:pPr>
            <w:r>
              <w:rPr>
                <w:rFonts w:asciiTheme="majorBidi" w:hAnsiTheme="majorBidi" w:cstheme="majorBidi"/>
                <w:sz w:val="24"/>
                <w:szCs w:val="24"/>
              </w:rPr>
              <w:t>5</w:t>
            </w:r>
          </w:p>
        </w:tc>
      </w:tr>
    </w:tbl>
    <w:p w:rsidR="00F7749E" w:rsidRDefault="00F7749E" w:rsidP="00F7749E">
      <w:pPr>
        <w:pStyle w:val="Listenabsatz"/>
        <w:rPr>
          <w:rFonts w:asciiTheme="majorBidi" w:hAnsiTheme="majorBidi" w:cstheme="majorBidi"/>
          <w:sz w:val="24"/>
          <w:szCs w:val="24"/>
        </w:rPr>
      </w:pP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Your online banking provides access to all accounts. </w:t>
      </w:r>
    </w:p>
    <w:p w:rsidR="00F7749E" w:rsidRDefault="00F7749E" w:rsidP="00F7749E">
      <w:pPr>
        <w:pStyle w:val="Listenabsatz"/>
        <w:numPr>
          <w:ilvl w:val="0"/>
          <w:numId w:val="32"/>
        </w:numPr>
        <w:rPr>
          <w:rFonts w:asciiTheme="majorBidi" w:hAnsiTheme="majorBidi" w:cstheme="majorBidi"/>
          <w:sz w:val="24"/>
          <w:szCs w:val="24"/>
        </w:rPr>
      </w:pPr>
      <w:r>
        <w:rPr>
          <w:rFonts w:asciiTheme="majorBidi" w:hAnsiTheme="majorBidi" w:cstheme="majorBidi"/>
          <w:sz w:val="24"/>
          <w:szCs w:val="24"/>
        </w:rPr>
        <w:t xml:space="preserve">Yes </w:t>
      </w:r>
    </w:p>
    <w:p w:rsidR="00F7749E" w:rsidRDefault="00F7749E" w:rsidP="00F7749E">
      <w:pPr>
        <w:pStyle w:val="Listenabsatz"/>
        <w:numPr>
          <w:ilvl w:val="0"/>
          <w:numId w:val="32"/>
        </w:numPr>
        <w:rPr>
          <w:rFonts w:asciiTheme="majorBidi" w:hAnsiTheme="majorBidi" w:cstheme="majorBidi"/>
          <w:sz w:val="24"/>
          <w:szCs w:val="24"/>
        </w:rPr>
      </w:pPr>
      <w:r>
        <w:rPr>
          <w:rFonts w:asciiTheme="majorBidi" w:hAnsiTheme="majorBidi" w:cstheme="majorBidi"/>
          <w:sz w:val="24"/>
          <w:szCs w:val="24"/>
        </w:rPr>
        <w:t xml:space="preserve">No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Your online banking provides the ability to transfer money from one account to another. </w:t>
      </w:r>
    </w:p>
    <w:p w:rsidR="00F7749E" w:rsidRDefault="00F7749E" w:rsidP="00F7749E">
      <w:pPr>
        <w:pStyle w:val="Listenabsatz"/>
        <w:numPr>
          <w:ilvl w:val="0"/>
          <w:numId w:val="33"/>
        </w:numPr>
        <w:rPr>
          <w:rFonts w:asciiTheme="majorBidi" w:hAnsiTheme="majorBidi" w:cstheme="majorBidi"/>
          <w:sz w:val="24"/>
          <w:szCs w:val="24"/>
        </w:rPr>
      </w:pPr>
      <w:r>
        <w:rPr>
          <w:rFonts w:asciiTheme="majorBidi" w:hAnsiTheme="majorBidi" w:cstheme="majorBidi"/>
          <w:sz w:val="24"/>
          <w:szCs w:val="24"/>
        </w:rPr>
        <w:t xml:space="preserve">Yes </w:t>
      </w:r>
    </w:p>
    <w:p w:rsidR="00F7749E" w:rsidRDefault="00F7749E" w:rsidP="00F7749E">
      <w:pPr>
        <w:pStyle w:val="Listenabsatz"/>
        <w:numPr>
          <w:ilvl w:val="0"/>
          <w:numId w:val="33"/>
        </w:numPr>
        <w:rPr>
          <w:rFonts w:asciiTheme="majorBidi" w:hAnsiTheme="majorBidi" w:cstheme="majorBidi"/>
          <w:sz w:val="24"/>
          <w:szCs w:val="24"/>
        </w:rPr>
      </w:pPr>
      <w:r>
        <w:rPr>
          <w:rFonts w:asciiTheme="majorBidi" w:hAnsiTheme="majorBidi" w:cstheme="majorBidi"/>
          <w:sz w:val="24"/>
          <w:szCs w:val="24"/>
        </w:rPr>
        <w:t xml:space="preserve">No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Your online banking provides the ability to pay bills. </w:t>
      </w:r>
    </w:p>
    <w:p w:rsidR="00F7749E" w:rsidRDefault="00F7749E" w:rsidP="00F7749E">
      <w:pPr>
        <w:pStyle w:val="Listenabsatz"/>
        <w:numPr>
          <w:ilvl w:val="0"/>
          <w:numId w:val="34"/>
        </w:numPr>
        <w:rPr>
          <w:rFonts w:asciiTheme="majorBidi" w:hAnsiTheme="majorBidi" w:cstheme="majorBidi"/>
          <w:sz w:val="24"/>
          <w:szCs w:val="24"/>
        </w:rPr>
      </w:pPr>
      <w:r>
        <w:rPr>
          <w:rFonts w:asciiTheme="majorBidi" w:hAnsiTheme="majorBidi" w:cstheme="majorBidi"/>
          <w:sz w:val="24"/>
          <w:szCs w:val="24"/>
        </w:rPr>
        <w:t xml:space="preserve">Yes </w:t>
      </w:r>
    </w:p>
    <w:p w:rsidR="00F7749E" w:rsidRDefault="00F7749E" w:rsidP="00F7749E">
      <w:pPr>
        <w:pStyle w:val="Listenabsatz"/>
        <w:numPr>
          <w:ilvl w:val="0"/>
          <w:numId w:val="34"/>
        </w:numPr>
        <w:rPr>
          <w:rFonts w:asciiTheme="majorBidi" w:hAnsiTheme="majorBidi" w:cstheme="majorBidi"/>
          <w:sz w:val="24"/>
          <w:szCs w:val="24"/>
        </w:rPr>
      </w:pPr>
      <w:r>
        <w:rPr>
          <w:rFonts w:asciiTheme="majorBidi" w:hAnsiTheme="majorBidi" w:cstheme="majorBidi"/>
          <w:sz w:val="24"/>
          <w:szCs w:val="24"/>
        </w:rPr>
        <w:t xml:space="preserve">No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Your online banking allows you to apply for loans. </w:t>
      </w:r>
    </w:p>
    <w:p w:rsidR="00F7749E" w:rsidRDefault="00F7749E" w:rsidP="00F7749E">
      <w:pPr>
        <w:pStyle w:val="Listenabsatz"/>
        <w:numPr>
          <w:ilvl w:val="0"/>
          <w:numId w:val="35"/>
        </w:numPr>
        <w:rPr>
          <w:rFonts w:asciiTheme="majorBidi" w:hAnsiTheme="majorBidi" w:cstheme="majorBidi"/>
          <w:sz w:val="24"/>
          <w:szCs w:val="24"/>
        </w:rPr>
      </w:pPr>
      <w:r>
        <w:rPr>
          <w:rFonts w:asciiTheme="majorBidi" w:hAnsiTheme="majorBidi" w:cstheme="majorBidi"/>
          <w:sz w:val="24"/>
          <w:szCs w:val="24"/>
        </w:rPr>
        <w:t xml:space="preserve">Yes </w:t>
      </w:r>
    </w:p>
    <w:p w:rsidR="00F7749E" w:rsidRDefault="00F7749E" w:rsidP="00F7749E">
      <w:pPr>
        <w:pStyle w:val="Listenabsatz"/>
        <w:numPr>
          <w:ilvl w:val="0"/>
          <w:numId w:val="35"/>
        </w:numPr>
        <w:rPr>
          <w:rFonts w:asciiTheme="majorBidi" w:hAnsiTheme="majorBidi" w:cstheme="majorBidi"/>
          <w:sz w:val="24"/>
          <w:szCs w:val="24"/>
        </w:rPr>
      </w:pPr>
      <w:r>
        <w:rPr>
          <w:rFonts w:asciiTheme="majorBidi" w:hAnsiTheme="majorBidi" w:cstheme="majorBidi"/>
          <w:sz w:val="24"/>
          <w:szCs w:val="24"/>
        </w:rPr>
        <w:t xml:space="preserve">No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Your online banking allows you access to services that require US dollars.</w:t>
      </w:r>
    </w:p>
    <w:p w:rsidR="00F7749E" w:rsidRDefault="00F7749E" w:rsidP="00F7749E">
      <w:pPr>
        <w:pStyle w:val="Listenabsatz"/>
        <w:numPr>
          <w:ilvl w:val="0"/>
          <w:numId w:val="36"/>
        </w:numPr>
        <w:rPr>
          <w:rFonts w:asciiTheme="majorBidi" w:hAnsiTheme="majorBidi" w:cstheme="majorBidi"/>
          <w:sz w:val="24"/>
          <w:szCs w:val="24"/>
        </w:rPr>
      </w:pPr>
      <w:r>
        <w:rPr>
          <w:rFonts w:asciiTheme="majorBidi" w:hAnsiTheme="majorBidi" w:cstheme="majorBidi"/>
          <w:sz w:val="24"/>
          <w:szCs w:val="24"/>
        </w:rPr>
        <w:t xml:space="preserve">Yes </w:t>
      </w:r>
    </w:p>
    <w:p w:rsidR="00F7749E" w:rsidRDefault="00F7749E" w:rsidP="00F7749E">
      <w:pPr>
        <w:pStyle w:val="Listenabsatz"/>
        <w:numPr>
          <w:ilvl w:val="0"/>
          <w:numId w:val="36"/>
        </w:numPr>
        <w:rPr>
          <w:rFonts w:asciiTheme="majorBidi" w:hAnsiTheme="majorBidi" w:cstheme="majorBidi"/>
          <w:sz w:val="24"/>
          <w:szCs w:val="24"/>
        </w:rPr>
      </w:pPr>
      <w:r>
        <w:rPr>
          <w:rFonts w:asciiTheme="majorBidi" w:hAnsiTheme="majorBidi" w:cstheme="majorBidi"/>
          <w:sz w:val="24"/>
          <w:szCs w:val="24"/>
        </w:rPr>
        <w:t xml:space="preserve">No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Your online banking allows you to transfer money abroad. </w:t>
      </w:r>
    </w:p>
    <w:p w:rsidR="00F7749E" w:rsidRDefault="00F7749E" w:rsidP="00F7749E">
      <w:pPr>
        <w:pStyle w:val="Listenabsatz"/>
        <w:numPr>
          <w:ilvl w:val="0"/>
          <w:numId w:val="37"/>
        </w:numPr>
        <w:rPr>
          <w:rFonts w:asciiTheme="majorBidi" w:hAnsiTheme="majorBidi" w:cstheme="majorBidi"/>
          <w:sz w:val="24"/>
          <w:szCs w:val="24"/>
        </w:rPr>
      </w:pPr>
      <w:r>
        <w:rPr>
          <w:rFonts w:asciiTheme="majorBidi" w:hAnsiTheme="majorBidi" w:cstheme="majorBidi"/>
          <w:sz w:val="24"/>
          <w:szCs w:val="24"/>
        </w:rPr>
        <w:t xml:space="preserve">Yes </w:t>
      </w:r>
    </w:p>
    <w:p w:rsidR="00F7749E" w:rsidRDefault="00F7749E" w:rsidP="00F7749E">
      <w:pPr>
        <w:pStyle w:val="Listenabsatz"/>
        <w:numPr>
          <w:ilvl w:val="0"/>
          <w:numId w:val="37"/>
        </w:numPr>
        <w:rPr>
          <w:rFonts w:asciiTheme="majorBidi" w:hAnsiTheme="majorBidi" w:cstheme="majorBidi"/>
          <w:sz w:val="24"/>
          <w:szCs w:val="24"/>
        </w:rPr>
      </w:pPr>
      <w:r>
        <w:rPr>
          <w:rFonts w:asciiTheme="majorBidi" w:hAnsiTheme="majorBidi" w:cstheme="majorBidi"/>
          <w:sz w:val="24"/>
          <w:szCs w:val="24"/>
        </w:rPr>
        <w:t>No</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Your access to services has changed after 2019. </w:t>
      </w:r>
    </w:p>
    <w:p w:rsidR="00F7749E" w:rsidRDefault="00F7749E" w:rsidP="00F7749E">
      <w:pPr>
        <w:pStyle w:val="Listenabsatz"/>
        <w:numPr>
          <w:ilvl w:val="0"/>
          <w:numId w:val="38"/>
        </w:numPr>
        <w:rPr>
          <w:rFonts w:asciiTheme="majorBidi" w:hAnsiTheme="majorBidi" w:cstheme="majorBidi"/>
          <w:sz w:val="24"/>
          <w:szCs w:val="24"/>
        </w:rPr>
      </w:pPr>
      <w:r>
        <w:rPr>
          <w:rFonts w:asciiTheme="majorBidi" w:hAnsiTheme="majorBidi" w:cstheme="majorBidi"/>
          <w:sz w:val="24"/>
          <w:szCs w:val="24"/>
        </w:rPr>
        <w:t xml:space="preserve">Yes </w:t>
      </w:r>
    </w:p>
    <w:p w:rsidR="00F7749E" w:rsidRPr="003D3F70" w:rsidRDefault="00F7749E" w:rsidP="00F7749E">
      <w:pPr>
        <w:pStyle w:val="Listenabsatz"/>
        <w:numPr>
          <w:ilvl w:val="0"/>
          <w:numId w:val="38"/>
        </w:numPr>
        <w:rPr>
          <w:rFonts w:asciiTheme="majorBidi" w:hAnsiTheme="majorBidi" w:cstheme="majorBidi"/>
          <w:sz w:val="24"/>
          <w:szCs w:val="24"/>
        </w:rPr>
      </w:pPr>
      <w:r>
        <w:rPr>
          <w:rFonts w:asciiTheme="majorBidi" w:hAnsiTheme="majorBidi" w:cstheme="majorBidi"/>
          <w:sz w:val="24"/>
          <w:szCs w:val="24"/>
        </w:rPr>
        <w:t>No</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E-banking is efficient:</w:t>
      </w:r>
    </w:p>
    <w:p w:rsidR="00F7749E" w:rsidRDefault="00F7749E" w:rsidP="00F7749E">
      <w:pPr>
        <w:pStyle w:val="Listenabsatz"/>
        <w:numPr>
          <w:ilvl w:val="0"/>
          <w:numId w:val="13"/>
        </w:numPr>
        <w:rPr>
          <w:rFonts w:asciiTheme="majorBidi" w:hAnsiTheme="majorBidi" w:cstheme="majorBidi"/>
          <w:sz w:val="24"/>
          <w:szCs w:val="24"/>
        </w:rPr>
      </w:pPr>
      <w:r>
        <w:rPr>
          <w:rFonts w:asciiTheme="majorBidi" w:hAnsiTheme="majorBidi" w:cstheme="majorBidi"/>
          <w:sz w:val="24"/>
          <w:szCs w:val="24"/>
        </w:rPr>
        <w:t>Strongly agree</w:t>
      </w:r>
    </w:p>
    <w:p w:rsidR="00F7749E" w:rsidRDefault="00F7749E" w:rsidP="00F7749E">
      <w:pPr>
        <w:pStyle w:val="Listenabsatz"/>
        <w:numPr>
          <w:ilvl w:val="0"/>
          <w:numId w:val="13"/>
        </w:numPr>
        <w:rPr>
          <w:rFonts w:asciiTheme="majorBidi" w:hAnsiTheme="majorBidi" w:cstheme="majorBidi"/>
          <w:sz w:val="24"/>
          <w:szCs w:val="24"/>
        </w:rPr>
      </w:pPr>
      <w:r>
        <w:rPr>
          <w:rFonts w:asciiTheme="majorBidi" w:hAnsiTheme="majorBidi" w:cstheme="majorBidi"/>
          <w:sz w:val="24"/>
          <w:szCs w:val="24"/>
        </w:rPr>
        <w:t>Agree</w:t>
      </w:r>
    </w:p>
    <w:p w:rsidR="00F7749E" w:rsidRDefault="00F7749E" w:rsidP="00F7749E">
      <w:pPr>
        <w:pStyle w:val="Listenabsatz"/>
        <w:numPr>
          <w:ilvl w:val="0"/>
          <w:numId w:val="13"/>
        </w:numPr>
        <w:rPr>
          <w:rFonts w:asciiTheme="majorBidi" w:hAnsiTheme="majorBidi" w:cstheme="majorBidi"/>
          <w:sz w:val="24"/>
          <w:szCs w:val="24"/>
        </w:rPr>
      </w:pPr>
      <w:r>
        <w:rPr>
          <w:rFonts w:asciiTheme="majorBidi" w:hAnsiTheme="majorBidi" w:cstheme="majorBidi"/>
          <w:sz w:val="24"/>
          <w:szCs w:val="24"/>
        </w:rPr>
        <w:t>Neither agree nor disagree</w:t>
      </w:r>
    </w:p>
    <w:p w:rsidR="00F7749E" w:rsidRDefault="00F7749E" w:rsidP="00F7749E">
      <w:pPr>
        <w:pStyle w:val="Listenabsatz"/>
        <w:numPr>
          <w:ilvl w:val="0"/>
          <w:numId w:val="13"/>
        </w:numPr>
        <w:rPr>
          <w:rFonts w:asciiTheme="majorBidi" w:hAnsiTheme="majorBidi" w:cstheme="majorBidi"/>
          <w:sz w:val="24"/>
          <w:szCs w:val="24"/>
        </w:rPr>
      </w:pPr>
      <w:r>
        <w:rPr>
          <w:rFonts w:asciiTheme="majorBidi" w:hAnsiTheme="majorBidi" w:cstheme="majorBidi"/>
          <w:sz w:val="24"/>
          <w:szCs w:val="24"/>
        </w:rPr>
        <w:t>Disagree</w:t>
      </w:r>
    </w:p>
    <w:p w:rsidR="00F7749E" w:rsidRDefault="00F7749E" w:rsidP="00F7749E">
      <w:pPr>
        <w:pStyle w:val="Listenabsatz"/>
        <w:numPr>
          <w:ilvl w:val="0"/>
          <w:numId w:val="13"/>
        </w:numPr>
        <w:rPr>
          <w:rFonts w:asciiTheme="majorBidi" w:hAnsiTheme="majorBidi" w:cstheme="majorBidi"/>
          <w:sz w:val="24"/>
          <w:szCs w:val="24"/>
        </w:rPr>
      </w:pPr>
      <w:r>
        <w:rPr>
          <w:rFonts w:asciiTheme="majorBidi" w:hAnsiTheme="majorBidi" w:cstheme="majorBidi"/>
          <w:sz w:val="24"/>
          <w:szCs w:val="24"/>
        </w:rPr>
        <w:t>Strongly disagree</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Efficiency of e-banking is mainly due to:</w:t>
      </w:r>
    </w:p>
    <w:p w:rsidR="00F7749E" w:rsidRDefault="00F7749E" w:rsidP="00F7749E">
      <w:pPr>
        <w:pStyle w:val="Listenabsatz"/>
        <w:numPr>
          <w:ilvl w:val="0"/>
          <w:numId w:val="28"/>
        </w:numPr>
        <w:rPr>
          <w:rFonts w:asciiTheme="majorBidi" w:hAnsiTheme="majorBidi" w:cstheme="majorBidi"/>
          <w:sz w:val="24"/>
          <w:szCs w:val="24"/>
        </w:rPr>
      </w:pPr>
      <w:r>
        <w:rPr>
          <w:rFonts w:asciiTheme="majorBidi" w:hAnsiTheme="majorBidi" w:cstheme="majorBidi"/>
          <w:sz w:val="24"/>
          <w:szCs w:val="24"/>
        </w:rPr>
        <w:t xml:space="preserve">Saves trips to bank </w:t>
      </w:r>
    </w:p>
    <w:p w:rsidR="00F7749E" w:rsidRDefault="00F7749E" w:rsidP="00F7749E">
      <w:pPr>
        <w:pStyle w:val="Listenabsatz"/>
        <w:numPr>
          <w:ilvl w:val="0"/>
          <w:numId w:val="28"/>
        </w:numPr>
        <w:rPr>
          <w:rFonts w:asciiTheme="majorBidi" w:hAnsiTheme="majorBidi" w:cstheme="majorBidi"/>
          <w:sz w:val="24"/>
          <w:szCs w:val="24"/>
        </w:rPr>
      </w:pPr>
      <w:r>
        <w:rPr>
          <w:rFonts w:asciiTheme="majorBidi" w:hAnsiTheme="majorBidi" w:cstheme="majorBidi"/>
          <w:sz w:val="24"/>
          <w:szCs w:val="24"/>
        </w:rPr>
        <w:t xml:space="preserve">Has all services available in real time </w:t>
      </w:r>
    </w:p>
    <w:p w:rsidR="00F7749E" w:rsidRDefault="00F7749E" w:rsidP="00F7749E">
      <w:pPr>
        <w:pStyle w:val="Listenabsatz"/>
        <w:numPr>
          <w:ilvl w:val="0"/>
          <w:numId w:val="28"/>
        </w:numPr>
        <w:rPr>
          <w:rFonts w:asciiTheme="majorBidi" w:hAnsiTheme="majorBidi" w:cstheme="majorBidi"/>
          <w:sz w:val="24"/>
          <w:szCs w:val="24"/>
        </w:rPr>
      </w:pPr>
      <w:r>
        <w:rPr>
          <w:rFonts w:asciiTheme="majorBidi" w:hAnsiTheme="majorBidi" w:cstheme="majorBidi"/>
          <w:sz w:val="24"/>
          <w:szCs w:val="24"/>
        </w:rPr>
        <w:lastRenderedPageBreak/>
        <w:t xml:space="preserve">Easy to obtain help </w:t>
      </w:r>
    </w:p>
    <w:p w:rsidR="00F7749E" w:rsidRDefault="00F7749E" w:rsidP="00F7749E">
      <w:pPr>
        <w:pStyle w:val="Listenabsatz"/>
        <w:numPr>
          <w:ilvl w:val="0"/>
          <w:numId w:val="28"/>
        </w:numPr>
        <w:rPr>
          <w:rFonts w:asciiTheme="majorBidi" w:hAnsiTheme="majorBidi" w:cstheme="majorBidi"/>
          <w:sz w:val="24"/>
          <w:szCs w:val="24"/>
        </w:rPr>
      </w:pPr>
      <w:r>
        <w:rPr>
          <w:rFonts w:asciiTheme="majorBidi" w:hAnsiTheme="majorBidi" w:cstheme="majorBidi"/>
          <w:sz w:val="24"/>
          <w:szCs w:val="24"/>
        </w:rPr>
        <w:t xml:space="preserve">Others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E-banking saves time:</w:t>
      </w:r>
    </w:p>
    <w:p w:rsidR="00F7749E" w:rsidRDefault="00F7749E" w:rsidP="00F7749E">
      <w:pPr>
        <w:pStyle w:val="Listenabsatz"/>
        <w:numPr>
          <w:ilvl w:val="0"/>
          <w:numId w:val="14"/>
        </w:numPr>
        <w:rPr>
          <w:rFonts w:asciiTheme="majorBidi" w:hAnsiTheme="majorBidi" w:cstheme="majorBidi"/>
          <w:sz w:val="24"/>
          <w:szCs w:val="24"/>
        </w:rPr>
      </w:pPr>
      <w:r>
        <w:rPr>
          <w:rFonts w:asciiTheme="majorBidi" w:hAnsiTheme="majorBidi" w:cstheme="majorBidi"/>
          <w:sz w:val="24"/>
          <w:szCs w:val="24"/>
        </w:rPr>
        <w:t xml:space="preserve">Strongly agree </w:t>
      </w:r>
    </w:p>
    <w:p w:rsidR="00F7749E" w:rsidRDefault="00F7749E" w:rsidP="00F7749E">
      <w:pPr>
        <w:pStyle w:val="Listenabsatz"/>
        <w:numPr>
          <w:ilvl w:val="0"/>
          <w:numId w:val="14"/>
        </w:numPr>
        <w:rPr>
          <w:rFonts w:asciiTheme="majorBidi" w:hAnsiTheme="majorBidi" w:cstheme="majorBidi"/>
          <w:sz w:val="24"/>
          <w:szCs w:val="24"/>
        </w:rPr>
      </w:pPr>
      <w:r>
        <w:rPr>
          <w:rFonts w:asciiTheme="majorBidi" w:hAnsiTheme="majorBidi" w:cstheme="majorBidi"/>
          <w:sz w:val="24"/>
          <w:szCs w:val="24"/>
        </w:rPr>
        <w:t>Agree</w:t>
      </w:r>
    </w:p>
    <w:p w:rsidR="00F7749E" w:rsidRDefault="00F7749E" w:rsidP="00F7749E">
      <w:pPr>
        <w:pStyle w:val="Listenabsatz"/>
        <w:numPr>
          <w:ilvl w:val="0"/>
          <w:numId w:val="14"/>
        </w:numPr>
        <w:rPr>
          <w:rFonts w:asciiTheme="majorBidi" w:hAnsiTheme="majorBidi" w:cstheme="majorBidi"/>
          <w:sz w:val="24"/>
          <w:szCs w:val="24"/>
        </w:rPr>
      </w:pPr>
      <w:r>
        <w:rPr>
          <w:rFonts w:asciiTheme="majorBidi" w:hAnsiTheme="majorBidi" w:cstheme="majorBidi"/>
          <w:sz w:val="24"/>
          <w:szCs w:val="24"/>
        </w:rPr>
        <w:t>Neither agree nor disagree</w:t>
      </w:r>
    </w:p>
    <w:p w:rsidR="00F7749E" w:rsidRDefault="00F7749E" w:rsidP="00F7749E">
      <w:pPr>
        <w:pStyle w:val="Listenabsatz"/>
        <w:numPr>
          <w:ilvl w:val="0"/>
          <w:numId w:val="14"/>
        </w:numPr>
        <w:rPr>
          <w:rFonts w:asciiTheme="majorBidi" w:hAnsiTheme="majorBidi" w:cstheme="majorBidi"/>
          <w:sz w:val="24"/>
          <w:szCs w:val="24"/>
        </w:rPr>
      </w:pPr>
      <w:r>
        <w:rPr>
          <w:rFonts w:asciiTheme="majorBidi" w:hAnsiTheme="majorBidi" w:cstheme="majorBidi"/>
          <w:sz w:val="24"/>
          <w:szCs w:val="24"/>
        </w:rPr>
        <w:t xml:space="preserve">Disagree </w:t>
      </w:r>
    </w:p>
    <w:p w:rsidR="00F7749E" w:rsidRDefault="00F7749E" w:rsidP="00F7749E">
      <w:pPr>
        <w:pStyle w:val="Listenabsatz"/>
        <w:numPr>
          <w:ilvl w:val="0"/>
          <w:numId w:val="14"/>
        </w:numPr>
        <w:rPr>
          <w:rFonts w:asciiTheme="majorBidi" w:hAnsiTheme="majorBidi" w:cstheme="majorBidi"/>
          <w:sz w:val="24"/>
          <w:szCs w:val="24"/>
        </w:rPr>
      </w:pPr>
      <w:r>
        <w:rPr>
          <w:rFonts w:asciiTheme="majorBidi" w:hAnsiTheme="majorBidi" w:cstheme="majorBidi"/>
          <w:sz w:val="24"/>
          <w:szCs w:val="24"/>
        </w:rPr>
        <w:t xml:space="preserve">Strongly disagree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Saving time in e-banking is mainly due to:</w:t>
      </w:r>
    </w:p>
    <w:p w:rsidR="00F7749E" w:rsidRDefault="00F7749E" w:rsidP="00F7749E">
      <w:pPr>
        <w:pStyle w:val="Listenabsatz"/>
        <w:numPr>
          <w:ilvl w:val="0"/>
          <w:numId w:val="29"/>
        </w:numPr>
        <w:rPr>
          <w:rFonts w:asciiTheme="majorBidi" w:hAnsiTheme="majorBidi" w:cstheme="majorBidi"/>
          <w:sz w:val="24"/>
          <w:szCs w:val="24"/>
        </w:rPr>
      </w:pPr>
      <w:r>
        <w:rPr>
          <w:rFonts w:asciiTheme="majorBidi" w:hAnsiTheme="majorBidi" w:cstheme="majorBidi"/>
          <w:sz w:val="24"/>
          <w:szCs w:val="24"/>
        </w:rPr>
        <w:t xml:space="preserve">Well-designed website and/or application </w:t>
      </w:r>
    </w:p>
    <w:p w:rsidR="00F7749E" w:rsidRDefault="00F7749E" w:rsidP="00F7749E">
      <w:pPr>
        <w:pStyle w:val="Listenabsatz"/>
        <w:numPr>
          <w:ilvl w:val="0"/>
          <w:numId w:val="29"/>
        </w:numPr>
        <w:rPr>
          <w:rFonts w:asciiTheme="majorBidi" w:hAnsiTheme="majorBidi" w:cstheme="majorBidi"/>
          <w:sz w:val="24"/>
          <w:szCs w:val="24"/>
        </w:rPr>
      </w:pPr>
      <w:r>
        <w:rPr>
          <w:rFonts w:asciiTheme="majorBidi" w:hAnsiTheme="majorBidi" w:cstheme="majorBidi"/>
          <w:sz w:val="24"/>
          <w:szCs w:val="24"/>
        </w:rPr>
        <w:t xml:space="preserve">Ease of navigation </w:t>
      </w:r>
    </w:p>
    <w:p w:rsidR="00F7749E" w:rsidRDefault="00F7749E" w:rsidP="00F7749E">
      <w:pPr>
        <w:pStyle w:val="Listenabsatz"/>
        <w:numPr>
          <w:ilvl w:val="0"/>
          <w:numId w:val="29"/>
        </w:numPr>
        <w:rPr>
          <w:rFonts w:asciiTheme="majorBidi" w:hAnsiTheme="majorBidi" w:cstheme="majorBidi"/>
          <w:sz w:val="24"/>
          <w:szCs w:val="24"/>
        </w:rPr>
      </w:pPr>
      <w:r>
        <w:rPr>
          <w:rFonts w:asciiTheme="majorBidi" w:hAnsiTheme="majorBidi" w:cstheme="majorBidi"/>
          <w:sz w:val="24"/>
          <w:szCs w:val="24"/>
        </w:rPr>
        <w:t xml:space="preserve">Access to banking staff </w:t>
      </w:r>
    </w:p>
    <w:p w:rsidR="00F7749E" w:rsidRDefault="00F7749E" w:rsidP="00F7749E">
      <w:pPr>
        <w:pStyle w:val="Listenabsatz"/>
        <w:numPr>
          <w:ilvl w:val="0"/>
          <w:numId w:val="29"/>
        </w:numPr>
        <w:rPr>
          <w:rFonts w:asciiTheme="majorBidi" w:hAnsiTheme="majorBidi" w:cstheme="majorBidi"/>
          <w:sz w:val="24"/>
          <w:szCs w:val="24"/>
        </w:rPr>
      </w:pPr>
      <w:r>
        <w:rPr>
          <w:rFonts w:asciiTheme="majorBidi" w:hAnsiTheme="majorBidi" w:cstheme="majorBidi"/>
          <w:sz w:val="24"/>
          <w:szCs w:val="24"/>
        </w:rPr>
        <w:t xml:space="preserve">Others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E-banking is easy to navigate.</w:t>
      </w:r>
    </w:p>
    <w:p w:rsidR="00F7749E" w:rsidRDefault="00F7749E" w:rsidP="00F7749E">
      <w:pPr>
        <w:pStyle w:val="Listenabsatz"/>
        <w:numPr>
          <w:ilvl w:val="0"/>
          <w:numId w:val="15"/>
        </w:numPr>
        <w:rPr>
          <w:rFonts w:asciiTheme="majorBidi" w:hAnsiTheme="majorBidi" w:cstheme="majorBidi"/>
          <w:sz w:val="24"/>
          <w:szCs w:val="24"/>
        </w:rPr>
      </w:pPr>
      <w:r>
        <w:rPr>
          <w:rFonts w:asciiTheme="majorBidi" w:hAnsiTheme="majorBidi" w:cstheme="majorBidi"/>
          <w:sz w:val="24"/>
          <w:szCs w:val="24"/>
        </w:rPr>
        <w:t>Strongly agree</w:t>
      </w:r>
    </w:p>
    <w:p w:rsidR="00F7749E" w:rsidRDefault="00F7749E" w:rsidP="00F7749E">
      <w:pPr>
        <w:pStyle w:val="Listenabsatz"/>
        <w:numPr>
          <w:ilvl w:val="0"/>
          <w:numId w:val="15"/>
        </w:numPr>
        <w:rPr>
          <w:rFonts w:asciiTheme="majorBidi" w:hAnsiTheme="majorBidi" w:cstheme="majorBidi"/>
          <w:sz w:val="24"/>
          <w:szCs w:val="24"/>
        </w:rPr>
      </w:pPr>
      <w:r>
        <w:rPr>
          <w:rFonts w:asciiTheme="majorBidi" w:hAnsiTheme="majorBidi" w:cstheme="majorBidi"/>
          <w:sz w:val="24"/>
          <w:szCs w:val="24"/>
        </w:rPr>
        <w:t xml:space="preserve">Agree </w:t>
      </w:r>
    </w:p>
    <w:p w:rsidR="00F7749E" w:rsidRDefault="00F7749E" w:rsidP="00F7749E">
      <w:pPr>
        <w:pStyle w:val="Listenabsatz"/>
        <w:numPr>
          <w:ilvl w:val="0"/>
          <w:numId w:val="15"/>
        </w:numPr>
        <w:rPr>
          <w:rFonts w:asciiTheme="majorBidi" w:hAnsiTheme="majorBidi" w:cstheme="majorBidi"/>
          <w:sz w:val="24"/>
          <w:szCs w:val="24"/>
        </w:rPr>
      </w:pPr>
      <w:r>
        <w:rPr>
          <w:rFonts w:asciiTheme="majorBidi" w:hAnsiTheme="majorBidi" w:cstheme="majorBidi"/>
          <w:sz w:val="24"/>
          <w:szCs w:val="24"/>
        </w:rPr>
        <w:t xml:space="preserve">Neither agree nor disagree </w:t>
      </w:r>
    </w:p>
    <w:p w:rsidR="00F7749E" w:rsidRDefault="00F7749E" w:rsidP="00F7749E">
      <w:pPr>
        <w:pStyle w:val="Listenabsatz"/>
        <w:numPr>
          <w:ilvl w:val="0"/>
          <w:numId w:val="15"/>
        </w:numPr>
        <w:rPr>
          <w:rFonts w:asciiTheme="majorBidi" w:hAnsiTheme="majorBidi" w:cstheme="majorBidi"/>
          <w:sz w:val="24"/>
          <w:szCs w:val="24"/>
        </w:rPr>
      </w:pPr>
      <w:r>
        <w:rPr>
          <w:rFonts w:asciiTheme="majorBidi" w:hAnsiTheme="majorBidi" w:cstheme="majorBidi"/>
          <w:sz w:val="24"/>
          <w:szCs w:val="24"/>
        </w:rPr>
        <w:t xml:space="preserve">Disagree </w:t>
      </w:r>
    </w:p>
    <w:p w:rsidR="00F7749E" w:rsidRDefault="00F7749E" w:rsidP="00F7749E">
      <w:pPr>
        <w:pStyle w:val="Listenabsatz"/>
        <w:numPr>
          <w:ilvl w:val="0"/>
          <w:numId w:val="15"/>
        </w:numPr>
        <w:rPr>
          <w:rFonts w:asciiTheme="majorBidi" w:hAnsiTheme="majorBidi" w:cstheme="majorBidi"/>
          <w:sz w:val="24"/>
          <w:szCs w:val="24"/>
        </w:rPr>
      </w:pPr>
      <w:r>
        <w:rPr>
          <w:rFonts w:asciiTheme="majorBidi" w:hAnsiTheme="majorBidi" w:cstheme="majorBidi"/>
          <w:sz w:val="24"/>
          <w:szCs w:val="24"/>
        </w:rPr>
        <w:t>Strongly disagree</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Ease of navigation is mainly due to:</w:t>
      </w:r>
    </w:p>
    <w:p w:rsidR="00F7749E" w:rsidRDefault="00F7749E" w:rsidP="00F7749E">
      <w:pPr>
        <w:pStyle w:val="Listenabsatz"/>
        <w:numPr>
          <w:ilvl w:val="0"/>
          <w:numId w:val="30"/>
        </w:numPr>
        <w:rPr>
          <w:rFonts w:asciiTheme="majorBidi" w:hAnsiTheme="majorBidi" w:cstheme="majorBidi"/>
          <w:sz w:val="24"/>
          <w:szCs w:val="24"/>
        </w:rPr>
      </w:pPr>
      <w:r>
        <w:rPr>
          <w:rFonts w:asciiTheme="majorBidi" w:hAnsiTheme="majorBidi" w:cstheme="majorBidi"/>
          <w:sz w:val="24"/>
          <w:szCs w:val="24"/>
        </w:rPr>
        <w:t xml:space="preserve">Easily defined layout </w:t>
      </w:r>
    </w:p>
    <w:p w:rsidR="00F7749E" w:rsidRDefault="00F7749E" w:rsidP="00F7749E">
      <w:pPr>
        <w:pStyle w:val="Listenabsatz"/>
        <w:numPr>
          <w:ilvl w:val="0"/>
          <w:numId w:val="30"/>
        </w:numPr>
        <w:rPr>
          <w:rFonts w:asciiTheme="majorBidi" w:hAnsiTheme="majorBidi" w:cstheme="majorBidi"/>
          <w:sz w:val="24"/>
          <w:szCs w:val="24"/>
        </w:rPr>
      </w:pPr>
      <w:r>
        <w:rPr>
          <w:rFonts w:asciiTheme="majorBidi" w:hAnsiTheme="majorBidi" w:cstheme="majorBidi"/>
          <w:sz w:val="24"/>
          <w:szCs w:val="24"/>
        </w:rPr>
        <w:t xml:space="preserve">Accurate sequencing of services </w:t>
      </w:r>
    </w:p>
    <w:p w:rsidR="00F7749E" w:rsidRDefault="00F7749E" w:rsidP="00F7749E">
      <w:pPr>
        <w:pStyle w:val="Listenabsatz"/>
        <w:numPr>
          <w:ilvl w:val="0"/>
          <w:numId w:val="30"/>
        </w:numPr>
        <w:rPr>
          <w:rFonts w:asciiTheme="majorBidi" w:hAnsiTheme="majorBidi" w:cstheme="majorBidi"/>
          <w:sz w:val="24"/>
          <w:szCs w:val="24"/>
        </w:rPr>
      </w:pPr>
      <w:r>
        <w:rPr>
          <w:rFonts w:asciiTheme="majorBidi" w:hAnsiTheme="majorBidi" w:cstheme="majorBidi"/>
          <w:sz w:val="24"/>
          <w:szCs w:val="24"/>
        </w:rPr>
        <w:t xml:space="preserve">Properly divided pages </w:t>
      </w:r>
    </w:p>
    <w:p w:rsidR="00F7749E" w:rsidRDefault="00F7749E" w:rsidP="00F7749E">
      <w:pPr>
        <w:pStyle w:val="Listenabsatz"/>
        <w:numPr>
          <w:ilvl w:val="0"/>
          <w:numId w:val="30"/>
        </w:numPr>
        <w:rPr>
          <w:rFonts w:asciiTheme="majorBidi" w:hAnsiTheme="majorBidi" w:cstheme="majorBidi"/>
          <w:sz w:val="24"/>
          <w:szCs w:val="24"/>
        </w:rPr>
      </w:pPr>
      <w:r>
        <w:rPr>
          <w:rFonts w:asciiTheme="majorBidi" w:hAnsiTheme="majorBidi" w:cstheme="majorBidi"/>
          <w:sz w:val="24"/>
          <w:szCs w:val="24"/>
        </w:rPr>
        <w:t xml:space="preserve">Others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E-banking has an easy to navigate platform. </w:t>
      </w:r>
    </w:p>
    <w:p w:rsidR="00F7749E" w:rsidRDefault="00F7749E" w:rsidP="00F7749E">
      <w:pPr>
        <w:pStyle w:val="Listenabsatz"/>
        <w:numPr>
          <w:ilvl w:val="0"/>
          <w:numId w:val="16"/>
        </w:numPr>
        <w:rPr>
          <w:rFonts w:asciiTheme="majorBidi" w:hAnsiTheme="majorBidi" w:cstheme="majorBidi"/>
          <w:sz w:val="24"/>
          <w:szCs w:val="24"/>
        </w:rPr>
      </w:pPr>
      <w:r>
        <w:rPr>
          <w:rFonts w:asciiTheme="majorBidi" w:hAnsiTheme="majorBidi" w:cstheme="majorBidi"/>
          <w:sz w:val="24"/>
          <w:szCs w:val="24"/>
        </w:rPr>
        <w:t xml:space="preserve">Strongly agree </w:t>
      </w:r>
    </w:p>
    <w:p w:rsidR="00F7749E" w:rsidRDefault="00F7749E" w:rsidP="00F7749E">
      <w:pPr>
        <w:pStyle w:val="Listenabsatz"/>
        <w:numPr>
          <w:ilvl w:val="0"/>
          <w:numId w:val="16"/>
        </w:numPr>
        <w:rPr>
          <w:rFonts w:asciiTheme="majorBidi" w:hAnsiTheme="majorBidi" w:cstheme="majorBidi"/>
          <w:sz w:val="24"/>
          <w:szCs w:val="24"/>
        </w:rPr>
      </w:pPr>
      <w:r>
        <w:rPr>
          <w:rFonts w:asciiTheme="majorBidi" w:hAnsiTheme="majorBidi" w:cstheme="majorBidi"/>
          <w:sz w:val="24"/>
          <w:szCs w:val="24"/>
        </w:rPr>
        <w:t xml:space="preserve">Agree </w:t>
      </w:r>
    </w:p>
    <w:p w:rsidR="00F7749E" w:rsidRDefault="00F7749E" w:rsidP="00F7749E">
      <w:pPr>
        <w:pStyle w:val="Listenabsatz"/>
        <w:numPr>
          <w:ilvl w:val="0"/>
          <w:numId w:val="16"/>
        </w:numPr>
        <w:rPr>
          <w:rFonts w:asciiTheme="majorBidi" w:hAnsiTheme="majorBidi" w:cstheme="majorBidi"/>
          <w:sz w:val="24"/>
          <w:szCs w:val="24"/>
        </w:rPr>
      </w:pPr>
      <w:r>
        <w:rPr>
          <w:rFonts w:asciiTheme="majorBidi" w:hAnsiTheme="majorBidi" w:cstheme="majorBidi"/>
          <w:sz w:val="24"/>
          <w:szCs w:val="24"/>
        </w:rPr>
        <w:t>Neither agree nor disagree</w:t>
      </w:r>
    </w:p>
    <w:p w:rsidR="00F7749E" w:rsidRDefault="00F7749E" w:rsidP="00F7749E">
      <w:pPr>
        <w:pStyle w:val="Listenabsatz"/>
        <w:numPr>
          <w:ilvl w:val="0"/>
          <w:numId w:val="16"/>
        </w:numPr>
        <w:rPr>
          <w:rFonts w:asciiTheme="majorBidi" w:hAnsiTheme="majorBidi" w:cstheme="majorBidi"/>
          <w:sz w:val="24"/>
          <w:szCs w:val="24"/>
        </w:rPr>
      </w:pPr>
      <w:r>
        <w:rPr>
          <w:rFonts w:asciiTheme="majorBidi" w:hAnsiTheme="majorBidi" w:cstheme="majorBidi"/>
          <w:sz w:val="24"/>
          <w:szCs w:val="24"/>
        </w:rPr>
        <w:t xml:space="preserve">Disagree </w:t>
      </w:r>
    </w:p>
    <w:p w:rsidR="00F7749E" w:rsidRDefault="00F7749E" w:rsidP="00F7749E">
      <w:pPr>
        <w:pStyle w:val="Listenabsatz"/>
        <w:numPr>
          <w:ilvl w:val="0"/>
          <w:numId w:val="16"/>
        </w:numPr>
        <w:rPr>
          <w:rFonts w:asciiTheme="majorBidi" w:hAnsiTheme="majorBidi" w:cstheme="majorBidi"/>
          <w:sz w:val="24"/>
          <w:szCs w:val="24"/>
        </w:rPr>
      </w:pPr>
      <w:r>
        <w:rPr>
          <w:rFonts w:asciiTheme="majorBidi" w:hAnsiTheme="majorBidi" w:cstheme="majorBidi"/>
          <w:sz w:val="24"/>
          <w:szCs w:val="24"/>
        </w:rPr>
        <w:t>Strongly disagree</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E-banking is a secure mode of action. </w:t>
      </w:r>
    </w:p>
    <w:p w:rsidR="00F7749E" w:rsidRDefault="00F7749E" w:rsidP="00F7749E">
      <w:pPr>
        <w:pStyle w:val="Listenabsatz"/>
        <w:numPr>
          <w:ilvl w:val="0"/>
          <w:numId w:val="17"/>
        </w:numPr>
        <w:rPr>
          <w:rFonts w:asciiTheme="majorBidi" w:hAnsiTheme="majorBidi" w:cstheme="majorBidi"/>
          <w:sz w:val="24"/>
          <w:szCs w:val="24"/>
        </w:rPr>
      </w:pPr>
      <w:r>
        <w:rPr>
          <w:rFonts w:asciiTheme="majorBidi" w:hAnsiTheme="majorBidi" w:cstheme="majorBidi"/>
          <w:sz w:val="24"/>
          <w:szCs w:val="24"/>
        </w:rPr>
        <w:t>Strongly agree</w:t>
      </w:r>
    </w:p>
    <w:p w:rsidR="00F7749E" w:rsidRDefault="00F7749E" w:rsidP="00F7749E">
      <w:pPr>
        <w:pStyle w:val="Listenabsatz"/>
        <w:numPr>
          <w:ilvl w:val="0"/>
          <w:numId w:val="17"/>
        </w:numPr>
        <w:rPr>
          <w:rFonts w:asciiTheme="majorBidi" w:hAnsiTheme="majorBidi" w:cstheme="majorBidi"/>
          <w:sz w:val="24"/>
          <w:szCs w:val="24"/>
        </w:rPr>
      </w:pPr>
      <w:r>
        <w:rPr>
          <w:rFonts w:asciiTheme="majorBidi" w:hAnsiTheme="majorBidi" w:cstheme="majorBidi"/>
          <w:sz w:val="24"/>
          <w:szCs w:val="24"/>
        </w:rPr>
        <w:t>Agree</w:t>
      </w:r>
    </w:p>
    <w:p w:rsidR="00F7749E" w:rsidRDefault="00F7749E" w:rsidP="00F7749E">
      <w:pPr>
        <w:pStyle w:val="Listenabsatz"/>
        <w:numPr>
          <w:ilvl w:val="0"/>
          <w:numId w:val="17"/>
        </w:numPr>
        <w:rPr>
          <w:rFonts w:asciiTheme="majorBidi" w:hAnsiTheme="majorBidi" w:cstheme="majorBidi"/>
          <w:sz w:val="24"/>
          <w:szCs w:val="24"/>
        </w:rPr>
      </w:pPr>
      <w:r>
        <w:rPr>
          <w:rFonts w:asciiTheme="majorBidi" w:hAnsiTheme="majorBidi" w:cstheme="majorBidi"/>
          <w:sz w:val="24"/>
          <w:szCs w:val="24"/>
        </w:rPr>
        <w:t>Neither agree nor disagree</w:t>
      </w:r>
    </w:p>
    <w:p w:rsidR="00F7749E" w:rsidRDefault="00F7749E" w:rsidP="00F7749E">
      <w:pPr>
        <w:pStyle w:val="Listenabsatz"/>
        <w:numPr>
          <w:ilvl w:val="0"/>
          <w:numId w:val="17"/>
        </w:numPr>
        <w:rPr>
          <w:rFonts w:asciiTheme="majorBidi" w:hAnsiTheme="majorBidi" w:cstheme="majorBidi"/>
          <w:sz w:val="24"/>
          <w:szCs w:val="24"/>
        </w:rPr>
      </w:pPr>
      <w:r>
        <w:rPr>
          <w:rFonts w:asciiTheme="majorBidi" w:hAnsiTheme="majorBidi" w:cstheme="majorBidi"/>
          <w:sz w:val="24"/>
          <w:szCs w:val="24"/>
        </w:rPr>
        <w:t>Disagree</w:t>
      </w:r>
    </w:p>
    <w:p w:rsidR="00F7749E" w:rsidRDefault="00F7749E" w:rsidP="00F7749E">
      <w:pPr>
        <w:pStyle w:val="Listenabsatz"/>
        <w:numPr>
          <w:ilvl w:val="0"/>
          <w:numId w:val="17"/>
        </w:numPr>
        <w:rPr>
          <w:rFonts w:asciiTheme="majorBidi" w:hAnsiTheme="majorBidi" w:cstheme="majorBidi"/>
          <w:sz w:val="24"/>
          <w:szCs w:val="24"/>
        </w:rPr>
      </w:pPr>
      <w:r>
        <w:rPr>
          <w:rFonts w:asciiTheme="majorBidi" w:hAnsiTheme="majorBidi" w:cstheme="majorBidi"/>
          <w:sz w:val="24"/>
          <w:szCs w:val="24"/>
        </w:rPr>
        <w:t>Strongly disagree</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E-banking security is mainly due to:</w:t>
      </w:r>
    </w:p>
    <w:p w:rsidR="00F7749E" w:rsidRDefault="00F7749E" w:rsidP="00F7749E">
      <w:pPr>
        <w:pStyle w:val="Listenabsatz"/>
        <w:numPr>
          <w:ilvl w:val="0"/>
          <w:numId w:val="31"/>
        </w:numPr>
        <w:rPr>
          <w:rFonts w:asciiTheme="majorBidi" w:hAnsiTheme="majorBidi" w:cstheme="majorBidi"/>
          <w:sz w:val="24"/>
          <w:szCs w:val="24"/>
        </w:rPr>
      </w:pPr>
      <w:r>
        <w:rPr>
          <w:rFonts w:asciiTheme="majorBidi" w:hAnsiTheme="majorBidi" w:cstheme="majorBidi"/>
          <w:sz w:val="24"/>
          <w:szCs w:val="24"/>
        </w:rPr>
        <w:t>Having strong requirements for password</w:t>
      </w:r>
    </w:p>
    <w:p w:rsidR="00F7749E" w:rsidRDefault="00F7749E" w:rsidP="00F7749E">
      <w:pPr>
        <w:pStyle w:val="Listenabsatz"/>
        <w:numPr>
          <w:ilvl w:val="0"/>
          <w:numId w:val="31"/>
        </w:numPr>
        <w:rPr>
          <w:rFonts w:asciiTheme="majorBidi" w:hAnsiTheme="majorBidi" w:cstheme="majorBidi"/>
          <w:sz w:val="24"/>
          <w:szCs w:val="24"/>
        </w:rPr>
      </w:pPr>
      <w:r>
        <w:rPr>
          <w:rFonts w:asciiTheme="majorBidi" w:hAnsiTheme="majorBidi" w:cstheme="majorBidi"/>
          <w:sz w:val="24"/>
          <w:szCs w:val="24"/>
        </w:rPr>
        <w:t>Having a strong firewall and/or antivirus</w:t>
      </w:r>
    </w:p>
    <w:p w:rsidR="00F7749E" w:rsidRDefault="00F7749E" w:rsidP="00F7749E">
      <w:pPr>
        <w:pStyle w:val="Listenabsatz"/>
        <w:numPr>
          <w:ilvl w:val="0"/>
          <w:numId w:val="31"/>
        </w:numPr>
        <w:rPr>
          <w:rFonts w:asciiTheme="majorBidi" w:hAnsiTheme="majorBidi" w:cstheme="majorBidi"/>
          <w:sz w:val="24"/>
          <w:szCs w:val="24"/>
        </w:rPr>
      </w:pPr>
      <w:r>
        <w:rPr>
          <w:rFonts w:asciiTheme="majorBidi" w:hAnsiTheme="majorBidi" w:cstheme="majorBidi"/>
          <w:sz w:val="24"/>
          <w:szCs w:val="24"/>
        </w:rPr>
        <w:t>Having any credentials to prove security</w:t>
      </w:r>
    </w:p>
    <w:p w:rsidR="00F7749E" w:rsidRDefault="00F7749E" w:rsidP="00F7749E">
      <w:pPr>
        <w:pStyle w:val="Listenabsatz"/>
        <w:numPr>
          <w:ilvl w:val="0"/>
          <w:numId w:val="31"/>
        </w:numPr>
        <w:rPr>
          <w:rFonts w:asciiTheme="majorBidi" w:hAnsiTheme="majorBidi" w:cstheme="majorBidi"/>
          <w:sz w:val="24"/>
          <w:szCs w:val="24"/>
        </w:rPr>
      </w:pPr>
      <w:r>
        <w:rPr>
          <w:rFonts w:asciiTheme="majorBidi" w:hAnsiTheme="majorBidi" w:cstheme="majorBidi"/>
          <w:sz w:val="24"/>
          <w:szCs w:val="24"/>
        </w:rPr>
        <w:lastRenderedPageBreak/>
        <w:t xml:space="preserve">Others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E-banking protects your data.</w:t>
      </w:r>
    </w:p>
    <w:p w:rsidR="00F7749E" w:rsidRDefault="00F7749E" w:rsidP="00F7749E">
      <w:pPr>
        <w:pStyle w:val="Listenabsatz"/>
        <w:numPr>
          <w:ilvl w:val="0"/>
          <w:numId w:val="18"/>
        </w:numPr>
        <w:rPr>
          <w:rFonts w:asciiTheme="majorBidi" w:hAnsiTheme="majorBidi" w:cstheme="majorBidi"/>
          <w:sz w:val="24"/>
          <w:szCs w:val="24"/>
        </w:rPr>
      </w:pPr>
      <w:r>
        <w:rPr>
          <w:rFonts w:asciiTheme="majorBidi" w:hAnsiTheme="majorBidi" w:cstheme="majorBidi"/>
          <w:sz w:val="24"/>
          <w:szCs w:val="24"/>
        </w:rPr>
        <w:t>Strongly agree</w:t>
      </w:r>
    </w:p>
    <w:p w:rsidR="00F7749E" w:rsidRDefault="00F7749E" w:rsidP="00F7749E">
      <w:pPr>
        <w:pStyle w:val="Listenabsatz"/>
        <w:numPr>
          <w:ilvl w:val="0"/>
          <w:numId w:val="18"/>
        </w:numPr>
        <w:rPr>
          <w:rFonts w:asciiTheme="majorBidi" w:hAnsiTheme="majorBidi" w:cstheme="majorBidi"/>
          <w:sz w:val="24"/>
          <w:szCs w:val="24"/>
        </w:rPr>
      </w:pPr>
      <w:r>
        <w:rPr>
          <w:rFonts w:asciiTheme="majorBidi" w:hAnsiTheme="majorBidi" w:cstheme="majorBidi"/>
          <w:sz w:val="24"/>
          <w:szCs w:val="24"/>
        </w:rPr>
        <w:t>Agree</w:t>
      </w:r>
    </w:p>
    <w:p w:rsidR="00F7749E" w:rsidRDefault="00F7749E" w:rsidP="00F7749E">
      <w:pPr>
        <w:pStyle w:val="Listenabsatz"/>
        <w:numPr>
          <w:ilvl w:val="0"/>
          <w:numId w:val="18"/>
        </w:numPr>
        <w:rPr>
          <w:rFonts w:asciiTheme="majorBidi" w:hAnsiTheme="majorBidi" w:cstheme="majorBidi"/>
          <w:sz w:val="24"/>
          <w:szCs w:val="24"/>
        </w:rPr>
      </w:pPr>
      <w:r>
        <w:rPr>
          <w:rFonts w:asciiTheme="majorBidi" w:hAnsiTheme="majorBidi" w:cstheme="majorBidi"/>
          <w:sz w:val="24"/>
          <w:szCs w:val="24"/>
        </w:rPr>
        <w:t>Neither agree nor disagree</w:t>
      </w:r>
    </w:p>
    <w:p w:rsidR="00F7749E" w:rsidRDefault="00F7749E" w:rsidP="00F7749E">
      <w:pPr>
        <w:pStyle w:val="Listenabsatz"/>
        <w:numPr>
          <w:ilvl w:val="0"/>
          <w:numId w:val="18"/>
        </w:numPr>
        <w:rPr>
          <w:rFonts w:asciiTheme="majorBidi" w:hAnsiTheme="majorBidi" w:cstheme="majorBidi"/>
          <w:sz w:val="24"/>
          <w:szCs w:val="24"/>
        </w:rPr>
      </w:pPr>
      <w:r>
        <w:rPr>
          <w:rFonts w:asciiTheme="majorBidi" w:hAnsiTheme="majorBidi" w:cstheme="majorBidi"/>
          <w:sz w:val="24"/>
          <w:szCs w:val="24"/>
        </w:rPr>
        <w:t xml:space="preserve">Disagree </w:t>
      </w:r>
    </w:p>
    <w:p w:rsidR="00F7749E" w:rsidRDefault="00F7749E" w:rsidP="00F7749E">
      <w:pPr>
        <w:pStyle w:val="Listenabsatz"/>
        <w:numPr>
          <w:ilvl w:val="0"/>
          <w:numId w:val="18"/>
        </w:numPr>
        <w:rPr>
          <w:rFonts w:asciiTheme="majorBidi" w:hAnsiTheme="majorBidi" w:cstheme="majorBidi"/>
          <w:sz w:val="24"/>
          <w:szCs w:val="24"/>
        </w:rPr>
      </w:pPr>
      <w:r>
        <w:rPr>
          <w:rFonts w:asciiTheme="majorBidi" w:hAnsiTheme="majorBidi" w:cstheme="majorBidi"/>
          <w:sz w:val="24"/>
          <w:szCs w:val="24"/>
        </w:rPr>
        <w:t>Strongly disagree</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E-banking has adequate support 24/7. </w:t>
      </w:r>
    </w:p>
    <w:p w:rsidR="00F7749E" w:rsidRDefault="00F7749E" w:rsidP="00F7749E">
      <w:pPr>
        <w:pStyle w:val="Listenabsatz"/>
        <w:numPr>
          <w:ilvl w:val="0"/>
          <w:numId w:val="19"/>
        </w:numPr>
        <w:rPr>
          <w:rFonts w:asciiTheme="majorBidi" w:hAnsiTheme="majorBidi" w:cstheme="majorBidi"/>
          <w:sz w:val="24"/>
          <w:szCs w:val="24"/>
        </w:rPr>
      </w:pPr>
      <w:r>
        <w:rPr>
          <w:rFonts w:asciiTheme="majorBidi" w:hAnsiTheme="majorBidi" w:cstheme="majorBidi"/>
          <w:sz w:val="24"/>
          <w:szCs w:val="24"/>
        </w:rPr>
        <w:t xml:space="preserve">Strongly agree </w:t>
      </w:r>
    </w:p>
    <w:p w:rsidR="00F7749E" w:rsidRDefault="00F7749E" w:rsidP="00F7749E">
      <w:pPr>
        <w:pStyle w:val="Listenabsatz"/>
        <w:numPr>
          <w:ilvl w:val="0"/>
          <w:numId w:val="19"/>
        </w:numPr>
        <w:rPr>
          <w:rFonts w:asciiTheme="majorBidi" w:hAnsiTheme="majorBidi" w:cstheme="majorBidi"/>
          <w:sz w:val="24"/>
          <w:szCs w:val="24"/>
        </w:rPr>
      </w:pPr>
      <w:r>
        <w:rPr>
          <w:rFonts w:asciiTheme="majorBidi" w:hAnsiTheme="majorBidi" w:cstheme="majorBidi"/>
          <w:sz w:val="24"/>
          <w:szCs w:val="24"/>
        </w:rPr>
        <w:t>Agree</w:t>
      </w:r>
    </w:p>
    <w:p w:rsidR="00F7749E" w:rsidRDefault="00F7749E" w:rsidP="00F7749E">
      <w:pPr>
        <w:pStyle w:val="Listenabsatz"/>
        <w:numPr>
          <w:ilvl w:val="0"/>
          <w:numId w:val="19"/>
        </w:numPr>
        <w:rPr>
          <w:rFonts w:asciiTheme="majorBidi" w:hAnsiTheme="majorBidi" w:cstheme="majorBidi"/>
          <w:sz w:val="24"/>
          <w:szCs w:val="24"/>
        </w:rPr>
      </w:pPr>
      <w:r>
        <w:rPr>
          <w:rFonts w:asciiTheme="majorBidi" w:hAnsiTheme="majorBidi" w:cstheme="majorBidi"/>
          <w:sz w:val="24"/>
          <w:szCs w:val="24"/>
        </w:rPr>
        <w:t>Neither agree nor disagree</w:t>
      </w:r>
    </w:p>
    <w:p w:rsidR="00F7749E" w:rsidRDefault="00F7749E" w:rsidP="00F7749E">
      <w:pPr>
        <w:pStyle w:val="Listenabsatz"/>
        <w:numPr>
          <w:ilvl w:val="0"/>
          <w:numId w:val="19"/>
        </w:numPr>
        <w:rPr>
          <w:rFonts w:asciiTheme="majorBidi" w:hAnsiTheme="majorBidi" w:cstheme="majorBidi"/>
          <w:sz w:val="24"/>
          <w:szCs w:val="24"/>
        </w:rPr>
      </w:pPr>
      <w:r>
        <w:rPr>
          <w:rFonts w:asciiTheme="majorBidi" w:hAnsiTheme="majorBidi" w:cstheme="majorBidi"/>
          <w:sz w:val="24"/>
          <w:szCs w:val="24"/>
        </w:rPr>
        <w:t>Disagree</w:t>
      </w:r>
    </w:p>
    <w:p w:rsidR="00F7749E" w:rsidRDefault="00F7749E" w:rsidP="00F7749E">
      <w:pPr>
        <w:pStyle w:val="Listenabsatz"/>
        <w:numPr>
          <w:ilvl w:val="0"/>
          <w:numId w:val="19"/>
        </w:numPr>
        <w:rPr>
          <w:rFonts w:asciiTheme="majorBidi" w:hAnsiTheme="majorBidi" w:cstheme="majorBidi"/>
          <w:sz w:val="24"/>
          <w:szCs w:val="24"/>
        </w:rPr>
      </w:pPr>
      <w:r>
        <w:rPr>
          <w:rFonts w:asciiTheme="majorBidi" w:hAnsiTheme="majorBidi" w:cstheme="majorBidi"/>
          <w:sz w:val="24"/>
          <w:szCs w:val="24"/>
        </w:rPr>
        <w:t>Neither agree nor disagree</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I am satisfied with the range of services provided by e-banking. </w:t>
      </w:r>
    </w:p>
    <w:p w:rsidR="00F7749E" w:rsidRDefault="00F7749E" w:rsidP="00F7749E">
      <w:pPr>
        <w:pStyle w:val="Listenabsatz"/>
        <w:numPr>
          <w:ilvl w:val="0"/>
          <w:numId w:val="20"/>
        </w:numPr>
        <w:rPr>
          <w:rFonts w:asciiTheme="majorBidi" w:hAnsiTheme="majorBidi" w:cstheme="majorBidi"/>
          <w:sz w:val="24"/>
          <w:szCs w:val="24"/>
        </w:rPr>
      </w:pPr>
      <w:r>
        <w:rPr>
          <w:rFonts w:asciiTheme="majorBidi" w:hAnsiTheme="majorBidi" w:cstheme="majorBidi"/>
          <w:sz w:val="24"/>
          <w:szCs w:val="24"/>
        </w:rPr>
        <w:t xml:space="preserve">Strongly agree </w:t>
      </w:r>
    </w:p>
    <w:p w:rsidR="00F7749E" w:rsidRDefault="00F7749E" w:rsidP="00F7749E">
      <w:pPr>
        <w:pStyle w:val="Listenabsatz"/>
        <w:numPr>
          <w:ilvl w:val="0"/>
          <w:numId w:val="20"/>
        </w:numPr>
        <w:rPr>
          <w:rFonts w:asciiTheme="majorBidi" w:hAnsiTheme="majorBidi" w:cstheme="majorBidi"/>
          <w:sz w:val="24"/>
          <w:szCs w:val="24"/>
        </w:rPr>
      </w:pPr>
      <w:r>
        <w:rPr>
          <w:rFonts w:asciiTheme="majorBidi" w:hAnsiTheme="majorBidi" w:cstheme="majorBidi"/>
          <w:sz w:val="24"/>
          <w:szCs w:val="24"/>
        </w:rPr>
        <w:t xml:space="preserve">Agree </w:t>
      </w:r>
    </w:p>
    <w:p w:rsidR="00F7749E" w:rsidRDefault="00F7749E" w:rsidP="00F7749E">
      <w:pPr>
        <w:pStyle w:val="Listenabsatz"/>
        <w:numPr>
          <w:ilvl w:val="0"/>
          <w:numId w:val="20"/>
        </w:numPr>
        <w:rPr>
          <w:rFonts w:asciiTheme="majorBidi" w:hAnsiTheme="majorBidi" w:cstheme="majorBidi"/>
          <w:sz w:val="24"/>
          <w:szCs w:val="24"/>
        </w:rPr>
      </w:pPr>
      <w:r>
        <w:rPr>
          <w:rFonts w:asciiTheme="majorBidi" w:hAnsiTheme="majorBidi" w:cstheme="majorBidi"/>
          <w:sz w:val="24"/>
          <w:szCs w:val="24"/>
        </w:rPr>
        <w:t>Neither agree nor disagree</w:t>
      </w:r>
    </w:p>
    <w:p w:rsidR="00F7749E" w:rsidRDefault="00F7749E" w:rsidP="00F7749E">
      <w:pPr>
        <w:pStyle w:val="Listenabsatz"/>
        <w:numPr>
          <w:ilvl w:val="0"/>
          <w:numId w:val="20"/>
        </w:numPr>
        <w:rPr>
          <w:rFonts w:asciiTheme="majorBidi" w:hAnsiTheme="majorBidi" w:cstheme="majorBidi"/>
          <w:sz w:val="24"/>
          <w:szCs w:val="24"/>
        </w:rPr>
      </w:pPr>
      <w:r>
        <w:rPr>
          <w:rFonts w:asciiTheme="majorBidi" w:hAnsiTheme="majorBidi" w:cstheme="majorBidi"/>
          <w:sz w:val="24"/>
          <w:szCs w:val="24"/>
        </w:rPr>
        <w:t>Disagree</w:t>
      </w:r>
    </w:p>
    <w:p w:rsidR="00F7749E" w:rsidRDefault="00F7749E" w:rsidP="00F7749E">
      <w:pPr>
        <w:pStyle w:val="Listenabsatz"/>
        <w:numPr>
          <w:ilvl w:val="0"/>
          <w:numId w:val="20"/>
        </w:numPr>
        <w:rPr>
          <w:rFonts w:asciiTheme="majorBidi" w:hAnsiTheme="majorBidi" w:cstheme="majorBidi"/>
          <w:sz w:val="24"/>
          <w:szCs w:val="24"/>
        </w:rPr>
      </w:pPr>
      <w:r>
        <w:rPr>
          <w:rFonts w:asciiTheme="majorBidi" w:hAnsiTheme="majorBidi" w:cstheme="majorBidi"/>
          <w:sz w:val="24"/>
          <w:szCs w:val="24"/>
        </w:rPr>
        <w:t>Strongly disagree</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E-banking is better than regular banking. </w:t>
      </w:r>
    </w:p>
    <w:p w:rsidR="00F7749E" w:rsidRDefault="00F7749E" w:rsidP="00F7749E">
      <w:pPr>
        <w:pStyle w:val="Listenabsatz"/>
        <w:numPr>
          <w:ilvl w:val="0"/>
          <w:numId w:val="21"/>
        </w:numPr>
        <w:rPr>
          <w:rFonts w:asciiTheme="majorBidi" w:hAnsiTheme="majorBidi" w:cstheme="majorBidi"/>
          <w:sz w:val="24"/>
          <w:szCs w:val="24"/>
        </w:rPr>
      </w:pPr>
      <w:r>
        <w:rPr>
          <w:rFonts w:asciiTheme="majorBidi" w:hAnsiTheme="majorBidi" w:cstheme="majorBidi"/>
          <w:sz w:val="24"/>
          <w:szCs w:val="24"/>
        </w:rPr>
        <w:t xml:space="preserve">Strongly agree </w:t>
      </w:r>
    </w:p>
    <w:p w:rsidR="00F7749E" w:rsidRDefault="00F7749E" w:rsidP="00F7749E">
      <w:pPr>
        <w:pStyle w:val="Listenabsatz"/>
        <w:numPr>
          <w:ilvl w:val="0"/>
          <w:numId w:val="21"/>
        </w:numPr>
        <w:rPr>
          <w:rFonts w:asciiTheme="majorBidi" w:hAnsiTheme="majorBidi" w:cstheme="majorBidi"/>
          <w:sz w:val="24"/>
          <w:szCs w:val="24"/>
        </w:rPr>
      </w:pPr>
      <w:r>
        <w:rPr>
          <w:rFonts w:asciiTheme="majorBidi" w:hAnsiTheme="majorBidi" w:cstheme="majorBidi"/>
          <w:sz w:val="24"/>
          <w:szCs w:val="24"/>
        </w:rPr>
        <w:t>Agree</w:t>
      </w:r>
    </w:p>
    <w:p w:rsidR="00F7749E" w:rsidRDefault="00F7749E" w:rsidP="00F7749E">
      <w:pPr>
        <w:pStyle w:val="Listenabsatz"/>
        <w:numPr>
          <w:ilvl w:val="0"/>
          <w:numId w:val="21"/>
        </w:numPr>
        <w:rPr>
          <w:rFonts w:asciiTheme="majorBidi" w:hAnsiTheme="majorBidi" w:cstheme="majorBidi"/>
          <w:sz w:val="24"/>
          <w:szCs w:val="24"/>
        </w:rPr>
      </w:pPr>
      <w:r>
        <w:rPr>
          <w:rFonts w:asciiTheme="majorBidi" w:hAnsiTheme="majorBidi" w:cstheme="majorBidi"/>
          <w:sz w:val="24"/>
          <w:szCs w:val="24"/>
        </w:rPr>
        <w:t>Neither agree nor disagree</w:t>
      </w:r>
    </w:p>
    <w:p w:rsidR="00F7749E" w:rsidRDefault="00F7749E" w:rsidP="00F7749E">
      <w:pPr>
        <w:pStyle w:val="Listenabsatz"/>
        <w:numPr>
          <w:ilvl w:val="0"/>
          <w:numId w:val="21"/>
        </w:numPr>
        <w:rPr>
          <w:rFonts w:asciiTheme="majorBidi" w:hAnsiTheme="majorBidi" w:cstheme="majorBidi"/>
          <w:sz w:val="24"/>
          <w:szCs w:val="24"/>
        </w:rPr>
      </w:pPr>
      <w:r>
        <w:rPr>
          <w:rFonts w:asciiTheme="majorBidi" w:hAnsiTheme="majorBidi" w:cstheme="majorBidi"/>
          <w:sz w:val="24"/>
          <w:szCs w:val="24"/>
        </w:rPr>
        <w:t xml:space="preserve">Disagree </w:t>
      </w:r>
    </w:p>
    <w:p w:rsidR="00F7749E" w:rsidRDefault="00F7749E" w:rsidP="00F7749E">
      <w:pPr>
        <w:pStyle w:val="Listenabsatz"/>
        <w:numPr>
          <w:ilvl w:val="0"/>
          <w:numId w:val="21"/>
        </w:numPr>
        <w:rPr>
          <w:rFonts w:asciiTheme="majorBidi" w:hAnsiTheme="majorBidi" w:cstheme="majorBidi"/>
          <w:sz w:val="24"/>
          <w:szCs w:val="24"/>
        </w:rPr>
      </w:pPr>
      <w:r>
        <w:rPr>
          <w:rFonts w:asciiTheme="majorBidi" w:hAnsiTheme="majorBidi" w:cstheme="majorBidi"/>
          <w:sz w:val="24"/>
          <w:szCs w:val="24"/>
        </w:rPr>
        <w:t>Neither agree nor disagree</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Banks can restore satisfaction by regaining trust.</w:t>
      </w:r>
    </w:p>
    <w:p w:rsidR="00F7749E" w:rsidRDefault="00F7749E" w:rsidP="00F7749E">
      <w:pPr>
        <w:pStyle w:val="Listenabsatz"/>
        <w:numPr>
          <w:ilvl w:val="0"/>
          <w:numId w:val="23"/>
        </w:numPr>
        <w:rPr>
          <w:rFonts w:asciiTheme="majorBidi" w:hAnsiTheme="majorBidi" w:cstheme="majorBidi"/>
          <w:sz w:val="24"/>
          <w:szCs w:val="24"/>
        </w:rPr>
      </w:pPr>
      <w:r>
        <w:rPr>
          <w:rFonts w:asciiTheme="majorBidi" w:hAnsiTheme="majorBidi" w:cstheme="majorBidi"/>
          <w:sz w:val="24"/>
          <w:szCs w:val="24"/>
        </w:rPr>
        <w:t xml:space="preserve">Strongly agree </w:t>
      </w:r>
    </w:p>
    <w:p w:rsidR="00F7749E" w:rsidRDefault="00F7749E" w:rsidP="00F7749E">
      <w:pPr>
        <w:pStyle w:val="Listenabsatz"/>
        <w:numPr>
          <w:ilvl w:val="0"/>
          <w:numId w:val="23"/>
        </w:numPr>
        <w:rPr>
          <w:rFonts w:asciiTheme="majorBidi" w:hAnsiTheme="majorBidi" w:cstheme="majorBidi"/>
          <w:sz w:val="24"/>
          <w:szCs w:val="24"/>
        </w:rPr>
      </w:pPr>
      <w:r>
        <w:rPr>
          <w:rFonts w:asciiTheme="majorBidi" w:hAnsiTheme="majorBidi" w:cstheme="majorBidi"/>
          <w:sz w:val="24"/>
          <w:szCs w:val="24"/>
        </w:rPr>
        <w:t>Agree</w:t>
      </w:r>
    </w:p>
    <w:p w:rsidR="00F7749E" w:rsidRDefault="00F7749E" w:rsidP="00F7749E">
      <w:pPr>
        <w:pStyle w:val="Listenabsatz"/>
        <w:numPr>
          <w:ilvl w:val="0"/>
          <w:numId w:val="23"/>
        </w:numPr>
        <w:rPr>
          <w:rFonts w:asciiTheme="majorBidi" w:hAnsiTheme="majorBidi" w:cstheme="majorBidi"/>
          <w:sz w:val="24"/>
          <w:szCs w:val="24"/>
        </w:rPr>
      </w:pPr>
      <w:r>
        <w:rPr>
          <w:rFonts w:asciiTheme="majorBidi" w:hAnsiTheme="majorBidi" w:cstheme="majorBidi"/>
          <w:sz w:val="24"/>
          <w:szCs w:val="24"/>
        </w:rPr>
        <w:t xml:space="preserve">Neither agree nor disagree </w:t>
      </w:r>
    </w:p>
    <w:p w:rsidR="00F7749E" w:rsidRDefault="00F7749E" w:rsidP="00F7749E">
      <w:pPr>
        <w:pStyle w:val="Listenabsatz"/>
        <w:numPr>
          <w:ilvl w:val="0"/>
          <w:numId w:val="23"/>
        </w:numPr>
        <w:rPr>
          <w:rFonts w:asciiTheme="majorBidi" w:hAnsiTheme="majorBidi" w:cstheme="majorBidi"/>
          <w:sz w:val="24"/>
          <w:szCs w:val="24"/>
        </w:rPr>
      </w:pPr>
      <w:r>
        <w:rPr>
          <w:rFonts w:asciiTheme="majorBidi" w:hAnsiTheme="majorBidi" w:cstheme="majorBidi"/>
          <w:sz w:val="24"/>
          <w:szCs w:val="24"/>
        </w:rPr>
        <w:t>Disagree</w:t>
      </w:r>
    </w:p>
    <w:p w:rsidR="00F7749E" w:rsidRDefault="00F7749E" w:rsidP="00F7749E">
      <w:pPr>
        <w:pStyle w:val="Listenabsatz"/>
        <w:numPr>
          <w:ilvl w:val="0"/>
          <w:numId w:val="23"/>
        </w:numPr>
        <w:rPr>
          <w:rFonts w:asciiTheme="majorBidi" w:hAnsiTheme="majorBidi" w:cstheme="majorBidi"/>
          <w:sz w:val="24"/>
          <w:szCs w:val="24"/>
        </w:rPr>
      </w:pPr>
      <w:r>
        <w:rPr>
          <w:rFonts w:asciiTheme="majorBidi" w:hAnsiTheme="majorBidi" w:cstheme="majorBidi"/>
          <w:sz w:val="24"/>
          <w:szCs w:val="24"/>
        </w:rPr>
        <w:t xml:space="preserve">Neither agree nor disagree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Trust can be regained by: (more than one option is permissible)</w:t>
      </w:r>
    </w:p>
    <w:p w:rsidR="00F7749E" w:rsidRDefault="00F7749E" w:rsidP="00F7749E">
      <w:pPr>
        <w:pStyle w:val="Listenabsatz"/>
        <w:numPr>
          <w:ilvl w:val="0"/>
          <w:numId w:val="24"/>
        </w:numPr>
        <w:rPr>
          <w:rFonts w:asciiTheme="majorBidi" w:hAnsiTheme="majorBidi" w:cstheme="majorBidi"/>
          <w:sz w:val="24"/>
          <w:szCs w:val="24"/>
        </w:rPr>
      </w:pPr>
      <w:r>
        <w:rPr>
          <w:rFonts w:asciiTheme="majorBidi" w:hAnsiTheme="majorBidi" w:cstheme="majorBidi"/>
          <w:sz w:val="24"/>
          <w:szCs w:val="24"/>
        </w:rPr>
        <w:t xml:space="preserve">Being more transparent with customers </w:t>
      </w:r>
    </w:p>
    <w:p w:rsidR="00F7749E" w:rsidRDefault="00F7749E" w:rsidP="00F7749E">
      <w:pPr>
        <w:pStyle w:val="Listenabsatz"/>
        <w:numPr>
          <w:ilvl w:val="0"/>
          <w:numId w:val="24"/>
        </w:numPr>
        <w:rPr>
          <w:rFonts w:asciiTheme="majorBidi" w:hAnsiTheme="majorBidi" w:cstheme="majorBidi"/>
          <w:sz w:val="24"/>
          <w:szCs w:val="24"/>
        </w:rPr>
      </w:pPr>
      <w:r>
        <w:rPr>
          <w:rFonts w:asciiTheme="majorBidi" w:hAnsiTheme="majorBidi" w:cstheme="majorBidi"/>
          <w:sz w:val="24"/>
          <w:szCs w:val="24"/>
        </w:rPr>
        <w:t xml:space="preserve">Lifting restrictions on transactions </w:t>
      </w:r>
    </w:p>
    <w:p w:rsidR="00F7749E" w:rsidRDefault="00F7749E" w:rsidP="00F7749E">
      <w:pPr>
        <w:pStyle w:val="Listenabsatz"/>
        <w:numPr>
          <w:ilvl w:val="0"/>
          <w:numId w:val="24"/>
        </w:numPr>
        <w:rPr>
          <w:rFonts w:asciiTheme="majorBidi" w:hAnsiTheme="majorBidi" w:cstheme="majorBidi"/>
          <w:sz w:val="24"/>
          <w:szCs w:val="24"/>
        </w:rPr>
      </w:pPr>
      <w:r>
        <w:rPr>
          <w:rFonts w:asciiTheme="majorBidi" w:hAnsiTheme="majorBidi" w:cstheme="majorBidi"/>
          <w:sz w:val="24"/>
          <w:szCs w:val="24"/>
        </w:rPr>
        <w:t xml:space="preserve">Restoring the value of the Lebanese Lira </w:t>
      </w:r>
    </w:p>
    <w:p w:rsidR="00F7749E" w:rsidRDefault="00F7749E" w:rsidP="00F7749E">
      <w:pPr>
        <w:pStyle w:val="Listenabsatz"/>
        <w:numPr>
          <w:ilvl w:val="0"/>
          <w:numId w:val="24"/>
        </w:numPr>
        <w:rPr>
          <w:rFonts w:asciiTheme="majorBidi" w:hAnsiTheme="majorBidi" w:cstheme="majorBidi"/>
          <w:sz w:val="24"/>
          <w:szCs w:val="24"/>
        </w:rPr>
      </w:pPr>
      <w:r>
        <w:rPr>
          <w:rFonts w:asciiTheme="majorBidi" w:hAnsiTheme="majorBidi" w:cstheme="majorBidi"/>
          <w:sz w:val="24"/>
          <w:szCs w:val="24"/>
        </w:rPr>
        <w:t xml:space="preserve">Allowing external transactions </w:t>
      </w:r>
    </w:p>
    <w:p w:rsidR="00F7749E" w:rsidRDefault="00F7749E" w:rsidP="00F7749E">
      <w:pPr>
        <w:pStyle w:val="Listenabsatz"/>
        <w:numPr>
          <w:ilvl w:val="0"/>
          <w:numId w:val="24"/>
        </w:numPr>
        <w:rPr>
          <w:rFonts w:asciiTheme="majorBidi" w:hAnsiTheme="majorBidi" w:cstheme="majorBidi"/>
          <w:sz w:val="24"/>
          <w:szCs w:val="24"/>
        </w:rPr>
      </w:pPr>
      <w:r>
        <w:rPr>
          <w:rFonts w:asciiTheme="majorBidi" w:hAnsiTheme="majorBidi" w:cstheme="majorBidi"/>
          <w:sz w:val="24"/>
          <w:szCs w:val="24"/>
        </w:rPr>
        <w:t xml:space="preserve">Allowing purchases without restrictions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The events of 2019 have made you more engaged with e-banking. </w:t>
      </w:r>
    </w:p>
    <w:p w:rsidR="00F7749E" w:rsidRDefault="00F7749E" w:rsidP="00F7749E">
      <w:pPr>
        <w:pStyle w:val="Listenabsatz"/>
        <w:numPr>
          <w:ilvl w:val="0"/>
          <w:numId w:val="39"/>
        </w:numPr>
        <w:rPr>
          <w:rFonts w:asciiTheme="majorBidi" w:hAnsiTheme="majorBidi" w:cstheme="majorBidi"/>
          <w:sz w:val="24"/>
          <w:szCs w:val="24"/>
        </w:rPr>
      </w:pPr>
      <w:r>
        <w:rPr>
          <w:rFonts w:asciiTheme="majorBidi" w:hAnsiTheme="majorBidi" w:cstheme="majorBidi"/>
          <w:sz w:val="24"/>
          <w:szCs w:val="24"/>
        </w:rPr>
        <w:t xml:space="preserve">Yes </w:t>
      </w:r>
    </w:p>
    <w:p w:rsidR="00F7749E" w:rsidRDefault="00F7749E" w:rsidP="00F7749E">
      <w:pPr>
        <w:pStyle w:val="Listenabsatz"/>
        <w:numPr>
          <w:ilvl w:val="0"/>
          <w:numId w:val="39"/>
        </w:numPr>
        <w:rPr>
          <w:rFonts w:asciiTheme="majorBidi" w:hAnsiTheme="majorBidi" w:cstheme="majorBidi"/>
          <w:sz w:val="24"/>
          <w:szCs w:val="24"/>
        </w:rPr>
      </w:pPr>
      <w:r>
        <w:rPr>
          <w:rFonts w:asciiTheme="majorBidi" w:hAnsiTheme="majorBidi" w:cstheme="majorBidi"/>
          <w:sz w:val="24"/>
          <w:szCs w:val="24"/>
        </w:rPr>
        <w:t xml:space="preserve">No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lastRenderedPageBreak/>
        <w:t xml:space="preserve">The events of 2019 have given you a better understanding of e-banking. </w:t>
      </w:r>
    </w:p>
    <w:p w:rsidR="00F7749E" w:rsidRDefault="00F7749E" w:rsidP="00F7749E">
      <w:pPr>
        <w:pStyle w:val="Listenabsatz"/>
        <w:numPr>
          <w:ilvl w:val="0"/>
          <w:numId w:val="41"/>
        </w:numPr>
        <w:rPr>
          <w:rFonts w:asciiTheme="majorBidi" w:hAnsiTheme="majorBidi" w:cstheme="majorBidi"/>
          <w:sz w:val="24"/>
          <w:szCs w:val="24"/>
        </w:rPr>
      </w:pPr>
      <w:r>
        <w:rPr>
          <w:rFonts w:asciiTheme="majorBidi" w:hAnsiTheme="majorBidi" w:cstheme="majorBidi"/>
          <w:sz w:val="24"/>
          <w:szCs w:val="24"/>
        </w:rPr>
        <w:t xml:space="preserve">Yes </w:t>
      </w:r>
    </w:p>
    <w:p w:rsidR="00F7749E" w:rsidRDefault="00F7749E" w:rsidP="00F7749E">
      <w:pPr>
        <w:pStyle w:val="Listenabsatz"/>
        <w:numPr>
          <w:ilvl w:val="0"/>
          <w:numId w:val="41"/>
        </w:numPr>
        <w:rPr>
          <w:rFonts w:asciiTheme="majorBidi" w:hAnsiTheme="majorBidi" w:cstheme="majorBidi"/>
          <w:sz w:val="24"/>
          <w:szCs w:val="24"/>
        </w:rPr>
      </w:pPr>
      <w:r>
        <w:rPr>
          <w:rFonts w:asciiTheme="majorBidi" w:hAnsiTheme="majorBidi" w:cstheme="majorBidi"/>
          <w:sz w:val="24"/>
          <w:szCs w:val="24"/>
        </w:rPr>
        <w:t xml:space="preserve">No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Engagement with e-banking is more due to: </w:t>
      </w:r>
    </w:p>
    <w:p w:rsidR="00F7749E" w:rsidRDefault="00F7749E" w:rsidP="00F7749E">
      <w:pPr>
        <w:pStyle w:val="Listenabsatz"/>
        <w:numPr>
          <w:ilvl w:val="0"/>
          <w:numId w:val="40"/>
        </w:numPr>
        <w:rPr>
          <w:rFonts w:asciiTheme="majorBidi" w:hAnsiTheme="majorBidi" w:cstheme="majorBidi"/>
          <w:sz w:val="24"/>
          <w:szCs w:val="24"/>
        </w:rPr>
      </w:pPr>
      <w:r>
        <w:rPr>
          <w:rFonts w:asciiTheme="majorBidi" w:hAnsiTheme="majorBidi" w:cstheme="majorBidi"/>
          <w:sz w:val="24"/>
          <w:szCs w:val="24"/>
        </w:rPr>
        <w:t>Financial crisis of 2019</w:t>
      </w:r>
    </w:p>
    <w:p w:rsidR="00F7749E" w:rsidRPr="000F40E5" w:rsidRDefault="00F7749E" w:rsidP="00F7749E">
      <w:pPr>
        <w:pStyle w:val="Listenabsatz"/>
        <w:numPr>
          <w:ilvl w:val="0"/>
          <w:numId w:val="40"/>
        </w:numPr>
        <w:rPr>
          <w:rFonts w:asciiTheme="majorBidi" w:hAnsiTheme="majorBidi" w:cstheme="majorBidi"/>
          <w:sz w:val="24"/>
          <w:szCs w:val="24"/>
        </w:rPr>
      </w:pPr>
      <w:r>
        <w:rPr>
          <w:rFonts w:asciiTheme="majorBidi" w:hAnsiTheme="majorBidi" w:cstheme="majorBidi"/>
          <w:sz w:val="24"/>
          <w:szCs w:val="24"/>
        </w:rPr>
        <w:t xml:space="preserve">Onset of COVID-19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Has your bank provided any new services post 2019?</w:t>
      </w:r>
    </w:p>
    <w:p w:rsidR="00F7749E" w:rsidRDefault="00F7749E" w:rsidP="00F7749E">
      <w:pPr>
        <w:pStyle w:val="Listenabsatz"/>
        <w:numPr>
          <w:ilvl w:val="0"/>
          <w:numId w:val="26"/>
        </w:numPr>
        <w:rPr>
          <w:rFonts w:asciiTheme="majorBidi" w:hAnsiTheme="majorBidi" w:cstheme="majorBidi"/>
          <w:sz w:val="24"/>
          <w:szCs w:val="24"/>
        </w:rPr>
      </w:pPr>
      <w:r>
        <w:rPr>
          <w:rFonts w:asciiTheme="majorBidi" w:hAnsiTheme="majorBidi" w:cstheme="majorBidi"/>
          <w:sz w:val="24"/>
          <w:szCs w:val="24"/>
        </w:rPr>
        <w:t xml:space="preserve">Yes </w:t>
      </w:r>
    </w:p>
    <w:p w:rsidR="00F7749E" w:rsidRDefault="00F7749E" w:rsidP="00F7749E">
      <w:pPr>
        <w:pStyle w:val="Listenabsatz"/>
        <w:numPr>
          <w:ilvl w:val="0"/>
          <w:numId w:val="26"/>
        </w:numPr>
        <w:rPr>
          <w:rFonts w:asciiTheme="majorBidi" w:hAnsiTheme="majorBidi" w:cstheme="majorBidi"/>
          <w:sz w:val="24"/>
          <w:szCs w:val="24"/>
        </w:rPr>
      </w:pPr>
      <w:r>
        <w:rPr>
          <w:rFonts w:asciiTheme="majorBidi" w:hAnsiTheme="majorBidi" w:cstheme="majorBidi"/>
          <w:sz w:val="24"/>
          <w:szCs w:val="24"/>
        </w:rPr>
        <w:t xml:space="preserve">No </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If yes, please provide these services. </w:t>
      </w:r>
    </w:p>
    <w:p w:rsidR="00F7749E" w:rsidRDefault="00F7749E" w:rsidP="00F7749E">
      <w:pPr>
        <w:pStyle w:val="Listenabsatz"/>
        <w:numPr>
          <w:ilvl w:val="0"/>
          <w:numId w:val="27"/>
        </w:numPr>
        <w:rPr>
          <w:rFonts w:asciiTheme="majorBidi" w:hAnsiTheme="majorBidi" w:cstheme="majorBidi"/>
          <w:sz w:val="24"/>
          <w:szCs w:val="24"/>
        </w:rPr>
      </w:pPr>
      <w:r>
        <w:rPr>
          <w:rFonts w:asciiTheme="majorBidi" w:hAnsiTheme="majorBidi" w:cstheme="majorBidi"/>
          <w:sz w:val="24"/>
          <w:szCs w:val="24"/>
        </w:rPr>
        <w:t xml:space="preserve">New services: </w:t>
      </w:r>
    </w:p>
    <w:p w:rsidR="00F7749E" w:rsidRDefault="00F7749E" w:rsidP="00F7749E">
      <w:pPr>
        <w:pStyle w:val="Listenabsatz"/>
        <w:numPr>
          <w:ilvl w:val="0"/>
          <w:numId w:val="27"/>
        </w:numPr>
        <w:rPr>
          <w:rFonts w:asciiTheme="majorBidi" w:hAnsiTheme="majorBidi" w:cstheme="majorBidi"/>
          <w:sz w:val="24"/>
          <w:szCs w:val="24"/>
        </w:rPr>
      </w:pPr>
      <w:r>
        <w:rPr>
          <w:rFonts w:asciiTheme="majorBidi" w:hAnsiTheme="majorBidi" w:cstheme="majorBidi"/>
          <w:sz w:val="24"/>
          <w:szCs w:val="24"/>
        </w:rPr>
        <w:t>N/A</w:t>
      </w:r>
    </w:p>
    <w:p w:rsidR="00F7749E" w:rsidRDefault="00F7749E" w:rsidP="00F7749E">
      <w:pPr>
        <w:pStyle w:val="Listenabsatz"/>
        <w:numPr>
          <w:ilvl w:val="0"/>
          <w:numId w:val="7"/>
        </w:numPr>
        <w:rPr>
          <w:rFonts w:asciiTheme="majorBidi" w:hAnsiTheme="majorBidi" w:cstheme="majorBidi"/>
          <w:sz w:val="24"/>
          <w:szCs w:val="24"/>
        </w:rPr>
      </w:pPr>
      <w:r>
        <w:rPr>
          <w:rFonts w:asciiTheme="majorBidi" w:hAnsiTheme="majorBidi" w:cstheme="majorBidi"/>
          <w:sz w:val="24"/>
          <w:szCs w:val="24"/>
        </w:rPr>
        <w:t xml:space="preserve">The banking sector can recover from this crisis. </w:t>
      </w:r>
    </w:p>
    <w:p w:rsidR="00F7749E" w:rsidRDefault="00F7749E" w:rsidP="00F7749E">
      <w:pPr>
        <w:pStyle w:val="Listenabsatz"/>
        <w:numPr>
          <w:ilvl w:val="0"/>
          <w:numId w:val="25"/>
        </w:numPr>
        <w:rPr>
          <w:rFonts w:asciiTheme="majorBidi" w:hAnsiTheme="majorBidi" w:cstheme="majorBidi"/>
          <w:sz w:val="24"/>
          <w:szCs w:val="24"/>
        </w:rPr>
      </w:pPr>
      <w:r>
        <w:rPr>
          <w:rFonts w:asciiTheme="majorBidi" w:hAnsiTheme="majorBidi" w:cstheme="majorBidi"/>
          <w:sz w:val="24"/>
          <w:szCs w:val="24"/>
        </w:rPr>
        <w:t>Strongly agree</w:t>
      </w:r>
    </w:p>
    <w:p w:rsidR="00F7749E" w:rsidRDefault="00F7749E" w:rsidP="00F7749E">
      <w:pPr>
        <w:pStyle w:val="Listenabsatz"/>
        <w:numPr>
          <w:ilvl w:val="0"/>
          <w:numId w:val="25"/>
        </w:numPr>
        <w:rPr>
          <w:rFonts w:asciiTheme="majorBidi" w:hAnsiTheme="majorBidi" w:cstheme="majorBidi"/>
          <w:sz w:val="24"/>
          <w:szCs w:val="24"/>
        </w:rPr>
      </w:pPr>
      <w:r>
        <w:rPr>
          <w:rFonts w:asciiTheme="majorBidi" w:hAnsiTheme="majorBidi" w:cstheme="majorBidi"/>
          <w:sz w:val="24"/>
          <w:szCs w:val="24"/>
        </w:rPr>
        <w:t>Agree</w:t>
      </w:r>
    </w:p>
    <w:p w:rsidR="00F7749E" w:rsidRDefault="00F7749E" w:rsidP="00F7749E">
      <w:pPr>
        <w:pStyle w:val="Listenabsatz"/>
        <w:numPr>
          <w:ilvl w:val="0"/>
          <w:numId w:val="25"/>
        </w:numPr>
        <w:rPr>
          <w:rFonts w:asciiTheme="majorBidi" w:hAnsiTheme="majorBidi" w:cstheme="majorBidi"/>
          <w:sz w:val="24"/>
          <w:szCs w:val="24"/>
        </w:rPr>
      </w:pPr>
      <w:r>
        <w:rPr>
          <w:rFonts w:asciiTheme="majorBidi" w:hAnsiTheme="majorBidi" w:cstheme="majorBidi"/>
          <w:sz w:val="24"/>
          <w:szCs w:val="24"/>
        </w:rPr>
        <w:t>Neither agree nor disagree</w:t>
      </w:r>
    </w:p>
    <w:p w:rsidR="00F7749E" w:rsidRDefault="00F7749E" w:rsidP="00F7749E">
      <w:pPr>
        <w:pStyle w:val="Listenabsatz"/>
        <w:numPr>
          <w:ilvl w:val="0"/>
          <w:numId w:val="25"/>
        </w:numPr>
        <w:rPr>
          <w:rFonts w:asciiTheme="majorBidi" w:hAnsiTheme="majorBidi" w:cstheme="majorBidi"/>
          <w:sz w:val="24"/>
          <w:szCs w:val="24"/>
        </w:rPr>
      </w:pPr>
      <w:r>
        <w:rPr>
          <w:rFonts w:asciiTheme="majorBidi" w:hAnsiTheme="majorBidi" w:cstheme="majorBidi"/>
          <w:sz w:val="24"/>
          <w:szCs w:val="24"/>
        </w:rPr>
        <w:t>Disagree</w:t>
      </w:r>
    </w:p>
    <w:p w:rsidR="00F7749E" w:rsidRPr="00E35466" w:rsidRDefault="00F7749E" w:rsidP="00F7749E">
      <w:pPr>
        <w:pStyle w:val="Listenabsatz"/>
        <w:numPr>
          <w:ilvl w:val="0"/>
          <w:numId w:val="25"/>
        </w:numPr>
        <w:rPr>
          <w:rFonts w:asciiTheme="majorBidi" w:hAnsiTheme="majorBidi" w:cstheme="majorBidi"/>
          <w:sz w:val="24"/>
          <w:szCs w:val="24"/>
        </w:rPr>
      </w:pPr>
      <w:r>
        <w:rPr>
          <w:rFonts w:asciiTheme="majorBidi" w:hAnsiTheme="majorBidi" w:cstheme="majorBidi"/>
          <w:sz w:val="24"/>
          <w:szCs w:val="24"/>
        </w:rPr>
        <w:t xml:space="preserve">Strongly disagree </w:t>
      </w:r>
    </w:p>
    <w:p w:rsidR="004E7338" w:rsidRDefault="004E7338" w:rsidP="00493E4F">
      <w:pPr>
        <w:spacing w:line="360" w:lineRule="auto"/>
        <w:ind w:left="360"/>
        <w:jc w:val="both"/>
        <w:rPr>
          <w:rFonts w:asciiTheme="majorBidi" w:hAnsiTheme="majorBidi"/>
          <w:sz w:val="24"/>
          <w:szCs w:val="24"/>
        </w:rPr>
      </w:pPr>
    </w:p>
    <w:p w:rsidR="00F7749E" w:rsidRDefault="00F7749E" w:rsidP="00493E4F">
      <w:pPr>
        <w:spacing w:line="360" w:lineRule="auto"/>
        <w:ind w:left="360"/>
        <w:jc w:val="both"/>
        <w:rPr>
          <w:rFonts w:asciiTheme="majorBidi" w:hAnsiTheme="majorBidi"/>
          <w:sz w:val="24"/>
          <w:szCs w:val="24"/>
        </w:rPr>
      </w:pPr>
    </w:p>
    <w:p w:rsidR="00F7749E" w:rsidRDefault="00F7749E" w:rsidP="00493E4F">
      <w:pPr>
        <w:spacing w:line="360" w:lineRule="auto"/>
        <w:ind w:left="360"/>
        <w:jc w:val="both"/>
        <w:rPr>
          <w:rFonts w:asciiTheme="majorBidi" w:hAnsiTheme="majorBidi"/>
          <w:sz w:val="24"/>
          <w:szCs w:val="24"/>
        </w:rPr>
      </w:pPr>
    </w:p>
    <w:p w:rsidR="00F7749E" w:rsidRDefault="00F7749E" w:rsidP="00493E4F">
      <w:pPr>
        <w:spacing w:line="360" w:lineRule="auto"/>
        <w:ind w:left="360"/>
        <w:jc w:val="both"/>
        <w:rPr>
          <w:rFonts w:asciiTheme="majorBidi" w:hAnsiTheme="majorBidi"/>
          <w:sz w:val="24"/>
          <w:szCs w:val="24"/>
        </w:rPr>
      </w:pPr>
    </w:p>
    <w:p w:rsidR="00F7749E" w:rsidRDefault="00F7749E" w:rsidP="00493E4F">
      <w:pPr>
        <w:spacing w:line="360" w:lineRule="auto"/>
        <w:ind w:left="360"/>
        <w:jc w:val="both"/>
        <w:rPr>
          <w:rFonts w:asciiTheme="majorBidi" w:hAnsiTheme="majorBidi"/>
          <w:sz w:val="24"/>
          <w:szCs w:val="24"/>
        </w:rPr>
      </w:pPr>
    </w:p>
    <w:p w:rsidR="00F7749E" w:rsidRDefault="00F7749E" w:rsidP="00493E4F">
      <w:pPr>
        <w:spacing w:line="360" w:lineRule="auto"/>
        <w:ind w:left="360"/>
        <w:jc w:val="both"/>
        <w:rPr>
          <w:rFonts w:asciiTheme="majorBidi" w:hAnsiTheme="majorBidi"/>
          <w:sz w:val="24"/>
          <w:szCs w:val="24"/>
        </w:rPr>
      </w:pPr>
    </w:p>
    <w:p w:rsidR="00F7749E" w:rsidRDefault="00F7749E" w:rsidP="00493E4F">
      <w:pPr>
        <w:spacing w:line="360" w:lineRule="auto"/>
        <w:ind w:left="360"/>
        <w:jc w:val="both"/>
        <w:rPr>
          <w:rFonts w:asciiTheme="majorBidi" w:hAnsiTheme="majorBidi"/>
          <w:sz w:val="24"/>
          <w:szCs w:val="24"/>
        </w:rPr>
      </w:pPr>
    </w:p>
    <w:p w:rsidR="00F7749E" w:rsidRDefault="00F7749E" w:rsidP="00493E4F">
      <w:pPr>
        <w:spacing w:line="360" w:lineRule="auto"/>
        <w:ind w:left="360"/>
        <w:jc w:val="both"/>
        <w:rPr>
          <w:rFonts w:asciiTheme="majorBidi" w:hAnsiTheme="majorBidi"/>
          <w:sz w:val="24"/>
          <w:szCs w:val="24"/>
        </w:rPr>
      </w:pPr>
    </w:p>
    <w:p w:rsidR="00F7749E" w:rsidRDefault="00F7749E" w:rsidP="00493E4F">
      <w:pPr>
        <w:spacing w:line="360" w:lineRule="auto"/>
        <w:ind w:left="360"/>
        <w:jc w:val="both"/>
        <w:rPr>
          <w:rFonts w:asciiTheme="majorBidi" w:hAnsiTheme="majorBidi"/>
          <w:sz w:val="24"/>
          <w:szCs w:val="24"/>
        </w:rPr>
      </w:pPr>
    </w:p>
    <w:p w:rsidR="00F7749E" w:rsidRDefault="00F7749E" w:rsidP="00493E4F">
      <w:pPr>
        <w:spacing w:line="360" w:lineRule="auto"/>
        <w:ind w:left="360"/>
        <w:jc w:val="both"/>
        <w:rPr>
          <w:rFonts w:asciiTheme="majorBidi" w:hAnsiTheme="majorBidi"/>
          <w:sz w:val="24"/>
          <w:szCs w:val="24"/>
        </w:rPr>
      </w:pPr>
    </w:p>
    <w:p w:rsidR="00F7749E" w:rsidRDefault="00F7749E" w:rsidP="00493E4F">
      <w:pPr>
        <w:spacing w:line="360" w:lineRule="auto"/>
        <w:ind w:left="360"/>
        <w:jc w:val="both"/>
        <w:rPr>
          <w:rFonts w:asciiTheme="majorBidi" w:hAnsiTheme="majorBidi"/>
          <w:sz w:val="24"/>
          <w:szCs w:val="24"/>
        </w:rPr>
      </w:pPr>
    </w:p>
    <w:p w:rsidR="00F7749E" w:rsidRDefault="00F7749E" w:rsidP="00493E4F">
      <w:pPr>
        <w:spacing w:line="360" w:lineRule="auto"/>
        <w:ind w:left="360"/>
        <w:jc w:val="both"/>
        <w:rPr>
          <w:rFonts w:asciiTheme="majorBidi" w:hAnsiTheme="majorBidi"/>
          <w:sz w:val="24"/>
          <w:szCs w:val="24"/>
        </w:rPr>
      </w:pPr>
    </w:p>
    <w:p w:rsidR="00F7749E" w:rsidRDefault="00F7749E" w:rsidP="00493E4F">
      <w:pPr>
        <w:spacing w:line="360" w:lineRule="auto"/>
        <w:ind w:left="360"/>
        <w:jc w:val="both"/>
        <w:rPr>
          <w:rFonts w:asciiTheme="majorBidi" w:hAnsiTheme="majorBidi"/>
          <w:sz w:val="24"/>
          <w:szCs w:val="24"/>
        </w:rPr>
      </w:pPr>
      <w:r>
        <w:rPr>
          <w:rFonts w:asciiTheme="majorBidi" w:hAnsiTheme="majorBidi"/>
          <w:sz w:val="24"/>
          <w:szCs w:val="24"/>
        </w:rPr>
        <w:lastRenderedPageBreak/>
        <w:t xml:space="preserve">Appendix 2: Excel Sheet </w:t>
      </w:r>
    </w:p>
    <w:p w:rsidR="00F7749E" w:rsidRPr="004E7338" w:rsidRDefault="00F7749E" w:rsidP="00493E4F">
      <w:pPr>
        <w:spacing w:line="360" w:lineRule="auto"/>
        <w:ind w:left="360"/>
        <w:jc w:val="both"/>
        <w:rPr>
          <w:rFonts w:asciiTheme="majorBidi" w:hAnsiTheme="majorBidi"/>
          <w:sz w:val="24"/>
          <w:szCs w:val="24"/>
        </w:rPr>
      </w:pPr>
    </w:p>
    <w:p w:rsidR="00493E4F" w:rsidRPr="00710FEC" w:rsidRDefault="00493E4F" w:rsidP="00493E4F">
      <w:pPr>
        <w:spacing w:line="360" w:lineRule="auto"/>
        <w:jc w:val="both"/>
        <w:rPr>
          <w:rFonts w:asciiTheme="majorBidi" w:hAnsiTheme="majorBidi" w:cstheme="majorBidi"/>
          <w:sz w:val="24"/>
          <w:szCs w:val="24"/>
        </w:rPr>
      </w:pPr>
    </w:p>
    <w:p w:rsidR="00493E4F" w:rsidRDefault="00493E4F" w:rsidP="00493E4F"/>
    <w:p w:rsidR="00493E4F" w:rsidRPr="00493E4F" w:rsidRDefault="00493E4F" w:rsidP="00BA77EA">
      <w:pPr>
        <w:spacing w:line="480" w:lineRule="auto"/>
        <w:rPr>
          <w:rFonts w:asciiTheme="majorBidi" w:hAnsiTheme="majorBidi" w:cstheme="majorBidi"/>
          <w:b/>
          <w:bCs/>
          <w:sz w:val="24"/>
          <w:szCs w:val="24"/>
        </w:rPr>
      </w:pPr>
    </w:p>
    <w:sectPr w:rsidR="00493E4F" w:rsidRPr="00493E4F" w:rsidSect="00F553BA">
      <w:headerReference w:type="default" r:id="rId53"/>
      <w:footerReference w:type="default" r:id="rId5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262E" w:rsidRDefault="00BD262E" w:rsidP="007947CB">
      <w:pPr>
        <w:spacing w:after="0" w:line="240" w:lineRule="auto"/>
      </w:pPr>
      <w:r>
        <w:separator/>
      </w:r>
    </w:p>
  </w:endnote>
  <w:endnote w:type="continuationSeparator" w:id="0">
    <w:p w:rsidR="00BD262E" w:rsidRDefault="00BD262E" w:rsidP="00794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Roboto">
    <w:altName w:val="Times New Roman"/>
    <w:charset w:val="00"/>
    <w:family w:val="auto"/>
    <w:pitch w:val="variable"/>
    <w:sig w:usb0="00000001"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4172394"/>
      <w:docPartObj>
        <w:docPartGallery w:val="Page Numbers (Bottom of Page)"/>
        <w:docPartUnique/>
      </w:docPartObj>
    </w:sdtPr>
    <w:sdtContent>
      <w:p w:rsidR="00830EE4" w:rsidRDefault="00830EE4">
        <w:pPr>
          <w:pStyle w:val="Fuzeile"/>
          <w:jc w:val="center"/>
        </w:pPr>
        <w:r>
          <w:fldChar w:fldCharType="begin"/>
        </w:r>
        <w:r>
          <w:instrText>PAGE   \* MERGEFORMAT</w:instrText>
        </w:r>
        <w:r>
          <w:fldChar w:fldCharType="separate"/>
        </w:r>
        <w:r w:rsidR="00FE1505" w:rsidRPr="00FE1505">
          <w:rPr>
            <w:noProof/>
            <w:lang w:val="de-DE"/>
          </w:rPr>
          <w:t>1</w:t>
        </w:r>
        <w:r>
          <w:fldChar w:fldCharType="end"/>
        </w:r>
      </w:p>
    </w:sdtContent>
  </w:sdt>
  <w:p w:rsidR="002E79A3" w:rsidRDefault="002E79A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262E" w:rsidRDefault="00BD262E" w:rsidP="007947CB">
      <w:pPr>
        <w:spacing w:after="0" w:line="240" w:lineRule="auto"/>
      </w:pPr>
      <w:r>
        <w:separator/>
      </w:r>
    </w:p>
  </w:footnote>
  <w:footnote w:type="continuationSeparator" w:id="0">
    <w:p w:rsidR="00BD262E" w:rsidRDefault="00BD262E" w:rsidP="007947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9A3" w:rsidRDefault="002E79A3" w:rsidP="00830EE4">
    <w:pPr>
      <w:pStyle w:val="Kopfzeile"/>
    </w:pPr>
  </w:p>
  <w:p w:rsidR="002E79A3" w:rsidRDefault="002E79A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97F3B"/>
    <w:multiLevelType w:val="hybridMultilevel"/>
    <w:tmpl w:val="183617BE"/>
    <w:lvl w:ilvl="0" w:tplc="33DCF8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364C15"/>
    <w:multiLevelType w:val="hybridMultilevel"/>
    <w:tmpl w:val="588C53B8"/>
    <w:lvl w:ilvl="0" w:tplc="5B1CA1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196F6C"/>
    <w:multiLevelType w:val="hybridMultilevel"/>
    <w:tmpl w:val="F3163BBC"/>
    <w:lvl w:ilvl="0" w:tplc="36CEEC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8F2F8E"/>
    <w:multiLevelType w:val="hybridMultilevel"/>
    <w:tmpl w:val="2C1EE7F8"/>
    <w:lvl w:ilvl="0" w:tplc="0666DD08">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F3E6B9D"/>
    <w:multiLevelType w:val="hybridMultilevel"/>
    <w:tmpl w:val="1196155C"/>
    <w:lvl w:ilvl="0" w:tplc="31A6F8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FB12F8"/>
    <w:multiLevelType w:val="hybridMultilevel"/>
    <w:tmpl w:val="F5C8A246"/>
    <w:lvl w:ilvl="0" w:tplc="BE08BD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701088"/>
    <w:multiLevelType w:val="hybridMultilevel"/>
    <w:tmpl w:val="E9D65F9E"/>
    <w:lvl w:ilvl="0" w:tplc="9932B4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C36F50"/>
    <w:multiLevelType w:val="hybridMultilevel"/>
    <w:tmpl w:val="3C92FD0E"/>
    <w:lvl w:ilvl="0" w:tplc="AD6EE8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47D2B04"/>
    <w:multiLevelType w:val="hybridMultilevel"/>
    <w:tmpl w:val="B12EA5E0"/>
    <w:lvl w:ilvl="0" w:tplc="5F78D6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9B97411"/>
    <w:multiLevelType w:val="hybridMultilevel"/>
    <w:tmpl w:val="CB344984"/>
    <w:lvl w:ilvl="0" w:tplc="EC04D4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C372D95"/>
    <w:multiLevelType w:val="hybridMultilevel"/>
    <w:tmpl w:val="FF749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C939A3"/>
    <w:multiLevelType w:val="hybridMultilevel"/>
    <w:tmpl w:val="E6FCEEB4"/>
    <w:lvl w:ilvl="0" w:tplc="BAF010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6634BFA"/>
    <w:multiLevelType w:val="hybridMultilevel"/>
    <w:tmpl w:val="1EE80BF0"/>
    <w:lvl w:ilvl="0" w:tplc="B16887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70A692A"/>
    <w:multiLevelType w:val="hybridMultilevel"/>
    <w:tmpl w:val="FDDC72B6"/>
    <w:lvl w:ilvl="0" w:tplc="3BC4621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7F21D74"/>
    <w:multiLevelType w:val="hybridMultilevel"/>
    <w:tmpl w:val="3EF23F2E"/>
    <w:lvl w:ilvl="0" w:tplc="314215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AE96804"/>
    <w:multiLevelType w:val="hybridMultilevel"/>
    <w:tmpl w:val="C0B686F2"/>
    <w:lvl w:ilvl="0" w:tplc="97AE7D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1221AFC"/>
    <w:multiLevelType w:val="hybridMultilevel"/>
    <w:tmpl w:val="DE96D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B569DC"/>
    <w:multiLevelType w:val="hybridMultilevel"/>
    <w:tmpl w:val="0A325E10"/>
    <w:lvl w:ilvl="0" w:tplc="12CC65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39794D"/>
    <w:multiLevelType w:val="hybridMultilevel"/>
    <w:tmpl w:val="C76E5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0A7331"/>
    <w:multiLevelType w:val="hybridMultilevel"/>
    <w:tmpl w:val="74488D4E"/>
    <w:lvl w:ilvl="0" w:tplc="C950AE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5420B7E"/>
    <w:multiLevelType w:val="hybridMultilevel"/>
    <w:tmpl w:val="6F1C009C"/>
    <w:lvl w:ilvl="0" w:tplc="1B98FC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B632D5A"/>
    <w:multiLevelType w:val="hybridMultilevel"/>
    <w:tmpl w:val="06EE2792"/>
    <w:lvl w:ilvl="0" w:tplc="0F9E92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DED1A5E"/>
    <w:multiLevelType w:val="hybridMultilevel"/>
    <w:tmpl w:val="6CFED8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402773"/>
    <w:multiLevelType w:val="hybridMultilevel"/>
    <w:tmpl w:val="0A0821F4"/>
    <w:lvl w:ilvl="0" w:tplc="A580BD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2D66647"/>
    <w:multiLevelType w:val="hybridMultilevel"/>
    <w:tmpl w:val="8C8082F0"/>
    <w:lvl w:ilvl="0" w:tplc="7BFCEF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5694233"/>
    <w:multiLevelType w:val="hybridMultilevel"/>
    <w:tmpl w:val="D884FE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115A91"/>
    <w:multiLevelType w:val="hybridMultilevel"/>
    <w:tmpl w:val="477A97C6"/>
    <w:lvl w:ilvl="0" w:tplc="2368B1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6D427BF"/>
    <w:multiLevelType w:val="hybridMultilevel"/>
    <w:tmpl w:val="E04EA026"/>
    <w:lvl w:ilvl="0" w:tplc="375891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71B5271"/>
    <w:multiLevelType w:val="hybridMultilevel"/>
    <w:tmpl w:val="5C3497DC"/>
    <w:lvl w:ilvl="0" w:tplc="9A1492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89C7A07"/>
    <w:multiLevelType w:val="hybridMultilevel"/>
    <w:tmpl w:val="E43ECA1A"/>
    <w:lvl w:ilvl="0" w:tplc="EC1EE2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8D63748"/>
    <w:multiLevelType w:val="hybridMultilevel"/>
    <w:tmpl w:val="A71C48B2"/>
    <w:lvl w:ilvl="0" w:tplc="F93619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9054232"/>
    <w:multiLevelType w:val="hybridMultilevel"/>
    <w:tmpl w:val="C428A4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924A17"/>
    <w:multiLevelType w:val="hybridMultilevel"/>
    <w:tmpl w:val="E506BD42"/>
    <w:lvl w:ilvl="0" w:tplc="F0C43D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B91771A"/>
    <w:multiLevelType w:val="hybridMultilevel"/>
    <w:tmpl w:val="2ACC3C54"/>
    <w:lvl w:ilvl="0" w:tplc="A2D43B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2591CD8"/>
    <w:multiLevelType w:val="hybridMultilevel"/>
    <w:tmpl w:val="304413EE"/>
    <w:lvl w:ilvl="0" w:tplc="00BC73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35314E2"/>
    <w:multiLevelType w:val="hybridMultilevel"/>
    <w:tmpl w:val="0D802A92"/>
    <w:lvl w:ilvl="0" w:tplc="36BE91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3625141"/>
    <w:multiLevelType w:val="hybridMultilevel"/>
    <w:tmpl w:val="6748C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CD582F"/>
    <w:multiLevelType w:val="hybridMultilevel"/>
    <w:tmpl w:val="E37A4632"/>
    <w:lvl w:ilvl="0" w:tplc="59D0E2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4DF5180"/>
    <w:multiLevelType w:val="hybridMultilevel"/>
    <w:tmpl w:val="A2144BB0"/>
    <w:lvl w:ilvl="0" w:tplc="2DF45F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7BC49B5"/>
    <w:multiLevelType w:val="hybridMultilevel"/>
    <w:tmpl w:val="C1C08312"/>
    <w:lvl w:ilvl="0" w:tplc="5ABA06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A27056D"/>
    <w:multiLevelType w:val="hybridMultilevel"/>
    <w:tmpl w:val="D3A2AAA6"/>
    <w:lvl w:ilvl="0" w:tplc="656A2B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A6E27A0"/>
    <w:multiLevelType w:val="hybridMultilevel"/>
    <w:tmpl w:val="E5884D86"/>
    <w:lvl w:ilvl="0" w:tplc="9A146F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1"/>
  </w:num>
  <w:num w:numId="2">
    <w:abstractNumId w:val="18"/>
  </w:num>
  <w:num w:numId="3">
    <w:abstractNumId w:val="36"/>
  </w:num>
  <w:num w:numId="4">
    <w:abstractNumId w:val="25"/>
  </w:num>
  <w:num w:numId="5">
    <w:abstractNumId w:val="22"/>
  </w:num>
  <w:num w:numId="6">
    <w:abstractNumId w:val="16"/>
  </w:num>
  <w:num w:numId="7">
    <w:abstractNumId w:val="10"/>
  </w:num>
  <w:num w:numId="8">
    <w:abstractNumId w:val="23"/>
  </w:num>
  <w:num w:numId="9">
    <w:abstractNumId w:val="26"/>
  </w:num>
  <w:num w:numId="10">
    <w:abstractNumId w:val="7"/>
  </w:num>
  <w:num w:numId="11">
    <w:abstractNumId w:val="17"/>
  </w:num>
  <w:num w:numId="12">
    <w:abstractNumId w:val="33"/>
  </w:num>
  <w:num w:numId="13">
    <w:abstractNumId w:val="20"/>
  </w:num>
  <w:num w:numId="14">
    <w:abstractNumId w:val="29"/>
  </w:num>
  <w:num w:numId="15">
    <w:abstractNumId w:val="40"/>
  </w:num>
  <w:num w:numId="16">
    <w:abstractNumId w:val="27"/>
  </w:num>
  <w:num w:numId="17">
    <w:abstractNumId w:val="21"/>
  </w:num>
  <w:num w:numId="18">
    <w:abstractNumId w:val="13"/>
  </w:num>
  <w:num w:numId="19">
    <w:abstractNumId w:val="37"/>
  </w:num>
  <w:num w:numId="20">
    <w:abstractNumId w:val="5"/>
  </w:num>
  <w:num w:numId="21">
    <w:abstractNumId w:val="4"/>
  </w:num>
  <w:num w:numId="22">
    <w:abstractNumId w:val="1"/>
  </w:num>
  <w:num w:numId="23">
    <w:abstractNumId w:val="34"/>
  </w:num>
  <w:num w:numId="24">
    <w:abstractNumId w:val="9"/>
  </w:num>
  <w:num w:numId="25">
    <w:abstractNumId w:val="39"/>
  </w:num>
  <w:num w:numId="26">
    <w:abstractNumId w:val="0"/>
  </w:num>
  <w:num w:numId="27">
    <w:abstractNumId w:val="41"/>
  </w:num>
  <w:num w:numId="28">
    <w:abstractNumId w:val="38"/>
  </w:num>
  <w:num w:numId="29">
    <w:abstractNumId w:val="15"/>
  </w:num>
  <w:num w:numId="30">
    <w:abstractNumId w:val="24"/>
  </w:num>
  <w:num w:numId="31">
    <w:abstractNumId w:val="32"/>
  </w:num>
  <w:num w:numId="32">
    <w:abstractNumId w:val="6"/>
  </w:num>
  <w:num w:numId="33">
    <w:abstractNumId w:val="2"/>
  </w:num>
  <w:num w:numId="34">
    <w:abstractNumId w:val="11"/>
  </w:num>
  <w:num w:numId="35">
    <w:abstractNumId w:val="19"/>
  </w:num>
  <w:num w:numId="36">
    <w:abstractNumId w:val="8"/>
  </w:num>
  <w:num w:numId="37">
    <w:abstractNumId w:val="35"/>
  </w:num>
  <w:num w:numId="38">
    <w:abstractNumId w:val="28"/>
  </w:num>
  <w:num w:numId="39">
    <w:abstractNumId w:val="30"/>
  </w:num>
  <w:num w:numId="40">
    <w:abstractNumId w:val="12"/>
  </w:num>
  <w:num w:numId="41">
    <w:abstractNumId w:val="14"/>
  </w:num>
  <w:num w:numId="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CDB"/>
    <w:rsid w:val="0002164A"/>
    <w:rsid w:val="000337D4"/>
    <w:rsid w:val="00034037"/>
    <w:rsid w:val="00065B51"/>
    <w:rsid w:val="000E0CC0"/>
    <w:rsid w:val="001649F2"/>
    <w:rsid w:val="001774E8"/>
    <w:rsid w:val="001A6819"/>
    <w:rsid w:val="001D67DD"/>
    <w:rsid w:val="0027010D"/>
    <w:rsid w:val="00283C9B"/>
    <w:rsid w:val="002C06C4"/>
    <w:rsid w:val="002E500B"/>
    <w:rsid w:val="002E79A3"/>
    <w:rsid w:val="003000F2"/>
    <w:rsid w:val="00356B8D"/>
    <w:rsid w:val="003C7A0B"/>
    <w:rsid w:val="003D6DAF"/>
    <w:rsid w:val="004276BF"/>
    <w:rsid w:val="004502DB"/>
    <w:rsid w:val="00493E4F"/>
    <w:rsid w:val="004C5A7A"/>
    <w:rsid w:val="004E7338"/>
    <w:rsid w:val="004E7408"/>
    <w:rsid w:val="006C1767"/>
    <w:rsid w:val="00747554"/>
    <w:rsid w:val="007947CB"/>
    <w:rsid w:val="007F6ABD"/>
    <w:rsid w:val="00830EE4"/>
    <w:rsid w:val="008E03ED"/>
    <w:rsid w:val="00912678"/>
    <w:rsid w:val="009406BE"/>
    <w:rsid w:val="00992330"/>
    <w:rsid w:val="009D009A"/>
    <w:rsid w:val="00A34CDB"/>
    <w:rsid w:val="00A47736"/>
    <w:rsid w:val="00AC21C1"/>
    <w:rsid w:val="00B6791E"/>
    <w:rsid w:val="00B80339"/>
    <w:rsid w:val="00B94834"/>
    <w:rsid w:val="00BA0C59"/>
    <w:rsid w:val="00BA77EA"/>
    <w:rsid w:val="00BC0353"/>
    <w:rsid w:val="00BD262E"/>
    <w:rsid w:val="00C0692A"/>
    <w:rsid w:val="00CE7D25"/>
    <w:rsid w:val="00D84BB3"/>
    <w:rsid w:val="00D94064"/>
    <w:rsid w:val="00DA6612"/>
    <w:rsid w:val="00DB18AA"/>
    <w:rsid w:val="00DE7861"/>
    <w:rsid w:val="00DF6242"/>
    <w:rsid w:val="00EB5787"/>
    <w:rsid w:val="00F553BA"/>
    <w:rsid w:val="00F72835"/>
    <w:rsid w:val="00F7749E"/>
    <w:rsid w:val="00FD5AA2"/>
    <w:rsid w:val="00FE15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B1327"/>
  <w15:docId w15:val="{F4207292-BFEF-46C7-90ED-A863108C9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link w:val="KeinLeerraumZchn"/>
    <w:uiPriority w:val="1"/>
    <w:qFormat/>
    <w:rsid w:val="00F553BA"/>
    <w:pPr>
      <w:spacing w:after="0" w:line="240" w:lineRule="auto"/>
    </w:pPr>
    <w:rPr>
      <w:rFonts w:eastAsiaTheme="minorEastAsia"/>
      <w:lang w:eastAsia="ja-JP"/>
    </w:rPr>
  </w:style>
  <w:style w:type="character" w:customStyle="1" w:styleId="KeinLeerraumZchn">
    <w:name w:val="Kein Leerraum Zchn"/>
    <w:basedOn w:val="Absatz-Standardschriftart"/>
    <w:link w:val="KeinLeerraum"/>
    <w:uiPriority w:val="1"/>
    <w:rsid w:val="00F553BA"/>
    <w:rPr>
      <w:rFonts w:eastAsiaTheme="minorEastAsia"/>
      <w:lang w:eastAsia="ja-JP"/>
    </w:rPr>
  </w:style>
  <w:style w:type="paragraph" w:styleId="Sprechblasentext">
    <w:name w:val="Balloon Text"/>
    <w:basedOn w:val="Standard"/>
    <w:link w:val="SprechblasentextZchn"/>
    <w:uiPriority w:val="99"/>
    <w:semiHidden/>
    <w:unhideWhenUsed/>
    <w:rsid w:val="00F553B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553BA"/>
    <w:rPr>
      <w:rFonts w:ascii="Tahoma" w:hAnsi="Tahoma" w:cs="Tahoma"/>
      <w:sz w:val="16"/>
      <w:szCs w:val="16"/>
    </w:rPr>
  </w:style>
  <w:style w:type="paragraph" w:styleId="Kopfzeile">
    <w:name w:val="header"/>
    <w:basedOn w:val="Standard"/>
    <w:link w:val="KopfzeileZchn"/>
    <w:uiPriority w:val="99"/>
    <w:unhideWhenUsed/>
    <w:rsid w:val="007947CB"/>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7947CB"/>
  </w:style>
  <w:style w:type="paragraph" w:styleId="Fuzeile">
    <w:name w:val="footer"/>
    <w:basedOn w:val="Standard"/>
    <w:link w:val="FuzeileZchn"/>
    <w:uiPriority w:val="99"/>
    <w:unhideWhenUsed/>
    <w:rsid w:val="007947CB"/>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7947CB"/>
  </w:style>
  <w:style w:type="paragraph" w:styleId="Listenabsatz">
    <w:name w:val="List Paragraph"/>
    <w:basedOn w:val="Standard"/>
    <w:uiPriority w:val="34"/>
    <w:qFormat/>
    <w:rsid w:val="00493E4F"/>
    <w:pPr>
      <w:ind w:left="720"/>
      <w:contextualSpacing/>
    </w:pPr>
  </w:style>
  <w:style w:type="character" w:styleId="Hyperlink">
    <w:name w:val="Hyperlink"/>
    <w:basedOn w:val="Absatz-Standardschriftart"/>
    <w:uiPriority w:val="99"/>
    <w:unhideWhenUsed/>
    <w:rsid w:val="00493E4F"/>
    <w:rPr>
      <w:color w:val="0000FF" w:themeColor="hyperlink"/>
      <w:u w:val="single"/>
    </w:rPr>
  </w:style>
  <w:style w:type="table" w:styleId="Tabellenraster">
    <w:name w:val="Table Grid"/>
    <w:basedOn w:val="NormaleTabelle"/>
    <w:uiPriority w:val="59"/>
    <w:rsid w:val="00493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Standard"/>
    <w:uiPriority w:val="99"/>
    <w:semiHidden/>
    <w:unhideWhenUsed/>
    <w:rsid w:val="00493E4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478637">
      <w:bodyDiv w:val="1"/>
      <w:marLeft w:val="0"/>
      <w:marRight w:val="0"/>
      <w:marTop w:val="0"/>
      <w:marBottom w:val="0"/>
      <w:divBdr>
        <w:top w:val="none" w:sz="0" w:space="0" w:color="auto"/>
        <w:left w:val="none" w:sz="0" w:space="0" w:color="auto"/>
        <w:bottom w:val="none" w:sz="0" w:space="0" w:color="auto"/>
        <w:right w:val="none" w:sz="0" w:space="0" w:color="auto"/>
      </w:divBdr>
    </w:div>
    <w:div w:id="194749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digitalcommons.csumb.edu/cgi/viewcontent.cgi?article=1369&amp;context=caps_thes" TargetMode="External"/><Relationship Id="rId26" Type="http://schemas.openxmlformats.org/officeDocument/2006/relationships/hyperlink" Target="http://dx.doi.org/10.1016/j.brq.2018.08.004" TargetMode="External"/><Relationship Id="rId39" Type="http://schemas.openxmlformats.org/officeDocument/2006/relationships/hyperlink" Target="https://www.economy.gov.lb/media/11222/smes-in-lebanon-180412-19-website.pdf" TargetMode="External"/><Relationship Id="rId21" Type="http://schemas.openxmlformats.org/officeDocument/2006/relationships/hyperlink" Target="http://www.databank.com.lb/docs/Main%20Characteristics%20of%20Lebanon's%20Banking%20System-BDL-2016.pdf" TargetMode="External"/><Relationship Id="rId34" Type="http://schemas.openxmlformats.org/officeDocument/2006/relationships/hyperlink" Target="https://www.ilo.org/wcmsp5/groups/public/---ed_emp/documents/publication/wcms_754666.pdf" TargetMode="External"/><Relationship Id="rId42" Type="http://schemas.openxmlformats.org/officeDocument/2006/relationships/hyperlink" Target="https://arxiv.org/pdf/1803.03346.pdf" TargetMode="External"/><Relationship Id="rId47" Type="http://schemas.openxmlformats.org/officeDocument/2006/relationships/hyperlink" Target="https://lebanon.eptalex.com/sites/default/files/Banking-Sector-and-Lebanese-Economy.pdf" TargetMode="External"/><Relationship Id="rId50" Type="http://schemas.openxmlformats.org/officeDocument/2006/relationships/hyperlink" Target="http://creativecommons.org/licenses/by-nc-nd/4.0/"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dx.doi.org/10.9734/BJEMT/2015/19269" TargetMode="External"/><Relationship Id="rId29" Type="http://schemas.openxmlformats.org/officeDocument/2006/relationships/hyperlink" Target="http://edoc.bseu.by/" TargetMode="External"/><Relationship Id="rId11" Type="http://schemas.openxmlformats.org/officeDocument/2006/relationships/diagramQuickStyle" Target="diagrams/quickStyle1.xml"/><Relationship Id="rId24" Type="http://schemas.openxmlformats.org/officeDocument/2006/relationships/hyperlink" Target="http://www.diva-portal.org/smash/get/diva2:886167/FULLTEXT01.pdf" TargetMode="External"/><Relationship Id="rId32" Type="http://schemas.openxmlformats.org/officeDocument/2006/relationships/hyperlink" Target="https://doi.org/10.1177%2F2158244018790633" TargetMode="External"/><Relationship Id="rId37" Type="http://schemas.openxmlformats.org/officeDocument/2006/relationships/hyperlink" Target="https://openknowledge.worldbank.org/handle/10986/33279" TargetMode="External"/><Relationship Id="rId40" Type="http://schemas.openxmlformats.org/officeDocument/2006/relationships/hyperlink" Target="https://www.researchgate.net/publication/277948029" TargetMode="External"/><Relationship Id="rId45" Type="http://schemas.openxmlformats.org/officeDocument/2006/relationships/hyperlink" Target="https://files.eric.ed.gov/fulltext/ED542066.pdf" TargetMode="External"/><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diagramLayout" Target="diagrams/layout1.xml"/><Relationship Id="rId19" Type="http://schemas.openxmlformats.org/officeDocument/2006/relationships/hyperlink" Target="https://www.reuters.com/article/us-lebanon-protests-banks-analysis-idUSKBN1XN1ER" TargetMode="External"/><Relationship Id="rId31" Type="http://schemas.openxmlformats.org/officeDocument/2006/relationships/hyperlink" Target="https://www.aa.com.tr/en/economy/lebanese-cannot-access-money-in-banks-since-late-2019/2158782" TargetMode="External"/><Relationship Id="rId44" Type="http://schemas.openxmlformats.org/officeDocument/2006/relationships/hyperlink" Target="http://dx.doi.org/10.5281/zenodo.1405450" TargetMode="External"/><Relationship Id="rId52" Type="http://schemas.openxmlformats.org/officeDocument/2006/relationships/hyperlink" Target="https://www.nytimes.com/2019/11/19/world/middleeast/lebanon-parliament-protest.html"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yperlink" Target="https://www.bdl.gov.lb/pages/index/4/25/List-of-InstitutionsSupervised-by-BDL.htm" TargetMode="External"/><Relationship Id="rId27" Type="http://schemas.openxmlformats.org/officeDocument/2006/relationships/hyperlink" Target="https://datareportal.com/reports/digital-2020-lebanon" TargetMode="External"/><Relationship Id="rId30" Type="http://schemas.openxmlformats.org/officeDocument/2006/relationships/hyperlink" Target="http://www.fao.org/3/ca0344en/CA0344EN.pdf" TargetMode="External"/><Relationship Id="rId35" Type="http://schemas.openxmlformats.org/officeDocument/2006/relationships/hyperlink" Target="https://www.researchgate.net/journal/AIMS-International-Journal-of-Management-1939-7011" TargetMode="External"/><Relationship Id="rId43" Type="http://schemas.openxmlformats.org/officeDocument/2006/relationships/hyperlink" Target="http://www.diva-portal.org/smash/get/diva2:706160/FULLTEXT02.pdf" TargetMode="External"/><Relationship Id="rId48" Type="http://schemas.openxmlformats.org/officeDocument/2006/relationships/hyperlink" Target="https://en.unesco.org/sites/default/files/clt-cpd_lebanon_analysis_2020.pdf"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worldbank.org/en/country/lebanon/publication/lebanon-economic-monitor-fall-2019" TargetMode="Externa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dx.doi.org/10.9734/BJEMT/2015/19269" TargetMode="External"/><Relationship Id="rId25" Type="http://schemas.openxmlformats.org/officeDocument/2006/relationships/hyperlink" Target="https://blog.blominvestbank.com/wp-content/uploads/2019/05/AHistorical-Analysis-of-Lebanon%E2%80%99s-Public-Debt.pdf" TargetMode="External"/><Relationship Id="rId33" Type="http://schemas.openxmlformats.org/officeDocument/2006/relationships/hyperlink" Target="https://www.hannover-re.com/180636/pandemics-2021.pdf" TargetMode="External"/><Relationship Id="rId38" Type="http://schemas.openxmlformats.org/officeDocument/2006/relationships/hyperlink" Target="https://files.eric.ed.gov/fulltext/ED573325.pdf" TargetMode="External"/><Relationship Id="rId46" Type="http://schemas.openxmlformats.org/officeDocument/2006/relationships/hyperlink" Target="https://www.scribbr.com/methodology/independent-and-dependent-variables/" TargetMode="External"/><Relationship Id="rId20" Type="http://schemas.openxmlformats.org/officeDocument/2006/relationships/hyperlink" Target="https://www.bdl.gov.lb/pages/index/4/24/History.html" TargetMode="External"/><Relationship Id="rId41" Type="http://schemas.openxmlformats.org/officeDocument/2006/relationships/hyperlink" Target="https://www.researchgate.net/journal/Investment-Management-and-Financial-Innovations-1812-9358"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www.reuters.com/article/uk-lebanon-crisis-financial-explainer-idUKKBN268223" TargetMode="External"/><Relationship Id="rId28" Type="http://schemas.openxmlformats.org/officeDocument/2006/relationships/hyperlink" Target="http://www.library.fa.ru/files/Tirole-Balancing.pdf" TargetMode="External"/><Relationship Id="rId36" Type="http://schemas.openxmlformats.org/officeDocument/2006/relationships/hyperlink" Target="http://ipedr.com/vol43/013-ICFME2012-M00033.pdf" TargetMode="External"/><Relationship Id="rId49" Type="http://schemas.openxmlformats.org/officeDocument/2006/relationships/hyperlink" Target="https://core.ac.uk/download/pdf/6492899.pdf"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31C7CF-D1B5-4A26-9809-3F2B9D3B819B}" type="doc">
      <dgm:prSet loTypeId="urn:microsoft.com/office/officeart/2005/8/layout/hierarchy6" loCatId="hierarchy" qsTypeId="urn:microsoft.com/office/officeart/2005/8/quickstyle/simple2" qsCatId="simple" csTypeId="urn:microsoft.com/office/officeart/2005/8/colors/accent0_1" csCatId="mainScheme" phldr="1"/>
      <dgm:spPr/>
      <dgm:t>
        <a:bodyPr/>
        <a:lstStyle/>
        <a:p>
          <a:endParaRPr lang="en-US"/>
        </a:p>
      </dgm:t>
    </dgm:pt>
    <dgm:pt modelId="{48A65C40-FC25-4CC9-B29A-D8847A1F2D16}">
      <dgm:prSet phldrT="[Text]"/>
      <dgm:spPr>
        <a:xfrm>
          <a:off x="2735952" y="1514"/>
          <a:ext cx="1374916" cy="916610"/>
        </a:xfrm>
        <a:solidFill>
          <a:sysClr val="window" lastClr="FFFFFF">
            <a:hueOff val="0"/>
            <a:satOff val="0"/>
            <a:lumOff val="0"/>
            <a:alphaOff val="0"/>
          </a:sysClr>
        </a:solidFill>
        <a:ln w="38100" cap="flat" cmpd="sng" algn="ctr">
          <a:solidFill>
            <a:sysClr val="windowText" lastClr="000000">
              <a:shade val="80000"/>
              <a:hueOff val="0"/>
              <a:satOff val="0"/>
              <a:lumOff val="0"/>
              <a:alphaOff val="0"/>
            </a:sysClr>
          </a:solidFill>
          <a:prstDash val="solid"/>
        </a:ln>
        <a:effectLst>
          <a:outerShdw blurRad="40000" dist="20000" dir="5400000" rotWithShape="0">
            <a:srgbClr val="000000">
              <a:alpha val="38000"/>
            </a:srgbClr>
          </a:outerShdw>
        </a:effectLst>
      </dgm:spPr>
      <dgm:t>
        <a:bodyPr/>
        <a:lstStyle/>
        <a:p>
          <a:r>
            <a:rPr lang="en-US" dirty="0" smtClean="0">
              <a:solidFill>
                <a:sysClr val="windowText" lastClr="000000">
                  <a:hueOff val="0"/>
                  <a:satOff val="0"/>
                  <a:lumOff val="0"/>
                  <a:alphaOff val="0"/>
                </a:sysClr>
              </a:solidFill>
              <a:latin typeface="Calibri"/>
              <a:ea typeface="+mn-ea"/>
              <a:cs typeface="+mn-cs"/>
            </a:rPr>
            <a:t>E-Commerce</a:t>
          </a:r>
        </a:p>
        <a:p>
          <a:r>
            <a:rPr lang="en-US" dirty="0" smtClean="0">
              <a:solidFill>
                <a:sysClr val="windowText" lastClr="000000">
                  <a:hueOff val="0"/>
                  <a:satOff val="0"/>
                  <a:lumOff val="0"/>
                  <a:alphaOff val="0"/>
                </a:sysClr>
              </a:solidFill>
              <a:latin typeface="Calibri"/>
              <a:ea typeface="+mn-ea"/>
              <a:cs typeface="+mn-cs"/>
            </a:rPr>
            <a:t>Includes all electronic transactions</a:t>
          </a:r>
          <a:endParaRPr lang="en-US" dirty="0">
            <a:solidFill>
              <a:sysClr val="windowText" lastClr="000000">
                <a:hueOff val="0"/>
                <a:satOff val="0"/>
                <a:lumOff val="0"/>
                <a:alphaOff val="0"/>
              </a:sysClr>
            </a:solidFill>
            <a:latin typeface="Calibri"/>
            <a:ea typeface="+mn-ea"/>
            <a:cs typeface="+mn-cs"/>
          </a:endParaRPr>
        </a:p>
      </dgm:t>
    </dgm:pt>
    <dgm:pt modelId="{9D145D72-0167-477B-A790-4E1A6E17A9F2}" type="parTrans" cxnId="{2F36B180-32C9-4276-AAA7-C071A9CD4584}">
      <dgm:prSet/>
      <dgm:spPr/>
      <dgm:t>
        <a:bodyPr/>
        <a:lstStyle/>
        <a:p>
          <a:endParaRPr lang="en-US"/>
        </a:p>
      </dgm:t>
    </dgm:pt>
    <dgm:pt modelId="{184FB860-5090-4E2D-A92C-DF08095E3223}" type="sibTrans" cxnId="{2F36B180-32C9-4276-AAA7-C071A9CD4584}">
      <dgm:prSet/>
      <dgm:spPr/>
      <dgm:t>
        <a:bodyPr/>
        <a:lstStyle/>
        <a:p>
          <a:endParaRPr lang="en-US"/>
        </a:p>
      </dgm:t>
    </dgm:pt>
    <dgm:pt modelId="{A9A7656D-A92C-4F22-933E-2263F6FF8DD6}">
      <dgm:prSet phldrT="[Text]"/>
      <dgm:spPr>
        <a:xfrm>
          <a:off x="1842256" y="1284769"/>
          <a:ext cx="1374916" cy="916610"/>
        </a:xfrm>
        <a:solidFill>
          <a:sysClr val="window" lastClr="FFFFFF">
            <a:hueOff val="0"/>
            <a:satOff val="0"/>
            <a:lumOff val="0"/>
            <a:alphaOff val="0"/>
          </a:sysClr>
        </a:solidFill>
        <a:ln w="38100" cap="flat" cmpd="sng" algn="ctr">
          <a:solidFill>
            <a:sysClr val="windowText" lastClr="000000">
              <a:shade val="80000"/>
              <a:hueOff val="0"/>
              <a:satOff val="0"/>
              <a:lumOff val="0"/>
              <a:alphaOff val="0"/>
            </a:sysClr>
          </a:solidFill>
          <a:prstDash val="solid"/>
        </a:ln>
        <a:effectLst>
          <a:outerShdw blurRad="40000" dist="20000" dir="5400000" rotWithShape="0">
            <a:srgbClr val="000000">
              <a:alpha val="38000"/>
            </a:srgbClr>
          </a:outerShdw>
        </a:effectLst>
      </dgm:spPr>
      <dgm:t>
        <a:bodyPr/>
        <a:lstStyle/>
        <a:p>
          <a:r>
            <a:rPr lang="en-US" dirty="0" smtClean="0">
              <a:solidFill>
                <a:sysClr val="windowText" lastClr="000000">
                  <a:hueOff val="0"/>
                  <a:satOff val="0"/>
                  <a:lumOff val="0"/>
                  <a:alphaOff val="0"/>
                </a:sysClr>
              </a:solidFill>
              <a:latin typeface="Calibri"/>
              <a:ea typeface="+mn-ea"/>
              <a:cs typeface="+mn-cs"/>
            </a:rPr>
            <a:t>E-Finance</a:t>
          </a:r>
        </a:p>
        <a:p>
          <a:r>
            <a:rPr lang="en-US" dirty="0" smtClean="0">
              <a:solidFill>
                <a:sysClr val="windowText" lastClr="000000">
                  <a:hueOff val="0"/>
                  <a:satOff val="0"/>
                  <a:lumOff val="0"/>
                  <a:alphaOff val="0"/>
                </a:sysClr>
              </a:solidFill>
              <a:latin typeface="Calibri"/>
              <a:ea typeface="+mn-ea"/>
              <a:cs typeface="+mn-cs"/>
            </a:rPr>
            <a:t>All monetary services through electronic channels  </a:t>
          </a:r>
          <a:endParaRPr lang="en-US" dirty="0">
            <a:solidFill>
              <a:sysClr val="windowText" lastClr="000000">
                <a:hueOff val="0"/>
                <a:satOff val="0"/>
                <a:lumOff val="0"/>
                <a:alphaOff val="0"/>
              </a:sysClr>
            </a:solidFill>
            <a:latin typeface="Calibri"/>
            <a:ea typeface="+mn-ea"/>
            <a:cs typeface="+mn-cs"/>
          </a:endParaRPr>
        </a:p>
      </dgm:t>
    </dgm:pt>
    <dgm:pt modelId="{EE541A69-73E7-4B69-B6CF-D75F16D78E47}" type="parTrans" cxnId="{48B5B6AD-618A-43C6-AB2E-BC8630EE1D07}">
      <dgm:prSet/>
      <dgm:spPr>
        <a:xfrm>
          <a:off x="2529714" y="918125"/>
          <a:ext cx="893695" cy="366644"/>
        </a:xfrm>
        <a:noFill/>
        <a:ln w="25400" cap="flat" cmpd="sng" algn="ctr">
          <a:solidFill>
            <a:sysClr val="windowText" lastClr="000000">
              <a:shade val="60000"/>
              <a:hueOff val="0"/>
              <a:satOff val="0"/>
              <a:lumOff val="0"/>
              <a:alphaOff val="0"/>
            </a:sysClr>
          </a:solidFill>
          <a:prstDash val="solid"/>
        </a:ln>
        <a:effectLst/>
      </dgm:spPr>
      <dgm:t>
        <a:bodyPr/>
        <a:lstStyle/>
        <a:p>
          <a:endParaRPr lang="en-US"/>
        </a:p>
      </dgm:t>
    </dgm:pt>
    <dgm:pt modelId="{00D1AC18-1270-4EB3-BDD6-4D1F3FE58283}" type="sibTrans" cxnId="{48B5B6AD-618A-43C6-AB2E-BC8630EE1D07}">
      <dgm:prSet/>
      <dgm:spPr/>
      <dgm:t>
        <a:bodyPr/>
        <a:lstStyle/>
        <a:p>
          <a:endParaRPr lang="en-US"/>
        </a:p>
      </dgm:t>
    </dgm:pt>
    <dgm:pt modelId="{59327A62-F4F9-4AA9-9263-E6B3A8F5CD47}">
      <dgm:prSet phldrT="[Text]"/>
      <dgm:spPr>
        <a:xfrm>
          <a:off x="948561" y="2568024"/>
          <a:ext cx="1374916" cy="916610"/>
        </a:xfrm>
        <a:solidFill>
          <a:sysClr val="window" lastClr="FFFFFF">
            <a:hueOff val="0"/>
            <a:satOff val="0"/>
            <a:lumOff val="0"/>
            <a:alphaOff val="0"/>
          </a:sysClr>
        </a:solidFill>
        <a:ln w="38100" cap="flat" cmpd="sng" algn="ctr">
          <a:solidFill>
            <a:sysClr val="windowText" lastClr="000000">
              <a:shade val="80000"/>
              <a:hueOff val="0"/>
              <a:satOff val="0"/>
              <a:lumOff val="0"/>
              <a:alphaOff val="0"/>
            </a:sysClr>
          </a:solidFill>
          <a:prstDash val="solid"/>
        </a:ln>
        <a:effectLst>
          <a:outerShdw blurRad="40000" dist="20000" dir="5400000" rotWithShape="0">
            <a:srgbClr val="000000">
              <a:alpha val="38000"/>
            </a:srgbClr>
          </a:outerShdw>
        </a:effectLst>
      </dgm:spPr>
      <dgm:t>
        <a:bodyPr/>
        <a:lstStyle/>
        <a:p>
          <a:r>
            <a:rPr lang="en-US" dirty="0" smtClean="0">
              <a:solidFill>
                <a:sysClr val="windowText" lastClr="000000">
                  <a:hueOff val="0"/>
                  <a:satOff val="0"/>
                  <a:lumOff val="0"/>
                  <a:alphaOff val="0"/>
                </a:sysClr>
              </a:solidFill>
              <a:latin typeface="Calibri"/>
              <a:ea typeface="+mn-ea"/>
              <a:cs typeface="+mn-cs"/>
            </a:rPr>
            <a:t>E-Banking</a:t>
          </a:r>
        </a:p>
        <a:p>
          <a:r>
            <a:rPr lang="en-US" dirty="0" smtClean="0">
              <a:solidFill>
                <a:sysClr val="windowText" lastClr="000000">
                  <a:hueOff val="0"/>
                  <a:satOff val="0"/>
                  <a:lumOff val="0"/>
                  <a:alphaOff val="0"/>
                </a:sysClr>
              </a:solidFill>
              <a:latin typeface="Calibri"/>
              <a:ea typeface="+mn-ea"/>
              <a:cs typeface="+mn-cs"/>
            </a:rPr>
            <a:t>All banking services and products </a:t>
          </a:r>
        </a:p>
        <a:p>
          <a:r>
            <a:rPr lang="en-US" dirty="0" smtClean="0">
              <a:solidFill>
                <a:sysClr val="windowText" lastClr="000000">
                  <a:hueOff val="0"/>
                  <a:satOff val="0"/>
                  <a:lumOff val="0"/>
                  <a:alphaOff val="0"/>
                </a:sysClr>
              </a:solidFill>
              <a:latin typeface="Calibri"/>
              <a:ea typeface="+mn-ea"/>
              <a:cs typeface="+mn-cs"/>
            </a:rPr>
            <a:t>1. Internet banking </a:t>
          </a:r>
        </a:p>
        <a:p>
          <a:r>
            <a:rPr lang="en-US" dirty="0" smtClean="0">
              <a:solidFill>
                <a:sysClr val="windowText" lastClr="000000">
                  <a:hueOff val="0"/>
                  <a:satOff val="0"/>
                  <a:lumOff val="0"/>
                  <a:alphaOff val="0"/>
                </a:sysClr>
              </a:solidFill>
              <a:latin typeface="Calibri"/>
              <a:ea typeface="+mn-ea"/>
              <a:cs typeface="+mn-cs"/>
            </a:rPr>
            <a:t>2. Telephone banking </a:t>
          </a:r>
        </a:p>
        <a:p>
          <a:r>
            <a:rPr lang="en-US" dirty="0" smtClean="0">
              <a:solidFill>
                <a:sysClr val="windowText" lastClr="000000">
                  <a:hueOff val="0"/>
                  <a:satOff val="0"/>
                  <a:lumOff val="0"/>
                  <a:alphaOff val="0"/>
                </a:sysClr>
              </a:solidFill>
              <a:latin typeface="Calibri"/>
              <a:ea typeface="+mn-ea"/>
              <a:cs typeface="+mn-cs"/>
            </a:rPr>
            <a:t>3. Other electronic devices  </a:t>
          </a:r>
          <a:endParaRPr lang="en-US" dirty="0">
            <a:solidFill>
              <a:sysClr val="windowText" lastClr="000000">
                <a:hueOff val="0"/>
                <a:satOff val="0"/>
                <a:lumOff val="0"/>
                <a:alphaOff val="0"/>
              </a:sysClr>
            </a:solidFill>
            <a:latin typeface="Calibri"/>
            <a:ea typeface="+mn-ea"/>
            <a:cs typeface="+mn-cs"/>
          </a:endParaRPr>
        </a:p>
      </dgm:t>
    </dgm:pt>
    <dgm:pt modelId="{C7D0C9B2-322A-4813-8CFF-5DC24483DA90}" type="parTrans" cxnId="{62546261-9FDE-4CF7-B4DF-39F793EA3059}">
      <dgm:prSet/>
      <dgm:spPr>
        <a:xfrm>
          <a:off x="1636019" y="2201380"/>
          <a:ext cx="893695" cy="366644"/>
        </a:xfrm>
        <a:noFill/>
        <a:ln w="25400" cap="flat" cmpd="sng" algn="ctr">
          <a:solidFill>
            <a:sysClr val="windowText" lastClr="000000">
              <a:shade val="80000"/>
              <a:hueOff val="0"/>
              <a:satOff val="0"/>
              <a:lumOff val="0"/>
              <a:alphaOff val="0"/>
            </a:sysClr>
          </a:solidFill>
          <a:prstDash val="solid"/>
        </a:ln>
        <a:effectLst/>
      </dgm:spPr>
      <dgm:t>
        <a:bodyPr/>
        <a:lstStyle/>
        <a:p>
          <a:endParaRPr lang="en-US"/>
        </a:p>
      </dgm:t>
    </dgm:pt>
    <dgm:pt modelId="{95A75791-59EC-46E5-BD06-04A0E5A464C0}" type="sibTrans" cxnId="{62546261-9FDE-4CF7-B4DF-39F793EA3059}">
      <dgm:prSet/>
      <dgm:spPr/>
      <dgm:t>
        <a:bodyPr/>
        <a:lstStyle/>
        <a:p>
          <a:endParaRPr lang="en-US"/>
        </a:p>
      </dgm:t>
    </dgm:pt>
    <dgm:pt modelId="{8FB4A7FC-B4DB-47FA-B473-4643D1BF0575}">
      <dgm:prSet phldrT="[Text]"/>
      <dgm:spPr>
        <a:xfrm>
          <a:off x="2735952" y="2568024"/>
          <a:ext cx="1374916" cy="916610"/>
        </a:xfrm>
        <a:solidFill>
          <a:sysClr val="window" lastClr="FFFFFF">
            <a:hueOff val="0"/>
            <a:satOff val="0"/>
            <a:lumOff val="0"/>
            <a:alphaOff val="0"/>
          </a:sysClr>
        </a:solidFill>
        <a:ln w="38100" cap="flat" cmpd="sng" algn="ctr">
          <a:solidFill>
            <a:sysClr val="windowText" lastClr="000000">
              <a:shade val="80000"/>
              <a:hueOff val="0"/>
              <a:satOff val="0"/>
              <a:lumOff val="0"/>
              <a:alphaOff val="0"/>
            </a:sysClr>
          </a:solidFill>
          <a:prstDash val="solid"/>
        </a:ln>
        <a:effectLst>
          <a:outerShdw blurRad="40000" dist="20000" dir="5400000" rotWithShape="0">
            <a:srgbClr val="000000">
              <a:alpha val="38000"/>
            </a:srgbClr>
          </a:outerShdw>
        </a:effectLst>
      </dgm:spPr>
      <dgm:t>
        <a:bodyPr/>
        <a:lstStyle/>
        <a:p>
          <a:r>
            <a:rPr lang="en-US" dirty="0" smtClean="0">
              <a:solidFill>
                <a:sysClr val="windowText" lastClr="000000">
                  <a:hueOff val="0"/>
                  <a:satOff val="0"/>
                  <a:lumOff val="0"/>
                  <a:alphaOff val="0"/>
                </a:sysClr>
              </a:solidFill>
              <a:latin typeface="Calibri"/>
              <a:ea typeface="+mn-ea"/>
              <a:cs typeface="+mn-cs"/>
            </a:rPr>
            <a:t>Others</a:t>
          </a:r>
        </a:p>
        <a:p>
          <a:r>
            <a:rPr lang="en-US" dirty="0" smtClean="0">
              <a:solidFill>
                <a:sysClr val="windowText" lastClr="000000">
                  <a:hueOff val="0"/>
                  <a:satOff val="0"/>
                  <a:lumOff val="0"/>
                  <a:alphaOff val="0"/>
                </a:sysClr>
              </a:solidFill>
              <a:latin typeface="Calibri"/>
              <a:ea typeface="+mn-ea"/>
              <a:cs typeface="+mn-cs"/>
            </a:rPr>
            <a:t>Transactions such as brokering </a:t>
          </a:r>
          <a:endParaRPr lang="en-US" dirty="0">
            <a:solidFill>
              <a:sysClr val="windowText" lastClr="000000">
                <a:hueOff val="0"/>
                <a:satOff val="0"/>
                <a:lumOff val="0"/>
                <a:alphaOff val="0"/>
              </a:sysClr>
            </a:solidFill>
            <a:latin typeface="Calibri"/>
            <a:ea typeface="+mn-ea"/>
            <a:cs typeface="+mn-cs"/>
          </a:endParaRPr>
        </a:p>
      </dgm:t>
    </dgm:pt>
    <dgm:pt modelId="{6B310A64-3CF0-4B8B-B6B0-30C1DF0C3041}" type="parTrans" cxnId="{A9572733-6043-4538-A40D-7C5C15493D04}">
      <dgm:prSet/>
      <dgm:spPr>
        <a:xfrm>
          <a:off x="2529714" y="2201380"/>
          <a:ext cx="893695" cy="366644"/>
        </a:xfrm>
        <a:noFill/>
        <a:ln w="25400" cap="flat" cmpd="sng" algn="ctr">
          <a:solidFill>
            <a:sysClr val="windowText" lastClr="000000">
              <a:shade val="80000"/>
              <a:hueOff val="0"/>
              <a:satOff val="0"/>
              <a:lumOff val="0"/>
              <a:alphaOff val="0"/>
            </a:sysClr>
          </a:solidFill>
          <a:prstDash val="solid"/>
        </a:ln>
        <a:effectLst/>
      </dgm:spPr>
      <dgm:t>
        <a:bodyPr/>
        <a:lstStyle/>
        <a:p>
          <a:endParaRPr lang="en-US"/>
        </a:p>
      </dgm:t>
    </dgm:pt>
    <dgm:pt modelId="{D9B26751-556A-490A-84A6-CF5D1463DD86}" type="sibTrans" cxnId="{A9572733-6043-4538-A40D-7C5C15493D04}">
      <dgm:prSet/>
      <dgm:spPr/>
      <dgm:t>
        <a:bodyPr/>
        <a:lstStyle/>
        <a:p>
          <a:endParaRPr lang="en-US"/>
        </a:p>
      </dgm:t>
    </dgm:pt>
    <dgm:pt modelId="{9739094C-BB9A-49B8-A884-6463A73FCFB0}">
      <dgm:prSet phldrT="[Text]"/>
      <dgm:spPr>
        <a:xfrm>
          <a:off x="3629647" y="1284769"/>
          <a:ext cx="1374916" cy="916610"/>
        </a:xfrm>
        <a:solidFill>
          <a:sysClr val="window" lastClr="FFFFFF">
            <a:hueOff val="0"/>
            <a:satOff val="0"/>
            <a:lumOff val="0"/>
            <a:alphaOff val="0"/>
          </a:sysClr>
        </a:solidFill>
        <a:ln w="38100" cap="flat" cmpd="sng" algn="ctr">
          <a:solidFill>
            <a:sysClr val="windowText" lastClr="000000">
              <a:shade val="80000"/>
              <a:hueOff val="0"/>
              <a:satOff val="0"/>
              <a:lumOff val="0"/>
              <a:alphaOff val="0"/>
            </a:sysClr>
          </a:solidFill>
          <a:prstDash val="solid"/>
        </a:ln>
        <a:effectLst>
          <a:outerShdw blurRad="40000" dist="20000" dir="5400000" rotWithShape="0">
            <a:srgbClr val="000000">
              <a:alpha val="38000"/>
            </a:srgbClr>
          </a:outerShdw>
        </a:effectLst>
      </dgm:spPr>
      <dgm:t>
        <a:bodyPr/>
        <a:lstStyle/>
        <a:p>
          <a:r>
            <a:rPr lang="en-US" dirty="0" smtClean="0">
              <a:solidFill>
                <a:sysClr val="windowText" lastClr="000000">
                  <a:hueOff val="0"/>
                  <a:satOff val="0"/>
                  <a:lumOff val="0"/>
                  <a:alphaOff val="0"/>
                </a:sysClr>
              </a:solidFill>
              <a:latin typeface="Calibri"/>
              <a:ea typeface="+mn-ea"/>
              <a:cs typeface="+mn-cs"/>
            </a:rPr>
            <a:t>E-Money</a:t>
          </a:r>
        </a:p>
        <a:p>
          <a:r>
            <a:rPr lang="en-US" dirty="0" smtClean="0">
              <a:solidFill>
                <a:sysClr val="windowText" lastClr="000000">
                  <a:hueOff val="0"/>
                  <a:satOff val="0"/>
                  <a:lumOff val="0"/>
                  <a:alphaOff val="0"/>
                </a:sysClr>
              </a:solidFill>
              <a:latin typeface="Calibri"/>
              <a:ea typeface="+mn-ea"/>
              <a:cs typeface="+mn-cs"/>
            </a:rPr>
            <a:t>Prepaid values of real money that can be used electronically </a:t>
          </a:r>
          <a:endParaRPr lang="en-US" dirty="0">
            <a:solidFill>
              <a:sysClr val="windowText" lastClr="000000">
                <a:hueOff val="0"/>
                <a:satOff val="0"/>
                <a:lumOff val="0"/>
                <a:alphaOff val="0"/>
              </a:sysClr>
            </a:solidFill>
            <a:latin typeface="Calibri"/>
            <a:ea typeface="+mn-ea"/>
            <a:cs typeface="+mn-cs"/>
          </a:endParaRPr>
        </a:p>
      </dgm:t>
    </dgm:pt>
    <dgm:pt modelId="{12CE54B7-BCD4-4871-99E1-A835AD3510CC}" type="parTrans" cxnId="{97604CA7-6DD1-4AC1-8B7A-880D8CC0B53C}">
      <dgm:prSet/>
      <dgm:spPr>
        <a:xfrm>
          <a:off x="3423410" y="918125"/>
          <a:ext cx="893695" cy="366644"/>
        </a:xfrm>
        <a:noFill/>
        <a:ln w="25400" cap="flat" cmpd="sng" algn="ctr">
          <a:solidFill>
            <a:sysClr val="windowText" lastClr="000000">
              <a:shade val="60000"/>
              <a:hueOff val="0"/>
              <a:satOff val="0"/>
              <a:lumOff val="0"/>
              <a:alphaOff val="0"/>
            </a:sysClr>
          </a:solidFill>
          <a:prstDash val="solid"/>
        </a:ln>
        <a:effectLst/>
      </dgm:spPr>
      <dgm:t>
        <a:bodyPr/>
        <a:lstStyle/>
        <a:p>
          <a:endParaRPr lang="en-US"/>
        </a:p>
      </dgm:t>
    </dgm:pt>
    <dgm:pt modelId="{2282AE0C-4039-4EBF-8CB8-7BCF72C5726F}" type="sibTrans" cxnId="{97604CA7-6DD1-4AC1-8B7A-880D8CC0B53C}">
      <dgm:prSet/>
      <dgm:spPr/>
      <dgm:t>
        <a:bodyPr/>
        <a:lstStyle/>
        <a:p>
          <a:endParaRPr lang="en-US"/>
        </a:p>
      </dgm:t>
    </dgm:pt>
    <dgm:pt modelId="{84504F5A-F3E1-4355-B843-D80CB764AA67}" type="pres">
      <dgm:prSet presAssocID="{0C31C7CF-D1B5-4A26-9809-3F2B9D3B819B}" presName="mainComposite" presStyleCnt="0">
        <dgm:presLayoutVars>
          <dgm:chPref val="1"/>
          <dgm:dir/>
          <dgm:animOne val="branch"/>
          <dgm:animLvl val="lvl"/>
          <dgm:resizeHandles val="exact"/>
        </dgm:presLayoutVars>
      </dgm:prSet>
      <dgm:spPr/>
      <dgm:t>
        <a:bodyPr/>
        <a:lstStyle/>
        <a:p>
          <a:endParaRPr lang="en-US"/>
        </a:p>
      </dgm:t>
    </dgm:pt>
    <dgm:pt modelId="{0C04793E-C1B8-4861-B6A9-0855C4CD3EB5}" type="pres">
      <dgm:prSet presAssocID="{0C31C7CF-D1B5-4A26-9809-3F2B9D3B819B}" presName="hierFlow" presStyleCnt="0"/>
      <dgm:spPr/>
    </dgm:pt>
    <dgm:pt modelId="{13B3C30C-1F41-4A13-8AEF-194D294A1B6A}" type="pres">
      <dgm:prSet presAssocID="{0C31C7CF-D1B5-4A26-9809-3F2B9D3B819B}" presName="hierChild1" presStyleCnt="0">
        <dgm:presLayoutVars>
          <dgm:chPref val="1"/>
          <dgm:animOne val="branch"/>
          <dgm:animLvl val="lvl"/>
        </dgm:presLayoutVars>
      </dgm:prSet>
      <dgm:spPr/>
    </dgm:pt>
    <dgm:pt modelId="{A3176E79-EB12-4CC7-916D-72ADE6C9F88D}" type="pres">
      <dgm:prSet presAssocID="{48A65C40-FC25-4CC9-B29A-D8847A1F2D16}" presName="Name14" presStyleCnt="0"/>
      <dgm:spPr/>
    </dgm:pt>
    <dgm:pt modelId="{EE9D42E4-503C-491E-9A96-A7616AD6AFB2}" type="pres">
      <dgm:prSet presAssocID="{48A65C40-FC25-4CC9-B29A-D8847A1F2D16}" presName="level1Shape" presStyleLbl="node0" presStyleIdx="0" presStyleCnt="1">
        <dgm:presLayoutVars>
          <dgm:chPref val="3"/>
        </dgm:presLayoutVars>
      </dgm:prSet>
      <dgm:spPr>
        <a:prstGeom prst="roundRect">
          <a:avLst>
            <a:gd name="adj" fmla="val 10000"/>
          </a:avLst>
        </a:prstGeom>
      </dgm:spPr>
      <dgm:t>
        <a:bodyPr/>
        <a:lstStyle/>
        <a:p>
          <a:endParaRPr lang="en-US"/>
        </a:p>
      </dgm:t>
    </dgm:pt>
    <dgm:pt modelId="{EDA475A4-E426-4EC9-BE5D-103602E6B396}" type="pres">
      <dgm:prSet presAssocID="{48A65C40-FC25-4CC9-B29A-D8847A1F2D16}" presName="hierChild2" presStyleCnt="0"/>
      <dgm:spPr/>
    </dgm:pt>
    <dgm:pt modelId="{BE34D7C2-EBB6-42C3-B5DD-9E78451078C1}" type="pres">
      <dgm:prSet presAssocID="{EE541A69-73E7-4B69-B6CF-D75F16D78E47}" presName="Name19" presStyleLbl="parChTrans1D2" presStyleIdx="0" presStyleCnt="2"/>
      <dgm:spPr>
        <a:custGeom>
          <a:avLst/>
          <a:gdLst/>
          <a:ahLst/>
          <a:cxnLst/>
          <a:rect l="0" t="0" r="0" b="0"/>
          <a:pathLst>
            <a:path>
              <a:moveTo>
                <a:pt x="1524933" y="0"/>
              </a:moveTo>
              <a:lnTo>
                <a:pt x="1524933" y="312806"/>
              </a:lnTo>
              <a:lnTo>
                <a:pt x="0" y="312806"/>
              </a:lnTo>
              <a:lnTo>
                <a:pt x="0" y="625613"/>
              </a:lnTo>
            </a:path>
          </a:pathLst>
        </a:custGeom>
      </dgm:spPr>
      <dgm:t>
        <a:bodyPr/>
        <a:lstStyle/>
        <a:p>
          <a:endParaRPr lang="en-US"/>
        </a:p>
      </dgm:t>
    </dgm:pt>
    <dgm:pt modelId="{B35B7293-7E61-4DE8-99CA-C960529F2B19}" type="pres">
      <dgm:prSet presAssocID="{A9A7656D-A92C-4F22-933E-2263F6FF8DD6}" presName="Name21" presStyleCnt="0"/>
      <dgm:spPr/>
    </dgm:pt>
    <dgm:pt modelId="{1DCE13CF-4DC1-4066-9B16-3243E5742752}" type="pres">
      <dgm:prSet presAssocID="{A9A7656D-A92C-4F22-933E-2263F6FF8DD6}" presName="level2Shape" presStyleLbl="node2" presStyleIdx="0" presStyleCnt="2"/>
      <dgm:spPr>
        <a:prstGeom prst="roundRect">
          <a:avLst>
            <a:gd name="adj" fmla="val 10000"/>
          </a:avLst>
        </a:prstGeom>
      </dgm:spPr>
      <dgm:t>
        <a:bodyPr/>
        <a:lstStyle/>
        <a:p>
          <a:endParaRPr lang="en-US"/>
        </a:p>
      </dgm:t>
    </dgm:pt>
    <dgm:pt modelId="{1A204DDA-3336-4F4A-B9C4-259D11B32645}" type="pres">
      <dgm:prSet presAssocID="{A9A7656D-A92C-4F22-933E-2263F6FF8DD6}" presName="hierChild3" presStyleCnt="0"/>
      <dgm:spPr/>
    </dgm:pt>
    <dgm:pt modelId="{0D640AC0-9849-4C28-83C3-35756636E7AC}" type="pres">
      <dgm:prSet presAssocID="{C7D0C9B2-322A-4813-8CFF-5DC24483DA90}" presName="Name19" presStyleLbl="parChTrans1D3" presStyleIdx="0" presStyleCnt="2"/>
      <dgm:spPr>
        <a:custGeom>
          <a:avLst/>
          <a:gdLst/>
          <a:ahLst/>
          <a:cxnLst/>
          <a:rect l="0" t="0" r="0" b="0"/>
          <a:pathLst>
            <a:path>
              <a:moveTo>
                <a:pt x="1524933" y="0"/>
              </a:moveTo>
              <a:lnTo>
                <a:pt x="1524933" y="312806"/>
              </a:lnTo>
              <a:lnTo>
                <a:pt x="0" y="312806"/>
              </a:lnTo>
              <a:lnTo>
                <a:pt x="0" y="625613"/>
              </a:lnTo>
            </a:path>
          </a:pathLst>
        </a:custGeom>
      </dgm:spPr>
      <dgm:t>
        <a:bodyPr/>
        <a:lstStyle/>
        <a:p>
          <a:endParaRPr lang="en-US"/>
        </a:p>
      </dgm:t>
    </dgm:pt>
    <dgm:pt modelId="{2CEED8BB-C002-49AE-8D16-6B5C26829802}" type="pres">
      <dgm:prSet presAssocID="{59327A62-F4F9-4AA9-9263-E6B3A8F5CD47}" presName="Name21" presStyleCnt="0"/>
      <dgm:spPr/>
    </dgm:pt>
    <dgm:pt modelId="{9B78AE79-CCE2-4723-905E-1A375534F734}" type="pres">
      <dgm:prSet presAssocID="{59327A62-F4F9-4AA9-9263-E6B3A8F5CD47}" presName="level2Shape" presStyleLbl="node3" presStyleIdx="0" presStyleCnt="2"/>
      <dgm:spPr>
        <a:prstGeom prst="roundRect">
          <a:avLst>
            <a:gd name="adj" fmla="val 10000"/>
          </a:avLst>
        </a:prstGeom>
      </dgm:spPr>
      <dgm:t>
        <a:bodyPr/>
        <a:lstStyle/>
        <a:p>
          <a:endParaRPr lang="en-US"/>
        </a:p>
      </dgm:t>
    </dgm:pt>
    <dgm:pt modelId="{EF2E2CC0-DA30-4090-8198-97017DC35A0D}" type="pres">
      <dgm:prSet presAssocID="{59327A62-F4F9-4AA9-9263-E6B3A8F5CD47}" presName="hierChild3" presStyleCnt="0"/>
      <dgm:spPr/>
    </dgm:pt>
    <dgm:pt modelId="{3A559FA6-A72A-46BF-9AE0-A6758E94C0C0}" type="pres">
      <dgm:prSet presAssocID="{6B310A64-3CF0-4B8B-B6B0-30C1DF0C3041}" presName="Name19" presStyleLbl="parChTrans1D3" presStyleIdx="1" presStyleCnt="2"/>
      <dgm:spPr>
        <a:custGeom>
          <a:avLst/>
          <a:gdLst/>
          <a:ahLst/>
          <a:cxnLst/>
          <a:rect l="0" t="0" r="0" b="0"/>
          <a:pathLst>
            <a:path>
              <a:moveTo>
                <a:pt x="0" y="0"/>
              </a:moveTo>
              <a:lnTo>
                <a:pt x="0" y="312806"/>
              </a:lnTo>
              <a:lnTo>
                <a:pt x="1524933" y="312806"/>
              </a:lnTo>
              <a:lnTo>
                <a:pt x="1524933" y="625613"/>
              </a:lnTo>
            </a:path>
          </a:pathLst>
        </a:custGeom>
      </dgm:spPr>
      <dgm:t>
        <a:bodyPr/>
        <a:lstStyle/>
        <a:p>
          <a:endParaRPr lang="en-US"/>
        </a:p>
      </dgm:t>
    </dgm:pt>
    <dgm:pt modelId="{1E60EAC3-4595-4AFB-8DF6-21C0D1C9B4C6}" type="pres">
      <dgm:prSet presAssocID="{8FB4A7FC-B4DB-47FA-B473-4643D1BF0575}" presName="Name21" presStyleCnt="0"/>
      <dgm:spPr/>
    </dgm:pt>
    <dgm:pt modelId="{72A3EC38-9688-4A07-B642-0F5681649DF4}" type="pres">
      <dgm:prSet presAssocID="{8FB4A7FC-B4DB-47FA-B473-4643D1BF0575}" presName="level2Shape" presStyleLbl="node3" presStyleIdx="1" presStyleCnt="2"/>
      <dgm:spPr>
        <a:prstGeom prst="roundRect">
          <a:avLst>
            <a:gd name="adj" fmla="val 10000"/>
          </a:avLst>
        </a:prstGeom>
      </dgm:spPr>
      <dgm:t>
        <a:bodyPr/>
        <a:lstStyle/>
        <a:p>
          <a:endParaRPr lang="en-US"/>
        </a:p>
      </dgm:t>
    </dgm:pt>
    <dgm:pt modelId="{E02E08F2-5291-49E5-B41F-0922E7771C0E}" type="pres">
      <dgm:prSet presAssocID="{8FB4A7FC-B4DB-47FA-B473-4643D1BF0575}" presName="hierChild3" presStyleCnt="0"/>
      <dgm:spPr/>
    </dgm:pt>
    <dgm:pt modelId="{92741167-CAFD-4759-8A9B-53E20EF56059}" type="pres">
      <dgm:prSet presAssocID="{12CE54B7-BCD4-4871-99E1-A835AD3510CC}" presName="Name19" presStyleLbl="parChTrans1D2" presStyleIdx="1" presStyleCnt="2"/>
      <dgm:spPr>
        <a:custGeom>
          <a:avLst/>
          <a:gdLst/>
          <a:ahLst/>
          <a:cxnLst/>
          <a:rect l="0" t="0" r="0" b="0"/>
          <a:pathLst>
            <a:path>
              <a:moveTo>
                <a:pt x="0" y="0"/>
              </a:moveTo>
              <a:lnTo>
                <a:pt x="0" y="312806"/>
              </a:lnTo>
              <a:lnTo>
                <a:pt x="1524933" y="312806"/>
              </a:lnTo>
              <a:lnTo>
                <a:pt x="1524933" y="625613"/>
              </a:lnTo>
            </a:path>
          </a:pathLst>
        </a:custGeom>
      </dgm:spPr>
      <dgm:t>
        <a:bodyPr/>
        <a:lstStyle/>
        <a:p>
          <a:endParaRPr lang="en-US"/>
        </a:p>
      </dgm:t>
    </dgm:pt>
    <dgm:pt modelId="{276B5273-6E96-4276-ACCB-9D9AF2605CD8}" type="pres">
      <dgm:prSet presAssocID="{9739094C-BB9A-49B8-A884-6463A73FCFB0}" presName="Name21" presStyleCnt="0"/>
      <dgm:spPr/>
    </dgm:pt>
    <dgm:pt modelId="{526D7F92-4773-4712-A8CA-5B1372A31C14}" type="pres">
      <dgm:prSet presAssocID="{9739094C-BB9A-49B8-A884-6463A73FCFB0}" presName="level2Shape" presStyleLbl="node2" presStyleIdx="1" presStyleCnt="2"/>
      <dgm:spPr>
        <a:prstGeom prst="roundRect">
          <a:avLst>
            <a:gd name="adj" fmla="val 10000"/>
          </a:avLst>
        </a:prstGeom>
      </dgm:spPr>
      <dgm:t>
        <a:bodyPr/>
        <a:lstStyle/>
        <a:p>
          <a:endParaRPr lang="en-US"/>
        </a:p>
      </dgm:t>
    </dgm:pt>
    <dgm:pt modelId="{A0A5D5DE-85A8-43DD-AD55-F4F7D4BC3DCC}" type="pres">
      <dgm:prSet presAssocID="{9739094C-BB9A-49B8-A884-6463A73FCFB0}" presName="hierChild3" presStyleCnt="0"/>
      <dgm:spPr/>
    </dgm:pt>
    <dgm:pt modelId="{D7F3A6EB-9559-47FF-B1C8-0A197BAD991D}" type="pres">
      <dgm:prSet presAssocID="{0C31C7CF-D1B5-4A26-9809-3F2B9D3B819B}" presName="bgShapesFlow" presStyleCnt="0"/>
      <dgm:spPr/>
    </dgm:pt>
  </dgm:ptLst>
  <dgm:cxnLst>
    <dgm:cxn modelId="{48B5B6AD-618A-43C6-AB2E-BC8630EE1D07}" srcId="{48A65C40-FC25-4CC9-B29A-D8847A1F2D16}" destId="{A9A7656D-A92C-4F22-933E-2263F6FF8DD6}" srcOrd="0" destOrd="0" parTransId="{EE541A69-73E7-4B69-B6CF-D75F16D78E47}" sibTransId="{00D1AC18-1270-4EB3-BDD6-4D1F3FE58283}"/>
    <dgm:cxn modelId="{A9572733-6043-4538-A40D-7C5C15493D04}" srcId="{A9A7656D-A92C-4F22-933E-2263F6FF8DD6}" destId="{8FB4A7FC-B4DB-47FA-B473-4643D1BF0575}" srcOrd="1" destOrd="0" parTransId="{6B310A64-3CF0-4B8B-B6B0-30C1DF0C3041}" sibTransId="{D9B26751-556A-490A-84A6-CF5D1463DD86}"/>
    <dgm:cxn modelId="{2F36B180-32C9-4276-AAA7-C071A9CD4584}" srcId="{0C31C7CF-D1B5-4A26-9809-3F2B9D3B819B}" destId="{48A65C40-FC25-4CC9-B29A-D8847A1F2D16}" srcOrd="0" destOrd="0" parTransId="{9D145D72-0167-477B-A790-4E1A6E17A9F2}" sibTransId="{184FB860-5090-4E2D-A92C-DF08095E3223}"/>
    <dgm:cxn modelId="{133B178B-76D8-4733-B872-C5F91C669551}" type="presOf" srcId="{6B310A64-3CF0-4B8B-B6B0-30C1DF0C3041}" destId="{3A559FA6-A72A-46BF-9AE0-A6758E94C0C0}" srcOrd="0" destOrd="0" presId="urn:microsoft.com/office/officeart/2005/8/layout/hierarchy6"/>
    <dgm:cxn modelId="{C3C2217E-16F8-4A96-A1C3-2BA9C6EB3927}" type="presOf" srcId="{12CE54B7-BCD4-4871-99E1-A835AD3510CC}" destId="{92741167-CAFD-4759-8A9B-53E20EF56059}" srcOrd="0" destOrd="0" presId="urn:microsoft.com/office/officeart/2005/8/layout/hierarchy6"/>
    <dgm:cxn modelId="{7701FB26-5805-48AE-9107-216601179EB9}" type="presOf" srcId="{48A65C40-FC25-4CC9-B29A-D8847A1F2D16}" destId="{EE9D42E4-503C-491E-9A96-A7616AD6AFB2}" srcOrd="0" destOrd="0" presId="urn:microsoft.com/office/officeart/2005/8/layout/hierarchy6"/>
    <dgm:cxn modelId="{97604CA7-6DD1-4AC1-8B7A-880D8CC0B53C}" srcId="{48A65C40-FC25-4CC9-B29A-D8847A1F2D16}" destId="{9739094C-BB9A-49B8-A884-6463A73FCFB0}" srcOrd="1" destOrd="0" parTransId="{12CE54B7-BCD4-4871-99E1-A835AD3510CC}" sibTransId="{2282AE0C-4039-4EBF-8CB8-7BCF72C5726F}"/>
    <dgm:cxn modelId="{62546261-9FDE-4CF7-B4DF-39F793EA3059}" srcId="{A9A7656D-A92C-4F22-933E-2263F6FF8DD6}" destId="{59327A62-F4F9-4AA9-9263-E6B3A8F5CD47}" srcOrd="0" destOrd="0" parTransId="{C7D0C9B2-322A-4813-8CFF-5DC24483DA90}" sibTransId="{95A75791-59EC-46E5-BD06-04A0E5A464C0}"/>
    <dgm:cxn modelId="{FEF331E7-C05D-4A11-9483-9F5D656B87ED}" type="presOf" srcId="{A9A7656D-A92C-4F22-933E-2263F6FF8DD6}" destId="{1DCE13CF-4DC1-4066-9B16-3243E5742752}" srcOrd="0" destOrd="0" presId="urn:microsoft.com/office/officeart/2005/8/layout/hierarchy6"/>
    <dgm:cxn modelId="{4678A22B-FE1F-448A-AF45-B18C430E2B25}" type="presOf" srcId="{EE541A69-73E7-4B69-B6CF-D75F16D78E47}" destId="{BE34D7C2-EBB6-42C3-B5DD-9E78451078C1}" srcOrd="0" destOrd="0" presId="urn:microsoft.com/office/officeart/2005/8/layout/hierarchy6"/>
    <dgm:cxn modelId="{26F09893-CD3F-4FCA-A900-F460FED9024F}" type="presOf" srcId="{C7D0C9B2-322A-4813-8CFF-5DC24483DA90}" destId="{0D640AC0-9849-4C28-83C3-35756636E7AC}" srcOrd="0" destOrd="0" presId="urn:microsoft.com/office/officeart/2005/8/layout/hierarchy6"/>
    <dgm:cxn modelId="{04F30AE9-3706-41EF-9829-F94AAA2EECB2}" type="presOf" srcId="{9739094C-BB9A-49B8-A884-6463A73FCFB0}" destId="{526D7F92-4773-4712-A8CA-5B1372A31C14}" srcOrd="0" destOrd="0" presId="urn:microsoft.com/office/officeart/2005/8/layout/hierarchy6"/>
    <dgm:cxn modelId="{F440F4F7-CB08-43EA-9319-54246FFD92E4}" type="presOf" srcId="{59327A62-F4F9-4AA9-9263-E6B3A8F5CD47}" destId="{9B78AE79-CCE2-4723-905E-1A375534F734}" srcOrd="0" destOrd="0" presId="urn:microsoft.com/office/officeart/2005/8/layout/hierarchy6"/>
    <dgm:cxn modelId="{A45F9C7C-E80D-4356-9C67-DE2EF80B68FD}" type="presOf" srcId="{0C31C7CF-D1B5-4A26-9809-3F2B9D3B819B}" destId="{84504F5A-F3E1-4355-B843-D80CB764AA67}" srcOrd="0" destOrd="0" presId="urn:microsoft.com/office/officeart/2005/8/layout/hierarchy6"/>
    <dgm:cxn modelId="{A8E3A6D0-32FA-41BA-9A99-CB51674A406A}" type="presOf" srcId="{8FB4A7FC-B4DB-47FA-B473-4643D1BF0575}" destId="{72A3EC38-9688-4A07-B642-0F5681649DF4}" srcOrd="0" destOrd="0" presId="urn:microsoft.com/office/officeart/2005/8/layout/hierarchy6"/>
    <dgm:cxn modelId="{8BFA342E-2525-4D44-8D55-4541929139C9}" type="presParOf" srcId="{84504F5A-F3E1-4355-B843-D80CB764AA67}" destId="{0C04793E-C1B8-4861-B6A9-0855C4CD3EB5}" srcOrd="0" destOrd="0" presId="urn:microsoft.com/office/officeart/2005/8/layout/hierarchy6"/>
    <dgm:cxn modelId="{C5171F0D-B65F-4173-9057-FA0B5DC4BC28}" type="presParOf" srcId="{0C04793E-C1B8-4861-B6A9-0855C4CD3EB5}" destId="{13B3C30C-1F41-4A13-8AEF-194D294A1B6A}" srcOrd="0" destOrd="0" presId="urn:microsoft.com/office/officeart/2005/8/layout/hierarchy6"/>
    <dgm:cxn modelId="{2F7AB184-9BA3-4521-951E-9A602A061513}" type="presParOf" srcId="{13B3C30C-1F41-4A13-8AEF-194D294A1B6A}" destId="{A3176E79-EB12-4CC7-916D-72ADE6C9F88D}" srcOrd="0" destOrd="0" presId="urn:microsoft.com/office/officeart/2005/8/layout/hierarchy6"/>
    <dgm:cxn modelId="{AFFFBA9A-06B1-49ED-A065-33BEF164B996}" type="presParOf" srcId="{A3176E79-EB12-4CC7-916D-72ADE6C9F88D}" destId="{EE9D42E4-503C-491E-9A96-A7616AD6AFB2}" srcOrd="0" destOrd="0" presId="urn:microsoft.com/office/officeart/2005/8/layout/hierarchy6"/>
    <dgm:cxn modelId="{4C678334-5098-4D3E-8F19-776DE8D9DF17}" type="presParOf" srcId="{A3176E79-EB12-4CC7-916D-72ADE6C9F88D}" destId="{EDA475A4-E426-4EC9-BE5D-103602E6B396}" srcOrd="1" destOrd="0" presId="urn:microsoft.com/office/officeart/2005/8/layout/hierarchy6"/>
    <dgm:cxn modelId="{4354E117-5B17-420B-8146-AE9053260CE7}" type="presParOf" srcId="{EDA475A4-E426-4EC9-BE5D-103602E6B396}" destId="{BE34D7C2-EBB6-42C3-B5DD-9E78451078C1}" srcOrd="0" destOrd="0" presId="urn:microsoft.com/office/officeart/2005/8/layout/hierarchy6"/>
    <dgm:cxn modelId="{9E6BDEBE-E2D9-4C5A-B8EC-C4D7B92AEA68}" type="presParOf" srcId="{EDA475A4-E426-4EC9-BE5D-103602E6B396}" destId="{B35B7293-7E61-4DE8-99CA-C960529F2B19}" srcOrd="1" destOrd="0" presId="urn:microsoft.com/office/officeart/2005/8/layout/hierarchy6"/>
    <dgm:cxn modelId="{35A45216-F410-44E9-9AE0-B70184B3CBCC}" type="presParOf" srcId="{B35B7293-7E61-4DE8-99CA-C960529F2B19}" destId="{1DCE13CF-4DC1-4066-9B16-3243E5742752}" srcOrd="0" destOrd="0" presId="urn:microsoft.com/office/officeart/2005/8/layout/hierarchy6"/>
    <dgm:cxn modelId="{0C3C8B22-709E-4D90-A4FE-7A093BC88660}" type="presParOf" srcId="{B35B7293-7E61-4DE8-99CA-C960529F2B19}" destId="{1A204DDA-3336-4F4A-B9C4-259D11B32645}" srcOrd="1" destOrd="0" presId="urn:microsoft.com/office/officeart/2005/8/layout/hierarchy6"/>
    <dgm:cxn modelId="{635EF8EB-F55C-4410-B507-21C8566589E3}" type="presParOf" srcId="{1A204DDA-3336-4F4A-B9C4-259D11B32645}" destId="{0D640AC0-9849-4C28-83C3-35756636E7AC}" srcOrd="0" destOrd="0" presId="urn:microsoft.com/office/officeart/2005/8/layout/hierarchy6"/>
    <dgm:cxn modelId="{52ADD0D3-2BAF-472A-9FB0-864E22212745}" type="presParOf" srcId="{1A204DDA-3336-4F4A-B9C4-259D11B32645}" destId="{2CEED8BB-C002-49AE-8D16-6B5C26829802}" srcOrd="1" destOrd="0" presId="urn:microsoft.com/office/officeart/2005/8/layout/hierarchy6"/>
    <dgm:cxn modelId="{7FD3C21A-2FBD-42BD-93FB-62C92239E5EF}" type="presParOf" srcId="{2CEED8BB-C002-49AE-8D16-6B5C26829802}" destId="{9B78AE79-CCE2-4723-905E-1A375534F734}" srcOrd="0" destOrd="0" presId="urn:microsoft.com/office/officeart/2005/8/layout/hierarchy6"/>
    <dgm:cxn modelId="{71C5D582-EE6C-4BB4-9C7E-D5B3D5DC292C}" type="presParOf" srcId="{2CEED8BB-C002-49AE-8D16-6B5C26829802}" destId="{EF2E2CC0-DA30-4090-8198-97017DC35A0D}" srcOrd="1" destOrd="0" presId="urn:microsoft.com/office/officeart/2005/8/layout/hierarchy6"/>
    <dgm:cxn modelId="{4B4F6E0B-C97A-4AED-924D-8002A2A455BC}" type="presParOf" srcId="{1A204DDA-3336-4F4A-B9C4-259D11B32645}" destId="{3A559FA6-A72A-46BF-9AE0-A6758E94C0C0}" srcOrd="2" destOrd="0" presId="urn:microsoft.com/office/officeart/2005/8/layout/hierarchy6"/>
    <dgm:cxn modelId="{721B241F-F76E-442A-AC11-A7D8DCFB5318}" type="presParOf" srcId="{1A204DDA-3336-4F4A-B9C4-259D11B32645}" destId="{1E60EAC3-4595-4AFB-8DF6-21C0D1C9B4C6}" srcOrd="3" destOrd="0" presId="urn:microsoft.com/office/officeart/2005/8/layout/hierarchy6"/>
    <dgm:cxn modelId="{69D8894C-2590-4AC9-9C08-DA142613E99F}" type="presParOf" srcId="{1E60EAC3-4595-4AFB-8DF6-21C0D1C9B4C6}" destId="{72A3EC38-9688-4A07-B642-0F5681649DF4}" srcOrd="0" destOrd="0" presId="urn:microsoft.com/office/officeart/2005/8/layout/hierarchy6"/>
    <dgm:cxn modelId="{937815DD-2F30-48C1-8CB5-97EB14484B71}" type="presParOf" srcId="{1E60EAC3-4595-4AFB-8DF6-21C0D1C9B4C6}" destId="{E02E08F2-5291-49E5-B41F-0922E7771C0E}" srcOrd="1" destOrd="0" presId="urn:microsoft.com/office/officeart/2005/8/layout/hierarchy6"/>
    <dgm:cxn modelId="{46342379-7247-4467-89B4-1AF564CD484C}" type="presParOf" srcId="{EDA475A4-E426-4EC9-BE5D-103602E6B396}" destId="{92741167-CAFD-4759-8A9B-53E20EF56059}" srcOrd="2" destOrd="0" presId="urn:microsoft.com/office/officeart/2005/8/layout/hierarchy6"/>
    <dgm:cxn modelId="{9E1CABBE-FA5F-413D-BB6D-1305AF7EE351}" type="presParOf" srcId="{EDA475A4-E426-4EC9-BE5D-103602E6B396}" destId="{276B5273-6E96-4276-ACCB-9D9AF2605CD8}" srcOrd="3" destOrd="0" presId="urn:microsoft.com/office/officeart/2005/8/layout/hierarchy6"/>
    <dgm:cxn modelId="{825EB493-070F-4D8A-853A-03AC5A8C6205}" type="presParOf" srcId="{276B5273-6E96-4276-ACCB-9D9AF2605CD8}" destId="{526D7F92-4773-4712-A8CA-5B1372A31C14}" srcOrd="0" destOrd="0" presId="urn:microsoft.com/office/officeart/2005/8/layout/hierarchy6"/>
    <dgm:cxn modelId="{0CBF431C-DFB1-49BC-A804-47BC0A0CEAA5}" type="presParOf" srcId="{276B5273-6E96-4276-ACCB-9D9AF2605CD8}" destId="{A0A5D5DE-85A8-43DD-AD55-F4F7D4BC3DCC}" srcOrd="1" destOrd="0" presId="urn:microsoft.com/office/officeart/2005/8/layout/hierarchy6"/>
    <dgm:cxn modelId="{13C37E6D-0182-446E-9FCA-FD1C8783C903}" type="presParOf" srcId="{84504F5A-F3E1-4355-B843-D80CB764AA67}" destId="{D7F3A6EB-9559-47FF-B1C8-0A197BAD991D}" srcOrd="1" destOrd="0" presId="urn:microsoft.com/office/officeart/2005/8/layout/hierarchy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9D42E4-503C-491E-9A96-A7616AD6AFB2}">
      <dsp:nvSpPr>
        <dsp:cNvPr id="0" name=""/>
        <dsp:cNvSpPr/>
      </dsp:nvSpPr>
      <dsp:spPr>
        <a:xfrm>
          <a:off x="2735952" y="1514"/>
          <a:ext cx="1374916" cy="916610"/>
        </a:xfrm>
        <a:prstGeom prst="roundRect">
          <a:avLst>
            <a:gd name="adj" fmla="val 10000"/>
          </a:avLst>
        </a:prstGeom>
        <a:solidFill>
          <a:sysClr val="window" lastClr="FFFFFF">
            <a:hueOff val="0"/>
            <a:satOff val="0"/>
            <a:lumOff val="0"/>
            <a:alphaOff val="0"/>
          </a:sysClr>
        </a:solidFill>
        <a:ln w="38100" cap="flat" cmpd="sng" algn="ctr">
          <a:solidFill>
            <a:sysClr val="windowText" lastClr="000000">
              <a:shade val="80000"/>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dirty="0" smtClean="0">
              <a:solidFill>
                <a:sysClr val="windowText" lastClr="000000">
                  <a:hueOff val="0"/>
                  <a:satOff val="0"/>
                  <a:lumOff val="0"/>
                  <a:alphaOff val="0"/>
                </a:sysClr>
              </a:solidFill>
              <a:latin typeface="Calibri"/>
              <a:ea typeface="+mn-ea"/>
              <a:cs typeface="+mn-cs"/>
            </a:rPr>
            <a:t>E-Commerce</a:t>
          </a:r>
        </a:p>
        <a:p>
          <a:pPr lvl="0" algn="ctr" defTabSz="311150">
            <a:lnSpc>
              <a:spcPct val="90000"/>
            </a:lnSpc>
            <a:spcBef>
              <a:spcPct val="0"/>
            </a:spcBef>
            <a:spcAft>
              <a:spcPct val="35000"/>
            </a:spcAft>
          </a:pPr>
          <a:r>
            <a:rPr lang="en-US" sz="700" kern="1200" dirty="0" smtClean="0">
              <a:solidFill>
                <a:sysClr val="windowText" lastClr="000000">
                  <a:hueOff val="0"/>
                  <a:satOff val="0"/>
                  <a:lumOff val="0"/>
                  <a:alphaOff val="0"/>
                </a:sysClr>
              </a:solidFill>
              <a:latin typeface="Calibri"/>
              <a:ea typeface="+mn-ea"/>
              <a:cs typeface="+mn-cs"/>
            </a:rPr>
            <a:t>Includes all electronic transactions</a:t>
          </a:r>
          <a:endParaRPr lang="en-US" sz="700" kern="1200" dirty="0">
            <a:solidFill>
              <a:sysClr val="windowText" lastClr="000000">
                <a:hueOff val="0"/>
                <a:satOff val="0"/>
                <a:lumOff val="0"/>
                <a:alphaOff val="0"/>
              </a:sysClr>
            </a:solidFill>
            <a:latin typeface="Calibri"/>
            <a:ea typeface="+mn-ea"/>
            <a:cs typeface="+mn-cs"/>
          </a:endParaRPr>
        </a:p>
      </dsp:txBody>
      <dsp:txXfrm>
        <a:off x="2762799" y="28361"/>
        <a:ext cx="1321222" cy="862916"/>
      </dsp:txXfrm>
    </dsp:sp>
    <dsp:sp modelId="{BE34D7C2-EBB6-42C3-B5DD-9E78451078C1}">
      <dsp:nvSpPr>
        <dsp:cNvPr id="0" name=""/>
        <dsp:cNvSpPr/>
      </dsp:nvSpPr>
      <dsp:spPr>
        <a:xfrm>
          <a:off x="2529714" y="918125"/>
          <a:ext cx="893695" cy="366644"/>
        </a:xfrm>
        <a:custGeom>
          <a:avLst/>
          <a:gdLst/>
          <a:ahLst/>
          <a:cxnLst/>
          <a:rect l="0" t="0" r="0" b="0"/>
          <a:pathLst>
            <a:path>
              <a:moveTo>
                <a:pt x="1524933" y="0"/>
              </a:moveTo>
              <a:lnTo>
                <a:pt x="1524933" y="312806"/>
              </a:lnTo>
              <a:lnTo>
                <a:pt x="0" y="312806"/>
              </a:lnTo>
              <a:lnTo>
                <a:pt x="0" y="625613"/>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1DCE13CF-4DC1-4066-9B16-3243E5742752}">
      <dsp:nvSpPr>
        <dsp:cNvPr id="0" name=""/>
        <dsp:cNvSpPr/>
      </dsp:nvSpPr>
      <dsp:spPr>
        <a:xfrm>
          <a:off x="1842256" y="1284769"/>
          <a:ext cx="1374916" cy="916610"/>
        </a:xfrm>
        <a:prstGeom prst="roundRect">
          <a:avLst>
            <a:gd name="adj" fmla="val 10000"/>
          </a:avLst>
        </a:prstGeom>
        <a:solidFill>
          <a:sysClr val="window" lastClr="FFFFFF">
            <a:hueOff val="0"/>
            <a:satOff val="0"/>
            <a:lumOff val="0"/>
            <a:alphaOff val="0"/>
          </a:sysClr>
        </a:solidFill>
        <a:ln w="38100" cap="flat" cmpd="sng" algn="ctr">
          <a:solidFill>
            <a:sysClr val="windowText" lastClr="000000">
              <a:shade val="80000"/>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dirty="0" smtClean="0">
              <a:solidFill>
                <a:sysClr val="windowText" lastClr="000000">
                  <a:hueOff val="0"/>
                  <a:satOff val="0"/>
                  <a:lumOff val="0"/>
                  <a:alphaOff val="0"/>
                </a:sysClr>
              </a:solidFill>
              <a:latin typeface="Calibri"/>
              <a:ea typeface="+mn-ea"/>
              <a:cs typeface="+mn-cs"/>
            </a:rPr>
            <a:t>E-Finance</a:t>
          </a:r>
        </a:p>
        <a:p>
          <a:pPr lvl="0" algn="ctr" defTabSz="311150">
            <a:lnSpc>
              <a:spcPct val="90000"/>
            </a:lnSpc>
            <a:spcBef>
              <a:spcPct val="0"/>
            </a:spcBef>
            <a:spcAft>
              <a:spcPct val="35000"/>
            </a:spcAft>
          </a:pPr>
          <a:r>
            <a:rPr lang="en-US" sz="700" kern="1200" dirty="0" smtClean="0">
              <a:solidFill>
                <a:sysClr val="windowText" lastClr="000000">
                  <a:hueOff val="0"/>
                  <a:satOff val="0"/>
                  <a:lumOff val="0"/>
                  <a:alphaOff val="0"/>
                </a:sysClr>
              </a:solidFill>
              <a:latin typeface="Calibri"/>
              <a:ea typeface="+mn-ea"/>
              <a:cs typeface="+mn-cs"/>
            </a:rPr>
            <a:t>All monetary services through electronic channels  </a:t>
          </a:r>
          <a:endParaRPr lang="en-US" sz="700" kern="1200" dirty="0">
            <a:solidFill>
              <a:sysClr val="windowText" lastClr="000000">
                <a:hueOff val="0"/>
                <a:satOff val="0"/>
                <a:lumOff val="0"/>
                <a:alphaOff val="0"/>
              </a:sysClr>
            </a:solidFill>
            <a:latin typeface="Calibri"/>
            <a:ea typeface="+mn-ea"/>
            <a:cs typeface="+mn-cs"/>
          </a:endParaRPr>
        </a:p>
      </dsp:txBody>
      <dsp:txXfrm>
        <a:off x="1869103" y="1311616"/>
        <a:ext cx="1321222" cy="862916"/>
      </dsp:txXfrm>
    </dsp:sp>
    <dsp:sp modelId="{0D640AC0-9849-4C28-83C3-35756636E7AC}">
      <dsp:nvSpPr>
        <dsp:cNvPr id="0" name=""/>
        <dsp:cNvSpPr/>
      </dsp:nvSpPr>
      <dsp:spPr>
        <a:xfrm>
          <a:off x="1636019" y="2201380"/>
          <a:ext cx="893695" cy="366644"/>
        </a:xfrm>
        <a:custGeom>
          <a:avLst/>
          <a:gdLst/>
          <a:ahLst/>
          <a:cxnLst/>
          <a:rect l="0" t="0" r="0" b="0"/>
          <a:pathLst>
            <a:path>
              <a:moveTo>
                <a:pt x="1524933" y="0"/>
              </a:moveTo>
              <a:lnTo>
                <a:pt x="1524933" y="312806"/>
              </a:lnTo>
              <a:lnTo>
                <a:pt x="0" y="312806"/>
              </a:lnTo>
              <a:lnTo>
                <a:pt x="0" y="625613"/>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9B78AE79-CCE2-4723-905E-1A375534F734}">
      <dsp:nvSpPr>
        <dsp:cNvPr id="0" name=""/>
        <dsp:cNvSpPr/>
      </dsp:nvSpPr>
      <dsp:spPr>
        <a:xfrm>
          <a:off x="948561" y="2568024"/>
          <a:ext cx="1374916" cy="916610"/>
        </a:xfrm>
        <a:prstGeom prst="roundRect">
          <a:avLst>
            <a:gd name="adj" fmla="val 10000"/>
          </a:avLst>
        </a:prstGeom>
        <a:solidFill>
          <a:sysClr val="window" lastClr="FFFFFF">
            <a:hueOff val="0"/>
            <a:satOff val="0"/>
            <a:lumOff val="0"/>
            <a:alphaOff val="0"/>
          </a:sysClr>
        </a:solidFill>
        <a:ln w="38100" cap="flat" cmpd="sng" algn="ctr">
          <a:solidFill>
            <a:sysClr val="windowText" lastClr="000000">
              <a:shade val="80000"/>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dirty="0" smtClean="0">
              <a:solidFill>
                <a:sysClr val="windowText" lastClr="000000">
                  <a:hueOff val="0"/>
                  <a:satOff val="0"/>
                  <a:lumOff val="0"/>
                  <a:alphaOff val="0"/>
                </a:sysClr>
              </a:solidFill>
              <a:latin typeface="Calibri"/>
              <a:ea typeface="+mn-ea"/>
              <a:cs typeface="+mn-cs"/>
            </a:rPr>
            <a:t>E-Banking</a:t>
          </a:r>
        </a:p>
        <a:p>
          <a:pPr lvl="0" algn="ctr" defTabSz="311150">
            <a:lnSpc>
              <a:spcPct val="90000"/>
            </a:lnSpc>
            <a:spcBef>
              <a:spcPct val="0"/>
            </a:spcBef>
            <a:spcAft>
              <a:spcPct val="35000"/>
            </a:spcAft>
          </a:pPr>
          <a:r>
            <a:rPr lang="en-US" sz="700" kern="1200" dirty="0" smtClean="0">
              <a:solidFill>
                <a:sysClr val="windowText" lastClr="000000">
                  <a:hueOff val="0"/>
                  <a:satOff val="0"/>
                  <a:lumOff val="0"/>
                  <a:alphaOff val="0"/>
                </a:sysClr>
              </a:solidFill>
              <a:latin typeface="Calibri"/>
              <a:ea typeface="+mn-ea"/>
              <a:cs typeface="+mn-cs"/>
            </a:rPr>
            <a:t>All banking services and products </a:t>
          </a:r>
        </a:p>
        <a:p>
          <a:pPr lvl="0" algn="ctr" defTabSz="311150">
            <a:lnSpc>
              <a:spcPct val="90000"/>
            </a:lnSpc>
            <a:spcBef>
              <a:spcPct val="0"/>
            </a:spcBef>
            <a:spcAft>
              <a:spcPct val="35000"/>
            </a:spcAft>
          </a:pPr>
          <a:r>
            <a:rPr lang="en-US" sz="700" kern="1200" dirty="0" smtClean="0">
              <a:solidFill>
                <a:sysClr val="windowText" lastClr="000000">
                  <a:hueOff val="0"/>
                  <a:satOff val="0"/>
                  <a:lumOff val="0"/>
                  <a:alphaOff val="0"/>
                </a:sysClr>
              </a:solidFill>
              <a:latin typeface="Calibri"/>
              <a:ea typeface="+mn-ea"/>
              <a:cs typeface="+mn-cs"/>
            </a:rPr>
            <a:t>1. Internet banking </a:t>
          </a:r>
        </a:p>
        <a:p>
          <a:pPr lvl="0" algn="ctr" defTabSz="311150">
            <a:lnSpc>
              <a:spcPct val="90000"/>
            </a:lnSpc>
            <a:spcBef>
              <a:spcPct val="0"/>
            </a:spcBef>
            <a:spcAft>
              <a:spcPct val="35000"/>
            </a:spcAft>
          </a:pPr>
          <a:r>
            <a:rPr lang="en-US" sz="700" kern="1200" dirty="0" smtClean="0">
              <a:solidFill>
                <a:sysClr val="windowText" lastClr="000000">
                  <a:hueOff val="0"/>
                  <a:satOff val="0"/>
                  <a:lumOff val="0"/>
                  <a:alphaOff val="0"/>
                </a:sysClr>
              </a:solidFill>
              <a:latin typeface="Calibri"/>
              <a:ea typeface="+mn-ea"/>
              <a:cs typeface="+mn-cs"/>
            </a:rPr>
            <a:t>2. Telephone banking </a:t>
          </a:r>
        </a:p>
        <a:p>
          <a:pPr lvl="0" algn="ctr" defTabSz="311150">
            <a:lnSpc>
              <a:spcPct val="90000"/>
            </a:lnSpc>
            <a:spcBef>
              <a:spcPct val="0"/>
            </a:spcBef>
            <a:spcAft>
              <a:spcPct val="35000"/>
            </a:spcAft>
          </a:pPr>
          <a:r>
            <a:rPr lang="en-US" sz="700" kern="1200" dirty="0" smtClean="0">
              <a:solidFill>
                <a:sysClr val="windowText" lastClr="000000">
                  <a:hueOff val="0"/>
                  <a:satOff val="0"/>
                  <a:lumOff val="0"/>
                  <a:alphaOff val="0"/>
                </a:sysClr>
              </a:solidFill>
              <a:latin typeface="Calibri"/>
              <a:ea typeface="+mn-ea"/>
              <a:cs typeface="+mn-cs"/>
            </a:rPr>
            <a:t>3. Other electronic devices  </a:t>
          </a:r>
          <a:endParaRPr lang="en-US" sz="700" kern="1200" dirty="0">
            <a:solidFill>
              <a:sysClr val="windowText" lastClr="000000">
                <a:hueOff val="0"/>
                <a:satOff val="0"/>
                <a:lumOff val="0"/>
                <a:alphaOff val="0"/>
              </a:sysClr>
            </a:solidFill>
            <a:latin typeface="Calibri"/>
            <a:ea typeface="+mn-ea"/>
            <a:cs typeface="+mn-cs"/>
          </a:endParaRPr>
        </a:p>
      </dsp:txBody>
      <dsp:txXfrm>
        <a:off x="975408" y="2594871"/>
        <a:ext cx="1321222" cy="862916"/>
      </dsp:txXfrm>
    </dsp:sp>
    <dsp:sp modelId="{3A559FA6-A72A-46BF-9AE0-A6758E94C0C0}">
      <dsp:nvSpPr>
        <dsp:cNvPr id="0" name=""/>
        <dsp:cNvSpPr/>
      </dsp:nvSpPr>
      <dsp:spPr>
        <a:xfrm>
          <a:off x="2529714" y="2201380"/>
          <a:ext cx="893695" cy="366644"/>
        </a:xfrm>
        <a:custGeom>
          <a:avLst/>
          <a:gdLst/>
          <a:ahLst/>
          <a:cxnLst/>
          <a:rect l="0" t="0" r="0" b="0"/>
          <a:pathLst>
            <a:path>
              <a:moveTo>
                <a:pt x="0" y="0"/>
              </a:moveTo>
              <a:lnTo>
                <a:pt x="0" y="312806"/>
              </a:lnTo>
              <a:lnTo>
                <a:pt x="1524933" y="312806"/>
              </a:lnTo>
              <a:lnTo>
                <a:pt x="1524933" y="625613"/>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2A3EC38-9688-4A07-B642-0F5681649DF4}">
      <dsp:nvSpPr>
        <dsp:cNvPr id="0" name=""/>
        <dsp:cNvSpPr/>
      </dsp:nvSpPr>
      <dsp:spPr>
        <a:xfrm>
          <a:off x="2735952" y="2568024"/>
          <a:ext cx="1374916" cy="916610"/>
        </a:xfrm>
        <a:prstGeom prst="roundRect">
          <a:avLst>
            <a:gd name="adj" fmla="val 10000"/>
          </a:avLst>
        </a:prstGeom>
        <a:solidFill>
          <a:sysClr val="window" lastClr="FFFFFF">
            <a:hueOff val="0"/>
            <a:satOff val="0"/>
            <a:lumOff val="0"/>
            <a:alphaOff val="0"/>
          </a:sysClr>
        </a:solidFill>
        <a:ln w="38100" cap="flat" cmpd="sng" algn="ctr">
          <a:solidFill>
            <a:sysClr val="windowText" lastClr="000000">
              <a:shade val="80000"/>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dirty="0" smtClean="0">
              <a:solidFill>
                <a:sysClr val="windowText" lastClr="000000">
                  <a:hueOff val="0"/>
                  <a:satOff val="0"/>
                  <a:lumOff val="0"/>
                  <a:alphaOff val="0"/>
                </a:sysClr>
              </a:solidFill>
              <a:latin typeface="Calibri"/>
              <a:ea typeface="+mn-ea"/>
              <a:cs typeface="+mn-cs"/>
            </a:rPr>
            <a:t>Others</a:t>
          </a:r>
        </a:p>
        <a:p>
          <a:pPr lvl="0" algn="ctr" defTabSz="311150">
            <a:lnSpc>
              <a:spcPct val="90000"/>
            </a:lnSpc>
            <a:spcBef>
              <a:spcPct val="0"/>
            </a:spcBef>
            <a:spcAft>
              <a:spcPct val="35000"/>
            </a:spcAft>
          </a:pPr>
          <a:r>
            <a:rPr lang="en-US" sz="700" kern="1200" dirty="0" smtClean="0">
              <a:solidFill>
                <a:sysClr val="windowText" lastClr="000000">
                  <a:hueOff val="0"/>
                  <a:satOff val="0"/>
                  <a:lumOff val="0"/>
                  <a:alphaOff val="0"/>
                </a:sysClr>
              </a:solidFill>
              <a:latin typeface="Calibri"/>
              <a:ea typeface="+mn-ea"/>
              <a:cs typeface="+mn-cs"/>
            </a:rPr>
            <a:t>Transactions such as brokering </a:t>
          </a:r>
          <a:endParaRPr lang="en-US" sz="700" kern="1200" dirty="0">
            <a:solidFill>
              <a:sysClr val="windowText" lastClr="000000">
                <a:hueOff val="0"/>
                <a:satOff val="0"/>
                <a:lumOff val="0"/>
                <a:alphaOff val="0"/>
              </a:sysClr>
            </a:solidFill>
            <a:latin typeface="Calibri"/>
            <a:ea typeface="+mn-ea"/>
            <a:cs typeface="+mn-cs"/>
          </a:endParaRPr>
        </a:p>
      </dsp:txBody>
      <dsp:txXfrm>
        <a:off x="2762799" y="2594871"/>
        <a:ext cx="1321222" cy="862916"/>
      </dsp:txXfrm>
    </dsp:sp>
    <dsp:sp modelId="{92741167-CAFD-4759-8A9B-53E20EF56059}">
      <dsp:nvSpPr>
        <dsp:cNvPr id="0" name=""/>
        <dsp:cNvSpPr/>
      </dsp:nvSpPr>
      <dsp:spPr>
        <a:xfrm>
          <a:off x="3423410" y="918125"/>
          <a:ext cx="893695" cy="366644"/>
        </a:xfrm>
        <a:custGeom>
          <a:avLst/>
          <a:gdLst/>
          <a:ahLst/>
          <a:cxnLst/>
          <a:rect l="0" t="0" r="0" b="0"/>
          <a:pathLst>
            <a:path>
              <a:moveTo>
                <a:pt x="0" y="0"/>
              </a:moveTo>
              <a:lnTo>
                <a:pt x="0" y="312806"/>
              </a:lnTo>
              <a:lnTo>
                <a:pt x="1524933" y="312806"/>
              </a:lnTo>
              <a:lnTo>
                <a:pt x="1524933" y="625613"/>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26D7F92-4773-4712-A8CA-5B1372A31C14}">
      <dsp:nvSpPr>
        <dsp:cNvPr id="0" name=""/>
        <dsp:cNvSpPr/>
      </dsp:nvSpPr>
      <dsp:spPr>
        <a:xfrm>
          <a:off x="3629647" y="1284769"/>
          <a:ext cx="1374916" cy="916610"/>
        </a:xfrm>
        <a:prstGeom prst="roundRect">
          <a:avLst>
            <a:gd name="adj" fmla="val 10000"/>
          </a:avLst>
        </a:prstGeom>
        <a:solidFill>
          <a:sysClr val="window" lastClr="FFFFFF">
            <a:hueOff val="0"/>
            <a:satOff val="0"/>
            <a:lumOff val="0"/>
            <a:alphaOff val="0"/>
          </a:sysClr>
        </a:solidFill>
        <a:ln w="38100" cap="flat" cmpd="sng" algn="ctr">
          <a:solidFill>
            <a:sysClr val="windowText" lastClr="000000">
              <a:shade val="80000"/>
              <a:hueOff val="0"/>
              <a:satOff val="0"/>
              <a:lumOff val="0"/>
              <a:alphaOff val="0"/>
            </a:sys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dirty="0" smtClean="0">
              <a:solidFill>
                <a:sysClr val="windowText" lastClr="000000">
                  <a:hueOff val="0"/>
                  <a:satOff val="0"/>
                  <a:lumOff val="0"/>
                  <a:alphaOff val="0"/>
                </a:sysClr>
              </a:solidFill>
              <a:latin typeface="Calibri"/>
              <a:ea typeface="+mn-ea"/>
              <a:cs typeface="+mn-cs"/>
            </a:rPr>
            <a:t>E-Money</a:t>
          </a:r>
        </a:p>
        <a:p>
          <a:pPr lvl="0" algn="ctr" defTabSz="311150">
            <a:lnSpc>
              <a:spcPct val="90000"/>
            </a:lnSpc>
            <a:spcBef>
              <a:spcPct val="0"/>
            </a:spcBef>
            <a:spcAft>
              <a:spcPct val="35000"/>
            </a:spcAft>
          </a:pPr>
          <a:r>
            <a:rPr lang="en-US" sz="700" kern="1200" dirty="0" smtClean="0">
              <a:solidFill>
                <a:sysClr val="windowText" lastClr="000000">
                  <a:hueOff val="0"/>
                  <a:satOff val="0"/>
                  <a:lumOff val="0"/>
                  <a:alphaOff val="0"/>
                </a:sysClr>
              </a:solidFill>
              <a:latin typeface="Calibri"/>
              <a:ea typeface="+mn-ea"/>
              <a:cs typeface="+mn-cs"/>
            </a:rPr>
            <a:t>Prepaid values of real money that can be used electronically </a:t>
          </a:r>
          <a:endParaRPr lang="en-US" sz="700" kern="1200" dirty="0">
            <a:solidFill>
              <a:sysClr val="windowText" lastClr="000000">
                <a:hueOff val="0"/>
                <a:satOff val="0"/>
                <a:lumOff val="0"/>
                <a:alphaOff val="0"/>
              </a:sysClr>
            </a:solidFill>
            <a:latin typeface="Calibri"/>
            <a:ea typeface="+mn-ea"/>
            <a:cs typeface="+mn-cs"/>
          </a:endParaRPr>
        </a:p>
      </dsp:txBody>
      <dsp:txXfrm>
        <a:off x="3656494" y="1311616"/>
        <a:ext cx="1321222" cy="86291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2021-05-28T00:00:00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18297</Words>
  <Characters>115276</Characters>
  <Application>Microsoft Office Word</Application>
  <DocSecurity>0</DocSecurity>
  <Lines>960</Lines>
  <Paragraphs>266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The Impact of E-banking Services on Customer Satisfaction during the Pandemic : Case of Lebanese Banks</vt:lpstr>
      <vt:lpstr>Comparison between traditional marketing and E-marketing</vt:lpstr>
    </vt:vector>
  </TitlesOfParts>
  <Company/>
  <LinksUpToDate>false</LinksUpToDate>
  <CharactersWithSpaces>133307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E-banking Services on Customer Satisfaction during the Pandemic: Case of Lebanese Banks</dc:title>
  <dc:subject> Case about the Lebanese banking sector during the COVID-19 pandemic </dc:subject>
  <dc:creator>Windows User</dc:creator>
  <cp:keywords/>
  <dc:description/>
  <cp:lastModifiedBy>El Khalil Amir, M152</cp:lastModifiedBy>
  <cp:revision>36</cp:revision>
  <dcterms:created xsi:type="dcterms:W3CDTF">2021-05-27T10:33:00Z</dcterms:created>
  <dcterms:modified xsi:type="dcterms:W3CDTF">2021-06-01T11:47:00Z</dcterms:modified>
</cp:coreProperties>
</file>