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7F1E88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56AF2">
        <w:rPr>
          <w:rFonts w:asciiTheme="minorBidi" w:hAnsiTheme="minorBidi"/>
          <w:sz w:val="28"/>
          <w:szCs w:val="28"/>
        </w:rPr>
        <w:t>Antonia Campbell</w:t>
      </w:r>
    </w:p>
    <w:p w14:paraId="485B6F49" w14:textId="27A745E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56AF2">
        <w:rPr>
          <w:rFonts w:asciiTheme="minorBidi" w:hAnsiTheme="minorBidi"/>
          <w:sz w:val="28"/>
          <w:szCs w:val="28"/>
        </w:rPr>
        <w:t>2522000</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1247FA5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56AF2">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7B39FBB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548EC">
        <w:rPr>
          <w:rFonts w:asciiTheme="minorBidi" w:hAnsiTheme="minorBidi"/>
          <w:sz w:val="28"/>
          <w:szCs w:val="28"/>
        </w:rPr>
        <w:t>17.04.2026.</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7A694DD2" w:rsidR="00184A9A" w:rsidRPr="002976D4" w:rsidRDefault="00184A9A">
          <w:pPr>
            <w:pStyle w:val="TOCHeading"/>
            <w:rPr>
              <w:color w:val="4472C4" w:themeColor="accent1"/>
            </w:rPr>
          </w:pPr>
        </w:p>
        <w:p w14:paraId="2F2A1EA8" w14:textId="7A7B4A0A" w:rsidR="0156E134" w:rsidRDefault="00000000" w:rsidP="0156E134">
          <w:pPr>
            <w:pStyle w:val="TOC2"/>
            <w:tabs>
              <w:tab w:val="right" w:leader="dot" w:pos="9015"/>
            </w:tabs>
            <w:rPr>
              <w:rStyle w:val="Hyperlink"/>
            </w:rPr>
          </w:pP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7E817B09" w14:textId="7CB914ED" w:rsidR="00A035CD" w:rsidRPr="00F548EC" w:rsidRDefault="00A035CD" w:rsidP="00F548EC">
      <w:pPr>
        <w:rPr>
          <w:b/>
          <w:bCs/>
          <w:sz w:val="21"/>
          <w:szCs w:val="21"/>
        </w:rPr>
      </w:pPr>
      <w:bookmarkStart w:id="0" w:name="_Toc695233283"/>
      <w:r w:rsidRPr="00F548EC">
        <w:t>Introduction</w:t>
      </w:r>
      <w:bookmarkEnd w:id="0"/>
    </w:p>
    <w:p w14:paraId="35425394" w14:textId="77777777" w:rsidR="00A81368" w:rsidRPr="00A81368" w:rsidRDefault="00A81368" w:rsidP="00A81368">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81368">
        <w:rPr>
          <w:rFonts w:eastAsia="Times New Roman" w:cs="Segoe UI"/>
          <w:color w:val="242424"/>
          <w:kern w:val="0"/>
          <w:sz w:val="23"/>
          <w:szCs w:val="23"/>
          <w:lang w:eastAsia="en-GB"/>
          <w14:ligatures w14:val="none"/>
        </w:rPr>
        <w:t>1. Introduction</w:t>
      </w:r>
    </w:p>
    <w:p w14:paraId="4C8D1474" w14:textId="77777777" w:rsidR="00A81368" w:rsidRPr="00A81368" w:rsidRDefault="00A81368" w:rsidP="00A81368">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81368">
        <w:rPr>
          <w:rFonts w:eastAsia="Times New Roman" w:cs="Segoe UI"/>
          <w:color w:val="242424"/>
          <w:kern w:val="0"/>
          <w:sz w:val="23"/>
          <w:szCs w:val="23"/>
          <w:lang w:eastAsia="en-GB"/>
          <w14:ligatures w14:val="none"/>
        </w:rPr>
        <w:t xml:space="preserve">Health and social care </w:t>
      </w:r>
      <w:proofErr w:type="gramStart"/>
      <w:r w:rsidRPr="00A81368">
        <w:rPr>
          <w:rFonts w:eastAsia="Times New Roman" w:cs="Segoe UI"/>
          <w:color w:val="242424"/>
          <w:kern w:val="0"/>
          <w:sz w:val="23"/>
          <w:szCs w:val="23"/>
          <w:lang w:eastAsia="en-GB"/>
          <w14:ligatures w14:val="none"/>
        </w:rPr>
        <w:t>is</w:t>
      </w:r>
      <w:proofErr w:type="gramEnd"/>
      <w:r w:rsidRPr="00A81368">
        <w:rPr>
          <w:rFonts w:eastAsia="Times New Roman" w:cs="Segoe UI"/>
          <w:color w:val="242424"/>
          <w:kern w:val="0"/>
          <w:sz w:val="23"/>
          <w:szCs w:val="23"/>
          <w:lang w:eastAsia="en-GB"/>
          <w14:ligatures w14:val="none"/>
        </w:rPr>
        <w:t xml:space="preserve"> a complex and rapidly evolving sector that plays a vital role in supporting the wellbeing of individuals across all stages of life. In recent decades, growing demand for services, driven by an ageing population, rising rates of chronic illness, and increased recognition of mental health needs has placed significant pressure on organisations to deliver high-quality, person-centred care (Skills for Care, 2022). Within this demanding environment, effective leadership and management are essential to ensuring that services operate safely, efficiently, and compassionately.</w:t>
      </w:r>
    </w:p>
    <w:p w14:paraId="5B568F1D" w14:textId="77777777" w:rsidR="00A81368" w:rsidRPr="00A81368" w:rsidRDefault="00A81368" w:rsidP="00A81368">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81368">
        <w:rPr>
          <w:rFonts w:eastAsia="Times New Roman" w:cs="Segoe UI"/>
          <w:color w:val="242424"/>
          <w:kern w:val="0"/>
          <w:sz w:val="23"/>
          <w:szCs w:val="23"/>
          <w:lang w:eastAsia="en-GB"/>
          <w14:ligatures w14:val="none"/>
        </w:rPr>
        <w:t>The Care Manager role sits at the heart of health and social care delivery.</w:t>
      </w:r>
    </w:p>
    <w:p w14:paraId="31FB92A2" w14:textId="77777777" w:rsidR="00A81368" w:rsidRPr="00A81368" w:rsidRDefault="00A81368" w:rsidP="00A81368"/>
    <w:p w14:paraId="64F36E68" w14:textId="4C057158" w:rsidR="3C659699" w:rsidRDefault="3C659699" w:rsidP="0CF501EC">
      <w:pPr>
        <w:pStyle w:val="Heading2"/>
        <w:rPr>
          <w:color w:val="4472C4" w:themeColor="accent1"/>
        </w:rPr>
      </w:pPr>
    </w:p>
    <w:p w14:paraId="3C079BEF" w14:textId="401104E7" w:rsidR="0156E134" w:rsidRDefault="0156E134" w:rsidP="0156E134">
      <w:pPr>
        <w:spacing w:after="0" w:line="240" w:lineRule="auto"/>
        <w:jc w:val="both"/>
        <w:rPr>
          <w:sz w:val="21"/>
          <w:szCs w:val="21"/>
        </w:rPr>
      </w:pPr>
    </w:p>
    <w:p w14:paraId="50A9FBC6" w14:textId="28BB94CC" w:rsidR="008B0B22" w:rsidRPr="00F548EC" w:rsidRDefault="5CF7C3DB" w:rsidP="0156E134">
      <w:pPr>
        <w:pStyle w:val="Heading2"/>
        <w:rPr>
          <w:color w:val="auto"/>
        </w:rPr>
      </w:pPr>
      <w:bookmarkStart w:id="1" w:name="_Toc796087951"/>
      <w:r w:rsidRPr="00F548EC">
        <w:rPr>
          <w:color w:val="auto"/>
        </w:rPr>
        <w:t>2.1</w:t>
      </w:r>
      <w:r w:rsidR="002370CE" w:rsidRPr="00F548EC">
        <w:rPr>
          <w:color w:val="auto"/>
        </w:rPr>
        <w:t xml:space="preserve"> </w:t>
      </w:r>
      <w:r w:rsidR="071F48DC" w:rsidRPr="00F548EC">
        <w:rPr>
          <w:color w:val="auto"/>
        </w:rPr>
        <w:t>Description</w:t>
      </w:r>
      <w:r w:rsidR="00070818" w:rsidRPr="00F548EC">
        <w:rPr>
          <w:color w:val="auto"/>
        </w:rPr>
        <w:t xml:space="preserve"> </w:t>
      </w:r>
      <w:r w:rsidR="13BD3D5D" w:rsidRPr="00F548EC">
        <w:rPr>
          <w:color w:val="auto"/>
        </w:rPr>
        <w:t xml:space="preserve">of </w:t>
      </w:r>
      <w:r w:rsidR="00F77245" w:rsidRPr="00F548EC">
        <w:rPr>
          <w:color w:val="auto"/>
        </w:rPr>
        <w:t>Care Manager</w:t>
      </w:r>
      <w:r w:rsidR="008B0B22" w:rsidRPr="00F548EC">
        <w:rPr>
          <w:color w:val="auto"/>
        </w:rPr>
        <w:t xml:space="preserve"> in Health</w:t>
      </w:r>
      <w:r w:rsidR="3464B4D3" w:rsidRPr="00F548EC">
        <w:rPr>
          <w:color w:val="auto"/>
        </w:rPr>
        <w:t xml:space="preserve"> and Social </w:t>
      </w:r>
      <w:r w:rsidR="3D6135D7" w:rsidRPr="00F548EC">
        <w:rPr>
          <w:color w:val="auto"/>
        </w:rPr>
        <w:t>C</w:t>
      </w:r>
      <w:r w:rsidR="008B0B22" w:rsidRPr="00F548EC">
        <w:rPr>
          <w:color w:val="auto"/>
        </w:rPr>
        <w:t>are</w:t>
      </w:r>
      <w:bookmarkEnd w:id="1"/>
      <w:r w:rsidR="00F77245" w:rsidRPr="00F548EC">
        <w:rPr>
          <w:color w:val="auto"/>
        </w:rPr>
        <w:t>.</w:t>
      </w:r>
    </w:p>
    <w:p w14:paraId="5AF05A00" w14:textId="77777777" w:rsidR="00A81368" w:rsidRPr="00F548EC" w:rsidRDefault="00A81368" w:rsidP="00A81368"/>
    <w:p w14:paraId="0A79278A" w14:textId="77777777" w:rsidR="00A81368" w:rsidRPr="00A81368" w:rsidRDefault="00A81368" w:rsidP="00A81368">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81368">
        <w:rPr>
          <w:rFonts w:eastAsia="Times New Roman" w:cs="Segoe UI"/>
          <w:color w:val="242424"/>
          <w:kern w:val="0"/>
          <w:sz w:val="23"/>
          <w:szCs w:val="23"/>
          <w:lang w:eastAsia="en-GB"/>
          <w14:ligatures w14:val="none"/>
        </w:rPr>
        <w:t>Care Managers are responsible for overseeing the day-to-day running of care services, managing staff teams, coordinating with external agencies, and ensuring that individuals in their care receive support that meets both their needs and regulatory standards. The role requires a broad and sophisticated skill set, combining interpersonal abilities, organisational competence, and professional knowledge.</w:t>
      </w:r>
    </w:p>
    <w:p w14:paraId="64EE89E9" w14:textId="77777777" w:rsidR="00A81368" w:rsidRPr="00A81368" w:rsidRDefault="00A81368" w:rsidP="00A81368">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81368">
        <w:rPr>
          <w:rFonts w:eastAsia="Times New Roman" w:cs="Segoe UI"/>
          <w:color w:val="242424"/>
          <w:kern w:val="0"/>
          <w:sz w:val="23"/>
          <w:szCs w:val="23"/>
          <w:lang w:eastAsia="en-GB"/>
          <w14:ligatures w14:val="none"/>
        </w:rPr>
        <w:t xml:space="preserve">This report explores the Care Manager role in depth. It begins by identifying and explaining the three most significant skills required for effective care management: </w:t>
      </w:r>
      <w:r w:rsidRPr="00A81368">
        <w:rPr>
          <w:rFonts w:eastAsia="Times New Roman" w:cs="Segoe UI"/>
          <w:color w:val="242424"/>
          <w:kern w:val="0"/>
          <w:sz w:val="23"/>
          <w:szCs w:val="23"/>
          <w:lang w:eastAsia="en-GB"/>
          <w14:ligatures w14:val="none"/>
        </w:rPr>
        <w:lastRenderedPageBreak/>
        <w:t>communication, leadership, and person-centred planning. It then examines the consequences when these skills are absent in practice. Following this, the report outlines one evidence-based improvement strategy for each skill. The report concludes with a summary of the key themes and their importance to safe, high-quality care.</w:t>
      </w:r>
    </w:p>
    <w:p w14:paraId="42C9BA89" w14:textId="3EC71CD7" w:rsidR="00AA250A" w:rsidRPr="00AA250A" w:rsidRDefault="00AA250A" w:rsidP="00AA250A">
      <w:pPr>
        <w:shd w:val="clear" w:color="auto" w:fill="FFFFFF"/>
        <w:textAlignment w:val="baseline"/>
        <w:rPr>
          <w:rFonts w:eastAsia="Times New Roman" w:cs="Segoe UI"/>
          <w:color w:val="242424"/>
          <w:kern w:val="0"/>
          <w:sz w:val="23"/>
          <w:szCs w:val="23"/>
          <w:lang w:eastAsia="en-GB"/>
          <w14:ligatures w14:val="none"/>
        </w:rPr>
      </w:pPr>
      <w:bookmarkStart w:id="2" w:name="_Toc1426973069"/>
      <w:r w:rsidRPr="00AA250A">
        <w:rPr>
          <w:rFonts w:eastAsia="Times New Roman" w:cs="Segoe UI"/>
          <w:color w:val="242424"/>
          <w:kern w:val="0"/>
          <w:sz w:val="23"/>
          <w:szCs w:val="23"/>
          <w:lang w:eastAsia="en-GB"/>
          <w14:ligatures w14:val="none"/>
        </w:rPr>
        <w:br/>
        <w:t>2.</w:t>
      </w:r>
      <w:r>
        <w:rPr>
          <w:rFonts w:eastAsia="Times New Roman" w:cs="Segoe UI"/>
          <w:color w:val="242424"/>
          <w:kern w:val="0"/>
          <w:sz w:val="23"/>
          <w:szCs w:val="23"/>
          <w:lang w:eastAsia="en-GB"/>
          <w14:ligatures w14:val="none"/>
        </w:rPr>
        <w:t>2</w:t>
      </w:r>
      <w:r w:rsidRPr="00AA250A">
        <w:rPr>
          <w:rFonts w:eastAsia="Times New Roman" w:cs="Segoe UI"/>
          <w:color w:val="242424"/>
          <w:kern w:val="0"/>
          <w:sz w:val="23"/>
          <w:szCs w:val="23"/>
          <w:lang w:eastAsia="en-GB"/>
          <w14:ligatures w14:val="none"/>
        </w:rPr>
        <w:t xml:space="preserve"> Key Skills Required by a Care Manager</w:t>
      </w:r>
    </w:p>
    <w:p w14:paraId="5006006C"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Effective communication is arguably the most critical skill a Care Manager must possess. Communication in health and social care encompasses not only verbal interaction but also written records, non-verbal cues, and the ability to adapt one's style to a range of audiences — including service users, their families, staff, and external professionals (Trevithick, 2012). For a Care Manager, clear communication ensures that care plans are accurately implemented, that staff receive consistent guidance, and that service users feel heard and respected. For example, during a multidisciplinary team meeting, a Care Manager must be able to clearly convey a service user's changing needs to a GP, a social worker, and a district nurse simultaneously, adapting their language appropriately for each professional context. The Care Quality Commission (CQC, 2023) highlights effective communication as a foundational requirement of safe and responsive care, noting that poor information sharing is a recurring factor in safeguarding failures and medication errors.</w:t>
      </w:r>
    </w:p>
    <w:p w14:paraId="114B033B"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05C7B9AA" w14:textId="4ABBF94D"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Leadership is a second essential skill for Care Managers, as they are responsible for motivating, directing, and supporting their staff teams to deliver consistent, high-quality care. Transformational leadership which focuses on inspiring staff through shared values and professional development rather than purely task management has been shown to improve both staff morale and care outcomes in health and social care settings (West et al., 2017). In practice, a Care Manager demonstrates leadership when they mentor a newly qualified support worker through a difficult situation with a distressed service user, modelling calm, empathetic practice rather than simply issuing instructions. Strong leadership also involves making difficult decisions under pressure, such as re-deploying staff during periods of sickness absence to ensure service continuity and safety. Without effective leadership, care environments can become disorganised, staff can feel unsupported, and the quality and consistency of care can deteriorate rapidly.</w:t>
      </w:r>
    </w:p>
    <w:p w14:paraId="5A2A7052"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2923D128" w14:textId="77777777" w:rsid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Person-centred planning is the third key skill, reflecting the legal and ethical obligation of Care Managers to place the individual's wishes, preferences, and goals at the centre of all care decisions. The Care Act 2014 places a statutory duty on organisations to involve service users in the planning and review of their own care, and Care Managers are central to operationalising this requirement. A meaningful example of this skill in practice is a Care Manager working with a service user with a learning disability to co-produce a support plan that reflects their stated ambition to live more independently — identifying the specific daily living skills to be developed, the support required, and the individual's preferred way of receiving that support. Person-centred approaches have been strongly associated with improved service user wellbeing, greater satisfaction with care, and reduced instances of challenging behaviour (Think Local Act Personal, 2019).</w:t>
      </w:r>
    </w:p>
    <w:p w14:paraId="0CEC1B80" w14:textId="77777777" w:rsid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593CF76E" w14:textId="77777777" w:rsid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475CD3C8" w14:textId="05189A7C" w:rsidR="00AA250A" w:rsidRPr="00AA250A" w:rsidRDefault="00AA250A" w:rsidP="00AA250A">
      <w:pPr>
        <w:spacing w:after="0" w:line="240" w:lineRule="auto"/>
        <w:rPr>
          <w:rFonts w:ascii="Times New Roman" w:eastAsia="Times New Roman" w:hAnsi="Times New Roman" w:cs="Times New Roman"/>
          <w:kern w:val="0"/>
          <w:sz w:val="24"/>
          <w:szCs w:val="24"/>
          <w:lang w:eastAsia="en-GB"/>
          <w14:ligatures w14:val="none"/>
        </w:rPr>
      </w:pPr>
      <w:r w:rsidRPr="00AA250A">
        <w:rPr>
          <w:rFonts w:ascii="Times New Roman" w:eastAsia="Times New Roman" w:hAnsi="Times New Roman" w:cs="Times New Roman"/>
          <w:color w:val="242424"/>
          <w:kern w:val="0"/>
          <w:sz w:val="23"/>
          <w:szCs w:val="23"/>
          <w:lang w:eastAsia="en-GB"/>
          <w14:ligatures w14:val="none"/>
        </w:rPr>
        <w:t>When Care Managers lack these essential skills, the consequences for service users, staff, and the organisation can be severe. Poor communication can result in misunderstandings about care needs, medication errors, and breakdowns in safeguarding processes. Inadequate leadership leads to high staff turnover, low morale, and inconsistent practice that places service users at risk. The absence of person-centred planning can result in care that feels controlling or disrespectful, potentially leading to complaints, regulatory sanctions, and in the most serious cases harm to vulnerable individuals. A report by the CQC (2023) found that services rated 'Inadequate' consistently demonstrated weaknesses across all three of these areas, confirming that they are not optional competencies but essential requirements of safe, effective management.</w:t>
      </w:r>
    </w:p>
    <w:p w14:paraId="2DB2A2BD" w14:textId="14A97B2C" w:rsid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6D346640" w14:textId="77777777" w:rsid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1AAE9F67"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3.1 Three Strategies to Improve the Skills for Care Manager</w:t>
      </w:r>
    </w:p>
    <w:p w14:paraId="3825E5AB" w14:textId="53455A1F"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 xml:space="preserve">Reflective practice is a highly effective strategy for improving communication skills in Care Managers. Reflective practice involves the systematic process of thinking critically about one's own professional experiences </w:t>
      </w:r>
      <w:r w:rsidRPr="00AA250A">
        <w:rPr>
          <w:rFonts w:eastAsia="Times New Roman" w:cs="Segoe UI"/>
          <w:color w:val="242424"/>
          <w:kern w:val="0"/>
          <w:sz w:val="23"/>
          <w:szCs w:val="23"/>
          <w:lang w:eastAsia="en-GB"/>
          <w14:ligatures w14:val="none"/>
        </w:rPr>
        <w:t>to</w:t>
      </w:r>
      <w:r w:rsidRPr="00AA250A">
        <w:rPr>
          <w:rFonts w:eastAsia="Times New Roman" w:cs="Segoe UI"/>
          <w:color w:val="242424"/>
          <w:kern w:val="0"/>
          <w:sz w:val="23"/>
          <w:szCs w:val="23"/>
          <w:lang w:eastAsia="en-GB"/>
          <w14:ligatures w14:val="none"/>
        </w:rPr>
        <w:t xml:space="preserve"> gain insight and make improvements to future practice (Gibbs, 1988). The Gibbs Reflective Cycle, which guides practitioners through description, feelings, evaluation, analysis, conclusions, and action planning, provides a structured framework particularly well suited to the complexity of care management scenarios. In practice, a Care Manager might use the Gibbs model to reflect on a difficult conversation with a service user's family member who was dissatisfied with their relative's care. By working through each stage of the cycle, the manager could identify where communication broke down</w:t>
      </w:r>
      <w:r>
        <w:rPr>
          <w:rFonts w:eastAsia="Times New Roman" w:cs="Segoe UI"/>
          <w:color w:val="242424"/>
          <w:kern w:val="0"/>
          <w:sz w:val="23"/>
          <w:szCs w:val="23"/>
          <w:lang w:eastAsia="en-GB"/>
          <w14:ligatures w14:val="none"/>
        </w:rPr>
        <w:t>,</w:t>
      </w:r>
      <w:r w:rsidRPr="00AA250A">
        <w:rPr>
          <w:rFonts w:eastAsia="Times New Roman" w:cs="Segoe UI"/>
          <w:color w:val="242424"/>
          <w:kern w:val="0"/>
          <w:sz w:val="23"/>
          <w:szCs w:val="23"/>
          <w:lang w:eastAsia="en-GB"/>
          <w14:ligatures w14:val="none"/>
        </w:rPr>
        <w:t xml:space="preserve"> perhaps in failing to listen actively or to explain the rationale for a care </w:t>
      </w:r>
      <w:r w:rsidR="00F548EC" w:rsidRPr="00AA250A">
        <w:rPr>
          <w:rFonts w:eastAsia="Times New Roman" w:cs="Segoe UI"/>
          <w:color w:val="242424"/>
          <w:kern w:val="0"/>
          <w:sz w:val="23"/>
          <w:szCs w:val="23"/>
          <w:lang w:eastAsia="en-GB"/>
          <w14:ligatures w14:val="none"/>
        </w:rPr>
        <w:t>decision</w:t>
      </w:r>
      <w:r w:rsidR="00F548EC">
        <w:rPr>
          <w:rFonts w:eastAsia="Times New Roman" w:cs="Segoe UI"/>
          <w:color w:val="242424"/>
          <w:kern w:val="0"/>
          <w:sz w:val="23"/>
          <w:szCs w:val="23"/>
          <w:lang w:eastAsia="en-GB"/>
          <w14:ligatures w14:val="none"/>
        </w:rPr>
        <w:t xml:space="preserve"> and</w:t>
      </w:r>
      <w:r w:rsidRPr="00AA250A">
        <w:rPr>
          <w:rFonts w:eastAsia="Times New Roman" w:cs="Segoe UI"/>
          <w:color w:val="242424"/>
          <w:kern w:val="0"/>
          <w:sz w:val="23"/>
          <w:szCs w:val="23"/>
          <w:lang w:eastAsia="en-GB"/>
          <w14:ligatures w14:val="none"/>
        </w:rPr>
        <w:t xml:space="preserve"> develop a specific plan to address this in future interactions. Research by Jasper (2013) demonstrates that regular reflective practice significantly enhances practitioners' communication competence and increases their confidence in managing challenging interpersonal situations.</w:t>
      </w:r>
    </w:p>
    <w:p w14:paraId="20E8B441"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1A57E101"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Formal leadership training and coaching programmes represent a well-evidenced strategy for developing the leadership capabilities of Care Managers. The Institute of Leadership and Management (ILM) offers accredited leadership qualifications specifically designed for health and social care contexts, providing Care Managers with both theoretical grounding and practical tools for leading effective teams. Coaching, delivered either by an external coach or through a structured peer-coaching arrangement, allows Care Managers to explore their own leadership challenges in a safe, confidential space and to develop personalised strategies for improvement (Whitmore, 2017). For example, a Care Manager who identifies that they struggle to manage conflict within their staff team may work with a coach over six sessions to develop their confidence in having difficult conversations, using assertive communication techniques and conflict resolution frameworks. Skills for Care (2022) emphasises that investment in management development is directly linked to improved staff retention, reduced absenteeism, and higher quality care outcomes across the sector.</w:t>
      </w:r>
    </w:p>
    <w:p w14:paraId="385FB077" w14:textId="77777777" w:rsidR="00AA250A" w:rsidRP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4A019B8C" w14:textId="347F3B29" w:rsidR="00AA250A" w:rsidRDefault="00AA250A"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AA250A">
        <w:rPr>
          <w:rFonts w:eastAsia="Times New Roman" w:cs="Segoe UI"/>
          <w:color w:val="242424"/>
          <w:kern w:val="0"/>
          <w:sz w:val="23"/>
          <w:szCs w:val="23"/>
          <w:lang w:eastAsia="en-GB"/>
          <w14:ligatures w14:val="none"/>
        </w:rPr>
        <w:t xml:space="preserve">Continuing Professional Development (CPD) focused on co-production and person-centred approaches is the most appropriate strategy for strengthening a Care Manager's </w:t>
      </w:r>
      <w:r w:rsidRPr="00AA250A">
        <w:rPr>
          <w:rFonts w:eastAsia="Times New Roman" w:cs="Segoe UI"/>
          <w:color w:val="242424"/>
          <w:kern w:val="0"/>
          <w:sz w:val="23"/>
          <w:szCs w:val="23"/>
          <w:lang w:eastAsia="en-GB"/>
          <w14:ligatures w14:val="none"/>
        </w:rPr>
        <w:lastRenderedPageBreak/>
        <w:t>skills in person-centred planning. CPD in this context involves attending structured learning opportunities</w:t>
      </w:r>
      <w:r>
        <w:rPr>
          <w:rFonts w:eastAsia="Times New Roman" w:cs="Segoe UI"/>
          <w:color w:val="242424"/>
          <w:kern w:val="0"/>
          <w:sz w:val="23"/>
          <w:szCs w:val="23"/>
          <w:lang w:eastAsia="en-GB"/>
          <w14:ligatures w14:val="none"/>
        </w:rPr>
        <w:t>,</w:t>
      </w:r>
      <w:r w:rsidRPr="00AA250A">
        <w:rPr>
          <w:rFonts w:eastAsia="Times New Roman" w:cs="Segoe UI"/>
          <w:color w:val="242424"/>
          <w:kern w:val="0"/>
          <w:sz w:val="23"/>
          <w:szCs w:val="23"/>
          <w:lang w:eastAsia="en-GB"/>
          <w14:ligatures w14:val="none"/>
        </w:rPr>
        <w:t xml:space="preserve"> such as workshops, online courses, or practice-based learning</w:t>
      </w:r>
      <w:r>
        <w:rPr>
          <w:rFonts w:eastAsia="Times New Roman" w:cs="Segoe UI"/>
          <w:color w:val="242424"/>
          <w:kern w:val="0"/>
          <w:sz w:val="23"/>
          <w:szCs w:val="23"/>
          <w:lang w:eastAsia="en-GB"/>
          <w14:ligatures w14:val="none"/>
        </w:rPr>
        <w:t>,</w:t>
      </w:r>
      <w:r w:rsidRPr="00AA250A">
        <w:rPr>
          <w:rFonts w:eastAsia="Times New Roman" w:cs="Segoe UI"/>
          <w:color w:val="242424"/>
          <w:kern w:val="0"/>
          <w:sz w:val="23"/>
          <w:szCs w:val="23"/>
          <w:lang w:eastAsia="en-GB"/>
          <w14:ligatures w14:val="none"/>
        </w:rPr>
        <w:t xml:space="preserve"> specifically focused on the principles and methods of involving service users meaningfully in the planning and review of their care. The Social Care Institute for Excellence (SCIE, 2020) provides extensive CPD resources on co-production, highlighting that when Care Managers actively develop these skills, service users report greater satisfaction and outcomes improve across a range of quality indicators. In practice, a Care Manager who completes a CPD module on co-production might redesign their service's care review process to include service users as equal partners for example, introducing 'care circles' in which the individual, their family, and their support staff plan together rather than having a manager present a pre-written plan for agreement. This shift from a </w:t>
      </w:r>
      <w:r w:rsidRPr="00AA250A">
        <w:rPr>
          <w:rFonts w:eastAsia="Times New Roman" w:cs="Segoe UI"/>
          <w:color w:val="242424"/>
          <w:kern w:val="0"/>
          <w:sz w:val="23"/>
          <w:szCs w:val="23"/>
          <w:lang w:eastAsia="en-GB"/>
          <w14:ligatures w14:val="none"/>
        </w:rPr>
        <w:t>professionally led</w:t>
      </w:r>
      <w:r w:rsidRPr="00AA250A">
        <w:rPr>
          <w:rFonts w:eastAsia="Times New Roman" w:cs="Segoe UI"/>
          <w:color w:val="242424"/>
          <w:kern w:val="0"/>
          <w:sz w:val="23"/>
          <w:szCs w:val="23"/>
          <w:lang w:eastAsia="en-GB"/>
          <w14:ligatures w14:val="none"/>
        </w:rPr>
        <w:t xml:space="preserve"> to a person-led approach embeds person-centred values into the structural fabric of the service.</w:t>
      </w:r>
    </w:p>
    <w:p w14:paraId="0D80E3AA" w14:textId="77777777" w:rsidR="00F548EC" w:rsidRDefault="00F548EC"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43DE0747" w14:textId="77777777" w:rsidR="00F548EC" w:rsidRDefault="00F548EC" w:rsidP="00AA250A">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4ACF30ED" w14:textId="77777777" w:rsidR="00F548EC" w:rsidRPr="00F548EC" w:rsidRDefault="00F548EC" w:rsidP="00F548EC">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F548EC">
        <w:rPr>
          <w:rFonts w:eastAsia="Times New Roman" w:cs="Segoe UI"/>
          <w:color w:val="242424"/>
          <w:kern w:val="0"/>
          <w:sz w:val="23"/>
          <w:szCs w:val="23"/>
          <w:lang w:eastAsia="en-GB"/>
          <w14:ligatures w14:val="none"/>
        </w:rPr>
        <w:t>4. Conclusion</w:t>
      </w:r>
    </w:p>
    <w:p w14:paraId="0994D030" w14:textId="77777777" w:rsidR="00F548EC" w:rsidRPr="00F548EC" w:rsidRDefault="00F548EC" w:rsidP="00F548EC">
      <w:pPr>
        <w:shd w:val="clear" w:color="auto" w:fill="FFFFFF"/>
        <w:spacing w:after="0" w:line="240" w:lineRule="auto"/>
        <w:textAlignment w:val="baseline"/>
        <w:rPr>
          <w:rFonts w:eastAsia="Times New Roman" w:cs="Segoe UI"/>
          <w:color w:val="242424"/>
          <w:kern w:val="0"/>
          <w:sz w:val="23"/>
          <w:szCs w:val="23"/>
          <w:lang w:eastAsia="en-GB"/>
          <w14:ligatures w14:val="none"/>
        </w:rPr>
      </w:pPr>
      <w:r w:rsidRPr="00F548EC">
        <w:rPr>
          <w:rFonts w:eastAsia="Times New Roman" w:cs="Segoe UI"/>
          <w:color w:val="242424"/>
          <w:kern w:val="0"/>
          <w:sz w:val="23"/>
          <w:szCs w:val="23"/>
          <w:lang w:eastAsia="en-GB"/>
          <w14:ligatures w14:val="none"/>
        </w:rPr>
        <w:t>This report has explored the Care Manager role within the health and social care sector, demonstrating that skilled management is fundamental to the delivery of safe, high-quality, and person-centred care. Three essential skills have been identified — communication, leadership, and person-centred planning — and evidence has been presented to show that the absence of these skills poses significant risks to service users, staff, and organisations. Three corresponding improvement strategies have been outlined: reflective practice to enhance communication, formal leadership training and coaching to develop leadership capability, and CPD in co-production to strengthen person-centred planning. Taken together, these findings confirm that investing in the ongoing development of Care Managers is not simply a professional aspiration but a fundamental requirement of a safe, compassionate, and effective health and social care system.</w:t>
      </w:r>
    </w:p>
    <w:bookmarkEnd w:id="2"/>
    <w:p w14:paraId="175217CE" w14:textId="77777777" w:rsidR="00F548EC" w:rsidRDefault="00F548EC">
      <w:pPr>
        <w:rPr>
          <w:rFonts w:eastAsia="Times New Roman" w:cs="Segoe UI"/>
          <w:color w:val="242424"/>
          <w:kern w:val="0"/>
          <w:sz w:val="23"/>
          <w:szCs w:val="23"/>
          <w:lang w:eastAsia="en-GB"/>
          <w14:ligatures w14:val="none"/>
        </w:rPr>
      </w:pPr>
    </w:p>
    <w:p w14:paraId="087A6009" w14:textId="77777777" w:rsidR="00F548EC" w:rsidRDefault="00F548EC">
      <w:pPr>
        <w:rPr>
          <w:rFonts w:eastAsia="Times New Roman" w:cs="Segoe UI"/>
          <w:color w:val="242424"/>
          <w:kern w:val="0"/>
          <w:sz w:val="23"/>
          <w:szCs w:val="23"/>
          <w:lang w:eastAsia="en-GB"/>
          <w14:ligatures w14:val="none"/>
        </w:rPr>
      </w:pPr>
    </w:p>
    <w:p w14:paraId="7DA20392"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5. Reference List</w:t>
      </w:r>
    </w:p>
    <w:p w14:paraId="4B6FF8B1"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Care Act 2014. (2014). London: HMSO.</w:t>
      </w:r>
    </w:p>
    <w:p w14:paraId="21A4737F"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Care Quality Commission (CQC). (2023). The state of health care and adult social care in England 2022/23. Newcastle: CQC.</w:t>
      </w:r>
    </w:p>
    <w:p w14:paraId="3CEF96C5"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Gibbs, G. (1988). Learning by doing: A guide to teaching and learning methods. Oxford: Further Education Unit, Oxford Polytechnic.</w:t>
      </w:r>
    </w:p>
    <w:p w14:paraId="4E77CFEB"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Jasper, M. (2013). Beginning reflective practice (2nd ed.). Andover: Cengage Learning.</w:t>
      </w:r>
    </w:p>
    <w:p w14:paraId="657047BB"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Skills for Care. (2022). The state of the adult social care sector and workforce in England. Leeds: Skills for Care.</w:t>
      </w:r>
    </w:p>
    <w:p w14:paraId="1F7CB737"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Social Care Institute for Excellence (SCIE). (2020). Co-production in social care: What it is and how to do it. London: SCIE.</w:t>
      </w:r>
    </w:p>
    <w:p w14:paraId="0E8D6A23"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Think Local Act Personal. (2019). Making it real: Marking progress together. London: Think Local Act Personal.</w:t>
      </w:r>
    </w:p>
    <w:p w14:paraId="622D7A2F"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Trevithick, P. (2012). Social work skills and knowledge: A practice handbook (3rd ed.). Maidenhead: Open University Press.</w:t>
      </w:r>
    </w:p>
    <w:p w14:paraId="05B54321" w14:textId="77777777" w:rsidR="00F548EC" w:rsidRPr="00F548EC" w:rsidRDefault="00F548EC" w:rsidP="00F548EC">
      <w:pPr>
        <w:shd w:val="clear" w:color="auto" w:fill="FFFFFF"/>
        <w:spacing w:after="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lastRenderedPageBreak/>
        <w:t>West, M., Eckert, R., Collins, B., &amp; Chowla, R. (2017). Caring to change: How compassionate leadership can stimulate innovation in health care. London: The King's Fund.</w:t>
      </w:r>
    </w:p>
    <w:p w14:paraId="15DD0B9A" w14:textId="77777777" w:rsidR="00F548EC" w:rsidRPr="00F548EC" w:rsidRDefault="00F548EC" w:rsidP="00F548EC">
      <w:pPr>
        <w:shd w:val="clear" w:color="auto" w:fill="FFFFFF"/>
        <w:spacing w:after="120" w:line="240" w:lineRule="auto"/>
        <w:textAlignment w:val="baseline"/>
        <w:rPr>
          <w:rFonts w:ascii="inherit" w:eastAsia="Times New Roman" w:hAnsi="inherit" w:cs="Segoe UI"/>
          <w:color w:val="242424"/>
          <w:kern w:val="0"/>
          <w:sz w:val="23"/>
          <w:szCs w:val="23"/>
          <w:lang w:eastAsia="en-GB"/>
          <w14:ligatures w14:val="none"/>
        </w:rPr>
      </w:pPr>
      <w:r w:rsidRPr="00F548EC">
        <w:rPr>
          <w:rFonts w:ascii="inherit" w:eastAsia="Times New Roman" w:hAnsi="inherit" w:cs="Segoe UI"/>
          <w:color w:val="242424"/>
          <w:kern w:val="0"/>
          <w:sz w:val="23"/>
          <w:szCs w:val="23"/>
          <w:lang w:eastAsia="en-GB"/>
          <w14:ligatures w14:val="none"/>
        </w:rPr>
        <w:t>Whitmore, J. (2017). Coaching for performance: The principles and practice of coaching and leadership (5th ed.). London: Nicholas Brealey Publish</w:t>
      </w:r>
    </w:p>
    <w:p w14:paraId="3F34EF19" w14:textId="7D59A0B2"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FE6B05" w14:textId="77777777" w:rsidR="007A3774" w:rsidRDefault="007A3774" w:rsidP="003C7C97">
      <w:pPr>
        <w:spacing w:after="0" w:line="240" w:lineRule="auto"/>
      </w:pPr>
      <w:r>
        <w:separator/>
      </w:r>
    </w:p>
  </w:endnote>
  <w:endnote w:type="continuationSeparator" w:id="0">
    <w:p w14:paraId="12A9A75F" w14:textId="77777777" w:rsidR="007A3774" w:rsidRDefault="007A377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126F93" w14:textId="77777777" w:rsidR="007A3774" w:rsidRDefault="007A3774" w:rsidP="003C7C97">
      <w:pPr>
        <w:spacing w:after="0" w:line="240" w:lineRule="auto"/>
      </w:pPr>
      <w:r>
        <w:separator/>
      </w:r>
    </w:p>
  </w:footnote>
  <w:footnote w:type="continuationSeparator" w:id="0">
    <w:p w14:paraId="4DF1011E" w14:textId="77777777" w:rsidR="007A3774" w:rsidRDefault="007A377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6B67D0C"/>
    <w:lvl w:ilvl="0" w:tplc="AD507058">
      <w:start w:val="1"/>
      <w:numFmt w:val="bullet"/>
      <w:lvlText w:val=""/>
      <w:lvlJc w:val="left"/>
      <w:pPr>
        <w:ind w:left="720" w:hanging="360"/>
      </w:pPr>
      <w:rPr>
        <w:rFonts w:ascii="Symbol" w:hAnsi="Symbol" w:hint="default"/>
      </w:rPr>
    </w:lvl>
    <w:lvl w:ilvl="1" w:tplc="682242DC">
      <w:start w:val="1"/>
      <w:numFmt w:val="bullet"/>
      <w:lvlText w:val="o"/>
      <w:lvlJc w:val="left"/>
      <w:pPr>
        <w:ind w:left="1440" w:hanging="360"/>
      </w:pPr>
      <w:rPr>
        <w:rFonts w:ascii="Courier New" w:hAnsi="Courier New" w:hint="default"/>
      </w:rPr>
    </w:lvl>
    <w:lvl w:ilvl="2" w:tplc="58AAF198">
      <w:start w:val="1"/>
      <w:numFmt w:val="bullet"/>
      <w:lvlText w:val=""/>
      <w:lvlJc w:val="left"/>
      <w:pPr>
        <w:ind w:left="2160" w:hanging="360"/>
      </w:pPr>
      <w:rPr>
        <w:rFonts w:ascii="Wingdings" w:hAnsi="Wingdings" w:hint="default"/>
      </w:rPr>
    </w:lvl>
    <w:lvl w:ilvl="3" w:tplc="FFDC592E">
      <w:start w:val="1"/>
      <w:numFmt w:val="bullet"/>
      <w:lvlText w:val=""/>
      <w:lvlJc w:val="left"/>
      <w:pPr>
        <w:ind w:left="2880" w:hanging="360"/>
      </w:pPr>
      <w:rPr>
        <w:rFonts w:ascii="Symbol" w:hAnsi="Symbol" w:hint="default"/>
      </w:rPr>
    </w:lvl>
    <w:lvl w:ilvl="4" w:tplc="D57C86A2">
      <w:start w:val="1"/>
      <w:numFmt w:val="bullet"/>
      <w:lvlText w:val="o"/>
      <w:lvlJc w:val="left"/>
      <w:pPr>
        <w:ind w:left="3600" w:hanging="360"/>
      </w:pPr>
      <w:rPr>
        <w:rFonts w:ascii="Courier New" w:hAnsi="Courier New" w:hint="default"/>
      </w:rPr>
    </w:lvl>
    <w:lvl w:ilvl="5" w:tplc="9C0C0BBE">
      <w:start w:val="1"/>
      <w:numFmt w:val="bullet"/>
      <w:lvlText w:val=""/>
      <w:lvlJc w:val="left"/>
      <w:pPr>
        <w:ind w:left="4320" w:hanging="360"/>
      </w:pPr>
      <w:rPr>
        <w:rFonts w:ascii="Wingdings" w:hAnsi="Wingdings" w:hint="default"/>
      </w:rPr>
    </w:lvl>
    <w:lvl w:ilvl="6" w:tplc="E822FA16">
      <w:start w:val="1"/>
      <w:numFmt w:val="bullet"/>
      <w:lvlText w:val=""/>
      <w:lvlJc w:val="left"/>
      <w:pPr>
        <w:ind w:left="5040" w:hanging="360"/>
      </w:pPr>
      <w:rPr>
        <w:rFonts w:ascii="Symbol" w:hAnsi="Symbol" w:hint="default"/>
      </w:rPr>
    </w:lvl>
    <w:lvl w:ilvl="7" w:tplc="BC2422FC">
      <w:start w:val="1"/>
      <w:numFmt w:val="bullet"/>
      <w:lvlText w:val="o"/>
      <w:lvlJc w:val="left"/>
      <w:pPr>
        <w:ind w:left="5760" w:hanging="360"/>
      </w:pPr>
      <w:rPr>
        <w:rFonts w:ascii="Courier New" w:hAnsi="Courier New" w:hint="default"/>
      </w:rPr>
    </w:lvl>
    <w:lvl w:ilvl="8" w:tplc="771A958A">
      <w:start w:val="1"/>
      <w:numFmt w:val="bullet"/>
      <w:lvlText w:val=""/>
      <w:lvlJc w:val="left"/>
      <w:pPr>
        <w:ind w:left="6480" w:hanging="360"/>
      </w:pPr>
      <w:rPr>
        <w:rFonts w:ascii="Wingdings" w:hAnsi="Wingdings" w:hint="default"/>
      </w:rPr>
    </w:lvl>
  </w:abstractNum>
  <w:abstractNum w:abstractNumId="2" w15:restartNumberingAfterBreak="0">
    <w:nsid w:val="08A3030B"/>
    <w:multiLevelType w:val="multilevel"/>
    <w:tmpl w:val="F500936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35AC812E"/>
    <w:lvl w:ilvl="0" w:tplc="58B21DA8">
      <w:start w:val="1"/>
      <w:numFmt w:val="bullet"/>
      <w:lvlText w:val=""/>
      <w:lvlJc w:val="left"/>
      <w:pPr>
        <w:ind w:left="720" w:hanging="360"/>
      </w:pPr>
      <w:rPr>
        <w:rFonts w:ascii="Symbol" w:hAnsi="Symbol" w:hint="default"/>
      </w:rPr>
    </w:lvl>
    <w:lvl w:ilvl="1" w:tplc="0BFC1936">
      <w:start w:val="1"/>
      <w:numFmt w:val="bullet"/>
      <w:lvlText w:val="o"/>
      <w:lvlJc w:val="left"/>
      <w:pPr>
        <w:ind w:left="1440" w:hanging="360"/>
      </w:pPr>
      <w:rPr>
        <w:rFonts w:ascii="Courier New" w:hAnsi="Courier New" w:hint="default"/>
      </w:rPr>
    </w:lvl>
    <w:lvl w:ilvl="2" w:tplc="6C1CDA34">
      <w:start w:val="1"/>
      <w:numFmt w:val="bullet"/>
      <w:lvlText w:val=""/>
      <w:lvlJc w:val="left"/>
      <w:pPr>
        <w:ind w:left="2160" w:hanging="360"/>
      </w:pPr>
      <w:rPr>
        <w:rFonts w:ascii="Wingdings" w:hAnsi="Wingdings" w:hint="default"/>
      </w:rPr>
    </w:lvl>
    <w:lvl w:ilvl="3" w:tplc="AFE6A11C">
      <w:start w:val="1"/>
      <w:numFmt w:val="bullet"/>
      <w:lvlText w:val=""/>
      <w:lvlJc w:val="left"/>
      <w:pPr>
        <w:ind w:left="2880" w:hanging="360"/>
      </w:pPr>
      <w:rPr>
        <w:rFonts w:ascii="Symbol" w:hAnsi="Symbol" w:hint="default"/>
      </w:rPr>
    </w:lvl>
    <w:lvl w:ilvl="4" w:tplc="26E8EE98">
      <w:start w:val="1"/>
      <w:numFmt w:val="bullet"/>
      <w:lvlText w:val="o"/>
      <w:lvlJc w:val="left"/>
      <w:pPr>
        <w:ind w:left="3600" w:hanging="360"/>
      </w:pPr>
      <w:rPr>
        <w:rFonts w:ascii="Courier New" w:hAnsi="Courier New" w:hint="default"/>
      </w:rPr>
    </w:lvl>
    <w:lvl w:ilvl="5" w:tplc="FCC01BC6">
      <w:start w:val="1"/>
      <w:numFmt w:val="bullet"/>
      <w:lvlText w:val=""/>
      <w:lvlJc w:val="left"/>
      <w:pPr>
        <w:ind w:left="4320" w:hanging="360"/>
      </w:pPr>
      <w:rPr>
        <w:rFonts w:ascii="Wingdings" w:hAnsi="Wingdings" w:hint="default"/>
      </w:rPr>
    </w:lvl>
    <w:lvl w:ilvl="6" w:tplc="BE94CE98">
      <w:start w:val="1"/>
      <w:numFmt w:val="bullet"/>
      <w:lvlText w:val=""/>
      <w:lvlJc w:val="left"/>
      <w:pPr>
        <w:ind w:left="5040" w:hanging="360"/>
      </w:pPr>
      <w:rPr>
        <w:rFonts w:ascii="Symbol" w:hAnsi="Symbol" w:hint="default"/>
      </w:rPr>
    </w:lvl>
    <w:lvl w:ilvl="7" w:tplc="1DD02860">
      <w:start w:val="1"/>
      <w:numFmt w:val="bullet"/>
      <w:lvlText w:val="o"/>
      <w:lvlJc w:val="left"/>
      <w:pPr>
        <w:ind w:left="5760" w:hanging="360"/>
      </w:pPr>
      <w:rPr>
        <w:rFonts w:ascii="Courier New" w:hAnsi="Courier New" w:hint="default"/>
      </w:rPr>
    </w:lvl>
    <w:lvl w:ilvl="8" w:tplc="76120E7E">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4064CA02"/>
    <w:lvl w:ilvl="0" w:tplc="31BC53DC">
      <w:start w:val="1"/>
      <w:numFmt w:val="bullet"/>
      <w:lvlText w:val=""/>
      <w:lvlJc w:val="left"/>
      <w:pPr>
        <w:ind w:left="720" w:hanging="360"/>
      </w:pPr>
      <w:rPr>
        <w:rFonts w:ascii="Symbol" w:hAnsi="Symbol" w:hint="default"/>
      </w:rPr>
    </w:lvl>
    <w:lvl w:ilvl="1" w:tplc="8C3C54FE">
      <w:start w:val="1"/>
      <w:numFmt w:val="bullet"/>
      <w:lvlText w:val="o"/>
      <w:lvlJc w:val="left"/>
      <w:pPr>
        <w:ind w:left="1440" w:hanging="360"/>
      </w:pPr>
      <w:rPr>
        <w:rFonts w:ascii="Courier New" w:hAnsi="Courier New" w:hint="default"/>
      </w:rPr>
    </w:lvl>
    <w:lvl w:ilvl="2" w:tplc="09A20DB0">
      <w:start w:val="1"/>
      <w:numFmt w:val="bullet"/>
      <w:lvlText w:val=""/>
      <w:lvlJc w:val="left"/>
      <w:pPr>
        <w:ind w:left="2160" w:hanging="360"/>
      </w:pPr>
      <w:rPr>
        <w:rFonts w:ascii="Wingdings" w:hAnsi="Wingdings" w:hint="default"/>
      </w:rPr>
    </w:lvl>
    <w:lvl w:ilvl="3" w:tplc="80E8C2AE">
      <w:start w:val="1"/>
      <w:numFmt w:val="bullet"/>
      <w:lvlText w:val=""/>
      <w:lvlJc w:val="left"/>
      <w:pPr>
        <w:ind w:left="2880" w:hanging="360"/>
      </w:pPr>
      <w:rPr>
        <w:rFonts w:ascii="Symbol" w:hAnsi="Symbol" w:hint="default"/>
      </w:rPr>
    </w:lvl>
    <w:lvl w:ilvl="4" w:tplc="033ED612">
      <w:start w:val="1"/>
      <w:numFmt w:val="bullet"/>
      <w:lvlText w:val="o"/>
      <w:lvlJc w:val="left"/>
      <w:pPr>
        <w:ind w:left="3600" w:hanging="360"/>
      </w:pPr>
      <w:rPr>
        <w:rFonts w:ascii="Courier New" w:hAnsi="Courier New" w:hint="default"/>
      </w:rPr>
    </w:lvl>
    <w:lvl w:ilvl="5" w:tplc="F460C1F6">
      <w:start w:val="1"/>
      <w:numFmt w:val="bullet"/>
      <w:lvlText w:val=""/>
      <w:lvlJc w:val="left"/>
      <w:pPr>
        <w:ind w:left="4320" w:hanging="360"/>
      </w:pPr>
      <w:rPr>
        <w:rFonts w:ascii="Wingdings" w:hAnsi="Wingdings" w:hint="default"/>
      </w:rPr>
    </w:lvl>
    <w:lvl w:ilvl="6" w:tplc="9AF0982C">
      <w:start w:val="1"/>
      <w:numFmt w:val="bullet"/>
      <w:lvlText w:val=""/>
      <w:lvlJc w:val="left"/>
      <w:pPr>
        <w:ind w:left="5040" w:hanging="360"/>
      </w:pPr>
      <w:rPr>
        <w:rFonts w:ascii="Symbol" w:hAnsi="Symbol" w:hint="default"/>
      </w:rPr>
    </w:lvl>
    <w:lvl w:ilvl="7" w:tplc="41E07CD2">
      <w:start w:val="1"/>
      <w:numFmt w:val="bullet"/>
      <w:lvlText w:val="o"/>
      <w:lvlJc w:val="left"/>
      <w:pPr>
        <w:ind w:left="5760" w:hanging="360"/>
      </w:pPr>
      <w:rPr>
        <w:rFonts w:ascii="Courier New" w:hAnsi="Courier New" w:hint="default"/>
      </w:rPr>
    </w:lvl>
    <w:lvl w:ilvl="8" w:tplc="E28248AC">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A1DE384E"/>
    <w:lvl w:ilvl="0" w:tplc="872AFBC8">
      <w:start w:val="1"/>
      <w:numFmt w:val="bullet"/>
      <w:lvlText w:val=""/>
      <w:lvlJc w:val="left"/>
      <w:pPr>
        <w:ind w:left="720" w:hanging="360"/>
      </w:pPr>
      <w:rPr>
        <w:rFonts w:ascii="Symbol" w:hAnsi="Symbol" w:hint="default"/>
      </w:rPr>
    </w:lvl>
    <w:lvl w:ilvl="1" w:tplc="C2B40EE4">
      <w:start w:val="1"/>
      <w:numFmt w:val="bullet"/>
      <w:lvlText w:val="o"/>
      <w:lvlJc w:val="left"/>
      <w:pPr>
        <w:ind w:left="1440" w:hanging="360"/>
      </w:pPr>
      <w:rPr>
        <w:rFonts w:ascii="Courier New" w:hAnsi="Courier New" w:hint="default"/>
      </w:rPr>
    </w:lvl>
    <w:lvl w:ilvl="2" w:tplc="C3620590">
      <w:start w:val="1"/>
      <w:numFmt w:val="bullet"/>
      <w:lvlText w:val=""/>
      <w:lvlJc w:val="left"/>
      <w:pPr>
        <w:ind w:left="2160" w:hanging="360"/>
      </w:pPr>
      <w:rPr>
        <w:rFonts w:ascii="Wingdings" w:hAnsi="Wingdings" w:hint="default"/>
      </w:rPr>
    </w:lvl>
    <w:lvl w:ilvl="3" w:tplc="D59C51A2">
      <w:start w:val="1"/>
      <w:numFmt w:val="bullet"/>
      <w:lvlText w:val=""/>
      <w:lvlJc w:val="left"/>
      <w:pPr>
        <w:ind w:left="2880" w:hanging="360"/>
      </w:pPr>
      <w:rPr>
        <w:rFonts w:ascii="Symbol" w:hAnsi="Symbol" w:hint="default"/>
      </w:rPr>
    </w:lvl>
    <w:lvl w:ilvl="4" w:tplc="259631F2">
      <w:start w:val="1"/>
      <w:numFmt w:val="bullet"/>
      <w:lvlText w:val="o"/>
      <w:lvlJc w:val="left"/>
      <w:pPr>
        <w:ind w:left="3600" w:hanging="360"/>
      </w:pPr>
      <w:rPr>
        <w:rFonts w:ascii="Courier New" w:hAnsi="Courier New" w:hint="default"/>
      </w:rPr>
    </w:lvl>
    <w:lvl w:ilvl="5" w:tplc="581A5464">
      <w:start w:val="1"/>
      <w:numFmt w:val="bullet"/>
      <w:lvlText w:val=""/>
      <w:lvlJc w:val="left"/>
      <w:pPr>
        <w:ind w:left="4320" w:hanging="360"/>
      </w:pPr>
      <w:rPr>
        <w:rFonts w:ascii="Wingdings" w:hAnsi="Wingdings" w:hint="default"/>
      </w:rPr>
    </w:lvl>
    <w:lvl w:ilvl="6" w:tplc="E878F482">
      <w:start w:val="1"/>
      <w:numFmt w:val="bullet"/>
      <w:lvlText w:val=""/>
      <w:lvlJc w:val="left"/>
      <w:pPr>
        <w:ind w:left="5040" w:hanging="360"/>
      </w:pPr>
      <w:rPr>
        <w:rFonts w:ascii="Symbol" w:hAnsi="Symbol" w:hint="default"/>
      </w:rPr>
    </w:lvl>
    <w:lvl w:ilvl="7" w:tplc="E340AFB4">
      <w:start w:val="1"/>
      <w:numFmt w:val="bullet"/>
      <w:lvlText w:val="o"/>
      <w:lvlJc w:val="left"/>
      <w:pPr>
        <w:ind w:left="5760" w:hanging="360"/>
      </w:pPr>
      <w:rPr>
        <w:rFonts w:ascii="Courier New" w:hAnsi="Courier New" w:hint="default"/>
      </w:rPr>
    </w:lvl>
    <w:lvl w:ilvl="8" w:tplc="23B65B74">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D6E21724"/>
    <w:lvl w:ilvl="0" w:tplc="0F5A6818">
      <w:start w:val="1"/>
      <w:numFmt w:val="bullet"/>
      <w:lvlText w:val=""/>
      <w:lvlJc w:val="left"/>
      <w:pPr>
        <w:ind w:left="720" w:hanging="360"/>
      </w:pPr>
      <w:rPr>
        <w:rFonts w:ascii="Symbol" w:hAnsi="Symbol" w:hint="default"/>
      </w:rPr>
    </w:lvl>
    <w:lvl w:ilvl="1" w:tplc="BA7481B2">
      <w:start w:val="1"/>
      <w:numFmt w:val="bullet"/>
      <w:lvlText w:val="o"/>
      <w:lvlJc w:val="left"/>
      <w:pPr>
        <w:ind w:left="1440" w:hanging="360"/>
      </w:pPr>
      <w:rPr>
        <w:rFonts w:ascii="Courier New" w:hAnsi="Courier New" w:hint="default"/>
      </w:rPr>
    </w:lvl>
    <w:lvl w:ilvl="2" w:tplc="F028DFF6">
      <w:start w:val="1"/>
      <w:numFmt w:val="bullet"/>
      <w:lvlText w:val=""/>
      <w:lvlJc w:val="left"/>
      <w:pPr>
        <w:ind w:left="2160" w:hanging="360"/>
      </w:pPr>
      <w:rPr>
        <w:rFonts w:ascii="Wingdings" w:hAnsi="Wingdings" w:hint="default"/>
      </w:rPr>
    </w:lvl>
    <w:lvl w:ilvl="3" w:tplc="64FC9376">
      <w:start w:val="1"/>
      <w:numFmt w:val="bullet"/>
      <w:lvlText w:val=""/>
      <w:lvlJc w:val="left"/>
      <w:pPr>
        <w:ind w:left="2880" w:hanging="360"/>
      </w:pPr>
      <w:rPr>
        <w:rFonts w:ascii="Symbol" w:hAnsi="Symbol" w:hint="default"/>
      </w:rPr>
    </w:lvl>
    <w:lvl w:ilvl="4" w:tplc="AEE874E4">
      <w:start w:val="1"/>
      <w:numFmt w:val="bullet"/>
      <w:lvlText w:val="o"/>
      <w:lvlJc w:val="left"/>
      <w:pPr>
        <w:ind w:left="3600" w:hanging="360"/>
      </w:pPr>
      <w:rPr>
        <w:rFonts w:ascii="Courier New" w:hAnsi="Courier New" w:hint="default"/>
      </w:rPr>
    </w:lvl>
    <w:lvl w:ilvl="5" w:tplc="BA04A7CC">
      <w:start w:val="1"/>
      <w:numFmt w:val="bullet"/>
      <w:lvlText w:val=""/>
      <w:lvlJc w:val="left"/>
      <w:pPr>
        <w:ind w:left="4320" w:hanging="360"/>
      </w:pPr>
      <w:rPr>
        <w:rFonts w:ascii="Wingdings" w:hAnsi="Wingdings" w:hint="default"/>
      </w:rPr>
    </w:lvl>
    <w:lvl w:ilvl="6" w:tplc="D4987442">
      <w:start w:val="1"/>
      <w:numFmt w:val="bullet"/>
      <w:lvlText w:val=""/>
      <w:lvlJc w:val="left"/>
      <w:pPr>
        <w:ind w:left="5040" w:hanging="360"/>
      </w:pPr>
      <w:rPr>
        <w:rFonts w:ascii="Symbol" w:hAnsi="Symbol" w:hint="default"/>
      </w:rPr>
    </w:lvl>
    <w:lvl w:ilvl="7" w:tplc="6DB077D2">
      <w:start w:val="1"/>
      <w:numFmt w:val="bullet"/>
      <w:lvlText w:val="o"/>
      <w:lvlJc w:val="left"/>
      <w:pPr>
        <w:ind w:left="5760" w:hanging="360"/>
      </w:pPr>
      <w:rPr>
        <w:rFonts w:ascii="Courier New" w:hAnsi="Courier New" w:hint="default"/>
      </w:rPr>
    </w:lvl>
    <w:lvl w:ilvl="8" w:tplc="1A1E3212">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2BE8A68C"/>
    <w:lvl w:ilvl="0" w:tplc="F9F278A6">
      <w:start w:val="1"/>
      <w:numFmt w:val="bullet"/>
      <w:lvlText w:val=""/>
      <w:lvlJc w:val="left"/>
      <w:pPr>
        <w:ind w:left="720" w:hanging="360"/>
      </w:pPr>
      <w:rPr>
        <w:rFonts w:ascii="Symbol" w:hAnsi="Symbol" w:hint="default"/>
      </w:rPr>
    </w:lvl>
    <w:lvl w:ilvl="1" w:tplc="E9BC7442">
      <w:start w:val="1"/>
      <w:numFmt w:val="bullet"/>
      <w:lvlText w:val="o"/>
      <w:lvlJc w:val="left"/>
      <w:pPr>
        <w:ind w:left="1440" w:hanging="360"/>
      </w:pPr>
      <w:rPr>
        <w:rFonts w:ascii="Courier New" w:hAnsi="Courier New" w:hint="default"/>
      </w:rPr>
    </w:lvl>
    <w:lvl w:ilvl="2" w:tplc="6106A0E4">
      <w:start w:val="1"/>
      <w:numFmt w:val="bullet"/>
      <w:lvlText w:val=""/>
      <w:lvlJc w:val="left"/>
      <w:pPr>
        <w:ind w:left="2160" w:hanging="360"/>
      </w:pPr>
      <w:rPr>
        <w:rFonts w:ascii="Wingdings" w:hAnsi="Wingdings" w:hint="default"/>
      </w:rPr>
    </w:lvl>
    <w:lvl w:ilvl="3" w:tplc="FD929690">
      <w:start w:val="1"/>
      <w:numFmt w:val="bullet"/>
      <w:lvlText w:val=""/>
      <w:lvlJc w:val="left"/>
      <w:pPr>
        <w:ind w:left="2880" w:hanging="360"/>
      </w:pPr>
      <w:rPr>
        <w:rFonts w:ascii="Symbol" w:hAnsi="Symbol" w:hint="default"/>
      </w:rPr>
    </w:lvl>
    <w:lvl w:ilvl="4" w:tplc="B7A00528">
      <w:start w:val="1"/>
      <w:numFmt w:val="bullet"/>
      <w:lvlText w:val="o"/>
      <w:lvlJc w:val="left"/>
      <w:pPr>
        <w:ind w:left="3600" w:hanging="360"/>
      </w:pPr>
      <w:rPr>
        <w:rFonts w:ascii="Courier New" w:hAnsi="Courier New" w:hint="default"/>
      </w:rPr>
    </w:lvl>
    <w:lvl w:ilvl="5" w:tplc="2F8ED2DC">
      <w:start w:val="1"/>
      <w:numFmt w:val="bullet"/>
      <w:lvlText w:val=""/>
      <w:lvlJc w:val="left"/>
      <w:pPr>
        <w:ind w:left="4320" w:hanging="360"/>
      </w:pPr>
      <w:rPr>
        <w:rFonts w:ascii="Wingdings" w:hAnsi="Wingdings" w:hint="default"/>
      </w:rPr>
    </w:lvl>
    <w:lvl w:ilvl="6" w:tplc="F9281C20">
      <w:start w:val="1"/>
      <w:numFmt w:val="bullet"/>
      <w:lvlText w:val=""/>
      <w:lvlJc w:val="left"/>
      <w:pPr>
        <w:ind w:left="5040" w:hanging="360"/>
      </w:pPr>
      <w:rPr>
        <w:rFonts w:ascii="Symbol" w:hAnsi="Symbol" w:hint="default"/>
      </w:rPr>
    </w:lvl>
    <w:lvl w:ilvl="7" w:tplc="62549DBA">
      <w:start w:val="1"/>
      <w:numFmt w:val="bullet"/>
      <w:lvlText w:val="o"/>
      <w:lvlJc w:val="left"/>
      <w:pPr>
        <w:ind w:left="5760" w:hanging="360"/>
      </w:pPr>
      <w:rPr>
        <w:rFonts w:ascii="Courier New" w:hAnsi="Courier New" w:hint="default"/>
      </w:rPr>
    </w:lvl>
    <w:lvl w:ilvl="8" w:tplc="917CB076">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563797">
    <w:abstractNumId w:val="12"/>
  </w:num>
  <w:num w:numId="2" w16cid:durableId="1741831748">
    <w:abstractNumId w:val="13"/>
  </w:num>
  <w:num w:numId="3" w16cid:durableId="1977833589">
    <w:abstractNumId w:val="1"/>
  </w:num>
  <w:num w:numId="4" w16cid:durableId="1712535263">
    <w:abstractNumId w:val="4"/>
  </w:num>
  <w:num w:numId="5" w16cid:durableId="368457764">
    <w:abstractNumId w:val="16"/>
  </w:num>
  <w:num w:numId="6" w16cid:durableId="1471091084">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9948444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1D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1434"/>
    <w:rsid w:val="002976D4"/>
    <w:rsid w:val="002A5577"/>
    <w:rsid w:val="002B4AA4"/>
    <w:rsid w:val="002E71BA"/>
    <w:rsid w:val="002F5066"/>
    <w:rsid w:val="003003FD"/>
    <w:rsid w:val="00310245"/>
    <w:rsid w:val="0031152B"/>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56AF2"/>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0420E"/>
    <w:rsid w:val="00612DEA"/>
    <w:rsid w:val="00614572"/>
    <w:rsid w:val="006232DF"/>
    <w:rsid w:val="00631F2E"/>
    <w:rsid w:val="006457C0"/>
    <w:rsid w:val="00652BB7"/>
    <w:rsid w:val="00661758"/>
    <w:rsid w:val="0067612C"/>
    <w:rsid w:val="00676FEB"/>
    <w:rsid w:val="006912C4"/>
    <w:rsid w:val="006A5CFC"/>
    <w:rsid w:val="006C5138"/>
    <w:rsid w:val="006C689B"/>
    <w:rsid w:val="006D7E4D"/>
    <w:rsid w:val="006E005C"/>
    <w:rsid w:val="006E6EE5"/>
    <w:rsid w:val="006F0029"/>
    <w:rsid w:val="007138EF"/>
    <w:rsid w:val="007632A9"/>
    <w:rsid w:val="00774092"/>
    <w:rsid w:val="00782830"/>
    <w:rsid w:val="0078664A"/>
    <w:rsid w:val="007A3774"/>
    <w:rsid w:val="007B0F6D"/>
    <w:rsid w:val="007C62C3"/>
    <w:rsid w:val="007D25AA"/>
    <w:rsid w:val="007D7E06"/>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1368"/>
    <w:rsid w:val="00A82678"/>
    <w:rsid w:val="00A946CB"/>
    <w:rsid w:val="00AA250A"/>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548EC"/>
    <w:rsid w:val="00F605C6"/>
    <w:rsid w:val="00F6785B"/>
    <w:rsid w:val="00F77245"/>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750855">
      <w:bodyDiv w:val="1"/>
      <w:marLeft w:val="0"/>
      <w:marRight w:val="0"/>
      <w:marTop w:val="0"/>
      <w:marBottom w:val="0"/>
      <w:divBdr>
        <w:top w:val="none" w:sz="0" w:space="0" w:color="auto"/>
        <w:left w:val="none" w:sz="0" w:space="0" w:color="auto"/>
        <w:bottom w:val="none" w:sz="0" w:space="0" w:color="auto"/>
        <w:right w:val="none" w:sz="0" w:space="0" w:color="auto"/>
      </w:divBdr>
    </w:div>
    <w:div w:id="214515306">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446782060">
      <w:bodyDiv w:val="1"/>
      <w:marLeft w:val="0"/>
      <w:marRight w:val="0"/>
      <w:marTop w:val="0"/>
      <w:marBottom w:val="0"/>
      <w:divBdr>
        <w:top w:val="none" w:sz="0" w:space="0" w:color="auto"/>
        <w:left w:val="none" w:sz="0" w:space="0" w:color="auto"/>
        <w:bottom w:val="none" w:sz="0" w:space="0" w:color="auto"/>
        <w:right w:val="none" w:sz="0" w:space="0" w:color="auto"/>
      </w:divBdr>
    </w:div>
    <w:div w:id="1223633671">
      <w:bodyDiv w:val="1"/>
      <w:marLeft w:val="0"/>
      <w:marRight w:val="0"/>
      <w:marTop w:val="0"/>
      <w:marBottom w:val="0"/>
      <w:divBdr>
        <w:top w:val="none" w:sz="0" w:space="0" w:color="auto"/>
        <w:left w:val="none" w:sz="0" w:space="0" w:color="auto"/>
        <w:bottom w:val="none" w:sz="0" w:space="0" w:color="auto"/>
        <w:right w:val="none" w:sz="0" w:space="0" w:color="auto"/>
      </w:divBdr>
      <w:divsChild>
        <w:div w:id="283193973">
          <w:marLeft w:val="0"/>
          <w:marRight w:val="0"/>
          <w:marTop w:val="0"/>
          <w:marBottom w:val="0"/>
          <w:divBdr>
            <w:top w:val="none" w:sz="0" w:space="0" w:color="auto"/>
            <w:left w:val="none" w:sz="0" w:space="0" w:color="auto"/>
            <w:bottom w:val="none" w:sz="0" w:space="0" w:color="auto"/>
            <w:right w:val="none" w:sz="0" w:space="0" w:color="auto"/>
          </w:divBdr>
          <w:divsChild>
            <w:div w:id="516121677">
              <w:marLeft w:val="30"/>
              <w:marRight w:val="30"/>
              <w:marTop w:val="0"/>
              <w:marBottom w:val="120"/>
              <w:divBdr>
                <w:top w:val="none" w:sz="0" w:space="0" w:color="auto"/>
                <w:left w:val="single" w:sz="6" w:space="0" w:color="auto"/>
                <w:bottom w:val="single" w:sz="6" w:space="0" w:color="auto"/>
                <w:right w:val="single" w:sz="6" w:space="0" w:color="auto"/>
              </w:divBdr>
              <w:divsChild>
                <w:div w:id="577137972">
                  <w:marLeft w:val="0"/>
                  <w:marRight w:val="0"/>
                  <w:marTop w:val="0"/>
                  <w:marBottom w:val="0"/>
                  <w:divBdr>
                    <w:top w:val="none" w:sz="0" w:space="0" w:color="auto"/>
                    <w:left w:val="none" w:sz="0" w:space="0" w:color="auto"/>
                    <w:bottom w:val="none" w:sz="0" w:space="0" w:color="auto"/>
                    <w:right w:val="none" w:sz="0" w:space="0" w:color="auto"/>
                  </w:divBdr>
                  <w:divsChild>
                    <w:div w:id="1078946327">
                      <w:marLeft w:val="660"/>
                      <w:marRight w:val="0"/>
                      <w:marTop w:val="0"/>
                      <w:marBottom w:val="0"/>
                      <w:divBdr>
                        <w:top w:val="none" w:sz="0" w:space="0" w:color="auto"/>
                        <w:left w:val="single" w:sz="6" w:space="12" w:color="auto"/>
                        <w:bottom w:val="none" w:sz="0" w:space="0" w:color="auto"/>
                        <w:right w:val="none" w:sz="0" w:space="0" w:color="auto"/>
                      </w:divBdr>
                    </w:div>
                  </w:divsChild>
                </w:div>
              </w:divsChild>
            </w:div>
          </w:divsChild>
        </w:div>
      </w:divsChild>
    </w:div>
    <w:div w:id="1391229452">
      <w:bodyDiv w:val="1"/>
      <w:marLeft w:val="0"/>
      <w:marRight w:val="0"/>
      <w:marTop w:val="0"/>
      <w:marBottom w:val="0"/>
      <w:divBdr>
        <w:top w:val="none" w:sz="0" w:space="0" w:color="auto"/>
        <w:left w:val="none" w:sz="0" w:space="0" w:color="auto"/>
        <w:bottom w:val="none" w:sz="0" w:space="0" w:color="auto"/>
        <w:right w:val="none" w:sz="0" w:space="0" w:color="auto"/>
      </w:divBdr>
    </w:div>
    <w:div w:id="1420521047">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54427223">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1724</Words>
  <Characters>9833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Antonia Campbell</cp:lastModifiedBy>
  <cp:revision>2</cp:revision>
  <dcterms:created xsi:type="dcterms:W3CDTF">2026-04-18T08:25:00Z</dcterms:created>
  <dcterms:modified xsi:type="dcterms:W3CDTF">2026-04-18T08:25:00Z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