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4235F" w14:textId="377EB24D" w:rsidR="001C6890" w:rsidRDefault="00000000">
      <w:pPr>
        <w:pStyle w:val="NoSpacing"/>
        <w:spacing w:before="1540" w:after="240"/>
        <w:jc w:val="center"/>
        <w:rPr>
          <w:color w:val="4F81BD"/>
        </w:rPr>
      </w:pPr>
      <w:r>
        <w:rPr>
          <w:noProof/>
          <w:color w:val="4F81BD"/>
        </w:rPr>
        <w:drawing>
          <wp:inline distT="0" distB="0" distL="0" distR="0" wp14:anchorId="463E0427" wp14:editId="54322448">
            <wp:extent cx="1417320" cy="750898"/>
            <wp:effectExtent l="0" t="0" r="0" b="0"/>
            <wp:docPr id="1026" name="Pictur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4"/>
                    <pic:cNvPicPr/>
                  </pic:nvPicPr>
                  <pic:blipFill>
                    <a:blip r:embed="rId8" cstate="print">
                      <a:duotone>
                        <a:srgbClr val="295890"/>
                        <a:srgbClr val="FFFFFF"/>
                      </a:duotone>
                    </a:blip>
                    <a:srcRect/>
                    <a:stretch/>
                  </pic:blipFill>
                  <pic:spPr>
                    <a:xfrm>
                      <a:off x="0" y="0"/>
                      <a:ext cx="1417320" cy="750898"/>
                    </a:xfrm>
                    <a:prstGeom prst="rect">
                      <a:avLst/>
                    </a:prstGeom>
                    <a:ln>
                      <a:noFill/>
                    </a:ln>
                  </pic:spPr>
                </pic:pic>
              </a:graphicData>
            </a:graphic>
          </wp:inline>
        </w:drawing>
      </w:r>
    </w:p>
    <w:p w14:paraId="19EDAB30" w14:textId="77777777" w:rsidR="001C6890" w:rsidRDefault="00000000">
      <w:pPr>
        <w:pStyle w:val="NoSpacing"/>
        <w:pBdr>
          <w:top w:val="single" w:sz="6" w:space="6" w:color="4F81BD"/>
          <w:bottom w:val="single" w:sz="6" w:space="6" w:color="4F81BD"/>
        </w:pBdr>
        <w:spacing w:after="240"/>
        <w:jc w:val="center"/>
        <w:rPr>
          <w:rFonts w:ascii="Arial" w:hAnsi="Arial" w:cs="Arial"/>
          <w:b/>
          <w:bCs/>
          <w:caps/>
          <w:color w:val="000000"/>
          <w:sz w:val="24"/>
          <w:szCs w:val="24"/>
        </w:rPr>
      </w:pPr>
      <w:r>
        <w:rPr>
          <w:rFonts w:ascii="Arial" w:hAnsi="Arial" w:cs="Arial"/>
          <w:b/>
          <w:bCs/>
          <w:caps/>
          <w:color w:val="000000"/>
          <w:sz w:val="24"/>
          <w:szCs w:val="24"/>
        </w:rPr>
        <w:t>“Developing My Employability and Professional Identity for a Healthcare Assistant Role in the NHS.”</w:t>
      </w:r>
    </w:p>
    <w:p w14:paraId="4DCD0257" w14:textId="77777777" w:rsidR="001C6890" w:rsidRDefault="00000000">
      <w:pPr>
        <w:pStyle w:val="NoSpacing"/>
        <w:spacing w:before="480"/>
        <w:jc w:val="center"/>
        <w:rPr>
          <w:color w:val="4F81BD"/>
        </w:rPr>
      </w:pPr>
      <w:r>
        <w:rPr>
          <w:noProof/>
          <w:color w:val="4F81BD"/>
        </w:rPr>
        <mc:AlternateContent>
          <mc:Choice Requires="wps">
            <w:drawing>
              <wp:anchor distT="0" distB="0" distL="0" distR="0" simplePos="0" relativeHeight="2" behindDoc="0" locked="0" layoutInCell="1" allowOverlap="1" wp14:anchorId="22A6CF60" wp14:editId="746E5AF5">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027"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3200" cy="557784"/>
                        </a:xfrm>
                        <a:prstGeom prst="rect">
                          <a:avLst/>
                        </a:prstGeom>
                        <a:ln>
                          <a:noFill/>
                        </a:ln>
                      </wps:spPr>
                      <wps:txbx>
                        <w:txbxContent>
                          <w:p w14:paraId="339A4023" w14:textId="77777777" w:rsidR="001C6890" w:rsidRDefault="001C6890">
                            <w:pPr>
                              <w:pStyle w:val="NoSpacing"/>
                              <w:spacing w:after="40"/>
                              <w:jc w:val="center"/>
                              <w:rPr>
                                <w:rFonts w:ascii="Arial" w:hAnsi="Arial" w:cs="Arial"/>
                                <w:b/>
                                <w:bCs/>
                                <w:color w:val="000000"/>
                                <w:sz w:val="28"/>
                                <w:szCs w:val="28"/>
                              </w:rPr>
                            </w:pPr>
                          </w:p>
                        </w:txbxContent>
                      </wps:txbx>
                      <wps:bodyPr vert="horz" wrap="square" lIns="0" tIns="0" rIns="0" bIns="0" anchor="b">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rect w14:anchorId="22A6CF60" id="Text Box 146" o:spid="_x0000_s1026" style="position:absolute;left:0;text-align:left;margin-left:0;margin-top:0;width:516pt;height:43.9pt;z-index:2;visibility:visible;mso-wrap-style:square;mso-width-percent:1000;mso-height-percent:0;mso-top-percent:850;mso-wrap-distance-left:0;mso-wrap-distance-top:0;mso-wrap-distance-right:0;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" filled="f" stroked="f">
                <v:textbox style="mso-fit-shape-to-text:t" inset="0,0,0,0">
                  <w:txbxContent>
                    <w:p w14:paraId="339A4023" w14:textId="77777777" w:rsidR="001C6890" w:rsidRDefault="001C6890">
                      <w:pPr>
                        <w:pStyle w:val="NoSpacing"/>
                        <w:spacing w:after="40"/>
                        <w:jc w:val="center"/>
                        <w:rPr>
                          <w:rFonts w:ascii="Arial" w:hAnsi="Arial" w:cs="Arial"/>
                          <w:b/>
                          <w:bCs/>
                          <w:color w:val="000000"/>
                          <w:sz w:val="28"/>
                          <w:szCs w:val="28"/>
                        </w:rPr>
                      </w:pPr>
                    </w:p>
                  </w:txbxContent>
                </v:textbox>
                <w10:wrap anchorx="margin" anchory="page"/>
              </v:rect>
            </w:pict>
          </mc:Fallback>
        </mc:AlternateContent>
      </w:r>
      <w:r>
        <w:rPr>
          <w:noProof/>
          <w:color w:val="4F81BD"/>
        </w:rPr>
        <w:drawing>
          <wp:inline distT="0" distB="0" distL="0" distR="0" wp14:anchorId="48A454FA" wp14:editId="635CCAEB">
            <wp:extent cx="758952" cy="478932"/>
            <wp:effectExtent l="0" t="0" r="3175" b="0"/>
            <wp:docPr id="1028" name="Pictur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47"/>
                    <pic:cNvPicPr/>
                  </pic:nvPicPr>
                  <pic:blipFill>
                    <a:blip r:embed="rId9" cstate="print">
                      <a:duotone>
                        <a:srgbClr val="295890"/>
                        <a:srgbClr val="FFFFFF"/>
                      </a:duotone>
                    </a:blip>
                    <a:srcRect/>
                    <a:stretch/>
                  </pic:blipFill>
                  <pic:spPr>
                    <a:xfrm>
                      <a:off x="0" y="0"/>
                      <a:ext cx="758952" cy="478932"/>
                    </a:xfrm>
                    <a:prstGeom prst="rect">
                      <a:avLst/>
                    </a:prstGeom>
                  </pic:spPr>
                </pic:pic>
              </a:graphicData>
            </a:graphic>
          </wp:inline>
        </w:drawing>
      </w:r>
    </w:p>
    <w:p w14:paraId="4CDF9C65" w14:textId="77777777" w:rsidR="001C6890" w:rsidRDefault="001C6890">
      <w:pPr>
        <w:rPr>
          <w:rFonts w:ascii="Cambria" w:eastAsia="SimSun" w:hAnsi="Cambria"/>
          <w:color w:val="365F91"/>
          <w:kern w:val="0"/>
          <w:sz w:val="32"/>
          <w:szCs w:val="32"/>
          <w14:ligatures w14:val="none"/>
        </w:rPr>
      </w:pPr>
    </w:p>
    <w:p w14:paraId="397FB1E6" w14:textId="77777777" w:rsidR="001C6890" w:rsidRDefault="001C6890">
      <w:pPr>
        <w:rPr>
          <w:rFonts w:ascii="Cambria" w:eastAsia="SimSun" w:hAnsi="Cambria"/>
          <w:color w:val="365F91"/>
          <w:kern w:val="0"/>
          <w:sz w:val="32"/>
          <w:szCs w:val="32"/>
          <w14:ligatures w14:val="none"/>
        </w:rPr>
      </w:pPr>
    </w:p>
    <w:p w14:paraId="6598FADF" w14:textId="06632C48" w:rsidR="005769EF" w:rsidRDefault="005769EF" w:rsidP="00D23B3F">
      <w:pPr>
        <w:jc w:val="center"/>
        <w:rPr>
          <w:rFonts w:ascii="Cambria" w:eastAsia="SimSun" w:hAnsi="Cambria"/>
          <w:color w:val="365F91"/>
          <w:kern w:val="0"/>
          <w:sz w:val="32"/>
          <w:szCs w:val="32"/>
          <w14:ligatures w14:val="none"/>
        </w:rPr>
      </w:pPr>
      <w:r w:rsidRPr="005769EF">
        <w:rPr>
          <w:rFonts w:ascii="Cambria" w:eastAsia="SimSun" w:hAnsi="Cambria"/>
          <w:color w:val="365F91"/>
          <w:kern w:val="0"/>
          <w:sz w:val="32"/>
          <w:szCs w:val="32"/>
          <w14:ligatures w14:val="none"/>
        </w:rPr>
        <w:t>Changemakers: Building your Personal Brand for Sustainable Employment   BMHP5015</w:t>
      </w:r>
    </w:p>
    <w:p w14:paraId="2EDC8BE9" w14:textId="25A67E94" w:rsidR="005769EF" w:rsidRDefault="005769EF" w:rsidP="00D23B3F">
      <w:pPr>
        <w:jc w:val="center"/>
        <w:rPr>
          <w:rFonts w:ascii="Cambria" w:eastAsia="SimSun" w:hAnsi="Cambria"/>
          <w:color w:val="365F91"/>
          <w:kern w:val="0"/>
          <w:sz w:val="32"/>
          <w:szCs w:val="32"/>
          <w14:ligatures w14:val="none"/>
        </w:rPr>
      </w:pPr>
      <w:r>
        <w:rPr>
          <w:rFonts w:ascii="Cambria" w:eastAsia="SimSun" w:hAnsi="Cambria"/>
          <w:color w:val="365F91"/>
          <w:kern w:val="0"/>
          <w:sz w:val="32"/>
          <w:szCs w:val="32"/>
          <w14:ligatures w14:val="none"/>
        </w:rPr>
        <w:t xml:space="preserve">ROHEY SAVAGE  </w:t>
      </w:r>
      <w:r w:rsidRPr="005769EF">
        <w:rPr>
          <w:rFonts w:ascii="Cambria" w:eastAsia="SimSun" w:hAnsi="Cambria"/>
          <w:color w:val="365F91"/>
          <w:kern w:val="0"/>
          <w:sz w:val="32"/>
          <w:szCs w:val="32"/>
          <w14:ligatures w14:val="none"/>
        </w:rPr>
        <w:t>2246134</w:t>
      </w:r>
    </w:p>
    <w:p w14:paraId="1E3F188B" w14:textId="77777777" w:rsidR="005769EF" w:rsidRDefault="005769EF" w:rsidP="005769EF">
      <w:pPr>
        <w:jc w:val="center"/>
        <w:rPr>
          <w:rFonts w:ascii="Cambria" w:eastAsia="SimSun" w:hAnsi="Cambria"/>
          <w:color w:val="365F91"/>
          <w:kern w:val="0"/>
          <w:sz w:val="32"/>
          <w:szCs w:val="32"/>
          <w14:ligatures w14:val="none"/>
        </w:rPr>
      </w:pPr>
      <w:r>
        <w:rPr>
          <w:rFonts w:ascii="Cambria" w:eastAsia="SimSun" w:hAnsi="Cambria"/>
          <w:color w:val="365F91"/>
          <w:kern w:val="0"/>
          <w:sz w:val="32"/>
          <w:szCs w:val="32"/>
          <w14:ligatures w14:val="none"/>
        </w:rPr>
        <w:t>Submission Date: 25 November 2025</w:t>
      </w:r>
    </w:p>
    <w:p w14:paraId="255BF3DB" w14:textId="3AE6DDE1" w:rsidR="00D23B3F" w:rsidRDefault="00D23B3F" w:rsidP="005769EF">
      <w:pPr>
        <w:jc w:val="center"/>
        <w:rPr>
          <w:rFonts w:ascii="Cambria" w:eastAsia="SimSun" w:hAnsi="Cambria"/>
          <w:color w:val="365F91"/>
          <w:kern w:val="0"/>
          <w:sz w:val="32"/>
          <w:szCs w:val="32"/>
          <w14:ligatures w14:val="none"/>
        </w:rPr>
      </w:pPr>
      <w:r w:rsidRPr="00D23B3F">
        <w:rPr>
          <w:rFonts w:ascii="Cambria" w:eastAsia="SimSun" w:hAnsi="Cambria"/>
          <w:color w:val="365F91"/>
          <w:kern w:val="0"/>
          <w:sz w:val="32"/>
          <w:szCs w:val="32"/>
          <w14:ligatures w14:val="none"/>
        </w:rPr>
        <w:t>Tuto</w:t>
      </w:r>
      <w:r w:rsidR="003A7C77">
        <w:rPr>
          <w:rFonts w:ascii="Cambria" w:eastAsia="SimSun" w:hAnsi="Cambria"/>
          <w:color w:val="365F91"/>
          <w:kern w:val="0"/>
          <w:sz w:val="32"/>
          <w:szCs w:val="32"/>
          <w14:ligatures w14:val="none"/>
        </w:rPr>
        <w:t>r</w:t>
      </w:r>
      <w:r w:rsidRPr="00D23B3F">
        <w:rPr>
          <w:rFonts w:ascii="Cambria" w:eastAsia="SimSun" w:hAnsi="Cambria"/>
          <w:color w:val="365F91"/>
          <w:kern w:val="0"/>
          <w:sz w:val="32"/>
          <w:szCs w:val="32"/>
          <w14:ligatures w14:val="none"/>
        </w:rPr>
        <w:t xml:space="preserve"> name</w:t>
      </w:r>
      <w:r>
        <w:rPr>
          <w:rFonts w:ascii="Cambria" w:eastAsia="SimSun" w:hAnsi="Cambria"/>
          <w:color w:val="365F91"/>
          <w:kern w:val="0"/>
          <w:sz w:val="32"/>
          <w:szCs w:val="32"/>
          <w14:ligatures w14:val="none"/>
        </w:rPr>
        <w:t>:</w:t>
      </w:r>
      <w:r w:rsidRPr="00D23B3F">
        <w:rPr>
          <w:rFonts w:ascii="Cambria" w:eastAsia="SimSun" w:hAnsi="Cambria"/>
          <w:color w:val="365F91"/>
          <w:kern w:val="0"/>
          <w:sz w:val="32"/>
          <w:szCs w:val="32"/>
          <w14:ligatures w14:val="none"/>
        </w:rPr>
        <w:t xml:space="preserve"> Raheela  Shaikh</w:t>
      </w:r>
    </w:p>
    <w:p w14:paraId="5557A418" w14:textId="77777777" w:rsidR="005769EF" w:rsidRDefault="005769EF" w:rsidP="005769EF">
      <w:pPr>
        <w:jc w:val="center"/>
        <w:rPr>
          <w:rFonts w:ascii="Cambria" w:eastAsia="SimSun" w:hAnsi="Cambria"/>
          <w:color w:val="365F91"/>
          <w:kern w:val="0"/>
          <w:sz w:val="32"/>
          <w:szCs w:val="32"/>
          <w14:ligatures w14:val="none"/>
        </w:rPr>
      </w:pPr>
    </w:p>
    <w:p w14:paraId="3A3EF9B9" w14:textId="77777777" w:rsidR="001C6890" w:rsidRDefault="001C6890">
      <w:pPr>
        <w:rPr>
          <w:rFonts w:ascii="Cambria" w:eastAsia="SimSun" w:hAnsi="Cambria"/>
          <w:color w:val="365F91"/>
          <w:kern w:val="0"/>
          <w:sz w:val="32"/>
          <w:szCs w:val="32"/>
          <w14:ligatures w14:val="none"/>
        </w:rPr>
      </w:pPr>
    </w:p>
    <w:p w14:paraId="1CFF1263" w14:textId="77777777" w:rsidR="001C6890" w:rsidRDefault="001C6890">
      <w:pPr>
        <w:rPr>
          <w:rFonts w:ascii="Cambria" w:eastAsia="SimSun" w:hAnsi="Cambria"/>
          <w:color w:val="365F91"/>
          <w:kern w:val="0"/>
          <w:sz w:val="32"/>
          <w:szCs w:val="32"/>
          <w14:ligatures w14:val="none"/>
        </w:rPr>
      </w:pPr>
    </w:p>
    <w:p w14:paraId="4D09543C" w14:textId="77777777" w:rsidR="00D23B3F" w:rsidRDefault="00D23B3F">
      <w:pPr>
        <w:rPr>
          <w:rFonts w:ascii="Cambria" w:eastAsia="SimSun" w:hAnsi="Cambria"/>
          <w:color w:val="365F91"/>
          <w:kern w:val="0"/>
          <w:sz w:val="32"/>
          <w:szCs w:val="32"/>
          <w14:ligatures w14:val="none"/>
        </w:rPr>
      </w:pPr>
    </w:p>
    <w:p w14:paraId="3CDF1C2B" w14:textId="77777777" w:rsidR="00D23B3F" w:rsidRDefault="00D23B3F">
      <w:pPr>
        <w:rPr>
          <w:rFonts w:ascii="Cambria" w:eastAsia="SimSun" w:hAnsi="Cambria"/>
          <w:color w:val="365F91"/>
          <w:kern w:val="0"/>
          <w:sz w:val="32"/>
          <w:szCs w:val="32"/>
          <w14:ligatures w14:val="none"/>
        </w:rPr>
      </w:pPr>
    </w:p>
    <w:p w14:paraId="36AE296F" w14:textId="77777777" w:rsidR="00D23B3F" w:rsidRDefault="00D23B3F">
      <w:pPr>
        <w:rPr>
          <w:rFonts w:ascii="Cambria" w:eastAsia="SimSun" w:hAnsi="Cambria"/>
          <w:color w:val="365F91"/>
          <w:kern w:val="0"/>
          <w:sz w:val="32"/>
          <w:szCs w:val="32"/>
          <w14:ligatures w14:val="none"/>
        </w:rPr>
      </w:pPr>
    </w:p>
    <w:p w14:paraId="00713430" w14:textId="77777777" w:rsidR="001C6890" w:rsidRDefault="001C6890">
      <w:pPr>
        <w:rPr>
          <w:rFonts w:ascii="Cambria" w:eastAsia="SimSun" w:hAnsi="Cambria"/>
          <w:color w:val="365F91"/>
          <w:kern w:val="0"/>
          <w:sz w:val="32"/>
          <w:szCs w:val="32"/>
          <w14:ligatures w14:val="none"/>
        </w:rPr>
      </w:pPr>
    </w:p>
    <w:p w14:paraId="11EBCF36" w14:textId="77777777" w:rsidR="001C6890" w:rsidRDefault="00000000">
      <w:pPr>
        <w:pStyle w:val="TOCHeading"/>
      </w:pPr>
      <w:r>
        <w:t>Table of Contents</w:t>
      </w:r>
    </w:p>
    <w:p w14:paraId="1E78FFD2" w14:textId="77777777" w:rsidR="001C6890" w:rsidRDefault="00000000">
      <w:pPr>
        <w:pStyle w:val="TOC1"/>
        <w:tabs>
          <w:tab w:val="right" w:leader="dot" w:pos="9350"/>
        </w:tabs>
        <w:rPr>
          <w:noProof/>
        </w:rPr>
      </w:pPr>
      <w:r>
        <w:fldChar w:fldCharType="begin"/>
      </w:r>
      <w:r>
        <w:instrText xml:space="preserve"> TOC \o "1-3" \h \z \u </w:instrText>
      </w:r>
      <w:r>
        <w:fldChar w:fldCharType="separate"/>
      </w:r>
      <w:hyperlink w:anchor="_Toc210941526" w:history="1">
        <w:r w:rsidR="001C6890">
          <w:rPr>
            <w:rStyle w:val="Hyperlink"/>
            <w:noProof/>
          </w:rPr>
          <w:t>1. Introduction</w:t>
        </w:r>
        <w:r w:rsidR="001C6890">
          <w:rPr>
            <w:noProof/>
            <w:webHidden/>
          </w:rPr>
          <w:tab/>
        </w:r>
        <w:r w:rsidR="001C6890">
          <w:rPr>
            <w:noProof/>
            <w:webHidden/>
          </w:rPr>
          <w:fldChar w:fldCharType="begin"/>
        </w:r>
        <w:r w:rsidR="001C6890">
          <w:rPr>
            <w:noProof/>
            <w:webHidden/>
          </w:rPr>
          <w:instrText xml:space="preserve"> PAGEREF _Toc210941526 \h </w:instrText>
        </w:r>
        <w:r w:rsidR="001C6890">
          <w:rPr>
            <w:noProof/>
            <w:webHidden/>
          </w:rPr>
        </w:r>
        <w:r w:rsidR="001C6890">
          <w:rPr>
            <w:noProof/>
            <w:webHidden/>
          </w:rPr>
          <w:fldChar w:fldCharType="separate"/>
        </w:r>
        <w:r w:rsidR="001C6890">
          <w:rPr>
            <w:noProof/>
            <w:webHidden/>
          </w:rPr>
          <w:t>2</w:t>
        </w:r>
        <w:r w:rsidR="001C6890">
          <w:rPr>
            <w:noProof/>
            <w:webHidden/>
          </w:rPr>
          <w:fldChar w:fldCharType="end"/>
        </w:r>
      </w:hyperlink>
    </w:p>
    <w:p w14:paraId="22FAD8EB" w14:textId="77777777" w:rsidR="001C6890" w:rsidRDefault="001C6890">
      <w:pPr>
        <w:pStyle w:val="TOC1"/>
        <w:tabs>
          <w:tab w:val="right" w:leader="dot" w:pos="9350"/>
        </w:tabs>
        <w:rPr>
          <w:noProof/>
        </w:rPr>
      </w:pPr>
      <w:hyperlink w:anchor="_Toc210941527" w:history="1">
        <w:r>
          <w:rPr>
            <w:rStyle w:val="Hyperlink"/>
            <w:noProof/>
          </w:rPr>
          <w:t>2. Job Employability Skills</w:t>
        </w:r>
        <w:r>
          <w:rPr>
            <w:noProof/>
            <w:webHidden/>
          </w:rPr>
          <w:tab/>
        </w:r>
        <w:r>
          <w:rPr>
            <w:noProof/>
            <w:webHidden/>
          </w:rPr>
          <w:fldChar w:fldCharType="begin"/>
        </w:r>
        <w:r>
          <w:rPr>
            <w:noProof/>
            <w:webHidden/>
          </w:rPr>
          <w:instrText xml:space="preserve"> PAGEREF _Toc210941527 \h </w:instrText>
        </w:r>
        <w:r>
          <w:rPr>
            <w:noProof/>
            <w:webHidden/>
          </w:rPr>
        </w:r>
        <w:r>
          <w:rPr>
            <w:noProof/>
            <w:webHidden/>
          </w:rPr>
          <w:fldChar w:fldCharType="separate"/>
        </w:r>
        <w:r>
          <w:rPr>
            <w:noProof/>
            <w:webHidden/>
          </w:rPr>
          <w:t>2</w:t>
        </w:r>
        <w:r>
          <w:rPr>
            <w:noProof/>
            <w:webHidden/>
          </w:rPr>
          <w:fldChar w:fldCharType="end"/>
        </w:r>
      </w:hyperlink>
    </w:p>
    <w:p w14:paraId="0C60855B" w14:textId="77777777" w:rsidR="001C6890" w:rsidRDefault="001C6890">
      <w:pPr>
        <w:pStyle w:val="TOC1"/>
        <w:tabs>
          <w:tab w:val="right" w:leader="dot" w:pos="9350"/>
        </w:tabs>
        <w:rPr>
          <w:noProof/>
        </w:rPr>
      </w:pPr>
      <w:hyperlink w:anchor="_Toc210941528" w:history="1">
        <w:r>
          <w:rPr>
            <w:rStyle w:val="Hyperlink"/>
            <w:noProof/>
          </w:rPr>
          <w:t>3. My Own Skills Evaluation</w:t>
        </w:r>
        <w:r>
          <w:rPr>
            <w:noProof/>
            <w:webHidden/>
          </w:rPr>
          <w:tab/>
        </w:r>
        <w:r>
          <w:rPr>
            <w:noProof/>
            <w:webHidden/>
          </w:rPr>
          <w:fldChar w:fldCharType="begin"/>
        </w:r>
        <w:r>
          <w:rPr>
            <w:noProof/>
            <w:webHidden/>
          </w:rPr>
          <w:instrText xml:space="preserve"> PAGEREF _Toc210941528 \h </w:instrText>
        </w:r>
        <w:r>
          <w:rPr>
            <w:noProof/>
            <w:webHidden/>
          </w:rPr>
        </w:r>
        <w:r>
          <w:rPr>
            <w:noProof/>
            <w:webHidden/>
          </w:rPr>
          <w:fldChar w:fldCharType="separate"/>
        </w:r>
        <w:r>
          <w:rPr>
            <w:noProof/>
            <w:webHidden/>
          </w:rPr>
          <w:t>3</w:t>
        </w:r>
        <w:r>
          <w:rPr>
            <w:noProof/>
            <w:webHidden/>
          </w:rPr>
          <w:fldChar w:fldCharType="end"/>
        </w:r>
      </w:hyperlink>
    </w:p>
    <w:p w14:paraId="6DE8A4F2" w14:textId="77777777" w:rsidR="001C6890" w:rsidRDefault="001C6890">
      <w:pPr>
        <w:pStyle w:val="TOC1"/>
        <w:tabs>
          <w:tab w:val="right" w:leader="dot" w:pos="9350"/>
        </w:tabs>
        <w:rPr>
          <w:noProof/>
        </w:rPr>
      </w:pPr>
      <w:hyperlink w:anchor="_Toc210941529" w:history="1">
        <w:r>
          <w:rPr>
            <w:rStyle w:val="Hyperlink"/>
            <w:noProof/>
          </w:rPr>
          <w:t>5. Building My Personal Brand</w:t>
        </w:r>
        <w:r>
          <w:rPr>
            <w:noProof/>
            <w:webHidden/>
          </w:rPr>
          <w:tab/>
        </w:r>
        <w:r>
          <w:rPr>
            <w:noProof/>
            <w:webHidden/>
          </w:rPr>
          <w:fldChar w:fldCharType="begin"/>
        </w:r>
        <w:r>
          <w:rPr>
            <w:noProof/>
            <w:webHidden/>
          </w:rPr>
          <w:instrText xml:space="preserve"> PAGEREF _Toc210941529 \h </w:instrText>
        </w:r>
        <w:r>
          <w:rPr>
            <w:noProof/>
            <w:webHidden/>
          </w:rPr>
        </w:r>
        <w:r>
          <w:rPr>
            <w:noProof/>
            <w:webHidden/>
          </w:rPr>
          <w:fldChar w:fldCharType="separate"/>
        </w:r>
        <w:r>
          <w:rPr>
            <w:noProof/>
            <w:webHidden/>
          </w:rPr>
          <w:t>5</w:t>
        </w:r>
        <w:r>
          <w:rPr>
            <w:noProof/>
            <w:webHidden/>
          </w:rPr>
          <w:fldChar w:fldCharType="end"/>
        </w:r>
      </w:hyperlink>
    </w:p>
    <w:p w14:paraId="110CD8E8" w14:textId="77777777" w:rsidR="001C6890" w:rsidRDefault="001C6890">
      <w:pPr>
        <w:pStyle w:val="TOC1"/>
        <w:tabs>
          <w:tab w:val="right" w:leader="dot" w:pos="9350"/>
        </w:tabs>
        <w:rPr>
          <w:noProof/>
        </w:rPr>
      </w:pPr>
      <w:hyperlink w:anchor="_Toc210941530" w:history="1">
        <w:r>
          <w:rPr>
            <w:rStyle w:val="Hyperlink"/>
            <w:noProof/>
          </w:rPr>
          <w:t>6. Promotion of My Professional Identity</w:t>
        </w:r>
        <w:r>
          <w:rPr>
            <w:noProof/>
            <w:webHidden/>
          </w:rPr>
          <w:tab/>
        </w:r>
        <w:r>
          <w:rPr>
            <w:noProof/>
            <w:webHidden/>
          </w:rPr>
          <w:fldChar w:fldCharType="begin"/>
        </w:r>
        <w:r>
          <w:rPr>
            <w:noProof/>
            <w:webHidden/>
          </w:rPr>
          <w:instrText xml:space="preserve"> PAGEREF _Toc210941530 \h </w:instrText>
        </w:r>
        <w:r>
          <w:rPr>
            <w:noProof/>
            <w:webHidden/>
          </w:rPr>
        </w:r>
        <w:r>
          <w:rPr>
            <w:noProof/>
            <w:webHidden/>
          </w:rPr>
          <w:fldChar w:fldCharType="separate"/>
        </w:r>
        <w:r>
          <w:rPr>
            <w:noProof/>
            <w:webHidden/>
          </w:rPr>
          <w:t>6</w:t>
        </w:r>
        <w:r>
          <w:rPr>
            <w:noProof/>
            <w:webHidden/>
          </w:rPr>
          <w:fldChar w:fldCharType="end"/>
        </w:r>
      </w:hyperlink>
    </w:p>
    <w:p w14:paraId="34E9F740" w14:textId="77777777" w:rsidR="001C6890" w:rsidRDefault="001C6890">
      <w:pPr>
        <w:pStyle w:val="TOC1"/>
        <w:tabs>
          <w:tab w:val="right" w:leader="dot" w:pos="9350"/>
        </w:tabs>
        <w:rPr>
          <w:noProof/>
        </w:rPr>
      </w:pPr>
      <w:hyperlink w:anchor="_Toc210941531" w:history="1">
        <w:r>
          <w:rPr>
            <w:rStyle w:val="Hyperlink"/>
            <w:noProof/>
          </w:rPr>
          <w:t>7. Building a Network to Succeed in getting a job</w:t>
        </w:r>
        <w:r>
          <w:rPr>
            <w:noProof/>
            <w:webHidden/>
          </w:rPr>
          <w:tab/>
        </w:r>
        <w:r>
          <w:rPr>
            <w:noProof/>
            <w:webHidden/>
          </w:rPr>
          <w:fldChar w:fldCharType="begin"/>
        </w:r>
        <w:r>
          <w:rPr>
            <w:noProof/>
            <w:webHidden/>
          </w:rPr>
          <w:instrText xml:space="preserve"> PAGEREF _Toc210941531 \h </w:instrText>
        </w:r>
        <w:r>
          <w:rPr>
            <w:noProof/>
            <w:webHidden/>
          </w:rPr>
        </w:r>
        <w:r>
          <w:rPr>
            <w:noProof/>
            <w:webHidden/>
          </w:rPr>
          <w:fldChar w:fldCharType="separate"/>
        </w:r>
        <w:r>
          <w:rPr>
            <w:noProof/>
            <w:webHidden/>
          </w:rPr>
          <w:t>6</w:t>
        </w:r>
        <w:r>
          <w:rPr>
            <w:noProof/>
            <w:webHidden/>
          </w:rPr>
          <w:fldChar w:fldCharType="end"/>
        </w:r>
      </w:hyperlink>
    </w:p>
    <w:p w14:paraId="0EBF2A38" w14:textId="77777777" w:rsidR="001C6890" w:rsidRDefault="001C6890">
      <w:pPr>
        <w:pStyle w:val="TOC1"/>
        <w:tabs>
          <w:tab w:val="right" w:leader="dot" w:pos="9350"/>
        </w:tabs>
        <w:rPr>
          <w:noProof/>
        </w:rPr>
      </w:pPr>
      <w:hyperlink w:anchor="_Toc210941532" w:history="1">
        <w:r>
          <w:rPr>
            <w:rStyle w:val="Hyperlink"/>
            <w:noProof/>
          </w:rPr>
          <w:t>8. Conclusion</w:t>
        </w:r>
        <w:r>
          <w:rPr>
            <w:noProof/>
            <w:webHidden/>
          </w:rPr>
          <w:tab/>
        </w:r>
        <w:r>
          <w:rPr>
            <w:noProof/>
            <w:webHidden/>
          </w:rPr>
          <w:fldChar w:fldCharType="begin"/>
        </w:r>
        <w:r>
          <w:rPr>
            <w:noProof/>
            <w:webHidden/>
          </w:rPr>
          <w:instrText xml:space="preserve"> PAGEREF _Toc210941532 \h </w:instrText>
        </w:r>
        <w:r>
          <w:rPr>
            <w:noProof/>
            <w:webHidden/>
          </w:rPr>
        </w:r>
        <w:r>
          <w:rPr>
            <w:noProof/>
            <w:webHidden/>
          </w:rPr>
          <w:fldChar w:fldCharType="separate"/>
        </w:r>
        <w:r>
          <w:rPr>
            <w:noProof/>
            <w:webHidden/>
          </w:rPr>
          <w:t>7</w:t>
        </w:r>
        <w:r>
          <w:rPr>
            <w:noProof/>
            <w:webHidden/>
          </w:rPr>
          <w:fldChar w:fldCharType="end"/>
        </w:r>
      </w:hyperlink>
    </w:p>
    <w:p w14:paraId="56C36342" w14:textId="77777777" w:rsidR="001C6890" w:rsidRDefault="001C6890">
      <w:pPr>
        <w:pStyle w:val="TOC1"/>
        <w:tabs>
          <w:tab w:val="right" w:leader="dot" w:pos="9350"/>
        </w:tabs>
        <w:rPr>
          <w:noProof/>
        </w:rPr>
      </w:pPr>
      <w:hyperlink w:anchor="_Toc210941533" w:history="1">
        <w:r>
          <w:rPr>
            <w:rStyle w:val="Hyperlink"/>
            <w:noProof/>
          </w:rPr>
          <w:t>9. References</w:t>
        </w:r>
        <w:r>
          <w:rPr>
            <w:noProof/>
            <w:webHidden/>
          </w:rPr>
          <w:tab/>
        </w:r>
        <w:r>
          <w:rPr>
            <w:noProof/>
            <w:webHidden/>
          </w:rPr>
          <w:fldChar w:fldCharType="begin"/>
        </w:r>
        <w:r>
          <w:rPr>
            <w:noProof/>
            <w:webHidden/>
          </w:rPr>
          <w:instrText xml:space="preserve"> PAGEREF _Toc210941533 \h </w:instrText>
        </w:r>
        <w:r>
          <w:rPr>
            <w:noProof/>
            <w:webHidden/>
          </w:rPr>
        </w:r>
        <w:r>
          <w:rPr>
            <w:noProof/>
            <w:webHidden/>
          </w:rPr>
          <w:fldChar w:fldCharType="separate"/>
        </w:r>
        <w:r>
          <w:rPr>
            <w:noProof/>
            <w:webHidden/>
          </w:rPr>
          <w:t>8</w:t>
        </w:r>
        <w:r>
          <w:rPr>
            <w:noProof/>
            <w:webHidden/>
          </w:rPr>
          <w:fldChar w:fldCharType="end"/>
        </w:r>
      </w:hyperlink>
    </w:p>
    <w:p w14:paraId="20C3CEAB" w14:textId="77777777" w:rsidR="001C6890" w:rsidRDefault="00000000">
      <w:r>
        <w:rPr>
          <w:b/>
          <w:bCs/>
          <w:noProof/>
        </w:rPr>
        <w:fldChar w:fldCharType="end"/>
      </w:r>
    </w:p>
    <w:p w14:paraId="12DC3AFC" w14:textId="77777777" w:rsidR="001C6890" w:rsidRDefault="001C6890">
      <w:pPr>
        <w:spacing w:line="360" w:lineRule="auto"/>
        <w:rPr>
          <w:rFonts w:ascii="Arial" w:hAnsi="Arial" w:cs="Arial"/>
        </w:rPr>
      </w:pPr>
    </w:p>
    <w:p w14:paraId="25CF8641" w14:textId="77777777" w:rsidR="001C6890" w:rsidRDefault="001C6890">
      <w:pPr>
        <w:spacing w:line="360" w:lineRule="auto"/>
        <w:rPr>
          <w:rFonts w:ascii="Arial" w:hAnsi="Arial" w:cs="Arial"/>
        </w:rPr>
      </w:pPr>
    </w:p>
    <w:p w14:paraId="255E21A3" w14:textId="77777777" w:rsidR="001C6890" w:rsidRDefault="001C6890">
      <w:pPr>
        <w:spacing w:line="360" w:lineRule="auto"/>
        <w:rPr>
          <w:rFonts w:ascii="Arial" w:hAnsi="Arial" w:cs="Arial"/>
        </w:rPr>
      </w:pPr>
    </w:p>
    <w:p w14:paraId="273D42A2" w14:textId="77777777" w:rsidR="001C6890" w:rsidRDefault="001C6890">
      <w:pPr>
        <w:spacing w:line="360" w:lineRule="auto"/>
        <w:rPr>
          <w:rFonts w:ascii="Arial" w:hAnsi="Arial" w:cs="Arial"/>
        </w:rPr>
      </w:pPr>
    </w:p>
    <w:p w14:paraId="74320136" w14:textId="77777777" w:rsidR="001C6890" w:rsidRDefault="001C6890">
      <w:pPr>
        <w:spacing w:line="360" w:lineRule="auto"/>
        <w:rPr>
          <w:rFonts w:ascii="Arial" w:hAnsi="Arial" w:cs="Arial"/>
        </w:rPr>
      </w:pPr>
    </w:p>
    <w:p w14:paraId="3D6575F2" w14:textId="77777777" w:rsidR="001C6890" w:rsidRDefault="001C6890">
      <w:pPr>
        <w:spacing w:line="360" w:lineRule="auto"/>
        <w:rPr>
          <w:rFonts w:ascii="Arial" w:hAnsi="Arial" w:cs="Arial"/>
        </w:rPr>
      </w:pPr>
    </w:p>
    <w:p w14:paraId="786A8C2B" w14:textId="77777777" w:rsidR="001C6890" w:rsidRDefault="001C6890">
      <w:pPr>
        <w:spacing w:line="360" w:lineRule="auto"/>
        <w:rPr>
          <w:rFonts w:ascii="Arial" w:hAnsi="Arial" w:cs="Arial"/>
        </w:rPr>
      </w:pPr>
    </w:p>
    <w:p w14:paraId="2A9043DC" w14:textId="77777777" w:rsidR="001C6890" w:rsidRDefault="001C6890">
      <w:pPr>
        <w:spacing w:line="360" w:lineRule="auto"/>
        <w:rPr>
          <w:rFonts w:ascii="Arial" w:hAnsi="Arial" w:cs="Arial"/>
        </w:rPr>
      </w:pPr>
    </w:p>
    <w:p w14:paraId="7B881AAC" w14:textId="77777777" w:rsidR="001C6890" w:rsidRDefault="001C6890">
      <w:pPr>
        <w:spacing w:line="360" w:lineRule="auto"/>
        <w:rPr>
          <w:rFonts w:ascii="Arial" w:hAnsi="Arial" w:cs="Arial"/>
        </w:rPr>
      </w:pPr>
    </w:p>
    <w:p w14:paraId="2F742AD4" w14:textId="77777777" w:rsidR="001C6890" w:rsidRDefault="001C6890">
      <w:pPr>
        <w:spacing w:line="360" w:lineRule="auto"/>
        <w:rPr>
          <w:rFonts w:ascii="Arial" w:hAnsi="Arial" w:cs="Arial"/>
        </w:rPr>
      </w:pPr>
    </w:p>
    <w:p w14:paraId="169BC1B0" w14:textId="77777777" w:rsidR="001C6890" w:rsidRDefault="001C6890">
      <w:pPr>
        <w:spacing w:line="360" w:lineRule="auto"/>
        <w:rPr>
          <w:rFonts w:ascii="Arial" w:hAnsi="Arial" w:cs="Arial"/>
        </w:rPr>
      </w:pPr>
    </w:p>
    <w:p w14:paraId="70623907" w14:textId="77777777" w:rsidR="001C6890" w:rsidRDefault="001C6890">
      <w:pPr>
        <w:spacing w:line="360" w:lineRule="auto"/>
        <w:rPr>
          <w:rFonts w:ascii="Arial" w:hAnsi="Arial" w:cs="Arial"/>
        </w:rPr>
      </w:pPr>
    </w:p>
    <w:p w14:paraId="0332B550" w14:textId="77777777" w:rsidR="001C6890" w:rsidRDefault="001C6890">
      <w:pPr>
        <w:spacing w:line="360" w:lineRule="auto"/>
        <w:rPr>
          <w:rFonts w:ascii="Arial" w:hAnsi="Arial" w:cs="Arial"/>
        </w:rPr>
      </w:pPr>
    </w:p>
    <w:p w14:paraId="4B62639A" w14:textId="77777777" w:rsidR="001C6890" w:rsidRDefault="001C6890">
      <w:pPr>
        <w:spacing w:line="360" w:lineRule="auto"/>
        <w:rPr>
          <w:rFonts w:ascii="Arial" w:hAnsi="Arial" w:cs="Arial"/>
        </w:rPr>
      </w:pPr>
    </w:p>
    <w:p w14:paraId="1893E4DD" w14:textId="77777777" w:rsidR="001C6890" w:rsidRPr="000A2764" w:rsidRDefault="00000000" w:rsidP="000A2764">
      <w:pPr>
        <w:pStyle w:val="Heading1"/>
        <w:spacing w:line="360" w:lineRule="auto"/>
        <w:jc w:val="both"/>
        <w:rPr>
          <w:rFonts w:cs="Arial"/>
          <w:sz w:val="22"/>
          <w:szCs w:val="22"/>
        </w:rPr>
      </w:pPr>
      <w:bookmarkStart w:id="0" w:name="_Toc210941526"/>
      <w:r w:rsidRPr="000A2764">
        <w:rPr>
          <w:rFonts w:cs="Arial"/>
          <w:sz w:val="22"/>
          <w:szCs w:val="22"/>
        </w:rPr>
        <w:lastRenderedPageBreak/>
        <w:t>1. Introduction</w:t>
      </w:r>
      <w:bookmarkEnd w:id="0"/>
      <w:r w:rsidRPr="000A2764">
        <w:rPr>
          <w:rFonts w:cs="Arial"/>
          <w:sz w:val="22"/>
          <w:szCs w:val="22"/>
        </w:rPr>
        <w:t xml:space="preserve"> </w:t>
      </w:r>
    </w:p>
    <w:p w14:paraId="7CBFBB90" w14:textId="77777777" w:rsidR="001C6890" w:rsidRPr="000A2764" w:rsidRDefault="00000000" w:rsidP="000A2764">
      <w:pPr>
        <w:spacing w:line="360" w:lineRule="auto"/>
        <w:jc w:val="both"/>
        <w:rPr>
          <w:rFonts w:ascii="Arial" w:hAnsi="Arial" w:cs="Arial"/>
        </w:rPr>
      </w:pPr>
      <w:r w:rsidRPr="000A2764">
        <w:rPr>
          <w:rFonts w:ascii="Arial" w:hAnsi="Arial" w:cs="Arial"/>
        </w:rPr>
        <w:t>Healthcare Assistant (HCA) role in the NHS is essential in aiding the nurses to provide safe, caring, and quality care. HCAs collaborate with patients, provide personal care, help them move around, eat, and feel comfortable and respectful to preserve dignity (Carroll et al., 2024). One of the recent NHS Band 3 positions, which is offered at Mid and South Essex NHS Foundation Trust, emphasizes the following main skills: communication, teamwork, empathy, and compliance with the values of the NHS 6Cs (Health Care Support Worker, 2025). These competencies will contribute to successful patient-centred practice and correspond to the increased understanding of the role of HCAs in multidisciplinary healthcare delivery (Fee et al., 2020).</w:t>
      </w:r>
    </w:p>
    <w:p w14:paraId="628B75E0" w14:textId="77777777" w:rsidR="001C6890" w:rsidRPr="000A2764" w:rsidRDefault="00000000" w:rsidP="000A2764">
      <w:pPr>
        <w:pStyle w:val="Heading1"/>
        <w:spacing w:line="360" w:lineRule="auto"/>
        <w:jc w:val="both"/>
        <w:rPr>
          <w:rFonts w:cs="Arial"/>
          <w:sz w:val="22"/>
          <w:szCs w:val="22"/>
        </w:rPr>
      </w:pPr>
      <w:bookmarkStart w:id="1" w:name="_Toc210941527"/>
      <w:r w:rsidRPr="000A2764">
        <w:rPr>
          <w:rFonts w:cs="Arial"/>
          <w:sz w:val="22"/>
          <w:szCs w:val="22"/>
        </w:rPr>
        <w:t>2. Job Employability Skills</w:t>
      </w:r>
      <w:bookmarkEnd w:id="1"/>
      <w:r w:rsidRPr="000A2764">
        <w:rPr>
          <w:rFonts w:cs="Arial"/>
          <w:sz w:val="22"/>
          <w:szCs w:val="22"/>
        </w:rPr>
        <w:t xml:space="preserve"> </w:t>
      </w:r>
    </w:p>
    <w:p w14:paraId="1B36083D" w14:textId="77777777" w:rsidR="001C6890" w:rsidRPr="000A2764" w:rsidRDefault="00000000" w:rsidP="000A2764">
      <w:pPr>
        <w:spacing w:line="360" w:lineRule="auto"/>
        <w:jc w:val="both"/>
        <w:rPr>
          <w:rFonts w:ascii="Arial" w:hAnsi="Arial" w:cs="Arial"/>
        </w:rPr>
      </w:pPr>
      <w:r w:rsidRPr="000A2764">
        <w:rPr>
          <w:rFonts w:ascii="Arial" w:hAnsi="Arial" w:cs="Arial"/>
        </w:rPr>
        <w:t>A Healthcare Assistant (HCA) position in the NHS demands a firm base of employability competencies to deliver safe, caring, and patient-centred care. Communication is the most important among them. Efficient communication will enable the HCAs to provide the correct information, be an active listener, and establish trust between patients and multidisciplinary teams (Zota et al., 2023). Care may be undermined by barriers like time constraints or emotional pressure, and this fact prompts the need to systematize communication training and reflection as could have been suggested in the NHS and Health Education England (HEE) guidelines.</w:t>
      </w:r>
    </w:p>
    <w:p w14:paraId="02E6DB4A" w14:textId="77777777" w:rsidR="001C6890" w:rsidRPr="000A2764" w:rsidRDefault="00000000" w:rsidP="000A2764">
      <w:pPr>
        <w:spacing w:line="360" w:lineRule="auto"/>
        <w:jc w:val="both"/>
        <w:rPr>
          <w:rFonts w:ascii="Arial" w:hAnsi="Arial" w:cs="Arial"/>
        </w:rPr>
      </w:pPr>
      <w:r w:rsidRPr="000A2764">
        <w:rPr>
          <w:rFonts w:ascii="Arial" w:hAnsi="Arial" w:cs="Arial"/>
        </w:rPr>
        <w:t>Helping with teamwork is also a critical factor because HCAs work closely with nurses and fellow health professionals to provide smooth care. Based on the research, a well-developed division of roles, shared respect, and transparent communication contribute to the effectiveness of teamwork and patient outcomes (Wong et al., 2025). The NHS 6Cs framework supports the idea of collaboration and communication because the specified values are the key principles that maintain the quality standards in the health care practice.</w:t>
      </w:r>
    </w:p>
    <w:p w14:paraId="6D77522A" w14:textId="77777777" w:rsidR="001C6890" w:rsidRPr="000A2764" w:rsidRDefault="00000000" w:rsidP="000A2764">
      <w:pPr>
        <w:spacing w:line="360" w:lineRule="auto"/>
        <w:jc w:val="both"/>
        <w:rPr>
          <w:rFonts w:ascii="Arial" w:hAnsi="Arial" w:cs="Arial"/>
        </w:rPr>
      </w:pPr>
      <w:r w:rsidRPr="000A2764">
        <w:rPr>
          <w:rFonts w:ascii="Arial" w:hAnsi="Arial" w:cs="Arial"/>
        </w:rPr>
        <w:t>Patient care is based mainly on empathy and compassion. Compassionate care enhances patient satisfaction and trust, as well as recovery, and aids in promoting professional fulfilment among personnel (Malenfant et al., 2022). One of the NHS 6Cs’ compassions is translated to attentive listening, comfort, and human connection behaviours that are critical to HCAs offering personal and emotional support to vulnerable people.</w:t>
      </w:r>
    </w:p>
    <w:p w14:paraId="1597FC84"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Other important competencies are problem-solving and infection control. HCAs often find themselves in unpredictable circumstances and must make positive judgements and fast decisions. Compliance with hygiene safety procedures and safe-handling practices are also </w:t>
      </w:r>
      <w:r w:rsidRPr="000A2764">
        <w:rPr>
          <w:rFonts w:ascii="Arial" w:hAnsi="Arial" w:cs="Arial"/>
        </w:rPr>
        <w:lastRenderedPageBreak/>
        <w:t>necessary to ensure patient safety and health and are also inclusive of the Skills for Care Certificate requirements.</w:t>
      </w:r>
    </w:p>
    <w:p w14:paraId="02BF03B0" w14:textId="77777777" w:rsidR="001C6890" w:rsidRPr="000A2764" w:rsidRDefault="00000000" w:rsidP="000A2764">
      <w:pPr>
        <w:spacing w:line="360" w:lineRule="auto"/>
        <w:jc w:val="both"/>
        <w:rPr>
          <w:rFonts w:ascii="Arial" w:hAnsi="Arial" w:cs="Arial"/>
        </w:rPr>
      </w:pPr>
      <w:r w:rsidRPr="000A2764">
        <w:rPr>
          <w:rFonts w:ascii="Arial" w:hAnsi="Arial" w:cs="Arial"/>
        </w:rPr>
        <w:t>To conclude, the NHS HCA profession combines the use of intellectual expertise and emotional intelligence. Infection control, problem-solving, teamwork, empathy, and communication are competencies that cannot work without each other, as they demonstrate compassionate, safe, and effective patient care, which is a characteristic of the NHS and its focus on quality and constant professional growth (Zota et al., 2023).</w:t>
      </w:r>
    </w:p>
    <w:p w14:paraId="74FD1F19" w14:textId="77777777" w:rsidR="001C6890" w:rsidRPr="000A2764" w:rsidRDefault="00000000" w:rsidP="000A2764">
      <w:pPr>
        <w:pStyle w:val="Heading1"/>
        <w:spacing w:line="360" w:lineRule="auto"/>
        <w:jc w:val="both"/>
        <w:rPr>
          <w:rFonts w:cs="Arial"/>
          <w:sz w:val="22"/>
          <w:szCs w:val="22"/>
        </w:rPr>
      </w:pPr>
      <w:bookmarkStart w:id="2" w:name="_Toc210941528"/>
      <w:r w:rsidRPr="000A2764">
        <w:rPr>
          <w:rFonts w:cs="Arial"/>
          <w:sz w:val="22"/>
          <w:szCs w:val="22"/>
        </w:rPr>
        <w:t>3. My Own Skills Evaluation</w:t>
      </w:r>
      <w:bookmarkEnd w:id="2"/>
    </w:p>
    <w:p w14:paraId="2D9EE9B6" w14:textId="77777777" w:rsidR="001C6890" w:rsidRPr="000A2764" w:rsidRDefault="00000000" w:rsidP="000A2764">
      <w:pPr>
        <w:spacing w:line="360" w:lineRule="auto"/>
        <w:jc w:val="both"/>
        <w:rPr>
          <w:rFonts w:ascii="Arial" w:hAnsi="Arial" w:cs="Arial"/>
        </w:rPr>
      </w:pPr>
      <w:r w:rsidRPr="000A2764">
        <w:rPr>
          <w:rFonts w:ascii="Arial" w:hAnsi="Arial" w:cs="Arial"/>
        </w:rPr>
        <w:t>To test my readiness to the position of Healthcare Assistant (HCA) at the NHS, I have performed a self-assessment based on a SWOT framework (Strengths, Weaknesses, Opportunities, Threats). The reflective practice helped me to find out what my existing competencies, transferable skills, and gaps were and how I could relate it with the demands of the NHS Band 3 job description. Reflective practice facilitates self-awareness and lifelong learning because experiences are converted into professional knowledge (Sherwood, 2024).</w:t>
      </w:r>
    </w:p>
    <w:p w14:paraId="4478BD9D" w14:textId="77777777" w:rsidR="001C6890" w:rsidRPr="000A2764" w:rsidRDefault="00000000" w:rsidP="000A2764">
      <w:pPr>
        <w:spacing w:line="360" w:lineRule="auto"/>
        <w:jc w:val="both"/>
        <w:rPr>
          <w:rFonts w:ascii="Arial" w:hAnsi="Arial" w:cs="Arial"/>
        </w:rPr>
      </w:pPr>
      <w:r w:rsidRPr="000A2764">
        <w:rPr>
          <w:rFonts w:ascii="Arial" w:hAnsi="Arial" w:cs="Arial"/>
        </w:rPr>
        <w:t>Strengths: I have strong strengths that are effective communication, empathy and teamwork. As I worked on my course and volunteered at a care home, I have acquired excellent communication and interpersonal skills in helping the residents with their daily routines and emotional help. These experiences helped me to develop the capacity to establish trust and communicate effectively, which are the key elements of patient-centred care (Edelist et al., 2024). Moreover, my listening and empathy capabilities demonstrate the 6Cs of the NHS compassion and communicative behavior. These qualities will make me aware of the needs of patients and attend to them in a sensitive manner to ensure that the patients are in a supportive and dignified care setting.</w:t>
      </w:r>
    </w:p>
    <w:p w14:paraId="670F0959" w14:textId="77777777" w:rsidR="001C6890" w:rsidRPr="000A2764" w:rsidRDefault="00000000" w:rsidP="000A2764">
      <w:pPr>
        <w:spacing w:line="360" w:lineRule="auto"/>
        <w:jc w:val="both"/>
        <w:rPr>
          <w:rFonts w:ascii="Arial" w:hAnsi="Arial" w:cs="Arial"/>
        </w:rPr>
      </w:pPr>
      <w:r w:rsidRPr="000A2764">
        <w:rPr>
          <w:rFonts w:ascii="Arial" w:hAnsi="Arial" w:cs="Arial"/>
        </w:rPr>
        <w:t>Weaknesses: One of the weaknesses is dealing with stress in stressful situations. Despite the fact I would not panic in everyday situations, sometimes I struggle with managing several priorities in a shift with active changes. As mentioned by Al-Mutawa et al. (2024), reflective writing would allow me to investigate emotional responses and acquire adaptive coping mechanisms. Also, my clinical knowledge, especially in infection control and monitoring the patient, needs to be improved further with practical experience and mentoring.</w:t>
      </w:r>
    </w:p>
    <w:p w14:paraId="46E688F4"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Transferability, and USP: My transferable skills are adaptability, problem-solving, and cultural sensitivity, which I have acquired during the past academic group projects and volunteering. I have a Unique Selling Point (USP) of compassionate communication style and the ability to relate </w:t>
      </w:r>
      <w:r w:rsidRPr="000A2764">
        <w:rPr>
          <w:rFonts w:ascii="Arial" w:hAnsi="Arial" w:cs="Arial"/>
        </w:rPr>
        <w:lastRenderedPageBreak/>
        <w:t>to patients with a wide range of backgrounds due to my cultural awareness, which is also a more appreciated quality in the NHS.</w:t>
      </w:r>
    </w:p>
    <w:p w14:paraId="1520C884" w14:textId="77777777" w:rsidR="001C6890" w:rsidRPr="000A2764" w:rsidRDefault="00000000" w:rsidP="000A2764">
      <w:pPr>
        <w:spacing w:line="360" w:lineRule="auto"/>
        <w:jc w:val="both"/>
        <w:rPr>
          <w:rFonts w:ascii="Arial" w:hAnsi="Arial" w:cs="Arial"/>
        </w:rPr>
      </w:pPr>
      <w:r w:rsidRPr="000A2764">
        <w:rPr>
          <w:rFonts w:ascii="Arial" w:hAnsi="Arial" w:cs="Arial"/>
        </w:rPr>
        <w:t>Support and Development: To reinforce my competencies, I will use reflective supervision and request feedback from mentors, lecturers, and superiors in healthcare. Marshall et al. (2022) also note that guided reflection and facilitation in an environment of safety enhance self-knowledge and professional development. By engaging in ongoing reflective practice and mentorship, I would like to increase my competence, resilience, and confidence to achieve NHS standards of effective and compassionate care.</w:t>
      </w:r>
    </w:p>
    <w:p w14:paraId="25B93B8F"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4. Action Plan and Timeline </w:t>
      </w:r>
    </w:p>
    <w:p w14:paraId="4E2E9AFD" w14:textId="77777777" w:rsidR="001C6890" w:rsidRPr="000A2764" w:rsidRDefault="00000000" w:rsidP="000A2764">
      <w:pPr>
        <w:spacing w:line="360" w:lineRule="auto"/>
        <w:jc w:val="both"/>
        <w:rPr>
          <w:rFonts w:ascii="Arial" w:hAnsi="Arial" w:cs="Arial"/>
        </w:rPr>
      </w:pPr>
      <w:r w:rsidRPr="000A2764">
        <w:rPr>
          <w:rFonts w:ascii="Arial" w:hAnsi="Arial" w:cs="Arial"/>
        </w:rPr>
        <w:t>To become a fully competent Healthcare Assistant (HCA) in the NHS, I have devised a 3–5-year action plan that is designed based on SMART framework- Specific, Measurable, Achievable, Relevant, and Time-bound (Shaw et al., 2015). In such a way, this method is sure to achieve that my professional growth is sound, evidence-based, and meets the standards of the NHS workforce.</w:t>
      </w:r>
    </w:p>
    <w:p w14:paraId="6CFCC508" w14:textId="77777777" w:rsidR="001C6890" w:rsidRPr="000A2764" w:rsidRDefault="00000000" w:rsidP="000A2764">
      <w:pPr>
        <w:spacing w:line="360" w:lineRule="auto"/>
        <w:jc w:val="both"/>
        <w:rPr>
          <w:rFonts w:ascii="Arial" w:hAnsi="Arial" w:cs="Arial"/>
          <w:b/>
          <w:bCs/>
        </w:rPr>
      </w:pPr>
      <w:r w:rsidRPr="000A2764">
        <w:rPr>
          <w:rFonts w:ascii="Arial" w:hAnsi="Arial" w:cs="Arial"/>
          <w:b/>
          <w:bCs/>
        </w:rPr>
        <w:t>Short-Term Goals (0–12 months):</w:t>
      </w:r>
    </w:p>
    <w:p w14:paraId="381FBE0A" w14:textId="77777777" w:rsidR="001C6890" w:rsidRPr="000A2764" w:rsidRDefault="00000000" w:rsidP="000A2764">
      <w:pPr>
        <w:spacing w:line="360" w:lineRule="auto"/>
        <w:jc w:val="both"/>
        <w:rPr>
          <w:rFonts w:ascii="Arial" w:hAnsi="Arial" w:cs="Arial"/>
        </w:rPr>
      </w:pPr>
      <w:r w:rsidRPr="000A2764">
        <w:rPr>
          <w:rFonts w:ascii="Arial" w:hAnsi="Arial" w:cs="Arial"/>
        </w:rPr>
        <w:t>During the first year, I will enhance my clinical and interpersonal knowledge by volunteering within a healthcare facility and obtaining the Care Certificate, which includes the essential NHS skills related to infection control, protection, and communication. I will also participate in the basic life support and dementia awareness workshops. The completion of certifications and reflective logs analyzed by a mentor are the measurable objectives of these objectives. Learning will have to be integrated into practice with the help of supervisors and organized mentorship (Al-Omary et al., 2024).</w:t>
      </w:r>
    </w:p>
    <w:p w14:paraId="34CA6278" w14:textId="77777777" w:rsidR="001C6890" w:rsidRPr="000A2764" w:rsidRDefault="00000000" w:rsidP="000A2764">
      <w:pPr>
        <w:spacing w:line="360" w:lineRule="auto"/>
        <w:jc w:val="both"/>
        <w:rPr>
          <w:rFonts w:ascii="Arial" w:hAnsi="Arial" w:cs="Arial"/>
          <w:b/>
          <w:bCs/>
        </w:rPr>
      </w:pPr>
      <w:r w:rsidRPr="000A2764">
        <w:rPr>
          <w:rFonts w:ascii="Arial" w:hAnsi="Arial" w:cs="Arial"/>
          <w:b/>
          <w:bCs/>
        </w:rPr>
        <w:t>Medium-Term Goals (1–3 years):</w:t>
      </w:r>
    </w:p>
    <w:p w14:paraId="53307174" w14:textId="77777777" w:rsidR="001C6890" w:rsidRPr="000A2764" w:rsidRDefault="00000000" w:rsidP="000A2764">
      <w:pPr>
        <w:spacing w:line="360" w:lineRule="auto"/>
        <w:jc w:val="both"/>
        <w:rPr>
          <w:rFonts w:ascii="Arial" w:hAnsi="Arial" w:cs="Arial"/>
        </w:rPr>
      </w:pPr>
      <w:r w:rsidRPr="000A2764">
        <w:rPr>
          <w:rFonts w:ascii="Arial" w:hAnsi="Arial" w:cs="Arial"/>
        </w:rPr>
        <w:t>I will then find a job as a Healthcare Assistant in an NHS Trust within the next three years. These are some of the Continuing Professional Development (CPD) opportunities that I will seek during this period, like NVQ Level 3 in Health and Social Care and short courses in patient monitoring, wound care, and infection prevention. As Shiri et al. (2023) note, CPD is associated with better employability and job retention and confidence through keeping the knowledge up-to-date and relevant. To accomplish these objectives, I will consult clinical educators and use NHS e-learning sites.</w:t>
      </w:r>
    </w:p>
    <w:p w14:paraId="047D6382" w14:textId="77777777" w:rsidR="001C6890" w:rsidRPr="000A2764" w:rsidRDefault="00000000" w:rsidP="000A2764">
      <w:pPr>
        <w:spacing w:line="360" w:lineRule="auto"/>
        <w:jc w:val="both"/>
        <w:rPr>
          <w:rFonts w:ascii="Arial" w:hAnsi="Arial" w:cs="Arial"/>
        </w:rPr>
      </w:pPr>
      <w:r w:rsidRPr="000A2764">
        <w:rPr>
          <w:rFonts w:ascii="Arial" w:hAnsi="Arial" w:cs="Arial"/>
          <w:b/>
          <w:bCs/>
        </w:rPr>
        <w:lastRenderedPageBreak/>
        <w:t>Long-Term Goals (3–5 years):</w:t>
      </w:r>
      <w:r w:rsidRPr="000A2764">
        <w:rPr>
          <w:rFonts w:ascii="Arial" w:hAnsi="Arial" w:cs="Arial"/>
        </w:rPr>
        <w:br/>
        <w:t xml:space="preserve">In the long term, my objective is to progress into a </w:t>
      </w:r>
      <w:r w:rsidRPr="000A2764">
        <w:rPr>
          <w:rFonts w:ascii="Arial" w:hAnsi="Arial" w:cs="Arial"/>
          <w:b/>
          <w:bCs/>
        </w:rPr>
        <w:t>Senior Healthcare Assistant</w:t>
      </w:r>
      <w:r w:rsidRPr="000A2764">
        <w:rPr>
          <w:rFonts w:ascii="Arial" w:hAnsi="Arial" w:cs="Arial"/>
        </w:rPr>
        <w:t xml:space="preserve"> or </w:t>
      </w:r>
      <w:r w:rsidRPr="000A2764">
        <w:rPr>
          <w:rFonts w:ascii="Arial" w:hAnsi="Arial" w:cs="Arial"/>
          <w:b/>
          <w:bCs/>
        </w:rPr>
        <w:t>Assistant Practitioner</w:t>
      </w:r>
      <w:r w:rsidRPr="000A2764">
        <w:rPr>
          <w:rFonts w:ascii="Arial" w:hAnsi="Arial" w:cs="Arial"/>
        </w:rPr>
        <w:t xml:space="preserve"> role. To achieve this, I plan to complete a foundation degree in healthcare practice and gain leadership training through NHS apprenticeship schemes. Alshraa et al. (2024) emphasise that high-quality training—supported by mentorship, feedback, and institutional resources—ensures long-term competence and career advancement.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14"/>
        <w:gridCol w:w="3916"/>
        <w:gridCol w:w="4120"/>
      </w:tblGrid>
      <w:tr w:rsidR="001C6890" w:rsidRPr="000A2764" w14:paraId="0243B13F" w14:textId="77777777">
        <w:trPr>
          <w:tblHeader/>
          <w:tblCellSpacing w:w="15" w:type="dxa"/>
        </w:trPr>
        <w:tc>
          <w:tcPr>
            <w:tcW w:w="0" w:type="auto"/>
            <w:vAlign w:val="center"/>
            <w:hideMark/>
          </w:tcPr>
          <w:p w14:paraId="595F2913" w14:textId="77777777" w:rsidR="001C6890" w:rsidRPr="000A2764" w:rsidRDefault="00000000" w:rsidP="000A2764">
            <w:pPr>
              <w:spacing w:line="360" w:lineRule="auto"/>
              <w:jc w:val="both"/>
              <w:rPr>
                <w:rFonts w:ascii="Arial" w:hAnsi="Arial" w:cs="Arial"/>
                <w:b/>
                <w:bCs/>
              </w:rPr>
            </w:pPr>
            <w:r w:rsidRPr="000A2764">
              <w:rPr>
                <w:rFonts w:ascii="Arial" w:hAnsi="Arial" w:cs="Arial"/>
                <w:b/>
                <w:bCs/>
              </w:rPr>
              <w:t>Timeline</w:t>
            </w:r>
          </w:p>
        </w:tc>
        <w:tc>
          <w:tcPr>
            <w:tcW w:w="0" w:type="auto"/>
            <w:vAlign w:val="center"/>
            <w:hideMark/>
          </w:tcPr>
          <w:p w14:paraId="32B7963E" w14:textId="77777777" w:rsidR="001C6890" w:rsidRPr="000A2764" w:rsidRDefault="00000000" w:rsidP="000A2764">
            <w:pPr>
              <w:spacing w:line="360" w:lineRule="auto"/>
              <w:jc w:val="both"/>
              <w:rPr>
                <w:rFonts w:ascii="Arial" w:hAnsi="Arial" w:cs="Arial"/>
                <w:b/>
                <w:bCs/>
              </w:rPr>
            </w:pPr>
            <w:r w:rsidRPr="000A2764">
              <w:rPr>
                <w:rFonts w:ascii="Arial" w:hAnsi="Arial" w:cs="Arial"/>
                <w:b/>
                <w:bCs/>
              </w:rPr>
              <w:t>Objectives</w:t>
            </w:r>
          </w:p>
        </w:tc>
        <w:tc>
          <w:tcPr>
            <w:tcW w:w="0" w:type="auto"/>
            <w:vAlign w:val="center"/>
            <w:hideMark/>
          </w:tcPr>
          <w:p w14:paraId="480BA848" w14:textId="77777777" w:rsidR="001C6890" w:rsidRPr="000A2764" w:rsidRDefault="00000000" w:rsidP="000A2764">
            <w:pPr>
              <w:spacing w:line="360" w:lineRule="auto"/>
              <w:jc w:val="both"/>
              <w:rPr>
                <w:rFonts w:ascii="Arial" w:hAnsi="Arial" w:cs="Arial"/>
                <w:b/>
                <w:bCs/>
              </w:rPr>
            </w:pPr>
            <w:r w:rsidRPr="000A2764">
              <w:rPr>
                <w:rFonts w:ascii="Arial" w:hAnsi="Arial" w:cs="Arial"/>
                <w:b/>
                <w:bCs/>
              </w:rPr>
              <w:t>Key Resources</w:t>
            </w:r>
          </w:p>
        </w:tc>
      </w:tr>
      <w:tr w:rsidR="001C6890" w:rsidRPr="000A2764" w14:paraId="6E94AF01" w14:textId="77777777">
        <w:trPr>
          <w:tblCellSpacing w:w="15" w:type="dxa"/>
        </w:trPr>
        <w:tc>
          <w:tcPr>
            <w:tcW w:w="0" w:type="auto"/>
            <w:vAlign w:val="center"/>
            <w:hideMark/>
          </w:tcPr>
          <w:p w14:paraId="79F35E41" w14:textId="77777777" w:rsidR="001C6890" w:rsidRPr="000A2764" w:rsidRDefault="00000000" w:rsidP="000A2764">
            <w:pPr>
              <w:spacing w:line="360" w:lineRule="auto"/>
              <w:jc w:val="both"/>
              <w:rPr>
                <w:rFonts w:ascii="Arial" w:hAnsi="Arial" w:cs="Arial"/>
              </w:rPr>
            </w:pPr>
            <w:r w:rsidRPr="000A2764">
              <w:rPr>
                <w:rFonts w:ascii="Arial" w:hAnsi="Arial" w:cs="Arial"/>
              </w:rPr>
              <w:t>0–12 months</w:t>
            </w:r>
          </w:p>
        </w:tc>
        <w:tc>
          <w:tcPr>
            <w:tcW w:w="0" w:type="auto"/>
            <w:vAlign w:val="center"/>
            <w:hideMark/>
          </w:tcPr>
          <w:p w14:paraId="0873CF71" w14:textId="77777777" w:rsidR="001C6890" w:rsidRPr="000A2764" w:rsidRDefault="00000000" w:rsidP="000A2764">
            <w:pPr>
              <w:spacing w:line="360" w:lineRule="auto"/>
              <w:jc w:val="both"/>
              <w:rPr>
                <w:rFonts w:ascii="Arial" w:hAnsi="Arial" w:cs="Arial"/>
              </w:rPr>
            </w:pPr>
            <w:r w:rsidRPr="000A2764">
              <w:rPr>
                <w:rFonts w:ascii="Arial" w:hAnsi="Arial" w:cs="Arial"/>
              </w:rPr>
              <w:t>Care Certificate, BLS &amp; Dementia Training</w:t>
            </w:r>
          </w:p>
        </w:tc>
        <w:tc>
          <w:tcPr>
            <w:tcW w:w="0" w:type="auto"/>
            <w:vAlign w:val="center"/>
            <w:hideMark/>
          </w:tcPr>
          <w:p w14:paraId="5DE9D4C7" w14:textId="77777777" w:rsidR="001C6890" w:rsidRPr="000A2764" w:rsidRDefault="00000000" w:rsidP="000A2764">
            <w:pPr>
              <w:spacing w:line="360" w:lineRule="auto"/>
              <w:jc w:val="both"/>
              <w:rPr>
                <w:rFonts w:ascii="Arial" w:hAnsi="Arial" w:cs="Arial"/>
              </w:rPr>
            </w:pPr>
            <w:r w:rsidRPr="000A2764">
              <w:rPr>
                <w:rFonts w:ascii="Arial" w:hAnsi="Arial" w:cs="Arial"/>
              </w:rPr>
              <w:t>Volunteer placement, mentor, NHS e-learning</w:t>
            </w:r>
          </w:p>
        </w:tc>
      </w:tr>
      <w:tr w:rsidR="001C6890" w:rsidRPr="000A2764" w14:paraId="0AAF93D1" w14:textId="77777777">
        <w:trPr>
          <w:tblCellSpacing w:w="15" w:type="dxa"/>
        </w:trPr>
        <w:tc>
          <w:tcPr>
            <w:tcW w:w="0" w:type="auto"/>
            <w:vAlign w:val="center"/>
            <w:hideMark/>
          </w:tcPr>
          <w:p w14:paraId="590ABBF6" w14:textId="77777777" w:rsidR="001C6890" w:rsidRPr="000A2764" w:rsidRDefault="00000000" w:rsidP="000A2764">
            <w:pPr>
              <w:spacing w:line="360" w:lineRule="auto"/>
              <w:jc w:val="both"/>
              <w:rPr>
                <w:rFonts w:ascii="Arial" w:hAnsi="Arial" w:cs="Arial"/>
              </w:rPr>
            </w:pPr>
            <w:r w:rsidRPr="000A2764">
              <w:rPr>
                <w:rFonts w:ascii="Arial" w:hAnsi="Arial" w:cs="Arial"/>
              </w:rPr>
              <w:t>1–3 years</w:t>
            </w:r>
          </w:p>
        </w:tc>
        <w:tc>
          <w:tcPr>
            <w:tcW w:w="0" w:type="auto"/>
            <w:vAlign w:val="center"/>
            <w:hideMark/>
          </w:tcPr>
          <w:p w14:paraId="0BD9BD4A" w14:textId="77777777" w:rsidR="001C6890" w:rsidRPr="000A2764" w:rsidRDefault="00000000" w:rsidP="000A2764">
            <w:pPr>
              <w:spacing w:line="360" w:lineRule="auto"/>
              <w:jc w:val="both"/>
              <w:rPr>
                <w:rFonts w:ascii="Arial" w:hAnsi="Arial" w:cs="Arial"/>
              </w:rPr>
            </w:pPr>
            <w:r w:rsidRPr="000A2764">
              <w:rPr>
                <w:rFonts w:ascii="Arial" w:hAnsi="Arial" w:cs="Arial"/>
              </w:rPr>
              <w:t>Secure HCA role, complete NVQ Level 3</w:t>
            </w:r>
          </w:p>
        </w:tc>
        <w:tc>
          <w:tcPr>
            <w:tcW w:w="0" w:type="auto"/>
            <w:vAlign w:val="center"/>
            <w:hideMark/>
          </w:tcPr>
          <w:p w14:paraId="3B3F6918" w14:textId="77777777" w:rsidR="001C6890" w:rsidRPr="000A2764" w:rsidRDefault="00000000" w:rsidP="000A2764">
            <w:pPr>
              <w:spacing w:line="360" w:lineRule="auto"/>
              <w:jc w:val="both"/>
              <w:rPr>
                <w:rFonts w:ascii="Arial" w:hAnsi="Arial" w:cs="Arial"/>
              </w:rPr>
            </w:pPr>
            <w:r w:rsidRPr="000A2764">
              <w:rPr>
                <w:rFonts w:ascii="Arial" w:hAnsi="Arial" w:cs="Arial"/>
              </w:rPr>
              <w:t>CPD funding, supervisor feedback</w:t>
            </w:r>
          </w:p>
        </w:tc>
      </w:tr>
      <w:tr w:rsidR="001C6890" w:rsidRPr="000A2764" w14:paraId="559F82FE" w14:textId="77777777">
        <w:trPr>
          <w:tblCellSpacing w:w="15" w:type="dxa"/>
        </w:trPr>
        <w:tc>
          <w:tcPr>
            <w:tcW w:w="0" w:type="auto"/>
            <w:vAlign w:val="center"/>
            <w:hideMark/>
          </w:tcPr>
          <w:p w14:paraId="0CC66117" w14:textId="77777777" w:rsidR="001C6890" w:rsidRPr="000A2764" w:rsidRDefault="00000000" w:rsidP="000A2764">
            <w:pPr>
              <w:spacing w:line="360" w:lineRule="auto"/>
              <w:jc w:val="both"/>
              <w:rPr>
                <w:rFonts w:ascii="Arial" w:hAnsi="Arial" w:cs="Arial"/>
              </w:rPr>
            </w:pPr>
            <w:r w:rsidRPr="000A2764">
              <w:rPr>
                <w:rFonts w:ascii="Arial" w:hAnsi="Arial" w:cs="Arial"/>
              </w:rPr>
              <w:t>3–5 years</w:t>
            </w:r>
          </w:p>
        </w:tc>
        <w:tc>
          <w:tcPr>
            <w:tcW w:w="0" w:type="auto"/>
            <w:vAlign w:val="center"/>
            <w:hideMark/>
          </w:tcPr>
          <w:p w14:paraId="3187709F" w14:textId="77777777" w:rsidR="001C6890" w:rsidRPr="000A2764" w:rsidRDefault="00000000" w:rsidP="000A2764">
            <w:pPr>
              <w:spacing w:line="360" w:lineRule="auto"/>
              <w:jc w:val="both"/>
              <w:rPr>
                <w:rFonts w:ascii="Arial" w:hAnsi="Arial" w:cs="Arial"/>
              </w:rPr>
            </w:pPr>
            <w:r w:rsidRPr="000A2764">
              <w:rPr>
                <w:rFonts w:ascii="Arial" w:hAnsi="Arial" w:cs="Arial"/>
              </w:rPr>
              <w:t>Progress to Senior HCA, leadership training</w:t>
            </w:r>
          </w:p>
        </w:tc>
        <w:tc>
          <w:tcPr>
            <w:tcW w:w="0" w:type="auto"/>
            <w:vAlign w:val="center"/>
            <w:hideMark/>
          </w:tcPr>
          <w:p w14:paraId="33F83F41" w14:textId="77777777" w:rsidR="001C6890" w:rsidRPr="000A2764" w:rsidRDefault="00000000" w:rsidP="000A2764">
            <w:pPr>
              <w:spacing w:line="360" w:lineRule="auto"/>
              <w:jc w:val="both"/>
              <w:rPr>
                <w:rFonts w:ascii="Arial" w:hAnsi="Arial" w:cs="Arial"/>
              </w:rPr>
            </w:pPr>
            <w:r w:rsidRPr="000A2764">
              <w:rPr>
                <w:rFonts w:ascii="Arial" w:hAnsi="Arial" w:cs="Arial"/>
              </w:rPr>
              <w:t>NHS apprenticeship, university support</w:t>
            </w:r>
          </w:p>
        </w:tc>
      </w:tr>
    </w:tbl>
    <w:p w14:paraId="63713711" w14:textId="77777777" w:rsidR="001C6890" w:rsidRPr="000A2764" w:rsidRDefault="00000000" w:rsidP="000A2764">
      <w:pPr>
        <w:spacing w:line="360" w:lineRule="auto"/>
        <w:jc w:val="both"/>
        <w:rPr>
          <w:rFonts w:ascii="Arial" w:hAnsi="Arial" w:cs="Arial"/>
        </w:rPr>
      </w:pPr>
      <w:r w:rsidRPr="000A2764">
        <w:rPr>
          <w:rFonts w:ascii="Arial" w:hAnsi="Arial" w:cs="Arial"/>
        </w:rPr>
        <w:t>This structured action plan demonstrates reflective foresight, aligning professional growth with NHS values of competence, compassion, and continuous learning (Alshraa et al., 2024).</w:t>
      </w:r>
    </w:p>
    <w:p w14:paraId="095A7D7E" w14:textId="77777777" w:rsidR="001C6890" w:rsidRPr="000A2764" w:rsidRDefault="00000000" w:rsidP="000A2764">
      <w:pPr>
        <w:pStyle w:val="Heading1"/>
        <w:spacing w:line="360" w:lineRule="auto"/>
        <w:jc w:val="both"/>
        <w:rPr>
          <w:rFonts w:cs="Arial"/>
          <w:sz w:val="22"/>
          <w:szCs w:val="22"/>
        </w:rPr>
      </w:pPr>
      <w:bookmarkStart w:id="3" w:name="_Toc210941529"/>
      <w:r w:rsidRPr="000A2764">
        <w:rPr>
          <w:rFonts w:cs="Arial"/>
          <w:sz w:val="22"/>
          <w:szCs w:val="22"/>
        </w:rPr>
        <w:t>5. Building My Personal Brand</w:t>
      </w:r>
      <w:bookmarkEnd w:id="3"/>
      <w:r w:rsidRPr="000A2764">
        <w:rPr>
          <w:rFonts w:cs="Arial"/>
          <w:sz w:val="22"/>
          <w:szCs w:val="22"/>
        </w:rPr>
        <w:t xml:space="preserve"> </w:t>
      </w:r>
    </w:p>
    <w:p w14:paraId="6F8CF6FB" w14:textId="77777777" w:rsidR="001C6890" w:rsidRPr="000A2764" w:rsidRDefault="00000000" w:rsidP="000A2764">
      <w:pPr>
        <w:spacing w:line="360" w:lineRule="auto"/>
        <w:jc w:val="both"/>
        <w:rPr>
          <w:rFonts w:ascii="Arial" w:hAnsi="Arial" w:cs="Arial"/>
        </w:rPr>
      </w:pPr>
      <w:r w:rsidRPr="000A2764">
        <w:rPr>
          <w:rFonts w:ascii="Arial" w:hAnsi="Arial" w:cs="Arial"/>
        </w:rPr>
        <w:t>Personal branding in health and social care is the way professionals control their own image and identity by their values, competences, and behaviours to have an impact on how their competence and compassion are perceived by other people (Peters, 1997). Here, in the case of NHS, it involves the representation and expression of the 6Cs of care, compassion, competence, communication, courage, and commitment by all professional contacts and platforms. It has been found out that there is a strong correlation between personal branding and career development in nurses, and thus, the more visible and authentic a professional image they develop, the higher the employability and chances of progression (Relationship between Personal Branding and Career Development among Staff Nurses, 2025).</w:t>
      </w:r>
    </w:p>
    <w:p w14:paraId="0DEBDB78"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To advertise my brand, I will employ LinkedIn to highlight my professional accomplishments, credentials, and reflexive thoughts about healthcare practice. I will keep a portfolio and reflective blog that will show my lifelong learning and ethical care delivery. To build a credible professional </w:t>
      </w:r>
      <w:r w:rsidRPr="000A2764">
        <w:rPr>
          <w:rFonts w:ascii="Arial" w:hAnsi="Arial" w:cs="Arial"/>
        </w:rPr>
        <w:lastRenderedPageBreak/>
        <w:t>identity that will facilitate gaining trust and respect among colleagues and employers, I will pay attention to authenticity, consistency, and evidence-based reflection, as Kirby (2024) does.</w:t>
      </w:r>
    </w:p>
    <w:p w14:paraId="2C4F4DCE" w14:textId="77777777" w:rsidR="001C6890" w:rsidRPr="000A2764" w:rsidRDefault="00000000" w:rsidP="000A2764">
      <w:pPr>
        <w:pStyle w:val="Heading1"/>
        <w:spacing w:line="360" w:lineRule="auto"/>
        <w:jc w:val="both"/>
        <w:rPr>
          <w:rFonts w:cs="Arial"/>
          <w:sz w:val="22"/>
          <w:szCs w:val="22"/>
        </w:rPr>
      </w:pPr>
      <w:bookmarkStart w:id="4" w:name="_Toc210941530"/>
      <w:r w:rsidRPr="000A2764">
        <w:rPr>
          <w:rFonts w:cs="Arial"/>
          <w:sz w:val="22"/>
          <w:szCs w:val="22"/>
        </w:rPr>
        <w:t>6. Promotion of My Professional Identity</w:t>
      </w:r>
      <w:bookmarkEnd w:id="4"/>
      <w:r w:rsidRPr="000A2764">
        <w:rPr>
          <w:rFonts w:cs="Arial"/>
          <w:sz w:val="22"/>
          <w:szCs w:val="22"/>
        </w:rPr>
        <w:t xml:space="preserve"> </w:t>
      </w:r>
    </w:p>
    <w:p w14:paraId="7968AF0D" w14:textId="77777777" w:rsidR="001C6890" w:rsidRPr="000A2764" w:rsidRDefault="00000000" w:rsidP="000A2764">
      <w:pPr>
        <w:spacing w:line="360" w:lineRule="auto"/>
        <w:jc w:val="both"/>
        <w:rPr>
          <w:rFonts w:ascii="Arial" w:hAnsi="Arial" w:cs="Arial"/>
        </w:rPr>
      </w:pPr>
      <w:r w:rsidRPr="000A2764">
        <w:rPr>
          <w:rFonts w:ascii="Arial" w:hAnsi="Arial" w:cs="Arial"/>
        </w:rPr>
        <w:t>Marketing my professional identity can be achieved through a deliberate process of expressing my values, skills, and experiences to appeal to the expectations of the NHS and show my ability to become a Healthcare Assistant. Reissner and Armitage-Chan (2024) state that professional identity is developed as part of a continuous identity work, in which people position themselves in a manner that conveys their competence, ethics, and adaptability. To do this, I will align my CV and cover letter with the main employability skills like compassion, teamwork, and communication to make sure that my examples may be correlated with the NHS 6Cs framework.</w:t>
      </w:r>
    </w:p>
    <w:p w14:paraId="4010700C" w14:textId="77777777" w:rsidR="001C6890" w:rsidRPr="000A2764" w:rsidRDefault="00000000" w:rsidP="000A2764">
      <w:pPr>
        <w:spacing w:line="360" w:lineRule="auto"/>
        <w:jc w:val="both"/>
        <w:rPr>
          <w:rFonts w:ascii="Arial" w:hAnsi="Arial" w:cs="Arial"/>
        </w:rPr>
      </w:pPr>
      <w:r w:rsidRPr="000A2764">
        <w:rPr>
          <w:rFonts w:ascii="Arial" w:hAnsi="Arial" w:cs="Arial"/>
        </w:rPr>
        <w:t>To improve my performance in interviews, I will also consider patient-centered care situations and use the tool of STAR (Situation, Task, Action, Result) to clearly demonstrate the contribution and learning. Having a professional LinkedIn profile and digital portfolio will also enable me to provide reflective information, training accomplishments, and volunteer experiences that will support my credibility and the continuous development of my profession.</w:t>
      </w:r>
    </w:p>
    <w:p w14:paraId="51A74C9B" w14:textId="77777777" w:rsidR="001C6890" w:rsidRPr="000A2764" w:rsidRDefault="00000000" w:rsidP="000A2764">
      <w:pPr>
        <w:spacing w:line="360" w:lineRule="auto"/>
        <w:jc w:val="both"/>
        <w:rPr>
          <w:rFonts w:ascii="Arial" w:hAnsi="Arial" w:cs="Arial"/>
        </w:rPr>
      </w:pPr>
      <w:r w:rsidRPr="000A2764">
        <w:rPr>
          <w:rFonts w:ascii="Arial" w:hAnsi="Arial" w:cs="Arial"/>
        </w:rPr>
        <w:t>Janes, Allen, and McCarthy (2025) point out that external aspects like organisational culture, peer recognition and personal view play a major role in the way healthcare professionals maintain their professional identity. Thus, regular communication, reflexivity, and interaction with the NHS networks are essential approaches to developing an authentic, credible, and dynamic professional identity that meets personal and institutional values and norms.</w:t>
      </w:r>
    </w:p>
    <w:p w14:paraId="1A32C4C1" w14:textId="77777777" w:rsidR="001C6890" w:rsidRPr="000A2764" w:rsidRDefault="00000000" w:rsidP="000A2764">
      <w:pPr>
        <w:pStyle w:val="Heading1"/>
        <w:spacing w:line="360" w:lineRule="auto"/>
        <w:jc w:val="both"/>
        <w:rPr>
          <w:rFonts w:cs="Arial"/>
          <w:sz w:val="22"/>
          <w:szCs w:val="22"/>
        </w:rPr>
      </w:pPr>
      <w:bookmarkStart w:id="5" w:name="_Toc210941531"/>
      <w:r w:rsidRPr="000A2764">
        <w:rPr>
          <w:rFonts w:cs="Arial"/>
          <w:sz w:val="22"/>
          <w:szCs w:val="22"/>
        </w:rPr>
        <w:t>7. Building a Network to Succeed in getting a job</w:t>
      </w:r>
      <w:bookmarkEnd w:id="5"/>
      <w:r w:rsidRPr="000A2764">
        <w:rPr>
          <w:rFonts w:cs="Arial"/>
          <w:sz w:val="22"/>
          <w:szCs w:val="22"/>
        </w:rPr>
        <w:t xml:space="preserve"> </w:t>
      </w:r>
    </w:p>
    <w:p w14:paraId="28B2EFEA" w14:textId="77777777" w:rsidR="001C6890" w:rsidRPr="000A2764" w:rsidRDefault="00000000" w:rsidP="000A2764">
      <w:pPr>
        <w:spacing w:line="360" w:lineRule="auto"/>
        <w:jc w:val="both"/>
        <w:rPr>
          <w:rFonts w:ascii="Arial" w:hAnsi="Arial" w:cs="Arial"/>
        </w:rPr>
      </w:pPr>
      <w:r w:rsidRPr="000A2764">
        <w:rPr>
          <w:rFonts w:ascii="Arial" w:hAnsi="Arial" w:cs="Arial"/>
        </w:rPr>
        <w:t>Professional networking is crucial to professional sustainability of employment and lifelong learning in the NHS and the health and social care sector more broadly. Through networking, healthcare workers can share knowledge, best practice, and opportunities to develop professionally and become mentors. Wani (2024) emphasizes that networking builds collaboration and visibility as well as career advancement by helping professionals to establish meaningful connections contributing to the learning and confidence in practice. To potential Healthcare Assistants, Skills for Care, NHS Careers, and the Royal College of Nursing (RCN) can be beneficial by offering training, career advice and by hosting events like healthcare conferences or job fairs that would increase the number of employees.</w:t>
      </w:r>
    </w:p>
    <w:p w14:paraId="73AAA8A4" w14:textId="77777777" w:rsidR="001C6890" w:rsidRPr="000A2764" w:rsidRDefault="00000000" w:rsidP="000A2764">
      <w:pPr>
        <w:spacing w:line="360" w:lineRule="auto"/>
        <w:jc w:val="both"/>
        <w:rPr>
          <w:rFonts w:ascii="Arial" w:hAnsi="Arial" w:cs="Arial"/>
        </w:rPr>
      </w:pPr>
      <w:r w:rsidRPr="000A2764">
        <w:rPr>
          <w:rFonts w:ascii="Arial" w:hAnsi="Arial" w:cs="Arial"/>
        </w:rPr>
        <w:lastRenderedPageBreak/>
        <w:t>Professional networking also becomes increasingly important on digital platforms. According to the authors, Van Ravenswaay, Parnes, and Nisly (2024) established that over 70 percent of medical practitioners used social media to connect and engage in continuing professional development (CPD) initiatives, which shows the potential of social media in advancing career development. It is possible to facilitate collaboration, reflection and identity building of the profession by maintaining a professional presence on LinkedIn and engaging in online NHS learning communities. Nonetheless, successful networking also involves genuineness, professionalism, and regular interaction to provide the connection with a certain impact on the career growth and provision of compassionate, patient-focused care (Van Ravenswaay et al., 2024).</w:t>
      </w:r>
    </w:p>
    <w:p w14:paraId="7514841A" w14:textId="77777777" w:rsidR="001C6890" w:rsidRPr="000A2764" w:rsidRDefault="00000000" w:rsidP="000A2764">
      <w:pPr>
        <w:pStyle w:val="Heading1"/>
        <w:spacing w:line="360" w:lineRule="auto"/>
        <w:jc w:val="both"/>
        <w:rPr>
          <w:rFonts w:cs="Arial"/>
          <w:sz w:val="22"/>
          <w:szCs w:val="22"/>
        </w:rPr>
      </w:pPr>
      <w:bookmarkStart w:id="6" w:name="_Toc210941532"/>
      <w:r w:rsidRPr="000A2764">
        <w:rPr>
          <w:rFonts w:cs="Arial"/>
          <w:sz w:val="22"/>
          <w:szCs w:val="22"/>
        </w:rPr>
        <w:t>8. Conclusion</w:t>
      </w:r>
      <w:bookmarkEnd w:id="6"/>
      <w:r w:rsidRPr="000A2764">
        <w:rPr>
          <w:rFonts w:cs="Arial"/>
          <w:sz w:val="22"/>
          <w:szCs w:val="22"/>
        </w:rPr>
        <w:t xml:space="preserve"> </w:t>
      </w:r>
    </w:p>
    <w:p w14:paraId="2F1CC245" w14:textId="77777777" w:rsidR="001C6890" w:rsidRDefault="00000000" w:rsidP="000A2764">
      <w:pPr>
        <w:spacing w:line="360" w:lineRule="auto"/>
        <w:jc w:val="both"/>
        <w:rPr>
          <w:rFonts w:ascii="Arial" w:hAnsi="Arial" w:cs="Arial"/>
        </w:rPr>
      </w:pPr>
      <w:r w:rsidRPr="000A2764">
        <w:rPr>
          <w:rFonts w:ascii="Arial" w:hAnsi="Arial" w:cs="Arial"/>
        </w:rPr>
        <w:t>This report has also critically assessed employability skills, self-reflection, and strategic planning required to work as a Healthcare Assistant in the NHS. Communication, empathy, teamwork, and infection control were defined as the key competencies related to the provision of high-quality and person-centred care. Self-assessment helped me identify the strengths and weaknesses, including compassion and adaptability, which formed the basis of my action plan, a five-year plan, designed to achieve goals set with SMART objectives. Developing a personal brand in accordance with the NHS 6Cs and publicizing my professional identity based on reflective practice, customized CVs, and online platforms will make me more visible and employable. Moreover, the networks that will be created with the help of NHS Careers, Skills for Care, and LinkedIn will facilitate further professional growth and long-term employment. Cumulatively, this process has enhanced my self-awareness, professional orientation, and desire to work as part of the NHS workforce in a manner that is full of integrity, empathetic and with dedication to continued learning and patient-centred excellence.</w:t>
      </w:r>
    </w:p>
    <w:p w14:paraId="70AB5AB1" w14:textId="77777777" w:rsidR="000A2764" w:rsidRDefault="000A2764" w:rsidP="000A2764">
      <w:pPr>
        <w:spacing w:line="360" w:lineRule="auto"/>
        <w:jc w:val="both"/>
        <w:rPr>
          <w:rFonts w:ascii="Arial" w:hAnsi="Arial" w:cs="Arial"/>
        </w:rPr>
      </w:pPr>
    </w:p>
    <w:p w14:paraId="708A2A94" w14:textId="77777777" w:rsidR="000A2764" w:rsidRDefault="000A2764" w:rsidP="000A2764">
      <w:pPr>
        <w:spacing w:line="360" w:lineRule="auto"/>
        <w:jc w:val="both"/>
        <w:rPr>
          <w:rFonts w:ascii="Arial" w:hAnsi="Arial" w:cs="Arial"/>
        </w:rPr>
      </w:pPr>
    </w:p>
    <w:p w14:paraId="6163E303" w14:textId="77777777" w:rsidR="000A2764" w:rsidRPr="000A2764" w:rsidRDefault="000A2764" w:rsidP="000A2764">
      <w:pPr>
        <w:spacing w:line="360" w:lineRule="auto"/>
        <w:jc w:val="both"/>
        <w:rPr>
          <w:rFonts w:ascii="Arial" w:hAnsi="Arial" w:cs="Arial"/>
        </w:rPr>
      </w:pPr>
    </w:p>
    <w:p w14:paraId="7D55AF66" w14:textId="77777777" w:rsidR="001C6890" w:rsidRPr="000A2764" w:rsidRDefault="001C6890" w:rsidP="000A2764">
      <w:pPr>
        <w:spacing w:line="360" w:lineRule="auto"/>
        <w:jc w:val="both"/>
        <w:rPr>
          <w:rFonts w:ascii="Arial" w:hAnsi="Arial" w:cs="Arial"/>
        </w:rPr>
      </w:pPr>
    </w:p>
    <w:p w14:paraId="5B36D031" w14:textId="77777777" w:rsidR="001C6890" w:rsidRPr="000A2764" w:rsidRDefault="00000000" w:rsidP="000A2764">
      <w:pPr>
        <w:pStyle w:val="Heading1"/>
        <w:spacing w:line="360" w:lineRule="auto"/>
        <w:jc w:val="both"/>
        <w:rPr>
          <w:rFonts w:cs="Arial"/>
          <w:sz w:val="22"/>
          <w:szCs w:val="22"/>
        </w:rPr>
      </w:pPr>
      <w:bookmarkStart w:id="7" w:name="_Toc210941533"/>
      <w:r w:rsidRPr="000A2764">
        <w:rPr>
          <w:rFonts w:cs="Arial"/>
          <w:sz w:val="22"/>
          <w:szCs w:val="22"/>
        </w:rPr>
        <w:lastRenderedPageBreak/>
        <w:t>9. References</w:t>
      </w:r>
      <w:bookmarkEnd w:id="7"/>
    </w:p>
    <w:p w14:paraId="60DDD69E"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Al-Mutawa, N.A.A.M., Mahmoud, M.H., Baisa, K.G.G., Daher-Nashif, S. and Al Wahedi, Z., 2024. Reflective writing among healthcare practitioners in primary care: a qualitative study from Qatar. </w:t>
      </w:r>
      <w:r w:rsidRPr="000A2764">
        <w:rPr>
          <w:rFonts w:ascii="Arial" w:hAnsi="Arial" w:cs="Arial"/>
          <w:i/>
          <w:iCs/>
        </w:rPr>
        <w:t>Cogent Education</w:t>
      </w:r>
      <w:r w:rsidRPr="000A2764">
        <w:rPr>
          <w:rFonts w:ascii="Arial" w:hAnsi="Arial" w:cs="Arial"/>
        </w:rPr>
        <w:t xml:space="preserve">, 11(1). </w:t>
      </w:r>
      <w:hyperlink r:id="rId10" w:tgtFrame="_new" w:history="1">
        <w:r w:rsidR="001C6890" w:rsidRPr="000A2764">
          <w:rPr>
            <w:rStyle w:val="Hyperlink"/>
            <w:rFonts w:ascii="Arial" w:hAnsi="Arial" w:cs="Arial"/>
          </w:rPr>
          <w:t>https://doi.org/10.1080/2331186X.2024.2373555</w:t>
        </w:r>
      </w:hyperlink>
    </w:p>
    <w:p w14:paraId="397F5E0A"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Al-Omary, H., Soltani, A., Stewart, D. </w:t>
      </w:r>
      <w:r w:rsidRPr="000A2764">
        <w:rPr>
          <w:rFonts w:ascii="Arial" w:hAnsi="Arial" w:cs="Arial"/>
          <w:i/>
          <w:iCs/>
        </w:rPr>
        <w:t>et al.</w:t>
      </w:r>
      <w:r w:rsidRPr="000A2764">
        <w:rPr>
          <w:rFonts w:ascii="Arial" w:hAnsi="Arial" w:cs="Arial"/>
        </w:rPr>
        <w:t xml:space="preserve">, 2024. Implementing learning into practice from continuous professional development activities: a scoping review of health professionals’ views and experiences. </w:t>
      </w:r>
      <w:r w:rsidRPr="000A2764">
        <w:rPr>
          <w:rFonts w:ascii="Arial" w:hAnsi="Arial" w:cs="Arial"/>
          <w:i/>
          <w:iCs/>
        </w:rPr>
        <w:t>BMC Medical Education</w:t>
      </w:r>
      <w:r w:rsidRPr="000A2764">
        <w:rPr>
          <w:rFonts w:ascii="Arial" w:hAnsi="Arial" w:cs="Arial"/>
        </w:rPr>
        <w:t xml:space="preserve">, 24, 1031. </w:t>
      </w:r>
      <w:hyperlink r:id="rId11" w:tgtFrame="_new" w:history="1">
        <w:r w:rsidR="001C6890" w:rsidRPr="000A2764">
          <w:rPr>
            <w:rStyle w:val="Hyperlink"/>
            <w:rFonts w:ascii="Arial" w:hAnsi="Arial" w:cs="Arial"/>
          </w:rPr>
          <w:t>https://doi.org/10.1186/s12909-024-06016-7</w:t>
        </w:r>
      </w:hyperlink>
    </w:p>
    <w:p w14:paraId="66477C06"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Alshraa, A., Abdul Manaf, R. and Mahmud, A., 2024. Factors affecting the quality of training and development provided to non-physician healthcare professionals: a scoping review. </w:t>
      </w:r>
      <w:r w:rsidRPr="000A2764">
        <w:rPr>
          <w:rFonts w:ascii="Arial" w:hAnsi="Arial" w:cs="Arial"/>
          <w:i/>
          <w:iCs/>
        </w:rPr>
        <w:t>Journal of Healthcare Management and Public Health</w:t>
      </w:r>
      <w:r w:rsidRPr="000A2764">
        <w:rPr>
          <w:rFonts w:ascii="Arial" w:hAnsi="Arial" w:cs="Arial"/>
        </w:rPr>
        <w:t xml:space="preserve">, 8, Article 9046. </w:t>
      </w:r>
      <w:hyperlink r:id="rId12" w:tgtFrame="_new" w:history="1">
        <w:r w:rsidR="001C6890" w:rsidRPr="000A2764">
          <w:rPr>
            <w:rStyle w:val="Hyperlink"/>
            <w:rFonts w:ascii="Arial" w:hAnsi="Arial" w:cs="Arial"/>
          </w:rPr>
          <w:t>https://doi.org/10.21037/jhmhp-23-166</w:t>
        </w:r>
      </w:hyperlink>
    </w:p>
    <w:p w14:paraId="5F6DDC94"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Bando, M., Miyatake, N., Kataoka, H., Kinoshita, H., Tanaka, N., Suzuki, H. and Katayama, A., 2020. Relationship between air temperature parameters and the number of deaths stratified by cause in Gifu Prefecture, Japan. </w:t>
      </w:r>
      <w:r w:rsidRPr="000A2764">
        <w:rPr>
          <w:rFonts w:ascii="Arial" w:hAnsi="Arial" w:cs="Arial"/>
          <w:i/>
          <w:iCs/>
        </w:rPr>
        <w:t>Healthcare</w:t>
      </w:r>
      <w:r w:rsidRPr="000A2764">
        <w:rPr>
          <w:rFonts w:ascii="Arial" w:hAnsi="Arial" w:cs="Arial"/>
        </w:rPr>
        <w:t xml:space="preserve">, 8(1), 35. </w:t>
      </w:r>
      <w:hyperlink r:id="rId13" w:tgtFrame="_new" w:history="1">
        <w:r w:rsidR="001C6890" w:rsidRPr="000A2764">
          <w:rPr>
            <w:rStyle w:val="Hyperlink"/>
            <w:rFonts w:ascii="Arial" w:hAnsi="Arial" w:cs="Arial"/>
          </w:rPr>
          <w:t>https://doi.org/10.3390/healthcare8010035</w:t>
        </w:r>
      </w:hyperlink>
    </w:p>
    <w:p w14:paraId="14B3F0E9"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Carroll, R.E., De Vries, K., Goodman, C. </w:t>
      </w:r>
      <w:r w:rsidRPr="000A2764">
        <w:rPr>
          <w:rFonts w:ascii="Arial" w:hAnsi="Arial" w:cs="Arial"/>
          <w:i/>
          <w:iCs/>
        </w:rPr>
        <w:t>et al.</w:t>
      </w:r>
      <w:r w:rsidRPr="000A2764">
        <w:rPr>
          <w:rFonts w:ascii="Arial" w:hAnsi="Arial" w:cs="Arial"/>
        </w:rPr>
        <w:t xml:space="preserve">, 2024. Health care assistant and registered nurse dyads, working together and apart – a qualitative study. </w:t>
      </w:r>
      <w:r w:rsidRPr="000A2764">
        <w:rPr>
          <w:rFonts w:ascii="Arial" w:hAnsi="Arial" w:cs="Arial"/>
          <w:i/>
          <w:iCs/>
        </w:rPr>
        <w:t>BMC Nursing</w:t>
      </w:r>
      <w:r w:rsidRPr="000A2764">
        <w:rPr>
          <w:rFonts w:ascii="Arial" w:hAnsi="Arial" w:cs="Arial"/>
        </w:rPr>
        <w:t xml:space="preserve">, 23, 954. </w:t>
      </w:r>
      <w:hyperlink r:id="rId14" w:tgtFrame="_new" w:history="1">
        <w:r w:rsidR="001C6890" w:rsidRPr="000A2764">
          <w:rPr>
            <w:rStyle w:val="Hyperlink"/>
            <w:rFonts w:ascii="Arial" w:hAnsi="Arial" w:cs="Arial"/>
          </w:rPr>
          <w:t>https://doi.org/10.1186/s12912-024-02619-z</w:t>
        </w:r>
      </w:hyperlink>
    </w:p>
    <w:p w14:paraId="562DD7A3"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Edelist, T., Angel, S. and Kamler, J., 2024. Critical reflection in team-based practice: a narrative review. </w:t>
      </w:r>
      <w:r w:rsidRPr="000A2764">
        <w:rPr>
          <w:rFonts w:ascii="Arial" w:hAnsi="Arial" w:cs="Arial"/>
          <w:i/>
          <w:iCs/>
        </w:rPr>
        <w:t>Medical Education</w:t>
      </w:r>
      <w:r w:rsidRPr="000A2764">
        <w:rPr>
          <w:rFonts w:ascii="Arial" w:hAnsi="Arial" w:cs="Arial"/>
        </w:rPr>
        <w:t xml:space="preserve">, 58(7), pp.810–822. </w:t>
      </w:r>
      <w:hyperlink r:id="rId15" w:tgtFrame="_new" w:history="1">
        <w:r w:rsidR="001C6890" w:rsidRPr="000A2764">
          <w:rPr>
            <w:rStyle w:val="Hyperlink"/>
            <w:rFonts w:ascii="Arial" w:hAnsi="Arial" w:cs="Arial"/>
          </w:rPr>
          <w:t>https://doi.org/10.1111/medu.15462</w:t>
        </w:r>
      </w:hyperlink>
    </w:p>
    <w:p w14:paraId="37B65C83"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Fee, A., Muldrew, D., Slater, P., Payne, S., McIlfatrick, S., McConnell, T., Finlay, D.-A. and Hasson, F., 2020. The roles, responsibilities and practices of healthcare assistants in out-of-hours community palliative care: a systematic scoping review. </w:t>
      </w:r>
      <w:r w:rsidRPr="000A2764">
        <w:rPr>
          <w:rFonts w:ascii="Arial" w:hAnsi="Arial" w:cs="Arial"/>
          <w:i/>
          <w:iCs/>
        </w:rPr>
        <w:t>Palliative Medicine</w:t>
      </w:r>
      <w:r w:rsidRPr="000A2764">
        <w:rPr>
          <w:rFonts w:ascii="Arial" w:hAnsi="Arial" w:cs="Arial"/>
        </w:rPr>
        <w:t xml:space="preserve">, 34(8), pp.976–988. </w:t>
      </w:r>
      <w:hyperlink r:id="rId16" w:tgtFrame="_new" w:history="1">
        <w:r w:rsidR="001C6890" w:rsidRPr="000A2764">
          <w:rPr>
            <w:rStyle w:val="Hyperlink"/>
            <w:rFonts w:ascii="Arial" w:hAnsi="Arial" w:cs="Arial"/>
          </w:rPr>
          <w:t>https://doi.org/10.1177/0269216320929559</w:t>
        </w:r>
      </w:hyperlink>
    </w:p>
    <w:p w14:paraId="6A07CE53"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Janes, M., Allen, D. and McCarthy, J., 2025. Contemporary factors influencing professional identity in acute care nursing. </w:t>
      </w:r>
      <w:r w:rsidRPr="000A2764">
        <w:rPr>
          <w:rFonts w:ascii="Arial" w:hAnsi="Arial" w:cs="Arial"/>
          <w:i/>
          <w:iCs/>
        </w:rPr>
        <w:t>Journal of Advanced Nursing</w:t>
      </w:r>
      <w:r w:rsidRPr="000A2764">
        <w:rPr>
          <w:rFonts w:ascii="Arial" w:hAnsi="Arial" w:cs="Arial"/>
        </w:rPr>
        <w:t xml:space="preserve">. </w:t>
      </w:r>
      <w:hyperlink r:id="rId17" w:tgtFrame="_new" w:history="1">
        <w:r w:rsidR="001C6890" w:rsidRPr="000A2764">
          <w:rPr>
            <w:rStyle w:val="Hyperlink"/>
            <w:rFonts w:ascii="Arial" w:hAnsi="Arial" w:cs="Arial"/>
          </w:rPr>
          <w:t>https://doi.org/10.1111/jan.16755</w:t>
        </w:r>
      </w:hyperlink>
    </w:p>
    <w:p w14:paraId="488343F5"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Kirby, A., 2024. Creating and establishing your own personal brand in medicine. </w:t>
      </w:r>
      <w:r w:rsidRPr="000A2764">
        <w:rPr>
          <w:rFonts w:ascii="Arial" w:hAnsi="Arial" w:cs="Arial"/>
          <w:i/>
          <w:iCs/>
        </w:rPr>
        <w:t>Trends in Urology &amp; Men’s Health</w:t>
      </w:r>
      <w:r w:rsidRPr="000A2764">
        <w:rPr>
          <w:rFonts w:ascii="Arial" w:hAnsi="Arial" w:cs="Arial"/>
        </w:rPr>
        <w:t xml:space="preserve">. </w:t>
      </w:r>
      <w:hyperlink r:id="rId18" w:tgtFrame="_new" w:history="1">
        <w:r w:rsidR="001C6890" w:rsidRPr="000A2764">
          <w:rPr>
            <w:rStyle w:val="Hyperlink"/>
            <w:rFonts w:ascii="Arial" w:hAnsi="Arial" w:cs="Arial"/>
          </w:rPr>
          <w:t>https://doi.org/10.1002/tre.953</w:t>
        </w:r>
      </w:hyperlink>
    </w:p>
    <w:p w14:paraId="6ED2E6DE" w14:textId="77777777" w:rsidR="001C6890" w:rsidRPr="000A2764" w:rsidRDefault="00000000" w:rsidP="000A2764">
      <w:pPr>
        <w:spacing w:line="360" w:lineRule="auto"/>
        <w:jc w:val="both"/>
        <w:rPr>
          <w:rFonts w:ascii="Arial" w:hAnsi="Arial" w:cs="Arial"/>
        </w:rPr>
      </w:pPr>
      <w:r w:rsidRPr="000A2764">
        <w:rPr>
          <w:rFonts w:ascii="Arial" w:hAnsi="Arial" w:cs="Arial"/>
        </w:rPr>
        <w:lastRenderedPageBreak/>
        <w:t xml:space="preserve">Malenfant, S., Jaggi, P., Hayden, K.A. </w:t>
      </w:r>
      <w:r w:rsidRPr="000A2764">
        <w:rPr>
          <w:rFonts w:ascii="Arial" w:hAnsi="Arial" w:cs="Arial"/>
          <w:i/>
          <w:iCs/>
        </w:rPr>
        <w:t>et al.</w:t>
      </w:r>
      <w:r w:rsidRPr="000A2764">
        <w:rPr>
          <w:rFonts w:ascii="Arial" w:hAnsi="Arial" w:cs="Arial"/>
        </w:rPr>
        <w:t xml:space="preserve">, 2022. Compassion in healthcare: an updated scoping review of the literature. </w:t>
      </w:r>
      <w:r w:rsidRPr="000A2764">
        <w:rPr>
          <w:rFonts w:ascii="Arial" w:hAnsi="Arial" w:cs="Arial"/>
          <w:i/>
          <w:iCs/>
        </w:rPr>
        <w:t>BMC Palliative Care</w:t>
      </w:r>
      <w:r w:rsidRPr="000A2764">
        <w:rPr>
          <w:rFonts w:ascii="Arial" w:hAnsi="Arial" w:cs="Arial"/>
        </w:rPr>
        <w:t xml:space="preserve">, 21, 80. </w:t>
      </w:r>
      <w:hyperlink r:id="rId19" w:tgtFrame="_new" w:history="1">
        <w:r w:rsidR="001C6890" w:rsidRPr="000A2764">
          <w:rPr>
            <w:rStyle w:val="Hyperlink"/>
            <w:rFonts w:ascii="Arial" w:hAnsi="Arial" w:cs="Arial"/>
          </w:rPr>
          <w:t>https://doi.org/10.1186/s12904-022-00942-3</w:t>
        </w:r>
      </w:hyperlink>
    </w:p>
    <w:p w14:paraId="2BEFBCD3"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Marshall, T., Keville, S., Cain, A. and Adler, J.R., 2022. Facilitating reflection: a review and synthesis of the factors enabling effective facilitation of reflective practice. </w:t>
      </w:r>
      <w:r w:rsidRPr="000A2764">
        <w:rPr>
          <w:rFonts w:ascii="Arial" w:hAnsi="Arial" w:cs="Arial"/>
          <w:i/>
          <w:iCs/>
        </w:rPr>
        <w:t>Reflective Practice</w:t>
      </w:r>
      <w:r w:rsidRPr="000A2764">
        <w:rPr>
          <w:rFonts w:ascii="Arial" w:hAnsi="Arial" w:cs="Arial"/>
        </w:rPr>
        <w:t xml:space="preserve">, 23(4), pp.483–496. </w:t>
      </w:r>
      <w:hyperlink r:id="rId20" w:tgtFrame="_new" w:history="1">
        <w:r w:rsidR="001C6890" w:rsidRPr="000A2764">
          <w:rPr>
            <w:rStyle w:val="Hyperlink"/>
            <w:rFonts w:ascii="Arial" w:hAnsi="Arial" w:cs="Arial"/>
          </w:rPr>
          <w:t>https://doi.org/10.1080/14623943.2022.2064444</w:t>
        </w:r>
      </w:hyperlink>
    </w:p>
    <w:p w14:paraId="272BACF7"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Reissner, S. and Armitage-Chan, E., 2024. Manifestations of professional identity work: an integrative review of research in professional identity formation. </w:t>
      </w:r>
      <w:r w:rsidRPr="000A2764">
        <w:rPr>
          <w:rFonts w:ascii="Arial" w:hAnsi="Arial" w:cs="Arial"/>
          <w:i/>
          <w:iCs/>
        </w:rPr>
        <w:t>Studies in Higher Education</w:t>
      </w:r>
      <w:r w:rsidRPr="000A2764">
        <w:rPr>
          <w:rFonts w:ascii="Arial" w:hAnsi="Arial" w:cs="Arial"/>
        </w:rPr>
        <w:t xml:space="preserve">, 49(12), pp.2707–2722. </w:t>
      </w:r>
      <w:hyperlink r:id="rId21" w:tgtFrame="_new" w:history="1">
        <w:r w:rsidR="001C6890" w:rsidRPr="000A2764">
          <w:rPr>
            <w:rStyle w:val="Hyperlink"/>
            <w:rFonts w:ascii="Arial" w:hAnsi="Arial" w:cs="Arial"/>
          </w:rPr>
          <w:t>https://doi.org/10.1080/03075079.2024.2322093</w:t>
        </w:r>
      </w:hyperlink>
    </w:p>
    <w:p w14:paraId="5197500E"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Relationship between personal branding and career development among staff nurses, 2025. </w:t>
      </w:r>
      <w:r w:rsidRPr="000A2764">
        <w:rPr>
          <w:rFonts w:ascii="Arial" w:hAnsi="Arial" w:cs="Arial"/>
          <w:i/>
          <w:iCs/>
        </w:rPr>
        <w:t>Egyptian Journal of Health Care</w:t>
      </w:r>
      <w:r w:rsidRPr="000A2764">
        <w:rPr>
          <w:rFonts w:ascii="Arial" w:hAnsi="Arial" w:cs="Arial"/>
        </w:rPr>
        <w:t xml:space="preserve">, 16(1), pp.246–257. </w:t>
      </w:r>
      <w:hyperlink r:id="rId22" w:tgtFrame="_new" w:history="1">
        <w:r w:rsidR="001C6890" w:rsidRPr="000A2764">
          <w:rPr>
            <w:rStyle w:val="Hyperlink"/>
            <w:rFonts w:ascii="Arial" w:hAnsi="Arial" w:cs="Arial"/>
          </w:rPr>
          <w:t>https://doi.org/10.21608/ejhc.2025.409258</w:t>
        </w:r>
      </w:hyperlink>
    </w:p>
    <w:p w14:paraId="34E6F823"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Shaw, R.L., Pattison, H.M., Holland, C. and Cooke, R., 2015. Be SMART: examining the experience of implementing the NHS Health Check in UK primary care. </w:t>
      </w:r>
      <w:r w:rsidRPr="000A2764">
        <w:rPr>
          <w:rFonts w:ascii="Arial" w:hAnsi="Arial" w:cs="Arial"/>
          <w:i/>
          <w:iCs/>
        </w:rPr>
        <w:t>BMC Family Practice</w:t>
      </w:r>
      <w:r w:rsidRPr="000A2764">
        <w:rPr>
          <w:rFonts w:ascii="Arial" w:hAnsi="Arial" w:cs="Arial"/>
        </w:rPr>
        <w:t>, 16, 1. https://doi.org/10.1186/s12875-014-0212-7</w:t>
      </w:r>
    </w:p>
    <w:p w14:paraId="1BCA2265"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Sherwood, G., 2024. Reflective practice and knowledge development: transforming research for a practice-based discipline. </w:t>
      </w:r>
      <w:r w:rsidRPr="000A2764">
        <w:rPr>
          <w:rFonts w:ascii="Arial" w:hAnsi="Arial" w:cs="Arial"/>
          <w:i/>
          <w:iCs/>
        </w:rPr>
        <w:t>International Journal of Nursing Sciences</w:t>
      </w:r>
      <w:r w:rsidRPr="000A2764">
        <w:rPr>
          <w:rFonts w:ascii="Arial" w:hAnsi="Arial" w:cs="Arial"/>
        </w:rPr>
        <w:t>, 11(4), pp.399–404. https://doi.org/10.1016/j.ijnss.2024.08.002</w:t>
      </w:r>
    </w:p>
    <w:p w14:paraId="349641B4"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Shiri, R., El-Metwally, A., Sallinen, M., Pöyry, M., Härmä, M. and Toppinen-Tanner, S., 2023. The role of continuing professional training or development in maintaining current employment: a systematic review. </w:t>
      </w:r>
      <w:r w:rsidRPr="000A2764">
        <w:rPr>
          <w:rFonts w:ascii="Arial" w:hAnsi="Arial" w:cs="Arial"/>
          <w:i/>
          <w:iCs/>
        </w:rPr>
        <w:t>Healthcare</w:t>
      </w:r>
      <w:r w:rsidRPr="000A2764">
        <w:rPr>
          <w:rFonts w:ascii="Arial" w:hAnsi="Arial" w:cs="Arial"/>
        </w:rPr>
        <w:t xml:space="preserve">, 11(21), 2900. </w:t>
      </w:r>
      <w:hyperlink r:id="rId23" w:tgtFrame="_new" w:history="1">
        <w:r w:rsidR="001C6890" w:rsidRPr="000A2764">
          <w:rPr>
            <w:rStyle w:val="Hyperlink"/>
            <w:rFonts w:ascii="Arial" w:hAnsi="Arial" w:cs="Arial"/>
          </w:rPr>
          <w:t>https://doi.org/10.3390/healthcare11212900</w:t>
        </w:r>
      </w:hyperlink>
    </w:p>
    <w:p w14:paraId="03635509"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Van Ravenswaay, L., Parnes, A. and Nisly, S.A., 2024. Clicks for credit: an analysis of healthcare professionals’ social media use and potential for continuing professional development activities. </w:t>
      </w:r>
      <w:r w:rsidRPr="000A2764">
        <w:rPr>
          <w:rFonts w:ascii="Arial" w:hAnsi="Arial" w:cs="Arial"/>
          <w:i/>
          <w:iCs/>
        </w:rPr>
        <w:t>Medical Education Online</w:t>
      </w:r>
      <w:r w:rsidRPr="000A2764">
        <w:rPr>
          <w:rFonts w:ascii="Arial" w:hAnsi="Arial" w:cs="Arial"/>
        </w:rPr>
        <w:t xml:space="preserve">, 29(1). </w:t>
      </w:r>
      <w:hyperlink r:id="rId24" w:tgtFrame="_new" w:history="1">
        <w:r w:rsidR="001C6890" w:rsidRPr="000A2764">
          <w:rPr>
            <w:rStyle w:val="Hyperlink"/>
            <w:rFonts w:ascii="Arial" w:hAnsi="Arial" w:cs="Arial"/>
          </w:rPr>
          <w:t>https://doi.org/10.1080/10872981.2024.2316489</w:t>
        </w:r>
      </w:hyperlink>
    </w:p>
    <w:p w14:paraId="14C1E80E"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Wani, P., 2024. Connecting for success: the role of networking in medical education. </w:t>
      </w:r>
      <w:r w:rsidRPr="000A2764">
        <w:rPr>
          <w:rFonts w:ascii="Arial" w:hAnsi="Arial" w:cs="Arial"/>
          <w:i/>
          <w:iCs/>
        </w:rPr>
        <w:t>Cureus</w:t>
      </w:r>
      <w:r w:rsidRPr="000A2764">
        <w:rPr>
          <w:rFonts w:ascii="Arial" w:hAnsi="Arial" w:cs="Arial"/>
        </w:rPr>
        <w:t>, 16(11), e74643. https://doi.org/10.7759/cureus.74643</w:t>
      </w:r>
    </w:p>
    <w:p w14:paraId="6DF013E3" w14:textId="77777777" w:rsidR="001C6890" w:rsidRPr="000A2764" w:rsidRDefault="00000000" w:rsidP="000A2764">
      <w:pPr>
        <w:spacing w:line="360" w:lineRule="auto"/>
        <w:jc w:val="both"/>
        <w:rPr>
          <w:rFonts w:ascii="Arial" w:hAnsi="Arial" w:cs="Arial"/>
        </w:rPr>
      </w:pPr>
      <w:r w:rsidRPr="000A2764">
        <w:rPr>
          <w:rFonts w:ascii="Arial" w:hAnsi="Arial" w:cs="Arial"/>
        </w:rPr>
        <w:t xml:space="preserve">Zota, D., Diamantis, D.V., Katsas, K., Karnaki, P., Tsiampalis, T., Sakowski, P., Christophi, C.A., Ioannidou, E., Darias-Curvo, S., Batury, V.-L., Berth, H., Zscheppang, A., Linke, M., Themistokleous, S., Veloudaki, A. and Linos, A., 2023. Essential skills for health communication, barriers, facilitators and the need for training: perceptions of healthcare professionals from seven European countries. </w:t>
      </w:r>
      <w:r w:rsidRPr="000A2764">
        <w:rPr>
          <w:rFonts w:ascii="Arial" w:hAnsi="Arial" w:cs="Arial"/>
          <w:i/>
          <w:iCs/>
        </w:rPr>
        <w:t>Healthcare</w:t>
      </w:r>
      <w:r w:rsidRPr="000A2764">
        <w:rPr>
          <w:rFonts w:ascii="Arial" w:hAnsi="Arial" w:cs="Arial"/>
        </w:rPr>
        <w:t xml:space="preserve">, 11(14), 2058. </w:t>
      </w:r>
      <w:hyperlink r:id="rId25" w:tgtFrame="_new" w:history="1">
        <w:r w:rsidR="001C6890" w:rsidRPr="000A2764">
          <w:rPr>
            <w:rStyle w:val="Hyperlink"/>
            <w:rFonts w:ascii="Arial" w:hAnsi="Arial" w:cs="Arial"/>
          </w:rPr>
          <w:t>https://doi.org/10.3390/healthcare11142058</w:t>
        </w:r>
      </w:hyperlink>
    </w:p>
    <w:p w14:paraId="2E37CB26" w14:textId="77777777" w:rsidR="001C6890" w:rsidRPr="000A2764" w:rsidRDefault="001C6890" w:rsidP="000A2764">
      <w:pPr>
        <w:spacing w:line="360" w:lineRule="auto"/>
        <w:jc w:val="both"/>
        <w:rPr>
          <w:rFonts w:ascii="Arial" w:hAnsi="Arial" w:cs="Arial"/>
        </w:rPr>
      </w:pPr>
    </w:p>
    <w:p w14:paraId="2D7948FF" w14:textId="77777777" w:rsidR="001C6890" w:rsidRPr="000A2764" w:rsidRDefault="001C6890" w:rsidP="000A2764">
      <w:pPr>
        <w:spacing w:line="360" w:lineRule="auto"/>
        <w:jc w:val="both"/>
        <w:rPr>
          <w:rFonts w:ascii="Arial" w:hAnsi="Arial" w:cs="Arial"/>
        </w:rPr>
      </w:pPr>
    </w:p>
    <w:p w14:paraId="20F23076" w14:textId="77777777" w:rsidR="001C6890" w:rsidRPr="000A2764" w:rsidRDefault="001C6890" w:rsidP="000A2764">
      <w:pPr>
        <w:spacing w:line="360" w:lineRule="auto"/>
        <w:jc w:val="both"/>
        <w:rPr>
          <w:rFonts w:ascii="Arial" w:hAnsi="Arial" w:cs="Arial"/>
        </w:rPr>
      </w:pPr>
    </w:p>
    <w:p w14:paraId="0639DFD5" w14:textId="77777777" w:rsidR="001C6890" w:rsidRPr="000A2764" w:rsidRDefault="001C6890" w:rsidP="000A2764">
      <w:pPr>
        <w:spacing w:line="360" w:lineRule="auto"/>
        <w:jc w:val="both"/>
        <w:rPr>
          <w:rFonts w:ascii="Arial" w:hAnsi="Arial" w:cs="Arial"/>
        </w:rPr>
      </w:pPr>
    </w:p>
    <w:p w14:paraId="754CB45C" w14:textId="77777777" w:rsidR="001C6890" w:rsidRPr="000A2764" w:rsidRDefault="001C6890" w:rsidP="000A2764">
      <w:pPr>
        <w:spacing w:line="360" w:lineRule="auto"/>
        <w:jc w:val="both"/>
        <w:rPr>
          <w:rFonts w:ascii="Arial" w:hAnsi="Arial" w:cs="Arial"/>
        </w:rPr>
      </w:pPr>
    </w:p>
    <w:p w14:paraId="1AB0204A" w14:textId="77777777" w:rsidR="001C6890" w:rsidRPr="000A2764" w:rsidRDefault="001C6890" w:rsidP="000A2764">
      <w:pPr>
        <w:spacing w:line="360" w:lineRule="auto"/>
        <w:jc w:val="both"/>
        <w:rPr>
          <w:rFonts w:ascii="Arial" w:hAnsi="Arial" w:cs="Arial"/>
        </w:rPr>
      </w:pPr>
    </w:p>
    <w:p w14:paraId="71D37BE4" w14:textId="77777777" w:rsidR="001C6890" w:rsidRPr="000A2764" w:rsidRDefault="001C6890" w:rsidP="000A2764">
      <w:pPr>
        <w:spacing w:line="360" w:lineRule="auto"/>
        <w:jc w:val="both"/>
        <w:rPr>
          <w:rFonts w:ascii="Arial" w:hAnsi="Arial" w:cs="Arial"/>
        </w:rPr>
      </w:pPr>
    </w:p>
    <w:p w14:paraId="5944BED5" w14:textId="77777777" w:rsidR="001C6890" w:rsidRPr="000A2764" w:rsidRDefault="001C6890" w:rsidP="000A2764">
      <w:pPr>
        <w:spacing w:line="360" w:lineRule="auto"/>
        <w:jc w:val="both"/>
        <w:rPr>
          <w:rFonts w:ascii="Arial" w:hAnsi="Arial" w:cs="Arial"/>
        </w:rPr>
      </w:pPr>
    </w:p>
    <w:p w14:paraId="3D59C586" w14:textId="77777777" w:rsidR="001C6890" w:rsidRPr="000A2764" w:rsidRDefault="001C6890" w:rsidP="000A2764">
      <w:pPr>
        <w:spacing w:line="360" w:lineRule="auto"/>
        <w:jc w:val="both"/>
        <w:rPr>
          <w:rFonts w:ascii="Arial" w:hAnsi="Arial" w:cs="Arial"/>
        </w:rPr>
      </w:pPr>
    </w:p>
    <w:p w14:paraId="37FB7ED8" w14:textId="77777777" w:rsidR="001C6890" w:rsidRPr="000A2764" w:rsidRDefault="001C6890" w:rsidP="000A2764">
      <w:pPr>
        <w:spacing w:line="360" w:lineRule="auto"/>
        <w:jc w:val="both"/>
        <w:rPr>
          <w:rFonts w:ascii="Arial" w:hAnsi="Arial" w:cs="Arial"/>
        </w:rPr>
      </w:pPr>
    </w:p>
    <w:sectPr w:rsidR="001C6890" w:rsidRPr="000A2764">
      <w:footerReference w:type="default" r:id="rId2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C1CE3" w14:textId="77777777" w:rsidR="00BC1B0D" w:rsidRDefault="00BC1B0D">
      <w:pPr>
        <w:spacing w:after="0" w:line="240" w:lineRule="auto"/>
      </w:pPr>
      <w:r>
        <w:separator/>
      </w:r>
    </w:p>
  </w:endnote>
  <w:endnote w:type="continuationSeparator" w:id="0">
    <w:p w14:paraId="3C4330A1" w14:textId="77777777" w:rsidR="00BC1B0D" w:rsidRDefault="00BC1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2098" w14:textId="77777777" w:rsidR="001C6890" w:rsidRDefault="00000000">
    <w:pPr>
      <w:pStyle w:val="Footer"/>
      <w:pBdr>
        <w:top w:val="single" w:sz="4" w:space="1" w:color="D9D9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spacing w:val="60"/>
      </w:rPr>
      <w:t>Page</w:t>
    </w:r>
  </w:p>
  <w:p w14:paraId="4C6E31FF" w14:textId="77777777" w:rsidR="001C6890" w:rsidRDefault="001C6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BE388" w14:textId="77777777" w:rsidR="00BC1B0D" w:rsidRDefault="00BC1B0D">
      <w:pPr>
        <w:spacing w:after="0" w:line="240" w:lineRule="auto"/>
      </w:pPr>
      <w:r>
        <w:separator/>
      </w:r>
    </w:p>
  </w:footnote>
  <w:footnote w:type="continuationSeparator" w:id="0">
    <w:p w14:paraId="54A2ECBF" w14:textId="77777777" w:rsidR="00BC1B0D" w:rsidRDefault="00BC1B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890"/>
    <w:rsid w:val="000A2764"/>
    <w:rsid w:val="00135A30"/>
    <w:rsid w:val="001558F7"/>
    <w:rsid w:val="001B7464"/>
    <w:rsid w:val="001C6890"/>
    <w:rsid w:val="002C68B7"/>
    <w:rsid w:val="003A7C77"/>
    <w:rsid w:val="005769EF"/>
    <w:rsid w:val="006E1751"/>
    <w:rsid w:val="008D7FF5"/>
    <w:rsid w:val="00BC1B0D"/>
    <w:rsid w:val="00D23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CAF4C"/>
  <w15:docId w15:val="{629C8A35-D63D-4C4B-990B-3A6D8BA05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rial" w:eastAsia="SimSun" w:hAnsi="Arial"/>
      <w:b/>
      <w:color w:val="000000"/>
      <w:sz w:val="28"/>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Arial" w:eastAsia="SimSun" w:hAnsi="Arial"/>
      <w:b/>
      <w:color w:val="000000"/>
      <w:sz w:val="24"/>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olor w:val="365F9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i/>
      <w:iCs/>
      <w:color w:val="365F9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olor w:val="365F9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olor w:val="595959"/>
    </w:rPr>
  </w:style>
  <w:style w:type="paragraph" w:styleId="Heading8">
    <w:name w:val="heading 8"/>
    <w:basedOn w:val="Normal"/>
    <w:next w:val="Normal"/>
    <w:link w:val="Heading8Char"/>
    <w:uiPriority w:val="9"/>
    <w:qFormat/>
    <w:pPr>
      <w:keepNext/>
      <w:keepLines/>
      <w:spacing w:after="0"/>
      <w:outlineLvl w:val="7"/>
    </w:pPr>
    <w:rPr>
      <w:rFonts w:eastAsia="SimSu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SimSun" w:hAnsi="Arial" w:cs="SimSun"/>
      <w:b/>
      <w:color w:val="000000"/>
      <w:sz w:val="28"/>
      <w:szCs w:val="40"/>
    </w:rPr>
  </w:style>
  <w:style w:type="character" w:customStyle="1" w:styleId="Heading2Char">
    <w:name w:val="Heading 2 Char"/>
    <w:basedOn w:val="DefaultParagraphFont"/>
    <w:link w:val="Heading2"/>
    <w:uiPriority w:val="9"/>
    <w:rPr>
      <w:rFonts w:ascii="Arial" w:eastAsia="SimSun" w:hAnsi="Arial" w:cs="SimSun"/>
      <w:b/>
      <w:color w:val="000000"/>
      <w:sz w:val="24"/>
      <w:szCs w:val="32"/>
    </w:rPr>
  </w:style>
  <w:style w:type="character" w:customStyle="1" w:styleId="Heading3Char">
    <w:name w:val="Heading 3 Char"/>
    <w:basedOn w:val="DefaultParagraphFont"/>
    <w:link w:val="Heading3"/>
    <w:uiPriority w:val="9"/>
    <w:rPr>
      <w:rFonts w:eastAsia="SimSun" w:cs="SimSun"/>
      <w:color w:val="365F91"/>
      <w:sz w:val="28"/>
      <w:szCs w:val="28"/>
    </w:rPr>
  </w:style>
  <w:style w:type="character" w:customStyle="1" w:styleId="Heading4Char">
    <w:name w:val="Heading 4 Char"/>
    <w:basedOn w:val="DefaultParagraphFont"/>
    <w:link w:val="Heading4"/>
    <w:uiPriority w:val="9"/>
    <w:rPr>
      <w:rFonts w:eastAsia="SimSun" w:cs="SimSun"/>
      <w:i/>
      <w:iCs/>
      <w:color w:val="365F91"/>
    </w:rPr>
  </w:style>
  <w:style w:type="character" w:customStyle="1" w:styleId="Heading5Char">
    <w:name w:val="Heading 5 Char"/>
    <w:basedOn w:val="DefaultParagraphFont"/>
    <w:link w:val="Heading5"/>
    <w:uiPriority w:val="9"/>
    <w:rPr>
      <w:rFonts w:eastAsia="SimSun" w:cs="SimSun"/>
      <w:color w:val="365F91"/>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Title">
    <w:name w:val="Title"/>
    <w:basedOn w:val="Normal"/>
    <w:next w:val="Normal"/>
    <w:link w:val="TitleChar"/>
    <w:uiPriority w:val="10"/>
    <w:qFormat/>
    <w:pPr>
      <w:spacing w:after="80" w:line="240" w:lineRule="auto"/>
      <w:contextualSpacing/>
    </w:pPr>
    <w:rPr>
      <w:rFonts w:ascii="Cambria" w:eastAsia="SimSun" w:hAnsi="Cambria"/>
      <w:spacing w:val="-10"/>
      <w:kern w:val="28"/>
      <w:sz w:val="56"/>
      <w:szCs w:val="56"/>
    </w:rPr>
  </w:style>
  <w:style w:type="character" w:customStyle="1" w:styleId="TitleChar">
    <w:name w:val="Title Char"/>
    <w:basedOn w:val="DefaultParagraphFont"/>
    <w:link w:val="Title"/>
    <w:uiPriority w:val="10"/>
    <w:rPr>
      <w:rFonts w:ascii="Cambria" w:eastAsia="SimSun" w:hAnsi="Cambria" w:cs="SimSun"/>
      <w:spacing w:val="-10"/>
      <w:kern w:val="28"/>
      <w:sz w:val="56"/>
      <w:szCs w:val="56"/>
    </w:rPr>
  </w:style>
  <w:style w:type="paragraph" w:styleId="Subtitle">
    <w:name w:val="Subtitle"/>
    <w:basedOn w:val="Normal"/>
    <w:next w:val="Normal"/>
    <w:link w:val="SubtitleChar"/>
    <w:uiPriority w:val="11"/>
    <w:qFormat/>
    <w:pPr>
      <w:numPr>
        <w:ilvl w:val="1"/>
      </w:numPr>
      <w:spacing w:after="160"/>
    </w:pPr>
    <w:rPr>
      <w:rFonts w:eastAsia="SimSun"/>
      <w:color w:val="595959"/>
      <w:spacing w:val="15"/>
      <w:sz w:val="28"/>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after="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365F91"/>
    </w:rPr>
  </w:style>
  <w:style w:type="paragraph" w:styleId="IntenseQuote">
    <w:name w:val="Intense Quote"/>
    <w:basedOn w:val="Normal"/>
    <w:next w:val="Normal"/>
    <w:link w:val="IntenseQuoteChar"/>
    <w:uiPriority w:val="30"/>
    <w:qFormat/>
    <w:pPr>
      <w:pBdr>
        <w:top w:val="single" w:sz="4" w:space="10" w:color="365F91"/>
        <w:bottom w:val="single" w:sz="4" w:space="10" w:color="365F91"/>
      </w:pBdr>
      <w:spacing w:before="360" w:after="360"/>
      <w:ind w:left="864" w:right="864"/>
      <w:jc w:val="center"/>
    </w:pPr>
    <w:rPr>
      <w:i/>
      <w:iCs/>
      <w:color w:val="365F91"/>
    </w:rPr>
  </w:style>
  <w:style w:type="character" w:customStyle="1" w:styleId="IntenseQuoteChar">
    <w:name w:val="Intense Quote Char"/>
    <w:basedOn w:val="DefaultParagraphFont"/>
    <w:link w:val="IntenseQuote"/>
    <w:uiPriority w:val="30"/>
    <w:rPr>
      <w:i/>
      <w:iCs/>
      <w:color w:val="365F91"/>
    </w:rPr>
  </w:style>
  <w:style w:type="character" w:styleId="IntenseReference">
    <w:name w:val="Intense Reference"/>
    <w:basedOn w:val="DefaultParagraphFont"/>
    <w:uiPriority w:val="32"/>
    <w:qFormat/>
    <w:rPr>
      <w:b/>
      <w:bCs/>
      <w:smallCaps/>
      <w:color w:val="365F91"/>
      <w:spacing w:val="5"/>
    </w:rPr>
  </w:style>
  <w:style w:type="character" w:styleId="Hyperlink">
    <w:name w:val="Hyperlink"/>
    <w:basedOn w:val="DefaultParagraphFont"/>
    <w:uiPriority w:val="99"/>
    <w:rPr>
      <w:color w:val="0000FF"/>
      <w:u w:val="single"/>
    </w:rPr>
  </w:style>
  <w:style w:type="character" w:customStyle="1" w:styleId="UnresolvedMention1">
    <w:name w:val="Unresolved Mention1"/>
    <w:basedOn w:val="DefaultParagraphFont"/>
    <w:uiPriority w:val="99"/>
    <w:rPr>
      <w:color w:val="605E5C"/>
      <w:shd w:val="clear" w:color="auto" w:fill="E1DFDD"/>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qFormat/>
    <w:pPr>
      <w:spacing w:before="240" w:after="0" w:line="259" w:lineRule="auto"/>
      <w:outlineLvl w:val="9"/>
    </w:pPr>
    <w:rPr>
      <w:rFonts w:ascii="Cambria" w:hAnsi="Cambria"/>
      <w:b w:val="0"/>
      <w:color w:val="365F91"/>
      <w:kern w:val="0"/>
      <w:sz w:val="32"/>
      <w:szCs w:val="32"/>
      <w14:ligatures w14:val="none"/>
    </w:rPr>
  </w:style>
  <w:style w:type="paragraph" w:styleId="TOC1">
    <w:name w:val="toc 1"/>
    <w:basedOn w:val="Normal"/>
    <w:next w:val="Normal"/>
    <w:uiPriority w:val="39"/>
    <w:pPr>
      <w:spacing w:after="100"/>
    </w:pPr>
  </w:style>
  <w:style w:type="paragraph" w:styleId="NoSpacing">
    <w:name w:val="No Spacing"/>
    <w:link w:val="NoSpacingChar"/>
    <w:uiPriority w:val="1"/>
    <w:qFormat/>
    <w:pPr>
      <w:spacing w:after="0" w:line="240" w:lineRule="auto"/>
    </w:pPr>
    <w:rPr>
      <w:rFonts w:eastAsia="SimSun"/>
      <w:kern w:val="0"/>
      <w14:ligatures w14:val="none"/>
    </w:rPr>
  </w:style>
  <w:style w:type="character" w:customStyle="1" w:styleId="NoSpacingChar">
    <w:name w:val="No Spacing Char"/>
    <w:basedOn w:val="DefaultParagraphFont"/>
    <w:link w:val="NoSpacing"/>
    <w:uiPriority w:val="1"/>
    <w:rPr>
      <w:rFonts w:eastAsia="SimSu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healthcare8010035" TargetMode="External"/><Relationship Id="rId18" Type="http://schemas.openxmlformats.org/officeDocument/2006/relationships/hyperlink" Target="https://doi.org/10.1002/tre.953"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080/03075079.2024.2322093" TargetMode="External"/><Relationship Id="rId7" Type="http://schemas.openxmlformats.org/officeDocument/2006/relationships/endnotes" Target="endnotes.xml"/><Relationship Id="rId12" Type="http://schemas.openxmlformats.org/officeDocument/2006/relationships/hyperlink" Target="https://doi.org/10.21037/jhmhp-23-166" TargetMode="External"/><Relationship Id="rId17" Type="http://schemas.openxmlformats.org/officeDocument/2006/relationships/hyperlink" Target="https://doi.org/10.1111/jan.16755" TargetMode="External"/><Relationship Id="rId25" Type="http://schemas.openxmlformats.org/officeDocument/2006/relationships/hyperlink" Target="https://doi.org/10.3390/healthcare11142058" TargetMode="External"/><Relationship Id="rId2" Type="http://schemas.openxmlformats.org/officeDocument/2006/relationships/customXml" Target="../customXml/item2.xml"/><Relationship Id="rId16" Type="http://schemas.openxmlformats.org/officeDocument/2006/relationships/hyperlink" Target="https://doi.org/10.1177/0269216320929559" TargetMode="External"/><Relationship Id="rId20" Type="http://schemas.openxmlformats.org/officeDocument/2006/relationships/hyperlink" Target="https://doi.org/10.1080/14623943.2022.20644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909-024-06016-7" TargetMode="External"/><Relationship Id="rId24" Type="http://schemas.openxmlformats.org/officeDocument/2006/relationships/hyperlink" Target="https://doi.org/10.1080/10872981.2024.2316489" TargetMode="External"/><Relationship Id="rId5" Type="http://schemas.openxmlformats.org/officeDocument/2006/relationships/webSettings" Target="webSettings.xml"/><Relationship Id="rId15" Type="http://schemas.openxmlformats.org/officeDocument/2006/relationships/hyperlink" Target="https://doi.org/10.1111/medu.15462" TargetMode="External"/><Relationship Id="rId23" Type="http://schemas.openxmlformats.org/officeDocument/2006/relationships/hyperlink" Target="https://doi.org/10.3390/healthcare11212900" TargetMode="External"/><Relationship Id="rId28" Type="http://schemas.openxmlformats.org/officeDocument/2006/relationships/theme" Target="theme/theme1.xml"/><Relationship Id="rId10" Type="http://schemas.openxmlformats.org/officeDocument/2006/relationships/hyperlink" Target="https://doi.org/10.1080/2331186X.2024.2373555" TargetMode="External"/><Relationship Id="rId19" Type="http://schemas.openxmlformats.org/officeDocument/2006/relationships/hyperlink" Target="https://doi.org/10.1186/s12904-022-00942-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2912-024-02619-z" TargetMode="External"/><Relationship Id="rId22" Type="http://schemas.openxmlformats.org/officeDocument/2006/relationships/hyperlink" Target="https://doi.org/10.21608/ejhc.2025.40925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PublishDate>
  <Abstract/>
  <CompanyAddress>MODULE: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9F225C-C844-40F9-A947-DAB1CD421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3164</Words>
  <Characters>18035</Characters>
  <Application>Microsoft Office Word</Application>
  <DocSecurity>0</DocSecurity>
  <Lines>150</Lines>
  <Paragraphs>42</Paragraphs>
  <ScaleCrop>false</ScaleCrop>
  <Company>ID:</Company>
  <LinksUpToDate>false</LinksUpToDate>
  <CharactersWithSpaces>21157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My Employability and Professional Identity for a Healthcare Assistant Role in the NHS.”</dc:title>
  <dc:creator>SALMAN SAKHI</dc:creator>
  <cp:lastModifiedBy>rohey savage</cp:lastModifiedBy>
  <cp:revision>5</cp:revision>
  <dcterms:created xsi:type="dcterms:W3CDTF">2025-11-23T16:54:00Z</dcterms:created>
  <dcterms:modified xsi:type="dcterms:W3CDTF">2025-11-23T17:45:00Z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49345193fd274b32b83fd111930dd8e9</vt:lpwstr>
  </property>
  <property fmtid="{D5CDD505-2E9C-101B-9397-08002B2CF9AE}" pid="3" name="GrammarlyDocumentId">
    <vt:lpwstr>c2d261c9-b585-4217-aaed-b446cac4d08d</vt:lpwstr>
  </property>
</Properties>
</file>