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E6298B">
      <w:pPr>
        <w:ind w:right="107"/>
        <w:rPr>
          <w:sz w:val="24"/>
          <w:szCs w:val="24"/>
        </w:rPr>
      </w:pPr>
    </w:p>
    <w:p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563B58" w:rsidRPr="00270EEB" w:rsidRDefault="00563B58" w:rsidP="00E6298B">
      <w:pPr>
        <w:ind w:right="107"/>
        <w:rPr>
          <w:sz w:val="24"/>
          <w:szCs w:val="24"/>
        </w:rPr>
      </w:pPr>
    </w:p>
    <w:p w:rsidR="00563B58" w:rsidRPr="00270EEB" w:rsidRDefault="00563B58" w:rsidP="00E6298B">
      <w:pPr>
        <w:ind w:right="107"/>
        <w:rPr>
          <w:sz w:val="24"/>
          <w:szCs w:val="24"/>
        </w:rPr>
      </w:pPr>
    </w:p>
    <w:p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rsidR="00270EEB" w:rsidRPr="007B491F" w:rsidRDefault="00270EEB" w:rsidP="00E6298B">
      <w:pPr>
        <w:overflowPunct/>
        <w:autoSpaceDE/>
        <w:autoSpaceDN/>
        <w:adjustRightInd/>
        <w:ind w:right="107"/>
        <w:textAlignment w:val="auto"/>
        <w:rPr>
          <w:b/>
          <w:color w:val="auto"/>
          <w:sz w:val="44"/>
        </w:rPr>
      </w:pPr>
    </w:p>
    <w:p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E6298B">
      <w:pPr>
        <w:overflowPunct/>
        <w:autoSpaceDE/>
        <w:autoSpaceDN/>
        <w:adjustRightInd/>
        <w:ind w:right="107"/>
        <w:textAlignment w:val="auto"/>
        <w:rPr>
          <w:b/>
          <w:color w:val="auto"/>
          <w:sz w:val="44"/>
        </w:rPr>
      </w:pPr>
    </w:p>
    <w:p w:rsidR="00F927A1" w:rsidRDefault="00F927A1"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Pr="007B491F" w:rsidRDefault="008F22BD" w:rsidP="00E6298B">
      <w:pPr>
        <w:overflowPunct/>
        <w:autoSpaceDE/>
        <w:autoSpaceDN/>
        <w:adjustRightInd/>
        <w:ind w:right="107"/>
        <w:textAlignment w:val="auto"/>
        <w:rPr>
          <w:b/>
          <w:color w:val="auto"/>
          <w:sz w:val="44"/>
        </w:rPr>
      </w:pPr>
    </w:p>
    <w:p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RDefault="006B718C" w:rsidP="00E6298B">
      <w:pPr>
        <w:overflowPunct/>
        <w:autoSpaceDE/>
        <w:autoSpaceDN/>
        <w:adjustRightInd/>
        <w:ind w:right="107"/>
        <w:textAlignment w:val="auto"/>
        <w:rPr>
          <w:b/>
          <w:color w:val="auto"/>
          <w:sz w:val="36"/>
        </w:rPr>
      </w:pPr>
    </w:p>
    <w:p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575A8F" w:rsidRPr="007B491F" w:rsidRDefault="00575A8F" w:rsidP="00E6298B">
      <w:pPr>
        <w:overflowPunct/>
        <w:autoSpaceDE/>
        <w:autoSpaceDN/>
        <w:adjustRightInd/>
        <w:ind w:right="107"/>
        <w:textAlignment w:val="auto"/>
        <w:rPr>
          <w:b/>
          <w:color w:val="auto"/>
          <w:sz w:val="44"/>
        </w:rPr>
      </w:pPr>
    </w:p>
    <w:p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rsidTr="00E6298B">
        <w:tc>
          <w:tcPr>
            <w:tcW w:w="9493" w:type="dxa"/>
            <w:shd w:val="clear" w:color="auto" w:fill="auto"/>
          </w:tcPr>
          <w:p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sidR="00945497">
              <w:rPr>
                <w:b/>
                <w:color w:val="auto"/>
                <w:sz w:val="32"/>
              </w:rPr>
              <w:t>: Amy Evans</w:t>
            </w:r>
          </w:p>
          <w:p w:rsidR="00945497" w:rsidRDefault="00945497"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p>
        </w:tc>
      </w:tr>
    </w:tbl>
    <w:p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rsidR="00575A8F" w:rsidRDefault="00575A8F" w:rsidP="00E6298B">
      <w:pPr>
        <w:overflowPunct/>
        <w:autoSpaceDE/>
        <w:autoSpaceDN/>
        <w:adjustRightInd/>
        <w:ind w:right="107"/>
        <w:textAlignment w:val="auto"/>
        <w:rPr>
          <w:b/>
          <w:color w:val="auto"/>
          <w:sz w:val="36"/>
        </w:rPr>
      </w:pPr>
    </w:p>
    <w:p w:rsidR="00F927A1" w:rsidRPr="00E7374A" w:rsidRDefault="00F927A1" w:rsidP="00E6298B">
      <w:pPr>
        <w:overflowPunct/>
        <w:autoSpaceDE/>
        <w:autoSpaceDN/>
        <w:adjustRightInd/>
        <w:ind w:right="107"/>
        <w:textAlignment w:val="auto"/>
        <w:rPr>
          <w:b/>
          <w:color w:val="auto"/>
          <w:sz w:val="36"/>
        </w:rPr>
      </w:pPr>
    </w:p>
    <w:p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rsidR="00575A8F" w:rsidRDefault="00575A8F" w:rsidP="00E6298B">
      <w:pPr>
        <w:overflowPunct/>
        <w:autoSpaceDE/>
        <w:autoSpaceDN/>
        <w:adjustRightInd/>
        <w:ind w:right="107"/>
        <w:textAlignment w:val="auto"/>
        <w:rPr>
          <w:b/>
          <w:i/>
          <w:color w:val="auto"/>
          <w:sz w:val="24"/>
        </w:rPr>
      </w:pPr>
    </w:p>
    <w:p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RDefault="7560A895" w:rsidP="7560A895">
      <w:pPr>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8B28E7" w:rsidRPr="00270EEB" w:rsidRDefault="008B28E7" w:rsidP="00E6298B">
      <w:pPr>
        <w:ind w:right="107"/>
        <w:rPr>
          <w:sz w:val="24"/>
          <w:szCs w:val="24"/>
        </w:rPr>
      </w:pPr>
    </w:p>
    <w:p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0040668F" w:rsidRPr="00270EEB" w:rsidRDefault="0040668F" w:rsidP="00E6298B">
      <w:pPr>
        <w:ind w:right="107"/>
        <w:jc w:val="both"/>
        <w:rPr>
          <w:b/>
          <w:sz w:val="24"/>
          <w:szCs w:val="24"/>
        </w:rPr>
      </w:pPr>
    </w:p>
    <w:p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RDefault="28A9B94D" w:rsidP="28A9B94D">
      <w:pPr>
        <w:jc w:val="both"/>
        <w:rPr>
          <w:rFonts w:eastAsia="Arial"/>
          <w:color w:val="000000" w:themeColor="text1"/>
          <w:sz w:val="24"/>
          <w:szCs w:val="24"/>
        </w:rPr>
      </w:pPr>
    </w:p>
    <w:p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9D25B4" w:rsidRPr="00270EEB" w:rsidRDefault="009D25B4" w:rsidP="00E6298B">
      <w:pPr>
        <w:ind w:right="107"/>
        <w:jc w:val="both"/>
        <w:rPr>
          <w:sz w:val="24"/>
          <w:szCs w:val="24"/>
        </w:rPr>
      </w:pPr>
    </w:p>
    <w:p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RDefault="28A9B94D" w:rsidP="28A9B94D">
      <w:pPr>
        <w:pStyle w:val="ListParagraph"/>
        <w:numPr>
          <w:ilvl w:val="0"/>
          <w:numId w:val="49"/>
        </w:numPr>
        <w:ind w:right="107"/>
        <w:jc w:val="both"/>
        <w:rPr>
          <w:sz w:val="24"/>
          <w:szCs w:val="24"/>
        </w:rPr>
      </w:pPr>
      <w:r w:rsidRPr="28A9B94D">
        <w:rPr>
          <w:sz w:val="24"/>
          <w:szCs w:val="24"/>
        </w:rPr>
        <w:t>Problem Solving</w:t>
      </w:r>
    </w:p>
    <w:p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rsidR="28A9B94D" w:rsidRDefault="28A9B94D" w:rsidP="28A9B94D">
      <w:pPr>
        <w:pStyle w:val="ListParagraph"/>
        <w:numPr>
          <w:ilvl w:val="0"/>
          <w:numId w:val="49"/>
        </w:numPr>
        <w:ind w:right="107"/>
        <w:jc w:val="both"/>
        <w:rPr>
          <w:sz w:val="24"/>
          <w:szCs w:val="24"/>
        </w:rPr>
      </w:pPr>
      <w:r w:rsidRPr="28A9B94D">
        <w:rPr>
          <w:sz w:val="24"/>
          <w:szCs w:val="24"/>
        </w:rPr>
        <w:t>Public Protection.</w:t>
      </w:r>
    </w:p>
    <w:p w:rsidR="009D25B4" w:rsidRPr="00270EEB" w:rsidRDefault="009D25B4" w:rsidP="00E6298B">
      <w:pPr>
        <w:numPr>
          <w:ilvl w:val="12"/>
          <w:numId w:val="0"/>
        </w:numPr>
        <w:ind w:right="107"/>
        <w:jc w:val="both"/>
        <w:rPr>
          <w:sz w:val="24"/>
          <w:szCs w:val="24"/>
          <w:highlight w:val="yellow"/>
        </w:rPr>
      </w:pPr>
    </w:p>
    <w:p w:rsidR="009D25B4" w:rsidRDefault="009D25B4" w:rsidP="7560A895">
      <w:pPr>
        <w:ind w:right="107"/>
        <w:jc w:val="both"/>
        <w:rPr>
          <w:b/>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rsidR="7560A895" w:rsidRDefault="7560A895" w:rsidP="7560A895">
      <w:pPr>
        <w:ind w:right="107"/>
        <w:jc w:val="both"/>
        <w:rPr>
          <w:b/>
          <w:bCs/>
          <w:sz w:val="24"/>
          <w:szCs w:val="24"/>
        </w:rPr>
      </w:pPr>
    </w:p>
    <w:p w:rsidR="00AD6ECE" w:rsidRPr="00270EEB" w:rsidRDefault="00AD6ECE" w:rsidP="00E6298B">
      <w:pPr>
        <w:ind w:right="107"/>
        <w:jc w:val="both"/>
        <w:rPr>
          <w:b/>
          <w:sz w:val="24"/>
          <w:szCs w:val="24"/>
        </w:rPr>
      </w:pPr>
      <w:r w:rsidRPr="00270EEB">
        <w:rPr>
          <w:b/>
          <w:sz w:val="24"/>
          <w:szCs w:val="24"/>
        </w:rPr>
        <w:t xml:space="preserve">Contents </w:t>
      </w:r>
    </w:p>
    <w:p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rsidTr="28A9B94D">
        <w:tc>
          <w:tcPr>
            <w:tcW w:w="1497" w:type="dxa"/>
            <w:shd w:val="clear" w:color="auto" w:fill="auto"/>
          </w:tcPr>
          <w:p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AD6ECE" w:rsidRPr="00270EEB" w:rsidRDefault="00AD6ECE" w:rsidP="00E6298B">
            <w:pPr>
              <w:ind w:right="107"/>
              <w:jc w:val="both"/>
              <w:rPr>
                <w:b/>
                <w:color w:val="auto"/>
                <w:sz w:val="24"/>
                <w:szCs w:val="24"/>
              </w:rPr>
            </w:pPr>
            <w:r>
              <w:rPr>
                <w:b/>
                <w:color w:val="auto"/>
                <w:sz w:val="24"/>
                <w:szCs w:val="24"/>
              </w:rPr>
              <w:t xml:space="preserve">Area of Professional Practice </w:t>
            </w:r>
          </w:p>
          <w:p w:rsidR="00AD6ECE" w:rsidRPr="00270EEB" w:rsidRDefault="00AD6ECE" w:rsidP="00E6298B">
            <w:pPr>
              <w:ind w:right="107"/>
              <w:jc w:val="both"/>
              <w:rPr>
                <w:b/>
                <w:color w:val="auto"/>
                <w:sz w:val="24"/>
                <w:szCs w:val="24"/>
              </w:rPr>
            </w:pPr>
          </w:p>
        </w:tc>
        <w:tc>
          <w:tcPr>
            <w:tcW w:w="1602" w:type="dxa"/>
          </w:tcPr>
          <w:p w:rsidR="00AD6ECE" w:rsidRDefault="00AD6ECE" w:rsidP="00E6298B">
            <w:pPr>
              <w:ind w:right="107"/>
              <w:jc w:val="both"/>
              <w:rPr>
                <w:b/>
                <w:color w:val="auto"/>
                <w:sz w:val="24"/>
                <w:szCs w:val="24"/>
              </w:rPr>
            </w:pPr>
            <w:r>
              <w:rPr>
                <w:b/>
                <w:color w:val="auto"/>
                <w:sz w:val="24"/>
                <w:szCs w:val="24"/>
              </w:rPr>
              <w:t>Word count</w:t>
            </w:r>
          </w:p>
        </w:tc>
      </w:tr>
      <w:tr w:rsidR="00AD6ECE" w:rsidRPr="00270EEB" w:rsidTr="28A9B94D">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RDefault="00AD6ECE" w:rsidP="00E6298B">
            <w:pPr>
              <w:ind w:right="107"/>
              <w:jc w:val="both"/>
              <w:rPr>
                <w:b/>
                <w:sz w:val="24"/>
                <w:szCs w:val="24"/>
              </w:rPr>
            </w:pPr>
            <w:r>
              <w:rPr>
                <w:b/>
                <w:sz w:val="24"/>
                <w:szCs w:val="24"/>
              </w:rPr>
              <w:t>Wellbeing and Resilience</w:t>
            </w:r>
          </w:p>
          <w:p w:rsidR="00AD6ECE" w:rsidRPr="00F6513F" w:rsidRDefault="00AD6ECE" w:rsidP="00E6298B">
            <w:pPr>
              <w:ind w:right="107"/>
              <w:jc w:val="both"/>
              <w:rPr>
                <w:b/>
                <w:sz w:val="24"/>
                <w:szCs w:val="24"/>
              </w:rPr>
            </w:pPr>
          </w:p>
        </w:tc>
        <w:tc>
          <w:tcPr>
            <w:tcW w:w="1602" w:type="dxa"/>
          </w:tcPr>
          <w:p w:rsidR="00AD6ECE" w:rsidRPr="003C4D7B" w:rsidRDefault="28A9B94D" w:rsidP="28A9B94D">
            <w:pPr>
              <w:rPr>
                <w:b/>
                <w:bCs/>
              </w:rPr>
            </w:pPr>
            <w:r w:rsidRPr="28A9B94D">
              <w:rPr>
                <w:b/>
                <w:bCs/>
              </w:rPr>
              <w:t>1500</w:t>
            </w:r>
          </w:p>
        </w:tc>
      </w:tr>
      <w:tr w:rsidR="00AD6ECE" w:rsidRPr="00270EEB" w:rsidTr="28A9B94D">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AD6ECE" w:rsidRPr="00F6513F" w:rsidRDefault="00AD6ECE" w:rsidP="00E6298B">
            <w:pPr>
              <w:ind w:right="107"/>
              <w:jc w:val="both"/>
              <w:rPr>
                <w:b/>
                <w:color w:val="auto"/>
                <w:sz w:val="24"/>
                <w:szCs w:val="24"/>
              </w:rPr>
            </w:pPr>
          </w:p>
        </w:tc>
        <w:tc>
          <w:tcPr>
            <w:tcW w:w="1602" w:type="dxa"/>
          </w:tcPr>
          <w:p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rsidTr="28A9B94D">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RDefault="00AD6ECE" w:rsidP="00E6298B">
            <w:pPr>
              <w:ind w:right="107"/>
              <w:jc w:val="both"/>
              <w:rPr>
                <w:b/>
                <w:sz w:val="24"/>
                <w:szCs w:val="24"/>
              </w:rPr>
            </w:pPr>
            <w:r>
              <w:rPr>
                <w:b/>
                <w:sz w:val="24"/>
                <w:szCs w:val="24"/>
              </w:rPr>
              <w:t xml:space="preserve">Criminal Justice, Valuing difference and inclusion </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8A9B94D">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8A9B94D">
        <w:trPr>
          <w:trHeight w:val="81"/>
        </w:trPr>
        <w:tc>
          <w:tcPr>
            <w:tcW w:w="1497" w:type="dxa"/>
            <w:shd w:val="clear" w:color="auto" w:fill="auto"/>
          </w:tcPr>
          <w:p w:rsidR="00AD6ECE" w:rsidRPr="007B5CB2" w:rsidRDefault="00AD6ECE" w:rsidP="00E6298B">
            <w:pPr>
              <w:ind w:right="107"/>
              <w:jc w:val="both"/>
              <w:rPr>
                <w:color w:val="auto"/>
                <w:sz w:val="24"/>
                <w:szCs w:val="24"/>
              </w:rPr>
            </w:pPr>
          </w:p>
        </w:tc>
        <w:tc>
          <w:tcPr>
            <w:tcW w:w="6015" w:type="dxa"/>
            <w:shd w:val="clear" w:color="auto" w:fill="auto"/>
          </w:tcPr>
          <w:p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rsidR="00AD6ECE" w:rsidRPr="00F40CB5" w:rsidRDefault="00AD6ECE" w:rsidP="00E6298B">
            <w:pPr>
              <w:spacing w:line="360" w:lineRule="auto"/>
              <w:ind w:right="107"/>
              <w:jc w:val="both"/>
              <w:rPr>
                <w:b/>
                <w:color w:val="auto"/>
                <w:sz w:val="24"/>
                <w:szCs w:val="24"/>
              </w:rPr>
            </w:pPr>
          </w:p>
        </w:tc>
      </w:tr>
      <w:tr w:rsidR="28A9B94D" w:rsidTr="28A9B94D">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rsidTr="28A9B94D">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rsidR="28A9B94D" w:rsidRDefault="28A9B94D" w:rsidP="28A9B94D">
            <w:pPr>
              <w:spacing w:line="360" w:lineRule="auto"/>
              <w:jc w:val="both"/>
              <w:rPr>
                <w:b/>
                <w:bCs/>
                <w:color w:val="auto"/>
                <w:sz w:val="24"/>
                <w:szCs w:val="24"/>
              </w:rPr>
            </w:pPr>
          </w:p>
        </w:tc>
      </w:tr>
      <w:tr w:rsidR="28A9B94D" w:rsidTr="28A9B94D">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rsidR="28A9B94D" w:rsidRDefault="28A9B94D" w:rsidP="28A9B94D">
            <w:pPr>
              <w:spacing w:line="360" w:lineRule="auto"/>
              <w:jc w:val="both"/>
              <w:rPr>
                <w:b/>
                <w:bCs/>
                <w:color w:val="auto"/>
                <w:sz w:val="24"/>
                <w:szCs w:val="24"/>
              </w:rPr>
            </w:pPr>
          </w:p>
        </w:tc>
      </w:tr>
    </w:tbl>
    <w:p w:rsidR="00AD6ECE" w:rsidRDefault="00AD6ECE" w:rsidP="00E6298B">
      <w:pPr>
        <w:ind w:right="107"/>
        <w:jc w:val="center"/>
        <w:rPr>
          <w:b/>
          <w:sz w:val="24"/>
          <w:szCs w:val="24"/>
        </w:rPr>
      </w:pPr>
    </w:p>
    <w:p w:rsidR="00AD6ECE" w:rsidRDefault="00AD6ECE" w:rsidP="00E6298B">
      <w:pPr>
        <w:ind w:right="107"/>
        <w:jc w:val="center"/>
        <w:rPr>
          <w:b/>
          <w:sz w:val="24"/>
          <w:szCs w:val="24"/>
        </w:rPr>
      </w:pPr>
    </w:p>
    <w:p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rsidR="000A469A" w:rsidRPr="00270EEB" w:rsidRDefault="000A469A" w:rsidP="00E6298B">
      <w:pPr>
        <w:ind w:right="107"/>
        <w:jc w:val="both"/>
        <w:rPr>
          <w:b/>
          <w:sz w:val="24"/>
          <w:szCs w:val="24"/>
        </w:rPr>
      </w:pPr>
    </w:p>
    <w:p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rsidR="004046F0" w:rsidRPr="00270EEB" w:rsidRDefault="004046F0" w:rsidP="00E6298B">
      <w:pPr>
        <w:ind w:right="107"/>
        <w:jc w:val="both"/>
        <w:rPr>
          <w:b/>
          <w:sz w:val="24"/>
          <w:szCs w:val="24"/>
        </w:rPr>
      </w:pPr>
    </w:p>
    <w:p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rsidTr="28A9B94D">
        <w:tc>
          <w:tcPr>
            <w:tcW w:w="10278" w:type="dxa"/>
            <w:shd w:val="clear" w:color="auto" w:fill="auto"/>
          </w:tcPr>
          <w:p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CB143A" w:rsidRPr="00003990" w:rsidRDefault="00CB143A" w:rsidP="00E6298B">
            <w:pPr>
              <w:ind w:right="107"/>
              <w:jc w:val="both"/>
              <w:rPr>
                <w:b/>
                <w:sz w:val="24"/>
                <w:szCs w:val="24"/>
              </w:rPr>
            </w:pPr>
          </w:p>
          <w:p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rsidR="00025650" w:rsidRDefault="00025650" w:rsidP="00E6298B">
      <w:pPr>
        <w:ind w:right="107"/>
        <w:jc w:val="both"/>
        <w:rPr>
          <w:b/>
          <w:sz w:val="24"/>
          <w:szCs w:val="24"/>
        </w:rPr>
      </w:pPr>
    </w:p>
    <w:p w:rsidR="00AA666E" w:rsidRPr="00025650" w:rsidRDefault="00025650" w:rsidP="00E6298B">
      <w:pPr>
        <w:ind w:right="107"/>
        <w:jc w:val="both"/>
        <w:rPr>
          <w:b/>
          <w:sz w:val="24"/>
          <w:szCs w:val="24"/>
        </w:rPr>
      </w:pPr>
      <w:r w:rsidRPr="00025650">
        <w:rPr>
          <w:b/>
          <w:sz w:val="24"/>
          <w:szCs w:val="24"/>
        </w:rPr>
        <w:t>ANSWER:</w:t>
      </w:r>
    </w:p>
    <w:p w:rsidR="00FF7784" w:rsidRPr="00270EEB" w:rsidRDefault="00FF7784" w:rsidP="00E6298B">
      <w:pPr>
        <w:ind w:right="107"/>
        <w:jc w:val="both"/>
        <w:rPr>
          <w:sz w:val="24"/>
          <w:szCs w:val="24"/>
        </w:rPr>
      </w:pPr>
    </w:p>
    <w:p w:rsidR="00422AFA" w:rsidRPr="00B335C5" w:rsidRDefault="00422AFA" w:rsidP="00422AFA">
      <w:pPr>
        <w:spacing w:line="480" w:lineRule="auto"/>
        <w:rPr>
          <w:rFonts w:cstheme="minorHAnsi"/>
        </w:rPr>
      </w:pPr>
      <w:r w:rsidRPr="00B335C5">
        <w:rPr>
          <w:rFonts w:cstheme="minorHAnsi"/>
        </w:rPr>
        <w:t xml:space="preserve">Developing coping strategies and effective mechanisms to manage stress levels within the work place is imperative to adapt to the demands of the diverse environment and evolving circumstances we come across and to build resilience through these mechanisms and strategies to be effective in our roles. There is extensive research relating to the impacts of work related stress on a person’s performance and functioning both personally and professionally, and how these impacts can be positively affected by appropriate coping strategies. This task will discuss and review the coping strategies utilised by the writer during the initial six months of being a Police Constable.   </w:t>
      </w:r>
    </w:p>
    <w:p w:rsidR="00422AFA" w:rsidRPr="00B335C5" w:rsidRDefault="00422AFA" w:rsidP="00422AFA">
      <w:pPr>
        <w:spacing w:line="480" w:lineRule="auto"/>
        <w:rPr>
          <w:rFonts w:cstheme="minorHAnsi"/>
        </w:rPr>
      </w:pPr>
    </w:p>
    <w:p w:rsidR="00422AFA" w:rsidRDefault="00422AFA" w:rsidP="00422AFA">
      <w:pPr>
        <w:spacing w:line="480" w:lineRule="auto"/>
        <w:rPr>
          <w:rFonts w:cstheme="minorHAnsi"/>
        </w:rPr>
      </w:pPr>
      <w:r w:rsidRPr="00B335C5">
        <w:rPr>
          <w:rFonts w:cstheme="minorHAnsi"/>
        </w:rPr>
        <w:t xml:space="preserve">Stress is widely known as a state of mental or emotional strain or tension resulting from adverse of demanding circumstances (Selye, 1982)  in which you can feel under pressure and subsequently can have adverse effects on a person’s emotional, social, physical and psychological wellbeing. The impacts of this can include symptoms of anxiety, fatigues, tension headaches, depression, stomach pains, drug or alcohol misuse, angry outbursts, chest pain or sleeping problems to name a few (Mind). A normal or moderate level of stress can be relatively unimpactive and in some cases can even positively effect a person in circumstances such as a sports match or a public presentation where an appropriate level of stress can provide an adrenaline type effect which optimises and improves performance. Individuals have different triggers of what they perceive as stressful whether it be a difficult situation, awkward circumstance or demanding task which causes them to feel an immediate sense of stress or adds to a cumulative state of stress that they are already feeling. </w:t>
      </w:r>
    </w:p>
    <w:p w:rsidR="00422AFA" w:rsidRPr="00B335C5" w:rsidRDefault="00422AFA" w:rsidP="00422AFA">
      <w:pPr>
        <w:spacing w:line="480" w:lineRule="auto"/>
        <w:rPr>
          <w:rFonts w:cstheme="minorHAnsi"/>
        </w:rPr>
      </w:pPr>
    </w:p>
    <w:p w:rsidR="00422AFA" w:rsidRPr="00B335C5" w:rsidRDefault="00422AFA" w:rsidP="00422AFA">
      <w:pPr>
        <w:spacing w:line="480" w:lineRule="auto"/>
        <w:rPr>
          <w:rFonts w:cstheme="minorHAnsi"/>
        </w:rPr>
      </w:pPr>
      <w:r w:rsidRPr="00B335C5">
        <w:rPr>
          <w:rFonts w:cstheme="minorHAnsi"/>
        </w:rPr>
        <w:lastRenderedPageBreak/>
        <w:t xml:space="preserve">Different people have differing tolerance levels of stress and that level is dependable on the level of personal resilience they have. There are a vast number of varied types of coping strategies and mechanisms available to help manage both work and personal stress levels and develop resilience (Al-Sowygh, 2013). Coping strategies can vary from simple, positive physical outlets such as exercising regularly and being active, to complex mechanisms of self-reflection and personal analysis. Research shows that depending on what coping strategy is utilised and how it is implemented, mechanisms and techniques can be highly effective in managing an individual’s levels of stress and assist in coping with pressures, allowing them to function normally (Folkman &amp; Lazarus, 1980). </w:t>
      </w:r>
    </w:p>
    <w:p w:rsidR="00422AFA" w:rsidRPr="00B335C5" w:rsidRDefault="00422AFA" w:rsidP="00422AFA">
      <w:pPr>
        <w:spacing w:line="480" w:lineRule="auto"/>
        <w:rPr>
          <w:rFonts w:cstheme="minorHAnsi"/>
        </w:rPr>
      </w:pPr>
      <w:r w:rsidRPr="00B335C5">
        <w:rPr>
          <w:rFonts w:cstheme="minorHAnsi"/>
        </w:rPr>
        <w:t xml:space="preserve"> </w:t>
      </w:r>
    </w:p>
    <w:p w:rsidR="00422AFA" w:rsidRPr="00B335C5" w:rsidRDefault="00422AFA" w:rsidP="00422AFA">
      <w:pPr>
        <w:spacing w:line="480" w:lineRule="auto"/>
        <w:rPr>
          <w:rFonts w:cstheme="minorHAnsi"/>
        </w:rPr>
      </w:pPr>
      <w:r w:rsidRPr="00B335C5">
        <w:rPr>
          <w:rFonts w:cstheme="minorHAnsi"/>
        </w:rPr>
        <w:t>The type of coping mechanism or strategy a person either choses to adopt or subconsciously utilises to manage their stress levels depends on an individual’s personal preferences or characteristics. I personally have always enjoyed participating in physical activity and have found this to be a positive release of stress and excess energy, and sometimes aggression. I found the transition from a very physically demanding previous role, to an initial six months in a training environment whereby the pace and nature of the academic aspect was far less physically taxing, caused me to feel restricted and inactive. Due to this, coupled with the fact that I have always been very physically active and combined with the natural stresses and challenges that accompany beginning a new job, I consciously ensured to undertake regular physical exercise as a coping mechanism for stress.</w:t>
      </w:r>
      <w:r>
        <w:rPr>
          <w:rFonts w:cstheme="minorHAnsi"/>
        </w:rPr>
        <w:t xml:space="preserve"> </w:t>
      </w:r>
      <w:r w:rsidRPr="00B335C5">
        <w:rPr>
          <w:rFonts w:cstheme="minorHAnsi"/>
        </w:rPr>
        <w:t>Research such as Edward (2006) has demonstrated its effectiveness by stating that those who engage in physical activity are likely to have fewer symptoms of stress and better psychological wellbeing than those who do not exercise. I found this as regular physical activity allowed me to positively channel any additional energy I had left through being inactive during the day, sleep far better by being more fatigued following a strenuous work out and therefore allowing me to be more mentally focused on my study as a result. I found like stated by Park (2016) that I prioritised participating in exercise because of the positive effects I felt as a result including stress relief, and noticed a significant difference in my physical health which impacted my psychological wellbeing.</w:t>
      </w:r>
    </w:p>
    <w:p w:rsidR="00422AFA" w:rsidRPr="00B335C5" w:rsidRDefault="00422AFA" w:rsidP="00422AFA">
      <w:pPr>
        <w:spacing w:before="240" w:line="480" w:lineRule="auto"/>
        <w:rPr>
          <w:rFonts w:cstheme="minorHAnsi"/>
        </w:rPr>
      </w:pPr>
      <w:r w:rsidRPr="00B335C5">
        <w:rPr>
          <w:rFonts w:cstheme="minorHAnsi"/>
        </w:rPr>
        <w:t xml:space="preserve">I found that psychologically I gained self-awareness and clarity when I using physical exercise as a coping strategy during examination periods, when revision sessions had been heavy or when particular days of study were mentally taxing. By utilising an exercise routine that I was very familiar with I no longer had to think about what I was doing, muscle memory and the physical outlet of rehearsed body movements left me with a clear </w:t>
      </w:r>
      <w:r w:rsidRPr="00B335C5">
        <w:rPr>
          <w:rFonts w:cstheme="minorHAnsi"/>
        </w:rPr>
        <w:lastRenderedPageBreak/>
        <w:t xml:space="preserve">headspace. By using physical exercise as a stress relief following a working day it allowed me to self-regulate any emotional imbalances or untapped energy and to unwind mentally, leaving me feeling refreshed and revitalised for the following day. This coincides with what was found by Woo et al (2009), who stated that exercise is conducive to enhancing positive emotion such as vigour, pleasure, and energy in a person, demonstrating the effectiveness of it as a coping strategy and its contribution do developing resilience. </w:t>
      </w:r>
    </w:p>
    <w:p w:rsidR="00422AFA" w:rsidRPr="00B335C5" w:rsidRDefault="00422AFA" w:rsidP="00422AFA">
      <w:pPr>
        <w:spacing w:before="240" w:line="480" w:lineRule="auto"/>
        <w:rPr>
          <w:rFonts w:cstheme="minorHAnsi"/>
        </w:rPr>
      </w:pPr>
      <w:r w:rsidRPr="00B335C5">
        <w:rPr>
          <w:rFonts w:cstheme="minorHAnsi"/>
        </w:rPr>
        <w:t xml:space="preserve">Another challenge I faced mainly during my initial week of training was that of vulnerability and isolation. I found being in a new environment with an unfamiliar group of people doing something I had no previous experience in being an external candidate, very daunting causing me to feel anxious and nervous. A lack of support network and professional interpersonal relationships can be a contributor to why individuals feel stressed when at work according to Figler (1980). It does take time to form new relationships with colleagues and build a network of friends within a new working environment as highlighted by Fine (1986) but the social connections that do develop are instrumental in building resilience. I feel that I was subconsciously aware of this, having been in similar situations before such as starting to play for a new football team or having attended university and moved into halls. That, by sharing common experiences, working in close proximity with one another and the development of similar goals and aspirations; as suggested by Patricia et al (1998), a team ethos can develop and people gravitate towards one another.  </w:t>
      </w:r>
    </w:p>
    <w:p w:rsidR="00422AFA" w:rsidRPr="00B335C5" w:rsidRDefault="00422AFA" w:rsidP="00422AFA">
      <w:pPr>
        <w:spacing w:line="480" w:lineRule="auto"/>
        <w:rPr>
          <w:rFonts w:cstheme="minorHAnsi"/>
        </w:rPr>
      </w:pPr>
    </w:p>
    <w:p w:rsidR="00422AFA" w:rsidRPr="00B335C5" w:rsidRDefault="00422AFA" w:rsidP="00422AFA">
      <w:pPr>
        <w:spacing w:line="480" w:lineRule="auto"/>
        <w:rPr>
          <w:rFonts w:cstheme="minorHAnsi"/>
        </w:rPr>
      </w:pPr>
      <w:r w:rsidRPr="00B335C5">
        <w:rPr>
          <w:rFonts w:cstheme="minorHAnsi"/>
        </w:rPr>
        <w:t xml:space="preserve">I therefore continually endeavoured to actively participate in group discussions, take an interest in my colleagues’ lives and hobbies and attend group social events to engage and build rapport. I personally was surprised at how quickly I developed bonds with a large group of likeminded people that supported one another academically, socially, personally and occupationally. By doing so the anxiety and nervousness I initially felt subsided and I felt reassured in what I was aiming to achieve through the encouragement and reinforcement of those around me. Research (Chao, 2011) confirms there is a correlation between positive social supports and managing stress levels, therefore resilience to stress develops further with the help of others. Having gone through the same experience together in our first six months of training we were able to empathise with each other on how we were feeling, share difficult experiences and grow closer as a result, sharing our problems and helping to reduce one another’s feelings of stress. Each time we encountered a hurdle be it an exam, assessment or practical and were able to overcome it together, the sense of team efficacy and success (Windle, 1999) further developed and buffered my personal resilience heading into the next challenge.   </w:t>
      </w:r>
    </w:p>
    <w:p w:rsidR="00422AFA" w:rsidRPr="00B335C5" w:rsidRDefault="00422AFA" w:rsidP="00422AFA">
      <w:pPr>
        <w:spacing w:line="480" w:lineRule="auto"/>
        <w:rPr>
          <w:rFonts w:cstheme="minorHAnsi"/>
        </w:rPr>
      </w:pPr>
    </w:p>
    <w:p w:rsidR="00422AFA" w:rsidRPr="00B335C5" w:rsidRDefault="00422AFA" w:rsidP="00422AFA">
      <w:pPr>
        <w:spacing w:line="480" w:lineRule="auto"/>
        <w:rPr>
          <w:rFonts w:cstheme="minorHAnsi"/>
        </w:rPr>
      </w:pPr>
      <w:r w:rsidRPr="00B335C5">
        <w:rPr>
          <w:rFonts w:cstheme="minorHAnsi"/>
        </w:rPr>
        <w:t xml:space="preserve">Further to this, I ensured to communicate with others about how I was feeling and coping during training, not only with my colleagues but with friends and family who I was able to engage with on a more personal and emotional level, widening my support network. On reflection I used these conversations about my worries, concerns and stresses as a therapy, allowing me to talk through any issues in order to develop understanding and process them. This as it always has, enabled me to promote my individual resilience by combining my personal perceptions of circumstances with environmental influences such as my family to successfully adapt to challenges. As stated by Richardson (2002) family support and cohesion and external support systems are fundamental to managing stress levels by giving us an outlet to vent without fear of judgement and a springboard for discussion of options or contingencies to problem solving. Without having the support network that I have had in family throughout my life I feel the development of my personal resilience, self-belief and perseverance would have been severely hindered (Kelley, 2005), possibly to the extent whereby I would not have had the drive to get to the stage of applying for the role of a Police Constable, never mind successfully completing the initial six months of training.      </w:t>
      </w:r>
    </w:p>
    <w:p w:rsidR="00422AFA" w:rsidRPr="00B335C5" w:rsidRDefault="00422AFA" w:rsidP="00422AFA">
      <w:pPr>
        <w:spacing w:line="480" w:lineRule="auto"/>
        <w:rPr>
          <w:rFonts w:cstheme="minorHAnsi"/>
        </w:rPr>
      </w:pPr>
    </w:p>
    <w:p w:rsidR="00FF7784" w:rsidRPr="00270EEB" w:rsidRDefault="00422AFA" w:rsidP="00422AFA">
      <w:pPr>
        <w:spacing w:line="480" w:lineRule="auto"/>
        <w:ind w:right="108"/>
        <w:jc w:val="both"/>
        <w:rPr>
          <w:sz w:val="24"/>
          <w:szCs w:val="24"/>
        </w:rPr>
      </w:pPr>
      <w:r w:rsidRPr="00B335C5">
        <w:rPr>
          <w:rFonts w:cstheme="minorHAnsi"/>
        </w:rPr>
        <w:t>To conclude, at the time I was unaware that I was employing coping strategies to combat stress and mechanisms to develop resilience as they were already embedded in my daily lifestyle. However on reflection it is evident that subconsciously I had methods and support networks in place prior to my six months of training which I utilised throughout, and feel without them I would have encountered even greater difficulty psychologically in completing the training.</w:t>
      </w: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AA666E" w:rsidRPr="00270EEB" w:rsidRDefault="00AA666E" w:rsidP="00E6298B">
      <w:pPr>
        <w:ind w:right="107"/>
        <w:jc w:val="both"/>
        <w:rPr>
          <w:b/>
          <w:sz w:val="24"/>
          <w:szCs w:val="24"/>
        </w:rPr>
      </w:pPr>
    </w:p>
    <w:p w:rsidR="000F7ECD" w:rsidRPr="00270EEB" w:rsidRDefault="000F7ECD" w:rsidP="00E6298B">
      <w:pPr>
        <w:ind w:right="107"/>
        <w:jc w:val="both"/>
        <w:rPr>
          <w:sz w:val="24"/>
          <w:szCs w:val="24"/>
        </w:rPr>
        <w:sectPr w:rsidR="000F7ECD" w:rsidRPr="00270EEB" w:rsidSect="000B0100">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4046F0" w:rsidRPr="00270EEB" w:rsidRDefault="004046F0"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3B2A14" w:rsidRPr="00270EEB" w:rsidRDefault="003B2A14" w:rsidP="00E6298B">
      <w:pPr>
        <w:ind w:right="107"/>
        <w:jc w:val="both"/>
        <w:rPr>
          <w:sz w:val="24"/>
          <w:szCs w:val="24"/>
        </w:rPr>
      </w:pPr>
    </w:p>
    <w:p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025650" w:rsidRPr="00270EEB" w:rsidRDefault="00025650" w:rsidP="00E6298B">
      <w:pPr>
        <w:ind w:right="107"/>
        <w:jc w:val="both"/>
        <w:rPr>
          <w:sz w:val="24"/>
          <w:szCs w:val="24"/>
        </w:rPr>
      </w:pPr>
    </w:p>
    <w:p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rsidTr="28A9B94D">
        <w:tc>
          <w:tcPr>
            <w:tcW w:w="10188" w:type="dxa"/>
            <w:shd w:val="clear" w:color="auto" w:fill="auto"/>
          </w:tcPr>
          <w:p w:rsidR="003B2A14" w:rsidRDefault="003B2A14" w:rsidP="00E6298B">
            <w:pPr>
              <w:ind w:right="107"/>
              <w:rPr>
                <w:sz w:val="24"/>
                <w:szCs w:val="24"/>
              </w:rPr>
            </w:pPr>
          </w:p>
          <w:p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RDefault="003B2A14" w:rsidP="00E6298B">
            <w:pPr>
              <w:ind w:right="107"/>
              <w:rPr>
                <w:sz w:val="24"/>
                <w:szCs w:val="24"/>
              </w:rPr>
            </w:pPr>
          </w:p>
          <w:p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RDefault="003B2A14" w:rsidP="00E6298B">
            <w:pPr>
              <w:ind w:right="107"/>
              <w:jc w:val="both"/>
              <w:rPr>
                <w:sz w:val="24"/>
                <w:szCs w:val="24"/>
              </w:rPr>
            </w:pPr>
          </w:p>
          <w:p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p>
          <w:p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3B2A14" w:rsidRPr="00270EEB" w:rsidRDefault="003B2A14" w:rsidP="00E6298B">
      <w:pPr>
        <w:ind w:right="107"/>
        <w:jc w:val="both"/>
        <w:rPr>
          <w:sz w:val="24"/>
          <w:szCs w:val="24"/>
        </w:rPr>
      </w:pPr>
    </w:p>
    <w:p w:rsidR="003B2A14" w:rsidRPr="00450C83" w:rsidRDefault="003B2A14" w:rsidP="00E6298B">
      <w:pPr>
        <w:ind w:right="107"/>
        <w:jc w:val="both"/>
        <w:rPr>
          <w:b/>
          <w:sz w:val="24"/>
          <w:szCs w:val="24"/>
        </w:rPr>
      </w:pPr>
      <w:r w:rsidRPr="00450C83">
        <w:rPr>
          <w:b/>
          <w:sz w:val="24"/>
          <w:szCs w:val="24"/>
        </w:rPr>
        <w:t>ANSWER:</w:t>
      </w:r>
    </w:p>
    <w:p w:rsidR="00AA666E" w:rsidRPr="00270EEB" w:rsidRDefault="00AA666E" w:rsidP="00E6298B">
      <w:pPr>
        <w:ind w:right="107"/>
        <w:jc w:val="both"/>
        <w:rPr>
          <w:sz w:val="24"/>
          <w:szCs w:val="24"/>
        </w:rPr>
      </w:pPr>
    </w:p>
    <w:p w:rsidR="00422AFA" w:rsidRDefault="00422AFA" w:rsidP="00422AFA">
      <w:pPr>
        <w:spacing w:after="240" w:line="480" w:lineRule="auto"/>
      </w:pPr>
      <w:r>
        <w:t xml:space="preserve">The role of a Police Officer is that of a diverse nature and interactions with members of the public can be varied due to many influential factors. Police Officers can regularly find themselves dealing with confrontation; whether faced with conflict directly or indirectly managing conflict between opposing parties. The police routinely have to respond to conflict situations involving violent and aggressive people on a varying scale, from verbal resistance to physical altercations and assaults. During regular, every day duty not only are officers putting themselves in potential danger but their actions can have serious consequences for public safety and trust and confidence in the police (Davies, 2008). </w:t>
      </w:r>
    </w:p>
    <w:p w:rsidR="00422AFA" w:rsidRDefault="00422AFA" w:rsidP="00422AFA">
      <w:pPr>
        <w:spacing w:after="240" w:line="480" w:lineRule="auto"/>
      </w:pPr>
      <w:r>
        <w:t xml:space="preserve">This discussion will critically assess an incident involving conflict that took place when I was on shift as a Police Constable, focusing on the social and legislative context that underpin the theory of the Police actions, interventions and how the situation unfolded. Focus will be placed on the element of communication and a </w:t>
      </w:r>
      <w:r>
        <w:lastRenderedPageBreak/>
        <w:t>reflective approach applied to consider its effectiveness in this instance, along with the rationale behind the use of force and its justification in policy.</w:t>
      </w:r>
    </w:p>
    <w:p w:rsidR="00422AFA" w:rsidRDefault="00422AFA" w:rsidP="00422AFA">
      <w:pPr>
        <w:spacing w:line="480" w:lineRule="auto"/>
      </w:pPr>
    </w:p>
    <w:p w:rsidR="00422AFA" w:rsidRDefault="00422AFA" w:rsidP="00422AFA">
      <w:pPr>
        <w:spacing w:after="240" w:line="480" w:lineRule="auto"/>
      </w:pPr>
      <w:r>
        <w:t>This incident took place in Nov</w:t>
      </w:r>
      <w:r w:rsidR="00CC4DCE">
        <w:t>ember of 2019 whereby</w:t>
      </w:r>
      <w:r>
        <w:t xml:space="preserve"> my Tutor Constable </w:t>
      </w:r>
      <w:r w:rsidR="00CC4DCE">
        <w:t xml:space="preserve">and I </w:t>
      </w:r>
      <w:r>
        <w:t xml:space="preserve">were on foot patrol around Cardiff city centre in the early hours of a Saturday morning. Whilst on patrol a member of the public attracted my attention as he seemed highly intoxicated due to his behaviour; staggering in his walk, swaying side to side and shouting loudly as he walked with a small group of friends along the pavement of St Marys Street. The male however, despite standing out in what was otherwise a relatively quiet group of males, on a particularly calm night in the city centre, did nothing untoward and entered an establishment further on up the street. A short while later; approximately 30 minutes, after dealing with an unrelated incident I turned my head to see the same male from earlier urinating up against a shop front, next door to the premises I had seen him enter shortly before. This is contrary to Criminal Justice Act (2003) – Outraging public decency and indecent exposure of Sexual Offences Act (2003) and socially is not acceptable. Initially I approached the male with the intention of giving him suitable words of advice regarding his behaviour and making him aware that his actions in a public place could be considered indecent. At this point I felt that although an offence had technically occurred, by using my discretion and initiating contact with the male at the lowest level and least obtrusive means possible, I would neutralise the situation, stop him acting inappropriately and prevent any further or future wrongdoings.  </w:t>
      </w:r>
    </w:p>
    <w:p w:rsidR="00422AFA" w:rsidRDefault="00422AFA" w:rsidP="00422AFA">
      <w:pPr>
        <w:spacing w:after="240" w:line="480" w:lineRule="auto"/>
      </w:pPr>
      <w:r>
        <w:t xml:space="preserve">This however was not the case, when initiating contact with the male in question he became very confrontational and verbally aggressive towards myself, refusing to admit his wrongdoing or take ownership of his actions. When then reassessing the situation using the National Decision Making Model I concluded that words of advice would not suffice in this instance and that it was necessary to intervene with more formal action. I decided to issue the male with a Section 35 dispersal notice which prevents a person from entering a specified area for a given timescale, a low-level intervention tool intended to prevent incidents from escalating later on in the evening or persons committing more serious offences if their behaviour were to deteriorate. Whilst issuing the Section 35 notice to this male he stated on multiple occasions that he would not be leaving the area and refused to converse with me or my colleague. I informed him that should he refuse to leave in accordance with the notice issued to him he could be subsequently arrested. The male then became highly </w:t>
      </w:r>
      <w:r>
        <w:lastRenderedPageBreak/>
        <w:t xml:space="preserve">aggressive, verbally abusing officers and his body language changed, developing clenched fists, a hunched over posture and he began almost pacing back and forth. </w:t>
      </w:r>
    </w:p>
    <w:p w:rsidR="00422AFA" w:rsidRDefault="00422AFA" w:rsidP="00422AFA">
      <w:pPr>
        <w:spacing w:line="480" w:lineRule="auto"/>
      </w:pPr>
      <w:r>
        <w:t>At this point I decided that due to the male’s behaviour escalating, him becoming abusive and aggressive towards officers and refusing to abide by the conditions of the notice, that he was go</w:t>
      </w:r>
      <w:r w:rsidR="00CC4DCE">
        <w:t>ing to be arrested. Abiding by p</w:t>
      </w:r>
      <w:bookmarkStart w:id="6" w:name="_GoBack"/>
      <w:bookmarkEnd w:id="6"/>
      <w:r>
        <w:t xml:space="preserve">olicing powers under Section 24 of the Police and Criminal Evidence Act (1984), as it states that a Police Constable ‘may arrest without a warrant— </w:t>
      </w:r>
    </w:p>
    <w:p w:rsidR="00422AFA" w:rsidRDefault="00422AFA" w:rsidP="00422AFA">
      <w:pPr>
        <w:spacing w:after="240" w:line="480" w:lineRule="auto"/>
      </w:pPr>
      <w:r>
        <w:t>(b)anyone who is in the act of committing an offence;</w:t>
      </w:r>
      <w:r w:rsidRPr="00FC69EA">
        <w:t xml:space="preserve"> </w:t>
      </w:r>
      <w:r>
        <w:t>(c)to prevent the person in question—(5)(c)(iv)committing an offence against public decency (subject to subsection (6)(6)Subsection (5)(c)(iv) applies only where members of the public going about their normal business cannot reasonably be expected to avoid the person in question’.</w:t>
      </w:r>
    </w:p>
    <w:p w:rsidR="00422AFA" w:rsidRDefault="00422AFA" w:rsidP="00422AFA">
      <w:pPr>
        <w:spacing w:after="240" w:line="480" w:lineRule="auto"/>
      </w:pPr>
      <w:r>
        <w:t>Myself and my colleague used appropriate levels of force which were ‘reasonable in the circumstance’; in accordance with Section 3 Criminal Law A</w:t>
      </w:r>
      <w:r w:rsidRPr="00230991">
        <w:t xml:space="preserve">ct </w:t>
      </w:r>
      <w:r>
        <w:t>(</w:t>
      </w:r>
      <w:r w:rsidRPr="00230991">
        <w:t>1967</w:t>
      </w:r>
      <w:r>
        <w:t xml:space="preserve">), to detain the male. Reasonable force in this instance was for my colleague to take hold of the </w:t>
      </w:r>
      <w:r w:rsidR="00CC4DCE">
        <w:t>subject’s</w:t>
      </w:r>
      <w:r>
        <w:t xml:space="preserve"> arms behind his back and for me to apply handcuffs. The male at this point was non-compliant, refusing to put his hands behind his back, tensing up and resisting arrest. Subsequently myself and my colleague had to put the male into inverted arm lock position on both sides; a technique taught in officer safety training, and then another officer apply handcuffs using the home office approved technique, handcuffing him to the rear. This use of force is justifiable in the effecting of a lawful arrest due to officers judgements based on the circumstances perceived at the time (Sec. 117 PACE, 1984).    </w:t>
      </w:r>
    </w:p>
    <w:p w:rsidR="00422AFA" w:rsidRDefault="00422AFA" w:rsidP="00422AFA">
      <w:pPr>
        <w:spacing w:after="240" w:line="480" w:lineRule="auto"/>
      </w:pPr>
    </w:p>
    <w:p w:rsidR="00422AFA" w:rsidRDefault="00422AFA" w:rsidP="00422AFA">
      <w:pPr>
        <w:spacing w:after="240" w:line="480" w:lineRule="auto"/>
      </w:pPr>
      <w:r>
        <w:t xml:space="preserve">Having outlined the circumstances surrounding this incident and justified the necessity for arrest by demonstrating the Policing powers contained within policy that were utilised, I now look to assess and rationalise the decision making process and actions that took place during the conflict regarding the use of force. This will </w:t>
      </w:r>
      <w:r w:rsidRPr="000151B3">
        <w:t>include a critical evaluation of theories and models underpinnin</w:t>
      </w:r>
      <w:r>
        <w:t>g the cause of conflict within P</w:t>
      </w:r>
      <w:r w:rsidRPr="000151B3">
        <w:t>olicing intervention</w:t>
      </w:r>
      <w:r>
        <w:t xml:space="preserve">. </w:t>
      </w:r>
    </w:p>
    <w:p w:rsidR="00422AFA" w:rsidRPr="005B2AF2" w:rsidRDefault="00422AFA" w:rsidP="00422AFA">
      <w:pPr>
        <w:spacing w:after="240" w:line="480" w:lineRule="auto"/>
        <w:rPr>
          <w:rFonts w:ascii="Times New Roman" w:hAnsi="Times New Roman" w:cs="Times New Roman"/>
          <w:sz w:val="24"/>
          <w:szCs w:val="24"/>
        </w:rPr>
      </w:pPr>
      <w:r>
        <w:t xml:space="preserve">It is a requirement that if possible, officers use non-violent means to resolve an incident before using force (College of Policing, 2019). Therefore, it is essential that officers are equipped to contain conflict situations and use effective communication methods in order to do so. In this instance the initial Police intervention with </w:t>
      </w:r>
      <w:r>
        <w:lastRenderedPageBreak/>
        <w:t xml:space="preserve">the male in question was of the lowest level. This was an informed decision briefly discussed by myself and my colleague, in hindsight based on the Emotional versus Rational brain theory. On initially sighting the male urinating in public the emotional and intuitive part of my brain told me that an offence had been committed, that intervention was required and that it should not be overlooked in such a public place, in close proximity to myself and my colleague dressed in full uniform with a large number of bystanders. The more effortful process of rationale and logic was then considered; as stated by Vartanian &amp; Mandel (2011) the decisions and choices we make are an outcome of combining both side of the brain. The conscious decision informed by initial intuition was to provide suitable words of advice with no formal Police action should the interaction remain low level. Once interacting with the male however he became very agitated and irate towards officers. This opposes the Betaris Box Theory; which will be discussed in detail shortly, as </w:t>
      </w:r>
      <w:r w:rsidR="00CC4DCE">
        <w:t>officer’s</w:t>
      </w:r>
      <w:r>
        <w:t xml:space="preserve"> intervention was of a relaxed manner with a verbal exchange providing an unwritten warning.  The reaction of the male in question could be the result of influential factors such as alcohol, attitude and personality, or preconceived ideas of the Police, possibly due to previous interactions </w:t>
      </w:r>
      <w:r w:rsidRPr="005B2AF2">
        <w:rPr>
          <w:rFonts w:cstheme="minorHAnsi"/>
        </w:rPr>
        <w:t>(Oberwittler &amp; Roché, 2017).</w:t>
      </w:r>
    </w:p>
    <w:p w:rsidR="00422AFA" w:rsidRDefault="00422AFA" w:rsidP="00422AFA">
      <w:pPr>
        <w:spacing w:after="240" w:line="480" w:lineRule="auto"/>
      </w:pPr>
      <w:r>
        <w:t xml:space="preserve">Preconceived ideas or feelings of the Police Service would have influenced the </w:t>
      </w:r>
      <w:r w:rsidR="00CC4DCE">
        <w:t>subject’s</w:t>
      </w:r>
      <w:r>
        <w:t xml:space="preserve"> attitude and therefore his behaviour, thus effecting his reaction, despite our behaviour and approach. As a result of the </w:t>
      </w:r>
      <w:r w:rsidR="00CC4DCE">
        <w:t>subject’s</w:t>
      </w:r>
      <w:r>
        <w:t xml:space="preserve"> aggressive demeanour and attitude, in that he refused to take responsibility for his actions and blame others, I decided to issue him with a Section 35 notice as mentioned above. On reflection this is demonstrative of Betaris Box Theory, that actions and behaviours are reactive to that of others. Here the intervention method needed to be escalated due to the response of the male, which I line with Betaris Theory could be a result of the initial undesired attendance and interaction with him, opposed to the officers attitudes and behaviours and therefore reiterates a negative preconception of the Police as a service, not the individual officers. The Betaris Box Theory () was subsequently looped once again in correlation with the NDM. This was due to the male refusing to abide by the conditions of the Section 35 and leave the immediate vicinity of Cardiff city centre for a period of 24 hours as he felt this was not justified and that Police should ‘not be wasting tax payer money and be dealing with real criminals’. At this point the male became physically aggressive towards officers and was consequently arrested.  </w:t>
      </w:r>
    </w:p>
    <w:p w:rsidR="00422AFA" w:rsidRDefault="00422AFA" w:rsidP="00422AFA">
      <w:pPr>
        <w:spacing w:after="240" w:line="480" w:lineRule="auto"/>
      </w:pPr>
      <w:r>
        <w:t xml:space="preserve">When force is used, it must be absolutely necessary, reasonable and proportionate as excessive force is unlawful. Using physical violence against a person which has not been made necessary by their conduct </w:t>
      </w:r>
      <w:r>
        <w:lastRenderedPageBreak/>
        <w:t>could constitute an infringement of their Human Rights Article 3 (1998). The necessity to use force in this instance was deemed appropriate by the subjects behaviour as he became aggressive towards Police, thus for our safety and that of others handcuffs were utilised. As witnessing Police using force can have implications for public perceptions of the Police, it is imperative that officers act within Policy and in accordance with Codes of Practice.</w:t>
      </w:r>
    </w:p>
    <w:p w:rsidR="00422AFA" w:rsidRDefault="00422AFA" w:rsidP="00422AFA">
      <w:pPr>
        <w:spacing w:line="480" w:lineRule="auto"/>
      </w:pPr>
    </w:p>
    <w:p w:rsidR="00422AFA" w:rsidRDefault="00422AFA" w:rsidP="00422AFA">
      <w:pPr>
        <w:spacing w:line="480" w:lineRule="auto"/>
      </w:pPr>
      <w:r>
        <w:t>It is difficult to isolate the effective communication element and the justification of the use of force in this conflict incident as the both very much interlink as a Police officers attitude, manner and action sets a president for the reaction they receive. Not always is there a direct correlation due to other influential factors, but it should be considered in your approach and initial interaction with another in a conflict situation. I now look to focus on the application of the communication methods used and evaluate their effectiveness in this incident, paying particular attention to the types of communication and their impact on the situation. Effective communication is a fundamental skill of Police officers and is paramount when dealing and interacting with members of the public in all capacities. This is reiterated by Patterson (2000) who states that by conveying your point and ensuring understanding when verbally communicating prevents escalation into a conflict situation, as it is how we communicate about issues that determines the outcome (</w:t>
      </w:r>
      <w:r w:rsidRPr="00865310">
        <w:t>Townsend, 2010)</w:t>
      </w:r>
      <w:r>
        <w:t>.</w:t>
      </w:r>
    </w:p>
    <w:p w:rsidR="00422AFA" w:rsidRDefault="00422AFA" w:rsidP="00422AFA">
      <w:pPr>
        <w:spacing w:after="240" w:line="480" w:lineRule="auto"/>
      </w:pPr>
      <w:r>
        <w:t xml:space="preserve">It is of a more significant importance when trying to achieve a desired outcome, particularly in a conflict situation without having to resort to tactics or the use of force. Effective communication with members of the public has a significant impact on whether the interaction is positive or negative which can leave a lasting impression. Mazerolle et al (2013) examined the impact of police-led interventions to improve police legitimacy. The study showed that police interactions with the public that had at least one ingredient of procedural justice were likely to increase public compliance, cooperation and help to reduce crime. The main procedural justice in this case study was, police working hard to communicate their trustworthy intentions, fairness and explain their decision making. Therefore the efficiency of the Police Service is influence by the general public’s view of the Police as every interaction leaves an impression and influences their willingness to assist Police at present and/or in the future. This could be the case for the subject in the previously mentioned incident, whereby he has had negative experiences with the Police prior to this incident which have influenced his attitude and resistance to comply. </w:t>
      </w:r>
    </w:p>
    <w:p w:rsidR="00422AFA" w:rsidRDefault="00422AFA" w:rsidP="00422AFA">
      <w:pPr>
        <w:spacing w:after="240" w:line="480" w:lineRule="auto"/>
      </w:pPr>
      <w:r>
        <w:lastRenderedPageBreak/>
        <w:t xml:space="preserve">Officers used a variety of communication strategies through from open ended questioning to attempt to build a rapport with the subject and ascertain information about the incident, which then narrowed down to closed questions to establish facts concerning the </w:t>
      </w:r>
      <w:r w:rsidR="00CC4DCE">
        <w:t>subject’s</w:t>
      </w:r>
      <w:r>
        <w:t xml:space="preserve"> personal information. Communication is more than the words we choose to use however. More specifically our body language and tone of voice often speak louder than our words according to Gottman &amp; DeClaire (2001). It is because of this that officers are very self-aware and consider factors such as how they hold themselves, where they position themselves in a room, eye contact and other decisions that are usually subconscious. This self-awareness of the messages our body language may be sending to others is a conscious way officers communicate effectively with members of the public, build immediate rapport and portray themselves as approachable and reasonable (Paterson, 2000). The subject was given the opportunity to put forward his point of view through active listening, whereby I clarified with him significant points, this proved difficult however as the subject continually repeated himself and went off topic denying he was responsible for his actions, possibly due to intoxication. I also attempted to negotiate with the subject by issuing him with a Section 35, suggesting that he leave the city centre before things escalated, informing him of the consequence of arrest if he did not comply. However he refused to do so and his behaviour that followed led to his arrest.</w:t>
      </w:r>
    </w:p>
    <w:p w:rsidR="00422AFA" w:rsidRDefault="00422AFA" w:rsidP="00422AFA">
      <w:pPr>
        <w:spacing w:line="480" w:lineRule="auto"/>
      </w:pPr>
      <w:r>
        <w:t xml:space="preserve">Negative interactions can not only reinforce negative preconceptions individuals have of the Police, but also damage those of onlookers and the general public (NPIA, 2009). Some individuals; including the subject mentioned in the above incident, prevent Police from being perceived positively as this could be deemed unnecessary, however if you were to be in possession of all the facts in this instance attempts were made by officers to de-escalate but it was the behaviour of the subject that steered in incident to unfold in such a way. </w:t>
      </w:r>
    </w:p>
    <w:p w:rsidR="00422AFA" w:rsidRDefault="00422AFA" w:rsidP="00422AFA">
      <w:pPr>
        <w:spacing w:line="480" w:lineRule="auto"/>
      </w:pPr>
    </w:p>
    <w:p w:rsidR="00422AFA" w:rsidRDefault="00422AFA" w:rsidP="00422AFA">
      <w:pPr>
        <w:spacing w:after="240" w:line="480" w:lineRule="auto"/>
      </w:pPr>
      <w:r>
        <w:t xml:space="preserve">The incident of conflict mentioned above is part of an everyday occurrence in the role of a Police officer, and knowledge and experience in dealing with conflict is paramount to future successful conflict resolution. In the incident described above, officers attempted to deal with the subject with minimal intrusion and the lowest level intervention which proved unsuccessful due to a number of possible factors. An offence had however been committed and Police involvement was necessary. The subject was subsequently arrested and charged with being Drunk and Disorderly, the outcome of which could have been significantly different but this was dependant on the </w:t>
      </w:r>
      <w:r w:rsidR="00CC4DCE">
        <w:t>subject’s</w:t>
      </w:r>
      <w:r>
        <w:t xml:space="preserve"> attitude and behaviour and the </w:t>
      </w:r>
      <w:r w:rsidR="00CC4DCE">
        <w:t>officer’s</w:t>
      </w:r>
      <w:r>
        <w:t xml:space="preserve"> discretion and decision making. </w:t>
      </w:r>
    </w:p>
    <w:p w:rsidR="00AA666E" w:rsidRPr="00270EEB" w:rsidRDefault="00422AFA" w:rsidP="00422AFA">
      <w:pPr>
        <w:spacing w:after="240" w:line="480" w:lineRule="auto"/>
        <w:ind w:right="108"/>
        <w:jc w:val="both"/>
        <w:rPr>
          <w:sz w:val="24"/>
          <w:szCs w:val="24"/>
        </w:rPr>
      </w:pPr>
      <w:r>
        <w:lastRenderedPageBreak/>
        <w:t xml:space="preserve">In light of the potential widespread impact public interactions with frontline policing can have on the reputation of the service, it is imperative that officers are well trained and prepared to deal with conflict in all its possible forms. By equipping officers with the skills and ability to de-escalate conflict, resolve situations and intervene with the minimal amount of force necessary, brings provisions for a safer resolution. Contrary to this however, and as demonstrated by the incident critically assessed in this discussion, de-escalation techniques and communication methods are not always sufficient in resolving conflict and force does occasionally become necessary. Therefore each instance, situation and circumstance should be treated on its own merit with the NDM utilised alongside the maximum amount of information available being taken into consideration.  </w:t>
      </w:r>
    </w:p>
    <w:p w:rsidR="00AA666E" w:rsidRPr="00270EEB" w:rsidRDefault="00AA666E"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AA666E" w:rsidRPr="00270EEB" w:rsidRDefault="00AA666E" w:rsidP="00E6298B">
      <w:pPr>
        <w:ind w:right="107"/>
        <w:jc w:val="both"/>
        <w:rPr>
          <w:sz w:val="24"/>
          <w:szCs w:val="24"/>
        </w:rPr>
      </w:pPr>
    </w:p>
    <w:p w:rsidR="00AA666E" w:rsidRPr="00025650" w:rsidRDefault="00AA666E" w:rsidP="00E6298B">
      <w:pPr>
        <w:ind w:right="107"/>
        <w:jc w:val="both"/>
        <w:rPr>
          <w:b/>
          <w:sz w:val="24"/>
          <w:szCs w:val="24"/>
        </w:rPr>
      </w:pPr>
    </w:p>
    <w:p w:rsidR="00025650" w:rsidRDefault="00025650" w:rsidP="00E6298B">
      <w:pPr>
        <w:ind w:right="107"/>
      </w:pPr>
      <w:r>
        <w:br w:type="page"/>
      </w:r>
    </w:p>
    <w:p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RDefault="00AA37BB"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AA37BB" w:rsidRDefault="00AA37BB" w:rsidP="00E6298B">
      <w:pPr>
        <w:ind w:right="107"/>
        <w:jc w:val="both"/>
        <w:rPr>
          <w:b/>
          <w:sz w:val="24"/>
          <w:szCs w:val="24"/>
        </w:rPr>
      </w:pPr>
      <w:r>
        <w:rPr>
          <w:b/>
          <w:sz w:val="24"/>
          <w:szCs w:val="24"/>
        </w:rPr>
        <w:t xml:space="preserve">Criminal Justice, Valuing difference and inclusion </w:t>
      </w:r>
    </w:p>
    <w:p w:rsidR="00112751" w:rsidRDefault="00112751" w:rsidP="00E6298B">
      <w:pPr>
        <w:ind w:right="107"/>
        <w:jc w:val="both"/>
        <w:rPr>
          <w:sz w:val="24"/>
          <w:szCs w:val="24"/>
          <w:highlight w:val="yellow"/>
        </w:rPr>
      </w:pPr>
    </w:p>
    <w:p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112751" w:rsidRDefault="00112751" w:rsidP="00E6298B">
      <w:pPr>
        <w:ind w:right="107"/>
        <w:jc w:val="both"/>
        <w:rPr>
          <w:b/>
          <w:sz w:val="24"/>
          <w:szCs w:val="24"/>
          <w:u w:val="single"/>
        </w:rPr>
      </w:pPr>
    </w:p>
    <w:p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rsidTr="28A9B94D">
        <w:tc>
          <w:tcPr>
            <w:tcW w:w="10188" w:type="dxa"/>
            <w:shd w:val="clear" w:color="auto" w:fill="auto"/>
          </w:tcPr>
          <w:p w:rsidR="00112751" w:rsidRPr="00025650" w:rsidRDefault="00112751" w:rsidP="00E6298B">
            <w:pPr>
              <w:ind w:right="107"/>
              <w:rPr>
                <w:b/>
                <w:sz w:val="24"/>
                <w:szCs w:val="24"/>
              </w:rPr>
            </w:pPr>
            <w:r w:rsidRPr="00025650">
              <w:rPr>
                <w:b/>
                <w:sz w:val="24"/>
                <w:szCs w:val="24"/>
              </w:rPr>
              <w:t xml:space="preserve"> </w:t>
            </w:r>
          </w:p>
          <w:p w:rsidR="00112751" w:rsidRDefault="00112751" w:rsidP="00E6298B">
            <w:pPr>
              <w:ind w:right="107"/>
              <w:rPr>
                <w:sz w:val="24"/>
                <w:szCs w:val="24"/>
              </w:rPr>
            </w:pPr>
          </w:p>
          <w:p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RDefault="00112751" w:rsidP="00E6298B">
            <w:pPr>
              <w:ind w:right="107"/>
              <w:rPr>
                <w:sz w:val="24"/>
                <w:szCs w:val="24"/>
              </w:rPr>
            </w:pPr>
          </w:p>
          <w:p w:rsidR="00112751" w:rsidRDefault="00112751" w:rsidP="28A9B94D">
            <w:pPr>
              <w:ind w:right="107"/>
              <w:rPr>
                <w:sz w:val="24"/>
                <w:szCs w:val="24"/>
              </w:rPr>
            </w:pPr>
          </w:p>
          <w:p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RDefault="00112751" w:rsidP="00E6298B">
            <w:pPr>
              <w:ind w:right="107"/>
              <w:rPr>
                <w:sz w:val="24"/>
                <w:szCs w:val="24"/>
              </w:rPr>
            </w:pPr>
          </w:p>
          <w:p w:rsidR="00112751" w:rsidRDefault="00112751" w:rsidP="00E6298B">
            <w:pPr>
              <w:ind w:right="107"/>
              <w:jc w:val="both"/>
              <w:rPr>
                <w:sz w:val="24"/>
                <w:szCs w:val="24"/>
              </w:rPr>
            </w:pPr>
          </w:p>
          <w:p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112751" w:rsidRPr="00270EEB" w:rsidRDefault="00112751" w:rsidP="00E6298B">
            <w:pPr>
              <w:ind w:right="107"/>
              <w:rPr>
                <w:sz w:val="24"/>
                <w:szCs w:val="24"/>
              </w:rPr>
            </w:pPr>
          </w:p>
          <w:p w:rsidR="00112751" w:rsidRPr="00270EEB" w:rsidRDefault="00112751" w:rsidP="00E6298B">
            <w:pPr>
              <w:ind w:right="107"/>
              <w:jc w:val="both"/>
              <w:rPr>
                <w:sz w:val="24"/>
                <w:szCs w:val="24"/>
              </w:rPr>
            </w:pPr>
          </w:p>
          <w:p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112751" w:rsidRPr="00270EEB" w:rsidRDefault="00112751" w:rsidP="00E6298B">
            <w:pPr>
              <w:ind w:right="107"/>
              <w:jc w:val="both"/>
              <w:rPr>
                <w:sz w:val="24"/>
                <w:szCs w:val="24"/>
              </w:rPr>
            </w:pPr>
          </w:p>
        </w:tc>
      </w:tr>
    </w:tbl>
    <w:p w:rsidR="00112751" w:rsidRPr="00270EEB" w:rsidRDefault="00112751" w:rsidP="00E6298B">
      <w:pPr>
        <w:ind w:right="107"/>
        <w:jc w:val="both"/>
        <w:rPr>
          <w:sz w:val="24"/>
          <w:szCs w:val="24"/>
        </w:rPr>
      </w:pPr>
    </w:p>
    <w:p w:rsidR="00112751" w:rsidRPr="00450C83" w:rsidRDefault="00112751" w:rsidP="00E6298B">
      <w:pPr>
        <w:ind w:right="107"/>
        <w:jc w:val="both"/>
        <w:rPr>
          <w:b/>
          <w:sz w:val="24"/>
          <w:szCs w:val="24"/>
        </w:rPr>
      </w:pPr>
      <w:r w:rsidRPr="00450C83">
        <w:rPr>
          <w:b/>
          <w:sz w:val="24"/>
          <w:szCs w:val="24"/>
        </w:rPr>
        <w:t>ANSWER:</w:t>
      </w:r>
    </w:p>
    <w:p w:rsidR="00112751" w:rsidRPr="00270EEB" w:rsidRDefault="00112751" w:rsidP="00E6298B">
      <w:pPr>
        <w:ind w:right="107"/>
        <w:jc w:val="both"/>
        <w:rPr>
          <w:sz w:val="24"/>
          <w:szCs w:val="24"/>
        </w:rPr>
      </w:pPr>
    </w:p>
    <w:p w:rsidR="00573071" w:rsidRDefault="00573071" w:rsidP="00573071">
      <w:pPr>
        <w:spacing w:after="240" w:line="480" w:lineRule="auto"/>
      </w:pPr>
      <w:r>
        <w:t xml:space="preserve">The duties of a Police Officer are that of a diverse and complex nature, requiring officers to constantly adapt their approach and role, depending on the circumstances and the individuals they come across – from victims of crime, witnesses, offenders, colleagues, legal representatives and members of the general public. When interacting with different types of service users, it is not only imperative to work in line with relevant Codes of practice and Policing values, but also to consider any additional implications of cultural or language issues and how to offer support in these areas to others.       </w:t>
      </w:r>
    </w:p>
    <w:p w:rsidR="00573071" w:rsidRDefault="00573071" w:rsidP="00573071">
      <w:pPr>
        <w:spacing w:after="240" w:line="480" w:lineRule="auto"/>
      </w:pPr>
      <w:r>
        <w:t xml:space="preserve">This discussion will critically assess an incident, and the surrounding circumstances that took place when I was on duty as a Police Constable, focusing on the relations between myself and the service users in this incident. Significant attention will be given to the social and legislative context that underpin Policing practices in supporting victims and witnesses through the criminal justice system, particularly concerning any culture, ethnic or language implications. </w:t>
      </w:r>
    </w:p>
    <w:p w:rsidR="00573071" w:rsidRDefault="00573071" w:rsidP="00573071">
      <w:pPr>
        <w:spacing w:line="480" w:lineRule="auto"/>
      </w:pPr>
    </w:p>
    <w:p w:rsidR="00573071" w:rsidRDefault="00573071" w:rsidP="00573071">
      <w:pPr>
        <w:spacing w:after="240" w:line="480" w:lineRule="auto"/>
      </w:pPr>
      <w:r>
        <w:lastRenderedPageBreak/>
        <w:t xml:space="preserve">This incident of note took place in October of 2019 which was allocated to me as a Grade 4 incident on my workload for enquiries to be conducted. The initial report was called in to the Public Service Centre by the victim, a Somalian taxi driver based in Cardiff city centre who stated that he had been racially abused and spat at by another taxi driver who he had ongoing issues with. This incident had been recorder as a ‘Hate Crime’ as the victim perceived that the Public order offence of swearing and spitting publically, was hostile and religiously motivated.  My intention was to contact the reporting person to gather more information about those involved and the sequence of events that led to this incident, however when speaking over the phone it was difficult to communicate due to the reporting persons broken English. I managed to establish that he was willing to pursue a complaint and attend Court if necessary so subsequently invited him to Llanedeyrn Police station to take a Section 9 witness statement and ascertain more detail of the incident. </w:t>
      </w:r>
    </w:p>
    <w:p w:rsidR="00573071" w:rsidRDefault="00573071" w:rsidP="00573071">
      <w:pPr>
        <w:spacing w:after="240" w:line="480" w:lineRule="auto"/>
      </w:pPr>
      <w:r>
        <w:t xml:space="preserve">The victim attended the Police station and we entered a private room which offered privacy and a quiet, relaxed atmosphere to take the statement. On speaking to the victim in person it was easier to converse and for us to understand one another, the victim was calmer and spoke much slower than on the phone, I allowed him plenty of time to consider his answers to my questions and used language appropriate to his comprehension of English. I explained to the victim the process of providing a statement, MG11B, the possibility of attending court and possible special measures, I also felt it important to explain the number of possible outcomes of the investigation depending on CPS charging decision. The victim disclosed that the subject in this incident was known to him as there were ongoing issues between them, due to historic disagreements over racial and religious opinions. He stated that he only knew the male by a nickname however did know his taxi license number. </w:t>
      </w:r>
    </w:p>
    <w:p w:rsidR="00573071" w:rsidRDefault="00573071" w:rsidP="00573071">
      <w:pPr>
        <w:spacing w:after="240" w:line="480" w:lineRule="auto"/>
      </w:pPr>
      <w:r>
        <w:t xml:space="preserve">Following the statement I had to apply under the Data Protection Act (2018) with Inspectors authority for the disclosure of the personal information of the subject taxi driver to identify him, from Cardiff County Council. The male subject was then identified and arrest enquiries were conducted, where he was arrested outside his home address in his taxi. The arrest process and details had to be explained as the male had limited understanding and was confused, there was not a language barrier however the subject had a basic comprehension of English. He was then conveyed to Cardiff Bay Police station where his detention was authorised and his rights were explained to him by the Custody Sergeant and he was later interviewed. The subject did not wish to have an interpreter but requested an on duty Solicitor which was arranged on his behalf. The male was then interviewed regarding the incident mentioned and gave an account of what had </w:t>
      </w:r>
      <w:r>
        <w:lastRenderedPageBreak/>
        <w:t xml:space="preserve">happened, denying that he had spat at the victim but that there had been a verbal altercation during which he accused the victim of using racial slurs against him.    </w:t>
      </w:r>
    </w:p>
    <w:p w:rsidR="00573071" w:rsidRPr="00087113" w:rsidRDefault="00573071" w:rsidP="00573071">
      <w:pPr>
        <w:spacing w:after="240" w:line="480" w:lineRule="auto"/>
        <w:rPr>
          <w:rFonts w:ascii="Times New Roman" w:hAnsi="Times New Roman" w:cs="Times New Roman"/>
          <w:sz w:val="24"/>
          <w:szCs w:val="24"/>
        </w:rPr>
      </w:pPr>
      <w:r>
        <w:t xml:space="preserve">Having outlined the circumstances of this incident I now look to assess the social and legislative context, concerning relevant cultural and language issues that arose during the investigation of this incident. The incident outlined previously has been reported as a hate crime, the definition of which </w:t>
      </w:r>
      <w:r w:rsidRPr="00394676">
        <w:rPr>
          <w:rFonts w:cstheme="minorHAnsi"/>
        </w:rPr>
        <w:t xml:space="preserve">is </w:t>
      </w:r>
      <w:r>
        <w:rPr>
          <w:rFonts w:cstheme="minorHAnsi"/>
        </w:rPr>
        <w:t>‘</w:t>
      </w:r>
      <w:r w:rsidRPr="00394676">
        <w:rPr>
          <w:rFonts w:cstheme="minorHAnsi"/>
        </w:rPr>
        <w:t>a range of criminal behaviour where the perpetrator is motivated by hostility or demonstrates hostility towards the victim's disability, race, religion, sexual orientation or transgender identity</w:t>
      </w:r>
      <w:r>
        <w:rPr>
          <w:rFonts w:cstheme="minorHAnsi"/>
        </w:rPr>
        <w:t>’ (Cps.gov.uk, 2020)</w:t>
      </w:r>
      <w:r w:rsidRPr="00394676">
        <w:rPr>
          <w:rFonts w:cstheme="minorHAnsi"/>
        </w:rPr>
        <w:t>.</w:t>
      </w:r>
      <w:r>
        <w:rPr>
          <w:rFonts w:cstheme="minorHAnsi"/>
        </w:rPr>
        <w:t xml:space="preserve"> For a crime to be categorised as such it must be perceived by the victim or witnesses to have been motivated by prejudice of one or more of the characteristics mentioned. In this incident it is the characteristic of religion that the victim has perceived to be the catalyst for the subjects actions; established through questioning whilst taking a statement, as he was a Christian and the subject a Muslim. In light of this I felt it crucial to gain a brief understanding of the opposing religious opinions prior to interviewing the subject to be fully prepared, prevent confusion and offer challenges should his account differ. Consideration had to be given to the sensitivity of questioning surrounding religion as to act with fairness and not discriminate unlawfully or unfairly in accordance with the Code of Ethics (College.police.uk, 2020). This did not play as significant a factor when taking a statement from the victim but when interviewing the subject the nature of the topic was addressed appropriately to</w:t>
      </w:r>
      <w:r w:rsidRPr="00220CB6">
        <w:rPr>
          <w:rFonts w:cs="FS Elliot Pro Light"/>
          <w:color w:val="221E1F"/>
          <w:sz w:val="23"/>
          <w:szCs w:val="23"/>
        </w:rPr>
        <w:t xml:space="preserve"> </w:t>
      </w:r>
      <w:r>
        <w:rPr>
          <w:rFonts w:cs="FS Elliot Pro Light"/>
          <w:color w:val="221E1F"/>
          <w:sz w:val="23"/>
          <w:szCs w:val="23"/>
        </w:rPr>
        <w:t>show compassion and a cultural understanding</w:t>
      </w:r>
      <w:r>
        <w:rPr>
          <w:rFonts w:cstheme="minorHAnsi"/>
        </w:rPr>
        <w:t xml:space="preserve">. In addition to this the subject in this case was a practicing Muslim and therefore prayed 5 times a day at specified times, thus had to be considered when </w:t>
      </w:r>
      <w:r w:rsidRPr="00087113">
        <w:rPr>
          <w:rFonts w:cstheme="minorHAnsi"/>
        </w:rPr>
        <w:t>interview the subject as, outlined by Article 9 of the Hum</w:t>
      </w:r>
      <w:r>
        <w:rPr>
          <w:rFonts w:cstheme="minorHAnsi"/>
        </w:rPr>
        <w:t>an Rights Act 1998 (Starmer, 2000</w:t>
      </w:r>
      <w:r w:rsidRPr="00087113">
        <w:rPr>
          <w:rFonts w:cstheme="minorHAnsi"/>
        </w:rPr>
        <w:t>) everyone has the right to manifest his religion or belief in worship</w:t>
      </w:r>
      <w:r>
        <w:rPr>
          <w:rFonts w:cstheme="minorHAnsi"/>
        </w:rPr>
        <w:t xml:space="preserve">. With prior planning and consideration this obstacle was overcome to meet the needs and rights of the subject and the necessities and efficiency of the investigation.  </w:t>
      </w:r>
    </w:p>
    <w:p w:rsidR="00573071" w:rsidRDefault="00573071" w:rsidP="00573071">
      <w:pPr>
        <w:spacing w:line="480" w:lineRule="auto"/>
        <w:rPr>
          <w:rFonts w:ascii="Times New Roman" w:hAnsi="Times New Roman" w:cs="Times New Roman"/>
          <w:sz w:val="24"/>
          <w:szCs w:val="24"/>
        </w:rPr>
      </w:pPr>
      <w:r>
        <w:rPr>
          <w:rFonts w:cstheme="minorHAnsi"/>
        </w:rPr>
        <w:t>As previously mentioned there were language difficulties present when conversing with both the victim and subject in this incident. If there were to have been language barriers to communicating Code C of the Police and Criminal Evidence Act 1</w:t>
      </w:r>
      <w:r w:rsidRPr="00062662">
        <w:rPr>
          <w:rFonts w:cstheme="minorHAnsi"/>
        </w:rPr>
        <w:t xml:space="preserve">984 states that </w:t>
      </w:r>
      <w:r>
        <w:rPr>
          <w:rFonts w:cstheme="minorHAnsi"/>
        </w:rPr>
        <w:t>‘</w:t>
      </w:r>
      <w:r w:rsidRPr="00062662">
        <w:rPr>
          <w:rFonts w:cstheme="minorHAnsi"/>
        </w:rPr>
        <w:t>if a suspect or a witness requires an interpreter for interview or the taking of a statement, the police must arrange for one to be present</w:t>
      </w:r>
      <w:r>
        <w:rPr>
          <w:rFonts w:cstheme="minorHAnsi"/>
        </w:rPr>
        <w:t>’ (Turnbull-Walker, 1986)</w:t>
      </w:r>
      <w:r w:rsidRPr="00062662">
        <w:rPr>
          <w:rFonts w:cstheme="minorHAnsi"/>
        </w:rPr>
        <w:t>.</w:t>
      </w:r>
      <w:r>
        <w:rPr>
          <w:rFonts w:cstheme="minorHAnsi"/>
        </w:rPr>
        <w:t xml:space="preserve"> Therefore in accordance with policy I asked the subject when arrested if he understood what I had said in relation to his arrest, which he confirmed, also the custody Sergeant when booking him into custody and reading him his </w:t>
      </w:r>
      <w:r>
        <w:rPr>
          <w:rFonts w:cstheme="minorHAnsi"/>
        </w:rPr>
        <w:lastRenderedPageBreak/>
        <w:t xml:space="preserve">rights checked his comprehension in accordance with both PACE 1984 and The Human Rights Act 1998 Article 6; right to a fair trial. In this case however, an interpreter/translator was not necessary for neither victim nor subject and informal considerations and adaptions were made in accordance with their needs. For example the witness statement was taken in person due to communication difficulties over the phone and points were clarified through questioning to establish best evidence. With the subject in interview, additional time was given when questioning to allow him to interpret and consider his answers and following a narrative of his perception of what had happened a series of direct open questions were utilised followed by closed questions for clarification. </w:t>
      </w:r>
    </w:p>
    <w:p w:rsidR="00573071" w:rsidRDefault="00573071" w:rsidP="00573071">
      <w:pPr>
        <w:spacing w:line="480" w:lineRule="auto"/>
        <w:rPr>
          <w:rFonts w:ascii="Times New Roman" w:hAnsi="Times New Roman" w:cs="Times New Roman"/>
          <w:sz w:val="24"/>
          <w:szCs w:val="24"/>
        </w:rPr>
      </w:pPr>
    </w:p>
    <w:p w:rsidR="00573071" w:rsidRPr="00573071" w:rsidRDefault="00573071" w:rsidP="00573071">
      <w:pPr>
        <w:spacing w:after="240" w:line="480" w:lineRule="auto"/>
        <w:rPr>
          <w:rFonts w:ascii="Times New Roman" w:hAnsi="Times New Roman" w:cs="Times New Roman"/>
          <w:sz w:val="24"/>
          <w:szCs w:val="24"/>
        </w:rPr>
      </w:pPr>
      <w:r>
        <w:t>I will now</w:t>
      </w:r>
      <w:r w:rsidRPr="00547DB1">
        <w:t xml:space="preserve"> consider my responsibilities with regards to procedure and the relevant Codes of Practice in place to support victims and witnesses through the criminal justice system</w:t>
      </w:r>
      <w:r>
        <w:t>, particularly with regards to Human Rights implications on practice and professional responsibilities</w:t>
      </w:r>
      <w:r w:rsidRPr="00547DB1">
        <w:t>.</w:t>
      </w:r>
      <w:r>
        <w:t xml:space="preserve"> There have been significant changes to the law recently in regards to general data protection regulations (GDPR), partly concerning the storage of and access to personal details and information, which coincides with the Human Rights Act article 5; right to privacy. This has implication on Policing practices concerned with ascertaining personal information from external agencies and accessing sensitive information or restricted files including CCTV. The impact requires officers to be efficient in requesting access to such information as it can be timely, therefore potentially delaying enquiries and subsequently the investigation. In this incident with Inspectors authority I requested personal information from Cardiff County Councils Carriage Department in a timely manner to ascertain the identity of the subject in this incident in accordance with GDPR. It was imperative that this was done efficiently as to reassure the victim that the investigation was progressing and that actions were being taken to safeguard him as he and the subject regularly crossed paths due to their occupation, thus arrest was necessary to foster police legitimacy due to the nature of the incident (Bradford &amp; Quinten, 2014). </w:t>
      </w:r>
    </w:p>
    <w:p w:rsidR="00573071" w:rsidRPr="00937094" w:rsidRDefault="00573071" w:rsidP="00573071">
      <w:pPr>
        <w:spacing w:after="240" w:line="480" w:lineRule="auto"/>
        <w:rPr>
          <w:rFonts w:cstheme="minorHAnsi"/>
        </w:rPr>
      </w:pPr>
      <w:r>
        <w:t>When there are concerns for a persons safety or wellbeing there are policies and procedures that can be put in place to protect a vulnerable witness or victim of crime. Prior to an arrest being made</w:t>
      </w:r>
      <w:r w:rsidRPr="00AC132F">
        <w:rPr>
          <w:rStyle w:val="A4"/>
          <w:rFonts w:cstheme="minorHAnsi"/>
          <w:sz w:val="22"/>
          <w:szCs w:val="22"/>
        </w:rPr>
        <w:t>, protection</w:t>
      </w:r>
      <w:r>
        <w:rPr>
          <w:rStyle w:val="A4"/>
          <w:rFonts w:cstheme="minorHAnsi"/>
          <w:sz w:val="22"/>
          <w:szCs w:val="22"/>
        </w:rPr>
        <w:t xml:space="preserve"> can be provided</w:t>
      </w:r>
      <w:r w:rsidRPr="00AC132F">
        <w:rPr>
          <w:rStyle w:val="A4"/>
          <w:rFonts w:cstheme="minorHAnsi"/>
          <w:sz w:val="22"/>
          <w:szCs w:val="22"/>
        </w:rPr>
        <w:t xml:space="preserve"> for victims and witnesses against witness intimidation</w:t>
      </w:r>
      <w:r w:rsidRPr="00AE5F25">
        <w:rPr>
          <w:rStyle w:val="A4"/>
          <w:rFonts w:cstheme="minorHAnsi"/>
          <w:sz w:val="22"/>
          <w:szCs w:val="22"/>
        </w:rPr>
        <w:t xml:space="preserve"> </w:t>
      </w:r>
      <w:r>
        <w:rPr>
          <w:rStyle w:val="A4"/>
          <w:rFonts w:cstheme="minorHAnsi"/>
          <w:sz w:val="22"/>
          <w:szCs w:val="22"/>
        </w:rPr>
        <w:t xml:space="preserve">and to ensure they are safeguarded; such as welfare checks and police watch which can extend </w:t>
      </w:r>
      <w:r w:rsidRPr="00AC132F">
        <w:rPr>
          <w:rStyle w:val="A4"/>
          <w:rFonts w:cstheme="minorHAnsi"/>
          <w:sz w:val="22"/>
          <w:szCs w:val="22"/>
        </w:rPr>
        <w:t xml:space="preserve">for up to </w:t>
      </w:r>
      <w:r>
        <w:rPr>
          <w:rStyle w:val="A4"/>
          <w:rFonts w:cstheme="minorHAnsi"/>
          <w:sz w:val="22"/>
          <w:szCs w:val="22"/>
        </w:rPr>
        <w:t>a year after the end of a trial, i</w:t>
      </w:r>
      <w:r>
        <w:t>f</w:t>
      </w:r>
      <w:r>
        <w:rPr>
          <w:rFonts w:cstheme="minorHAnsi"/>
        </w:rPr>
        <w:t xml:space="preserve"> an investigation were to progress to Court. Also s</w:t>
      </w:r>
      <w:r w:rsidRPr="00AC132F">
        <w:rPr>
          <w:rFonts w:cstheme="minorHAnsi"/>
        </w:rPr>
        <w:t xml:space="preserve">pecial measures </w:t>
      </w:r>
      <w:r>
        <w:rPr>
          <w:rFonts w:cstheme="minorHAnsi"/>
        </w:rPr>
        <w:t>can be applied for by the prosecution on behalf of the victim to be</w:t>
      </w:r>
      <w:r w:rsidRPr="00AC132F">
        <w:rPr>
          <w:rFonts w:cstheme="minorHAnsi"/>
        </w:rPr>
        <w:t xml:space="preserve"> put in place to help victims give their best possible ev</w:t>
      </w:r>
      <w:r>
        <w:rPr>
          <w:rFonts w:cstheme="minorHAnsi"/>
        </w:rPr>
        <w:t xml:space="preserve">idence and offer additional </w:t>
      </w:r>
      <w:r>
        <w:rPr>
          <w:rFonts w:cstheme="minorHAnsi"/>
        </w:rPr>
        <w:lastRenderedPageBreak/>
        <w:t xml:space="preserve">safeguarding measures, it is for the Court to then decide if the measures applied for are to be granted. </w:t>
      </w:r>
      <w:r>
        <w:rPr>
          <w:rStyle w:val="A4"/>
          <w:rFonts w:cstheme="minorHAnsi"/>
          <w:sz w:val="22"/>
          <w:szCs w:val="22"/>
        </w:rPr>
        <w:t xml:space="preserve">If the accused were to be bailed, the court may impose </w:t>
      </w:r>
      <w:r w:rsidRPr="00AC132F">
        <w:rPr>
          <w:rStyle w:val="A4"/>
          <w:rFonts w:cstheme="minorHAnsi"/>
          <w:sz w:val="22"/>
          <w:szCs w:val="22"/>
        </w:rPr>
        <w:t>condition</w:t>
      </w:r>
      <w:r>
        <w:rPr>
          <w:rStyle w:val="A4"/>
          <w:rFonts w:cstheme="minorHAnsi"/>
          <w:sz w:val="22"/>
          <w:szCs w:val="22"/>
        </w:rPr>
        <w:t>s</w:t>
      </w:r>
      <w:r w:rsidRPr="00AC132F">
        <w:rPr>
          <w:rStyle w:val="A4"/>
          <w:rFonts w:cstheme="minorHAnsi"/>
          <w:sz w:val="22"/>
          <w:szCs w:val="22"/>
        </w:rPr>
        <w:t xml:space="preserve"> preventing the accused from making any contact with a named person or persons</w:t>
      </w:r>
      <w:r>
        <w:rPr>
          <w:rStyle w:val="A4"/>
          <w:rFonts w:cstheme="minorHAnsi"/>
          <w:sz w:val="22"/>
          <w:szCs w:val="22"/>
        </w:rPr>
        <w:t xml:space="preserve"> to prevent witness/victim intimidation and reduce the impact factors on the life and wellbeing of the person giving evidence or the victim in the case</w:t>
      </w:r>
      <w:r w:rsidRPr="00AC132F">
        <w:rPr>
          <w:rStyle w:val="A4"/>
          <w:rFonts w:cstheme="minorHAnsi"/>
          <w:sz w:val="22"/>
          <w:szCs w:val="22"/>
        </w:rPr>
        <w:t xml:space="preserve">. </w:t>
      </w:r>
      <w:r>
        <w:rPr>
          <w:rStyle w:val="A4"/>
          <w:rFonts w:cstheme="minorHAnsi"/>
          <w:sz w:val="22"/>
          <w:szCs w:val="22"/>
        </w:rPr>
        <w:t>A</w:t>
      </w:r>
      <w:r w:rsidRPr="00AC132F">
        <w:rPr>
          <w:rStyle w:val="A4"/>
          <w:rFonts w:cstheme="minorHAnsi"/>
          <w:sz w:val="22"/>
          <w:szCs w:val="22"/>
        </w:rPr>
        <w:t>n injunction</w:t>
      </w:r>
      <w:r>
        <w:rPr>
          <w:rStyle w:val="A4"/>
          <w:rFonts w:cstheme="minorHAnsi"/>
          <w:sz w:val="22"/>
          <w:szCs w:val="22"/>
        </w:rPr>
        <w:t xml:space="preserve"> can also be applied for to the Court, against the accused if convicted or acquitted whereby</w:t>
      </w:r>
      <w:r w:rsidRPr="00AC132F">
        <w:rPr>
          <w:rStyle w:val="A4"/>
          <w:rFonts w:cstheme="minorHAnsi"/>
          <w:sz w:val="22"/>
          <w:szCs w:val="22"/>
        </w:rPr>
        <w:t xml:space="preserve"> the </w:t>
      </w:r>
      <w:r>
        <w:rPr>
          <w:rStyle w:val="A4"/>
          <w:rFonts w:cstheme="minorHAnsi"/>
          <w:sz w:val="22"/>
          <w:szCs w:val="22"/>
        </w:rPr>
        <w:t>criminal court can put a restraining order in place, similar to that of bail conditions which can prevent any further contact or interaction between victim and the accused.</w:t>
      </w:r>
      <w:r>
        <w:rPr>
          <w:rFonts w:cstheme="minorHAnsi"/>
        </w:rPr>
        <w:t xml:space="preserve"> </w:t>
      </w:r>
      <w:r>
        <w:t xml:space="preserve">In this instance, once the identity of the subject had been ascertained he was arrested within 2 days and was not perceived as a high risk threat as although the victim and subject were known to one another personal information and details had not been exchanged, so such safeguarding was not necessary. The National decision making model was used to consider risk and influential factors and the options available when making this decision and utilising the officers discretion. </w:t>
      </w:r>
    </w:p>
    <w:p w:rsidR="00573071" w:rsidRPr="00AD1180" w:rsidRDefault="00573071" w:rsidP="00573071">
      <w:pPr>
        <w:spacing w:after="240" w:line="480" w:lineRule="auto"/>
      </w:pPr>
      <w:r>
        <w:t xml:space="preserve">Once under arrest the subject was then classified as having lost his right to liberty under Article 5 of </w:t>
      </w:r>
      <w:r w:rsidRPr="00F92718">
        <w:rPr>
          <w:rFonts w:cstheme="minorHAnsi"/>
        </w:rPr>
        <w:t>the Human Rights Act 1998. This is legalised as a procedure</w:t>
      </w:r>
      <w:r>
        <w:rPr>
          <w:rFonts w:cstheme="minorHAnsi"/>
        </w:rPr>
        <w:t xml:space="preserve"> prescribed by law as </w:t>
      </w:r>
      <w:r w:rsidRPr="00F92718">
        <w:rPr>
          <w:rFonts w:cstheme="minorHAnsi"/>
        </w:rPr>
        <w:t>‘the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r>
        <w:rPr>
          <w:rFonts w:cstheme="minorHAnsi"/>
        </w:rPr>
        <w:t xml:space="preserve"> (Starmer, 200)</w:t>
      </w:r>
      <w:r w:rsidRPr="00F92718">
        <w:rPr>
          <w:rFonts w:cstheme="minorHAnsi"/>
        </w:rPr>
        <w:t>.</w:t>
      </w:r>
      <w:r>
        <w:t xml:space="preserve"> </w:t>
      </w:r>
      <w:r>
        <w:rPr>
          <w:rFonts w:cstheme="minorHAnsi"/>
        </w:rPr>
        <w:t xml:space="preserve">When legally removing a person’s right to liberty and they are held in Police custody, policy and procedures are in place to ensure fair treatment and uphold other human rights. The Custody Sergeant is responsible for reading through the detained persons legal and human rights, ensuring they are understood and upheld. Then, the detainee’s safety and welfare is supported primarily by Custody Detention Officers. In this incident the outcome was that the subject was released without charge, I was aware of the above outlined options if the investigation were to have gone in a different direction but this was not the case. Upon release however the subject was provided with suitable words of advice with regards to any future contact or altercations with the victim.  </w:t>
      </w:r>
    </w:p>
    <w:p w:rsidR="00573071" w:rsidRPr="00F76D33" w:rsidRDefault="00573071" w:rsidP="00573071">
      <w:pPr>
        <w:spacing w:after="240" w:line="480" w:lineRule="auto"/>
        <w:rPr>
          <w:rFonts w:cstheme="minorHAnsi"/>
        </w:rPr>
      </w:pPr>
      <w:r>
        <w:t xml:space="preserve">When contact is made between police and members of the public it is usually through one of two means, whereby a victim or witness reports an incident and an officer conducts an investigation or subsequent to the investigation an accused person is arrested by an officer. In both instances it is imperative to remain human and uphold both personal morals and professional standards as those who are accused of something today, </w:t>
      </w:r>
      <w:r>
        <w:lastRenderedPageBreak/>
        <w:t xml:space="preserve">could be a witness or victim tomorrow (Tyler, 2011) and therefore fairness and respect are paramount as a sense of self-legitimacy can be shaped by public support of the police and public cooperation, which in turn supports ethical policing (Porter et al, 2015). Therefore, as Police officers we too are human and should conduct ourselves as such with compassion, empathy and respect for others. </w:t>
      </w:r>
    </w:p>
    <w:p w:rsidR="00573071" w:rsidRDefault="00573071" w:rsidP="00573071">
      <w:pPr>
        <w:spacing w:line="480" w:lineRule="auto"/>
      </w:pPr>
      <w:r>
        <w:t xml:space="preserve">With regards to victims of crime it is important that they feel supported and understand the process of what could happen during a criminal investigation and with the exception of the call handler it is response officers who have initial contact with victims and witnesses. At this point it is of the highest importance that victims are reassured – this can happen naturally simply by a police presence or by building a rapport with them in order to establish common ground and gain the trust of the individual. As a Police service we are victim led and rely upon victims and witnesses for their statements and testimonies as evidence, which for some can be a difficult process to go through, therefore as a services we must endeavour to support them and their individual needs. </w:t>
      </w:r>
    </w:p>
    <w:p w:rsidR="00573071" w:rsidRDefault="00573071" w:rsidP="00573071">
      <w:pPr>
        <w:spacing w:line="480" w:lineRule="auto"/>
      </w:pPr>
      <w:r>
        <w:t xml:space="preserve">It is also crucial that the process of the investigation and criminal proceedings are explained to the victim, for them to gain understanding of what to expect, their role and to manage expectations of the outcome. Initially this responsibility is that of the attending officer, however after first contact is made there are tools at our disposal to assist with victim/witness support. In this incident I submitted a victim support referral which should be done with each victim we come into contact with; providing they give consent to do so, who then contact the victim and see if they have particular vulnerability or support needs that can be catered for. The service can then provide emotional support, practical help and additional information and advocacy if necessary to those involved or affected by the incident throughout the course of the investigation. Further to this support offered to victims, if a vulnerability is identified in a witness or victim, whether it be a vulnerable adult or a child at risk of neglect, a Public Protection Notice can be submitted on their behalf which is a multi-agency referral to other services such as health care, housing, social services and mental health provisions. This is in order to gain additional support on behalf of those involved potentially for the long term, or to assist in gaining help during a time of need or particular circumstances. With the victims consent in the incident outlined above both a PPN and a victim support referral were submitted due to factors such as him living alone in a different country to his family and in isolation from society due to the antisocial and excessive hours he was working as a taxi driver, resulting in the male being classed as vulnerable and having experienced a hate crime. </w:t>
      </w:r>
    </w:p>
    <w:p w:rsidR="00573071" w:rsidRDefault="00573071" w:rsidP="00573071">
      <w:pPr>
        <w:spacing w:line="480" w:lineRule="auto"/>
      </w:pPr>
    </w:p>
    <w:p w:rsidR="00112751" w:rsidRPr="00270EEB" w:rsidRDefault="00573071" w:rsidP="00573071">
      <w:pPr>
        <w:spacing w:line="480" w:lineRule="auto"/>
        <w:ind w:right="108"/>
        <w:jc w:val="both"/>
        <w:rPr>
          <w:sz w:val="24"/>
          <w:szCs w:val="24"/>
        </w:rPr>
      </w:pPr>
      <w:r>
        <w:lastRenderedPageBreak/>
        <w:t>To conclude, when interacting with members of the public as a police officer the interaction has the potential to leave a lasting impression of the police, service wide as ‘every contact leaves a trace’. Therefore it is imperative that the interaction regardless of the role of the other; whether it be an offender, victim or witness, is a positive one as those who are accused of a criminal offence today, could be a witness or victim to one tomorrow and we are all human beings. The expected standards of behaviour and the policing principles outline policing values instilled in officers which is reflected in their conduct and engaged throughout their duty and in all incidents they attend when acting within the parameters of the code of ethics whether with victim or offender. In this, it is necessary for local officers to have a base knowledge of present cultures and their indifferences, consider practices that may be culturally sensitive and uphold the standards of professional behaviour. As due to the complex nature of our ever developing society, particularly culturally diverse and heavily populated urban hubs such as Cardiff, the prevalence of hate crime and religiously or racially aggravated incidents is likely to be increased and needs to be policed.</w:t>
      </w: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AA666E" w:rsidRPr="000B1E96" w:rsidRDefault="00025650" w:rsidP="00E6298B">
      <w:pPr>
        <w:ind w:right="107"/>
      </w:pPr>
      <w:r>
        <w:br w:type="page"/>
      </w:r>
    </w:p>
    <w:p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6C7CA5" w:rsidRPr="00270EEB" w:rsidRDefault="006C7CA5"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RDefault="006C7CA5" w:rsidP="00E6298B">
      <w:pPr>
        <w:ind w:right="107"/>
        <w:jc w:val="both"/>
        <w:rPr>
          <w:sz w:val="24"/>
          <w:szCs w:val="24"/>
          <w:highlight w:val="yellow"/>
        </w:rPr>
      </w:pPr>
    </w:p>
    <w:p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6C7CA5" w:rsidRPr="00270EEB" w:rsidRDefault="006C7CA5" w:rsidP="00E6298B">
      <w:pPr>
        <w:ind w:right="107"/>
        <w:jc w:val="both"/>
        <w:rPr>
          <w:sz w:val="24"/>
          <w:szCs w:val="24"/>
        </w:rPr>
      </w:pPr>
    </w:p>
    <w:p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rsidTr="28A9B94D">
        <w:tc>
          <w:tcPr>
            <w:tcW w:w="10188" w:type="dxa"/>
            <w:shd w:val="clear" w:color="auto" w:fill="auto"/>
          </w:tcPr>
          <w:p w:rsidR="006C7CA5" w:rsidRDefault="006C7CA5" w:rsidP="00E6298B">
            <w:pPr>
              <w:pStyle w:val="TableParagraph"/>
              <w:tabs>
                <w:tab w:val="left" w:pos="355"/>
              </w:tabs>
              <w:ind w:left="0" w:right="107"/>
              <w:rPr>
                <w:rFonts w:eastAsia="Times New Roman"/>
                <w:color w:val="000000"/>
                <w:sz w:val="24"/>
                <w:szCs w:val="24"/>
                <w:lang w:bidi="ar-SA"/>
              </w:rPr>
            </w:pPr>
          </w:p>
          <w:p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RDefault="006C7CA5" w:rsidP="00E6298B">
            <w:pPr>
              <w:ind w:right="107"/>
              <w:jc w:val="both"/>
              <w:rPr>
                <w:sz w:val="24"/>
                <w:szCs w:val="24"/>
              </w:rPr>
            </w:pPr>
          </w:p>
          <w:p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6C7CA5" w:rsidRPr="00270EEB" w:rsidRDefault="006C7CA5" w:rsidP="00E6298B">
            <w:pPr>
              <w:ind w:right="107"/>
              <w:rPr>
                <w:sz w:val="24"/>
                <w:szCs w:val="24"/>
              </w:rPr>
            </w:pPr>
          </w:p>
          <w:p w:rsidR="006C7CA5" w:rsidRPr="00270EEB"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6C7CA5" w:rsidRPr="00270EEB" w:rsidRDefault="006C7CA5" w:rsidP="00E6298B">
      <w:pPr>
        <w:ind w:right="107"/>
        <w:jc w:val="both"/>
        <w:rPr>
          <w:sz w:val="24"/>
          <w:szCs w:val="24"/>
        </w:rPr>
      </w:pPr>
    </w:p>
    <w:p w:rsidR="006C7CA5" w:rsidRPr="00450C83" w:rsidRDefault="006C7CA5" w:rsidP="00E6298B">
      <w:pPr>
        <w:ind w:right="107"/>
        <w:jc w:val="both"/>
        <w:rPr>
          <w:b/>
          <w:sz w:val="24"/>
          <w:szCs w:val="24"/>
        </w:rPr>
      </w:pPr>
      <w:r w:rsidRPr="00450C83">
        <w:rPr>
          <w:b/>
          <w:sz w:val="24"/>
          <w:szCs w:val="24"/>
        </w:rPr>
        <w:t>ANSWER:</w:t>
      </w:r>
    </w:p>
    <w:p w:rsidR="006C7CA5" w:rsidRPr="00270EEB" w:rsidRDefault="006C7CA5" w:rsidP="00E6298B">
      <w:pPr>
        <w:ind w:right="107"/>
        <w:jc w:val="both"/>
        <w:rPr>
          <w:sz w:val="24"/>
          <w:szCs w:val="24"/>
        </w:rPr>
      </w:pPr>
    </w:p>
    <w:p w:rsidR="002D545E" w:rsidRDefault="002D545E" w:rsidP="002D545E">
      <w:pPr>
        <w:spacing w:after="240" w:line="480" w:lineRule="auto"/>
        <w:rPr>
          <w:rFonts w:cstheme="minorHAnsi"/>
        </w:rPr>
      </w:pPr>
      <w:r>
        <w:t xml:space="preserve">The role of a Police officer is that of a diverse nature which can require the individual to make a number of complex decisions using the information available very quickly to both assess and manage a potentially difficult situation, circumstance or an individual.  Often the information available upon which these decisions are based is limited, contradictory or deliberately flawed in order to mislead (Hale et al, 2005). As a result, the police service has adopted a working framework in which decisions can be assessed, examined and challenged both at the time and retrospectively – the National Decision Model. According to the College of Policing (2020) </w:t>
      </w:r>
      <w:r>
        <w:rPr>
          <w:rFonts w:cstheme="minorHAnsi"/>
        </w:rPr>
        <w:t>‘The model has at its centre the Code of Ethics</w:t>
      </w:r>
      <w:r w:rsidRPr="00AD7132">
        <w:rPr>
          <w:rFonts w:cstheme="minorHAnsi"/>
        </w:rPr>
        <w:t xml:space="preserve">, as the touchstone for all decision making. Using the model encourages officers and staff to act in accordance with the Code and use their discretion where appropriate. It also reduces risk aversion and weighs the balance of resourcing </w:t>
      </w:r>
      <w:r>
        <w:rPr>
          <w:rFonts w:cstheme="minorHAnsi"/>
        </w:rPr>
        <w:t>against demand, threat and risk’.</w:t>
      </w:r>
    </w:p>
    <w:p w:rsidR="002D545E" w:rsidRDefault="002D545E" w:rsidP="002D545E">
      <w:pPr>
        <w:spacing w:line="480" w:lineRule="auto"/>
      </w:pPr>
      <w:r>
        <w:t xml:space="preserve">This discussion will critically assess an incident during which I utilised the National Decision Making Model to form a resolution whilst using my discretion as a Police officer. Key focus will be placed on the presence of potential bias during the decision making process whilst a constant strand throughout remains the prevalence </w:t>
      </w:r>
      <w:r>
        <w:lastRenderedPageBreak/>
        <w:t xml:space="preserve">of the Criminal Procedural Investigations Act and considerations made when conducting the investigation around said incident.  </w:t>
      </w:r>
    </w:p>
    <w:p w:rsidR="002D545E" w:rsidRPr="00071605" w:rsidRDefault="002D545E" w:rsidP="002D545E">
      <w:pPr>
        <w:spacing w:line="480" w:lineRule="auto"/>
        <w:rPr>
          <w:rFonts w:cstheme="minorHAnsi"/>
        </w:rPr>
      </w:pPr>
    </w:p>
    <w:p w:rsidR="002D545E" w:rsidRDefault="002D545E" w:rsidP="002D545E">
      <w:pPr>
        <w:spacing w:after="240" w:line="480" w:lineRule="auto"/>
      </w:pPr>
      <w:r>
        <w:t xml:space="preserve">The incident took place in </w:t>
      </w:r>
      <w:r w:rsidR="00CC4DCE">
        <w:t xml:space="preserve">October 2019 whereby </w:t>
      </w:r>
      <w:r>
        <w:t>a colleague</w:t>
      </w:r>
      <w:r w:rsidR="00CC4DCE">
        <w:t xml:space="preserve"> and I</w:t>
      </w:r>
      <w:r>
        <w:t xml:space="preserve"> attended a G3 call in relation to an incident of criminal damage allegedly committed by a Personal independent Payment Assessor who had attended the victim’s home address. On attending the address in Pentwyn there was an external baby gate on the patch of grass in the front garden consistent with the initial report that the assessor had kicked the baby gate on his route to exiting the property following a verbal disagreement with the occupant whereby he was consequently asked to leave. </w:t>
      </w:r>
    </w:p>
    <w:p w:rsidR="002D545E" w:rsidRDefault="002D545E" w:rsidP="002D545E">
      <w:pPr>
        <w:spacing w:after="240" w:line="480" w:lineRule="auto"/>
      </w:pPr>
      <w:r>
        <w:t xml:space="preserve">Throughout the assessment she reported that the assessor did not give her time to speak or provide the full extent of her difficulties or medical needs and complications, that he became aggressive and continued to interrupt and talk over her. The victim’s son was also present at the property and stated that he could hear the conversation from his bedroom and due to the assessors manner and tone of voice did not feel comfortable with his mother being alone with him and asked the assessor to leave multiple times, to which he reported the male became highly irate and erratically gathered up his belonging and pushed passed him. The assessor allegedly offered the son outside for a fight and slammed the front door, kicking the external baby gate on his way which caused damage to the render of the property and external adjacent outhouse. This information was gathered from the victim and a witness at the scene, combined with the intelligence gained from officer’s observations at the property of the positioning of the baby gate, its method of attachment to the walls and lack of fixings/residue present as a result of the damage.    </w:t>
      </w:r>
    </w:p>
    <w:p w:rsidR="002D545E" w:rsidRDefault="002D545E" w:rsidP="002D545E">
      <w:pPr>
        <w:spacing w:after="240" w:line="480" w:lineRule="auto"/>
      </w:pPr>
      <w:r>
        <w:t xml:space="preserve">A pocket notebook entry was obtained outlining the above and contact was made with the assessor’s employer; who had already been contacted by the victim. The employer disclosed that the male had been suspended pending an internal investigation and a £600 good will gesture offered to the victim, which she had already accepted unbeknown to myself or my colleague. At this point, on assessing the risk presented to the victim and in order to develop a working strategy I felt that the incident had presented as a civil matter between the assessors employer and the victim, however due to the victim’s insistence to pursue legal action, an RJ approach was most appropriate when identifying the available options. On outlining the process of pursuing criminal proceedings, what it would entail and the disposal options available the victim agreed to a </w:t>
      </w:r>
      <w:r>
        <w:lastRenderedPageBreak/>
        <w:t xml:space="preserve">RJ approach as she had already been compensated well in excess of the value of the damage caused and an internal investigation was underway by the employer. A victim RJ template was obtained from the victim in this incident and the actions taken were written up as such.   </w:t>
      </w:r>
    </w:p>
    <w:p w:rsidR="002D545E" w:rsidRDefault="002D545E" w:rsidP="002D545E">
      <w:pPr>
        <w:spacing w:after="240" w:line="480" w:lineRule="auto"/>
      </w:pPr>
      <w:r>
        <w:t xml:space="preserve">The following day however the victim rang 101 to inform the control room that having spoken to her key worker she felt that more should have been done by officers as she is a vulnerable disabled adult that suffers with anxiety who felt threatened in her own home. As a result the NDM was then revisited and the cycle began again as it is a constantly working model. Myself and my colleague then re-attended the same day and spoke to the victim who initially did not want to speak to us and requested a phone call from our supervisor. We explained that there may have been a misunderstanding and requested that we have a conversation about what had happened and her expectations of us. Following this, the victim stated that she wanted to go ‘all the way’ and attend court despite our advice regarding her anxiety and physical disabilities. As a result witness statements were obtained from the victim and her son and both were informed the male would be brought in for a voluntary interview once his personal information was obtained from the employer. The victim was highly disgruntled by this and expressed that she wanted the male arrested and she would be putting a formal complaint, for which we provided supervisor details.  </w:t>
      </w:r>
    </w:p>
    <w:p w:rsidR="002D545E" w:rsidRDefault="002D545E" w:rsidP="002D545E">
      <w:pPr>
        <w:spacing w:line="480" w:lineRule="auto"/>
      </w:pPr>
      <w:r>
        <w:t xml:space="preserve">The male was contacted and a VA arranged but delayed due to a change in his medication for PTSD. In interview the assessor stated that the process of the assessment had changed which he tried to explain to the victim but she would not listen and continued to go off on a tangent and did not like being brought back onto point. He also stated that she became aggressive and when the son entered the bedroom he felt threatened as he was stuck in the corner of the room away from the door and began trying to leave when the son ‘tried to kick him out’. The assessor did state that he had pushed through an external baby gate on his route out of the property as he tried to leave in a hurry and was being followed down the stairs by the victim’s son in a confrontational manner. Subsequently the matter was closed with no further action taken against the assessor, the company prior to the VA had invited him back to work and paid the £600 gesture to the victim.   </w:t>
      </w:r>
    </w:p>
    <w:p w:rsidR="002D545E" w:rsidRDefault="002D545E" w:rsidP="002D545E">
      <w:pPr>
        <w:spacing w:line="480" w:lineRule="auto"/>
      </w:pPr>
    </w:p>
    <w:p w:rsidR="002D545E" w:rsidRPr="009A7BD5" w:rsidRDefault="002D545E" w:rsidP="002D545E">
      <w:pPr>
        <w:spacing w:after="240" w:line="480" w:lineRule="auto"/>
      </w:pPr>
      <w:r>
        <w:t xml:space="preserve">At the centre of the NDM lies the Code of Ethics which underpins all police decision making and the appropriate course of action. The Code of Ethics includes the principle of ‘accountability’ which holds each officer answerable to their own decisions, actions and omissions. This is due to officers having the ability to use their discretion when dealing with incidents and offenders as it is recognised that actions short of arrest </w:t>
      </w:r>
      <w:r>
        <w:lastRenderedPageBreak/>
        <w:t xml:space="preserve">may achieve a desired goal (Goldstein, 1963), giving officers alternative methods of dealing with matters or options of disposal. Discretion is the power and authority a police officer possesses to act officially on one’s own judgement in a manner that is just when considering factors under presented circumstances (Diemer et al, 2017). Without this discretion Goldstein states that a full enforcement policy would imply that ‘police are required and expected to enforce all criminal statutes and city ordinances at all times against all offenders. It suggests that the police are without authority to ignore violations, to warn offenders when a violation has in fact occurred, or to do anything short of arresting the offender and placing a charge against him for the specific crime committed’ (p. 140). This is simply not practical, is counterproductive and unrealistic as there is no one rule that fits all. For example, in the absence of discretion all criminal activity would be dealt with identically whether it be a premeditated murder investigation or whereby a suspect was identified for the criminal damage incident highlighted previously – both would be subsequently arrested. These incidents are very different, both constitute criminal offences and required Police intervention, but the level of intervention and the course of conduct to follow should be proportionate to the individual circumstances of each incident. </w:t>
      </w:r>
    </w:p>
    <w:p w:rsidR="002D545E" w:rsidRDefault="002D545E" w:rsidP="002D545E">
      <w:pPr>
        <w:spacing w:before="100" w:line="480" w:lineRule="auto"/>
        <w:rPr>
          <w:rFonts w:cstheme="minorHAnsi"/>
        </w:rPr>
      </w:pPr>
      <w:r w:rsidRPr="002B7ADA">
        <w:rPr>
          <w:rFonts w:cstheme="minorHAnsi"/>
        </w:rPr>
        <w:t>Juxtaposed to this necessity for discretion however is the opinion that it opens the door to controversy as too much freedom of discretion can be dangerous, promoting discrimination, unpredictability and, most fatally injustice</w:t>
      </w:r>
      <w:r>
        <w:rPr>
          <w:rFonts w:cstheme="minorHAnsi"/>
        </w:rPr>
        <w:t xml:space="preserve"> (Scarman, 1981). Allowing</w:t>
      </w:r>
      <w:r w:rsidRPr="002B7ADA">
        <w:rPr>
          <w:rFonts w:cstheme="minorHAnsi"/>
        </w:rPr>
        <w:t xml:space="preserve"> police </w:t>
      </w:r>
      <w:r>
        <w:rPr>
          <w:rFonts w:cstheme="minorHAnsi"/>
        </w:rPr>
        <w:t xml:space="preserve">officers </w:t>
      </w:r>
      <w:r w:rsidRPr="002B7ADA">
        <w:rPr>
          <w:rFonts w:cstheme="minorHAnsi"/>
        </w:rPr>
        <w:t>the discretion to pursue objectives counter to the criminal justice system can be inherently problematic both in the interests of justice and for the effectiven</w:t>
      </w:r>
      <w:r>
        <w:rPr>
          <w:rFonts w:cstheme="minorHAnsi"/>
        </w:rPr>
        <w:t xml:space="preserve">ess of the police as a service. </w:t>
      </w:r>
      <w:r>
        <w:t>Thus, the discretionary nature of decision making in policing situations and fast-moving incidents is necessary and effective when combined with the principle of accountability and underpinned by the Code of Ethics. W</w:t>
      </w:r>
      <w:r>
        <w:rPr>
          <w:rFonts w:cstheme="minorHAnsi"/>
        </w:rPr>
        <w:t>hereby</w:t>
      </w:r>
      <w:r w:rsidRPr="003963FE">
        <w:rPr>
          <w:rFonts w:cstheme="minorHAnsi"/>
        </w:rPr>
        <w:t xml:space="preserve"> </w:t>
      </w:r>
      <w:r>
        <w:rPr>
          <w:rFonts w:cstheme="minorHAnsi"/>
        </w:rPr>
        <w:t xml:space="preserve">the </w:t>
      </w:r>
      <w:r w:rsidRPr="003963FE">
        <w:rPr>
          <w:rFonts w:cstheme="minorHAnsi"/>
        </w:rPr>
        <w:t xml:space="preserve">NDM </w:t>
      </w:r>
      <w:r>
        <w:rPr>
          <w:rFonts w:cstheme="minorHAnsi"/>
        </w:rPr>
        <w:t xml:space="preserve">is utilised by officers to make informed decisions in the present, and also </w:t>
      </w:r>
      <w:r w:rsidRPr="003963FE">
        <w:rPr>
          <w:rFonts w:cstheme="minorHAnsi"/>
        </w:rPr>
        <w:t>to structure a rationale of what they did during an incident and why</w:t>
      </w:r>
      <w:r>
        <w:rPr>
          <w:rFonts w:cstheme="minorHAnsi"/>
        </w:rPr>
        <w:t xml:space="preserve"> upon reflection, allows the discretionary element to be transparent and honest and negate potential criticism. By using the NDM in this way, e</w:t>
      </w:r>
      <w:r w:rsidRPr="003963FE">
        <w:rPr>
          <w:rFonts w:cstheme="minorHAnsi"/>
        </w:rPr>
        <w:t>ven where the outcome was not as planned, if the decision was reasonable and prop</w:t>
      </w:r>
      <w:r>
        <w:rPr>
          <w:rFonts w:cstheme="minorHAnsi"/>
        </w:rPr>
        <w:t xml:space="preserve">ortionate in the circumstances </w:t>
      </w:r>
      <w:r w:rsidRPr="003963FE">
        <w:rPr>
          <w:rFonts w:cstheme="minorHAnsi"/>
        </w:rPr>
        <w:t xml:space="preserve">and made in accordance with </w:t>
      </w:r>
      <w:r>
        <w:rPr>
          <w:rFonts w:cstheme="minorHAnsi"/>
        </w:rPr>
        <w:t>the Code of Ethics, the officer who has made the decision</w:t>
      </w:r>
      <w:r w:rsidRPr="003963FE">
        <w:rPr>
          <w:rFonts w:cstheme="minorHAnsi"/>
        </w:rPr>
        <w:t xml:space="preserve"> deserves the support of their supervisor and that of the organisation</w:t>
      </w:r>
      <w:r>
        <w:rPr>
          <w:rFonts w:cstheme="minorHAnsi"/>
        </w:rPr>
        <w:t xml:space="preserve"> (Corsianos, 2003)</w:t>
      </w:r>
      <w:r w:rsidRPr="003963FE">
        <w:rPr>
          <w:rFonts w:cstheme="minorHAnsi"/>
        </w:rPr>
        <w:t>.</w:t>
      </w:r>
      <w:r>
        <w:rPr>
          <w:rFonts w:cstheme="minorHAnsi"/>
        </w:rPr>
        <w:t xml:space="preserve"> </w:t>
      </w:r>
    </w:p>
    <w:p w:rsidR="002D545E" w:rsidRDefault="002D545E" w:rsidP="002D545E">
      <w:pPr>
        <w:spacing w:before="100" w:line="480" w:lineRule="auto"/>
        <w:rPr>
          <w:rFonts w:cstheme="minorHAnsi"/>
        </w:rPr>
      </w:pPr>
    </w:p>
    <w:p w:rsidR="002D545E" w:rsidRDefault="002D545E" w:rsidP="002D545E">
      <w:pPr>
        <w:spacing w:before="100" w:after="240" w:line="480" w:lineRule="auto"/>
        <w:rPr>
          <w:rFonts w:cstheme="minorHAnsi"/>
        </w:rPr>
      </w:pPr>
      <w:r>
        <w:rPr>
          <w:rFonts w:cstheme="minorHAnsi"/>
        </w:rPr>
        <w:t>Where discretion is exercised it is important to consider</w:t>
      </w:r>
      <w:r w:rsidRPr="00985C7A">
        <w:rPr>
          <w:rFonts w:cstheme="minorHAnsi"/>
        </w:rPr>
        <w:t xml:space="preserve"> the impact of bias</w:t>
      </w:r>
      <w:r>
        <w:rPr>
          <w:rFonts w:cstheme="minorHAnsi"/>
        </w:rPr>
        <w:t xml:space="preserve"> as it can be a subconscious factor that may influence the decision making process (Crank, 2004). Police bias is a well-discussed topic and the </w:t>
      </w:r>
      <w:r>
        <w:rPr>
          <w:rFonts w:cstheme="minorHAnsi"/>
        </w:rPr>
        <w:lastRenderedPageBreak/>
        <w:t>presence of such has the potential to affect public opinion and confidence in the police as a service (Oliveira &amp; Murphy, 2014). The utilisation of the NDM and subsequent rationale generated aids officers in coming to a structured and reasonably considered outcome, which assists in negating any potential bias or prejudice</w:t>
      </w:r>
      <w:r w:rsidRPr="00A24501">
        <w:rPr>
          <w:rFonts w:cstheme="minorHAnsi"/>
        </w:rPr>
        <w:t xml:space="preserve"> </w:t>
      </w:r>
      <w:r>
        <w:rPr>
          <w:rFonts w:cstheme="minorHAnsi"/>
        </w:rPr>
        <w:t>as the decision is therefore based on present relevant factors, information and intelligence. With regard to the above incident it was imperative to be accountable for the decisions I had made, due to the discretionary element on initial attendance whereby the incident presented as a civil matter and I had decided to deal with the incident as an RJ. I acted with integrity and following the victim requesting further support due to her vulnerability and was open and transparent with regards to the unrealistic prospect of prosecution and advised her of the most appropriate course of action for her not to have to attend court due to her anxiety. So as not to present as biased to the accused party and as an allegation had been made, the male was voluntary interviewed having considered the advantages and disadvantages of alternative options having considered economic and time costs. Despite this the accused was released with no further police action as I suspected based on the evidence present and my best professional judgement.</w:t>
      </w:r>
    </w:p>
    <w:p w:rsidR="002D545E" w:rsidRPr="005159BE" w:rsidRDefault="002D545E" w:rsidP="002D545E">
      <w:pPr>
        <w:spacing w:before="100" w:after="240" w:line="480" w:lineRule="auto"/>
        <w:rPr>
          <w:rFonts w:cstheme="minorHAnsi"/>
        </w:rPr>
      </w:pPr>
      <w:r>
        <w:t xml:space="preserve">Throughout the investigation of an incident the officer has a responsibility to adhere to stipulations on how information concerning the incident, offender and any witnesses is recorded and retained. According to the CPIA </w:t>
      </w:r>
      <w:r w:rsidRPr="00780188">
        <w:t>any police officer involved in the conduct of a criminal i</w:t>
      </w:r>
      <w:r>
        <w:t>nvestigation has</w:t>
      </w:r>
      <w:r w:rsidRPr="00780188">
        <w:t xml:space="preserve"> </w:t>
      </w:r>
      <w:r>
        <w:t>‘</w:t>
      </w:r>
      <w:r w:rsidRPr="00780188">
        <w:t>a responsibility for carrying out the d</w:t>
      </w:r>
      <w:r>
        <w:t>uties imposed on them under its</w:t>
      </w:r>
      <w:r w:rsidRPr="00780188">
        <w:t xml:space="preserve"> code, including in particular recording information, and retaining records of</w:t>
      </w:r>
      <w:r>
        <w:t xml:space="preserve"> information and other material’ (CPIA, 1996). This in the context of the incident outlined above meant that practically the personal information of the victim and witness including their details were stored on Niche; a secure police national computer system. The witnesses statements provided were obtained via personal mobile device, signed and submitted to the occurrence for the incident also on Niche. As well as this the photographs of the damage and the video and audio recording of the VA interview with the accused were uploaded to evidence.com and stored securely as evidence in case, also linked to the occurrence. This matter was sent to the VA Sergeant for a charging decision and subsequently closed with no further action taken. This is in accordance with managing the information appropriately and within the legal system, as the information recorded and retained was necessary for a policing purpose as evidence as failure to do so would potentially inhibit the investigation.</w:t>
      </w:r>
    </w:p>
    <w:p w:rsidR="002D545E" w:rsidRDefault="002D545E" w:rsidP="002D545E">
      <w:pPr>
        <w:spacing w:line="480" w:lineRule="auto"/>
      </w:pPr>
    </w:p>
    <w:p w:rsidR="002D545E" w:rsidRDefault="002D545E" w:rsidP="002D545E">
      <w:pPr>
        <w:spacing w:line="480" w:lineRule="auto"/>
      </w:pPr>
      <w:r>
        <w:lastRenderedPageBreak/>
        <w:t xml:space="preserve">In summary, as a Police force we are governed by policy and procedures that we must adhere to, particularly the Criminal Procedures Investigation Act 1996 which balances regulations that govern how we operate when conducting investigations and the materials gathered, with the legal rights and personal privacy of members of the general public. These guidelines within which we conduct our role as a Police officer may be perceived as restrictive, however the presence of such provides a spectrum long which we can operate that allows investigatory options, multiple methods of disposal and discretionary professional opinion. No two individuals are the same nor two situations, discretion allows individualistic influential factors to be considered, with concurrent bias awareness and consideration.  </w:t>
      </w:r>
    </w:p>
    <w:p w:rsidR="006C7CA5" w:rsidRPr="00270EEB" w:rsidRDefault="006C7CA5"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025650" w:rsidRDefault="00025650" w:rsidP="00E6298B">
      <w:pPr>
        <w:ind w:right="107"/>
      </w:pPr>
      <w:r>
        <w:br w:type="page"/>
      </w:r>
    </w:p>
    <w:p w:rsidR="000F7ECD" w:rsidRPr="00270EEB" w:rsidRDefault="000F7ECD" w:rsidP="00E6298B">
      <w:pPr>
        <w:ind w:right="107"/>
        <w:jc w:val="both"/>
        <w:rPr>
          <w:sz w:val="24"/>
          <w:szCs w:val="24"/>
        </w:rPr>
        <w:sectPr w:rsidR="000F7ECD" w:rsidRPr="00270EEB" w:rsidSect="000B0100">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rsidR="008B28E7" w:rsidRPr="00270EEB" w:rsidRDefault="008B28E7" w:rsidP="00E6298B">
      <w:pPr>
        <w:ind w:right="107"/>
        <w:jc w:val="both"/>
        <w:rPr>
          <w:b/>
          <w:sz w:val="24"/>
          <w:szCs w:val="24"/>
        </w:rPr>
      </w:pPr>
    </w:p>
    <w:p w:rsidR="00575A8F" w:rsidRDefault="00575A8F" w:rsidP="00E6298B">
      <w:pPr>
        <w:ind w:right="107"/>
        <w:jc w:val="both"/>
        <w:rPr>
          <w:b/>
          <w:sz w:val="24"/>
          <w:szCs w:val="24"/>
        </w:rPr>
      </w:pPr>
      <w:r>
        <w:rPr>
          <w:b/>
          <w:sz w:val="24"/>
          <w:szCs w:val="24"/>
        </w:rPr>
        <w:t>Development Plan</w:t>
      </w:r>
    </w:p>
    <w:p w:rsidR="00575A8F" w:rsidRDefault="00575A8F" w:rsidP="00E6298B">
      <w:pPr>
        <w:ind w:right="107"/>
        <w:jc w:val="both"/>
        <w:rPr>
          <w:b/>
          <w:sz w:val="24"/>
          <w:szCs w:val="24"/>
        </w:rPr>
      </w:pPr>
    </w:p>
    <w:p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tbl>
      <w:tblPr>
        <w:tblpPr w:leftFromText="180" w:rightFromText="180" w:vertAnchor="text" w:horzAnchor="margin" w:tblpXSpec="center" w:tblpY="127"/>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3119"/>
        <w:gridCol w:w="2835"/>
        <w:gridCol w:w="1519"/>
      </w:tblGrid>
      <w:tr w:rsidR="009024EF" w:rsidRPr="00270EEB" w:rsidTr="00A06AD4">
        <w:trPr>
          <w:cantSplit/>
          <w:trHeight w:val="987"/>
          <w:jc w:val="center"/>
        </w:trPr>
        <w:tc>
          <w:tcPr>
            <w:tcW w:w="2263" w:type="dxa"/>
            <w:shd w:val="clear" w:color="auto" w:fill="auto"/>
          </w:tcPr>
          <w:p w:rsidR="009024EF" w:rsidRPr="00270EEB" w:rsidRDefault="009024EF" w:rsidP="009024EF">
            <w:pPr>
              <w:ind w:right="107"/>
              <w:jc w:val="center"/>
              <w:rPr>
                <w:b/>
                <w:sz w:val="24"/>
                <w:szCs w:val="24"/>
              </w:rPr>
            </w:pPr>
          </w:p>
          <w:p w:rsidR="009024EF" w:rsidRPr="00270EEB" w:rsidRDefault="009024EF" w:rsidP="009024EF">
            <w:pPr>
              <w:ind w:right="107"/>
              <w:jc w:val="center"/>
              <w:rPr>
                <w:b/>
                <w:sz w:val="24"/>
                <w:szCs w:val="24"/>
              </w:rPr>
            </w:pPr>
            <w:r>
              <w:rPr>
                <w:b/>
                <w:sz w:val="24"/>
                <w:szCs w:val="24"/>
              </w:rPr>
              <w:t xml:space="preserve">Area of </w:t>
            </w:r>
            <w:r w:rsidRPr="00270EEB">
              <w:rPr>
                <w:b/>
                <w:sz w:val="24"/>
                <w:szCs w:val="24"/>
              </w:rPr>
              <w:t xml:space="preserve">Development </w:t>
            </w:r>
          </w:p>
          <w:p w:rsidR="009024EF" w:rsidRPr="00270EEB" w:rsidRDefault="009024EF" w:rsidP="009024EF">
            <w:pPr>
              <w:ind w:right="107"/>
              <w:jc w:val="center"/>
              <w:rPr>
                <w:b/>
                <w:sz w:val="24"/>
                <w:szCs w:val="24"/>
              </w:rPr>
            </w:pPr>
          </w:p>
        </w:tc>
        <w:tc>
          <w:tcPr>
            <w:tcW w:w="3119" w:type="dxa"/>
            <w:shd w:val="clear" w:color="auto" w:fill="auto"/>
          </w:tcPr>
          <w:p w:rsidR="009024EF" w:rsidRPr="00270EEB" w:rsidRDefault="009024EF" w:rsidP="009024EF">
            <w:pPr>
              <w:ind w:right="107"/>
              <w:jc w:val="center"/>
              <w:rPr>
                <w:b/>
                <w:sz w:val="24"/>
                <w:szCs w:val="24"/>
              </w:rPr>
            </w:pPr>
          </w:p>
          <w:p w:rsidR="009024EF" w:rsidRPr="00270EEB" w:rsidRDefault="009024EF" w:rsidP="009024EF">
            <w:pPr>
              <w:ind w:right="107"/>
              <w:jc w:val="center"/>
              <w:rPr>
                <w:b/>
                <w:sz w:val="24"/>
                <w:szCs w:val="24"/>
              </w:rPr>
            </w:pPr>
            <w:r w:rsidRPr="00270EEB">
              <w:rPr>
                <w:b/>
                <w:sz w:val="24"/>
                <w:szCs w:val="24"/>
              </w:rPr>
              <w:t>How it will be achieved</w:t>
            </w:r>
          </w:p>
        </w:tc>
        <w:tc>
          <w:tcPr>
            <w:tcW w:w="2835" w:type="dxa"/>
            <w:shd w:val="clear" w:color="auto" w:fill="auto"/>
          </w:tcPr>
          <w:p w:rsidR="009024EF" w:rsidRPr="00270EEB" w:rsidRDefault="009024EF" w:rsidP="009024EF">
            <w:pPr>
              <w:ind w:right="107"/>
              <w:jc w:val="center"/>
              <w:rPr>
                <w:b/>
                <w:sz w:val="24"/>
                <w:szCs w:val="24"/>
              </w:rPr>
            </w:pPr>
          </w:p>
          <w:p w:rsidR="009024EF" w:rsidRPr="00270EEB" w:rsidRDefault="009024EF" w:rsidP="009024EF">
            <w:pPr>
              <w:ind w:right="107"/>
              <w:jc w:val="center"/>
              <w:rPr>
                <w:b/>
                <w:sz w:val="24"/>
                <w:szCs w:val="24"/>
              </w:rPr>
            </w:pPr>
            <w:r w:rsidRPr="00270EEB">
              <w:rPr>
                <w:b/>
                <w:sz w:val="24"/>
                <w:szCs w:val="24"/>
              </w:rPr>
              <w:t xml:space="preserve">Who </w:t>
            </w:r>
            <w:r>
              <w:rPr>
                <w:b/>
                <w:sz w:val="24"/>
                <w:szCs w:val="24"/>
              </w:rPr>
              <w:t>can provide support</w:t>
            </w:r>
          </w:p>
        </w:tc>
        <w:tc>
          <w:tcPr>
            <w:tcW w:w="1519" w:type="dxa"/>
            <w:shd w:val="clear" w:color="auto" w:fill="auto"/>
          </w:tcPr>
          <w:p w:rsidR="009024EF" w:rsidRDefault="009024EF" w:rsidP="009024EF">
            <w:pPr>
              <w:jc w:val="center"/>
              <w:rPr>
                <w:b/>
                <w:bCs/>
                <w:sz w:val="24"/>
                <w:szCs w:val="24"/>
              </w:rPr>
            </w:pPr>
          </w:p>
          <w:p w:rsidR="009024EF" w:rsidRDefault="009024EF" w:rsidP="009024EF">
            <w:pPr>
              <w:jc w:val="center"/>
              <w:rPr>
                <w:b/>
                <w:bCs/>
                <w:sz w:val="24"/>
                <w:szCs w:val="24"/>
              </w:rPr>
            </w:pPr>
            <w:r w:rsidRPr="28A9B94D">
              <w:rPr>
                <w:b/>
                <w:bCs/>
                <w:sz w:val="24"/>
                <w:szCs w:val="24"/>
              </w:rPr>
              <w:t>Timeline</w:t>
            </w:r>
          </w:p>
        </w:tc>
      </w:tr>
      <w:tr w:rsidR="009024EF" w:rsidRPr="009024EF" w:rsidTr="00A06AD4">
        <w:trPr>
          <w:cantSplit/>
          <w:trHeight w:val="20"/>
          <w:jc w:val="center"/>
        </w:trPr>
        <w:tc>
          <w:tcPr>
            <w:tcW w:w="2263" w:type="dxa"/>
            <w:shd w:val="clear" w:color="auto" w:fill="auto"/>
          </w:tcPr>
          <w:p w:rsidR="009024EF" w:rsidRPr="00A06AD4" w:rsidRDefault="009024EF" w:rsidP="009024EF">
            <w:pPr>
              <w:ind w:right="107"/>
              <w:jc w:val="both"/>
            </w:pPr>
            <w:r w:rsidRPr="00A06AD4">
              <w:t>Focus to be placed on personal reflection following incidents to gain insight and continually improve/develop.</w:t>
            </w: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tc>
        <w:tc>
          <w:tcPr>
            <w:tcW w:w="3119" w:type="dxa"/>
            <w:shd w:val="clear" w:color="auto" w:fill="auto"/>
          </w:tcPr>
          <w:p w:rsidR="009024EF" w:rsidRPr="00A06AD4" w:rsidRDefault="009024EF" w:rsidP="009024EF">
            <w:pPr>
              <w:ind w:right="107"/>
              <w:jc w:val="both"/>
            </w:pPr>
            <w:r w:rsidRPr="00A06AD4">
              <w:t>Following each incident if double crewed I will endure to debrief with my colleague on route from each incident, considering the role I adopted and an evaluation of what happened. If single crewed I will personally reflect on the incident and outcome.</w:t>
            </w:r>
          </w:p>
        </w:tc>
        <w:tc>
          <w:tcPr>
            <w:tcW w:w="2835" w:type="dxa"/>
            <w:shd w:val="clear" w:color="auto" w:fill="auto"/>
          </w:tcPr>
          <w:p w:rsidR="009024EF" w:rsidRPr="00A06AD4" w:rsidRDefault="009024EF" w:rsidP="009024EF">
            <w:pPr>
              <w:ind w:right="107"/>
              <w:jc w:val="both"/>
            </w:pPr>
            <w:r w:rsidRPr="00A06AD4">
              <w:t>My colleagues on my team can support this by engaging in open and honest feedback. My sergeant can also support me in this by providing opportunities for this feedback to take place.</w:t>
            </w:r>
          </w:p>
        </w:tc>
        <w:tc>
          <w:tcPr>
            <w:tcW w:w="1519" w:type="dxa"/>
            <w:shd w:val="clear" w:color="auto" w:fill="auto"/>
          </w:tcPr>
          <w:p w:rsidR="009024EF" w:rsidRPr="00A06AD4" w:rsidRDefault="009024EF" w:rsidP="009024EF">
            <w:pPr>
              <w:jc w:val="both"/>
            </w:pPr>
            <w:r w:rsidRPr="00A06AD4">
              <w:t>Immediate.</w:t>
            </w:r>
          </w:p>
        </w:tc>
      </w:tr>
      <w:tr w:rsidR="009024EF" w:rsidRPr="009024EF" w:rsidTr="00A06AD4">
        <w:trPr>
          <w:cantSplit/>
          <w:trHeight w:val="20"/>
          <w:jc w:val="center"/>
        </w:trPr>
        <w:tc>
          <w:tcPr>
            <w:tcW w:w="2263" w:type="dxa"/>
            <w:shd w:val="clear" w:color="auto" w:fill="auto"/>
          </w:tcPr>
          <w:p w:rsidR="009024EF" w:rsidRPr="00A06AD4" w:rsidRDefault="009024EF" w:rsidP="009024EF">
            <w:pPr>
              <w:ind w:right="107"/>
              <w:jc w:val="both"/>
            </w:pPr>
            <w:r w:rsidRPr="00A06AD4">
              <w:t>Personal focus on dealing with sexual offences and the different processes involved with the investigation, including early evidence kits, swabs and DNA collection etc.</w:t>
            </w: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tc>
        <w:tc>
          <w:tcPr>
            <w:tcW w:w="3119" w:type="dxa"/>
            <w:shd w:val="clear" w:color="auto" w:fill="auto"/>
          </w:tcPr>
          <w:p w:rsidR="009024EF" w:rsidRPr="00A06AD4" w:rsidRDefault="009024EF" w:rsidP="009024EF">
            <w:pPr>
              <w:ind w:right="107"/>
              <w:jc w:val="both"/>
            </w:pPr>
            <w:r w:rsidRPr="00A06AD4">
              <w:t>I have already made my sergeant aware of a lack of exposure to these types of incidents and limited experience in dealing with elements of sexual offence investigations. To resolve this if/when these types of incidents are called in I am going to be prioritised in attending if logistically possible.</w:t>
            </w:r>
          </w:p>
        </w:tc>
        <w:tc>
          <w:tcPr>
            <w:tcW w:w="2835" w:type="dxa"/>
            <w:shd w:val="clear" w:color="auto" w:fill="auto"/>
          </w:tcPr>
          <w:p w:rsidR="009024EF" w:rsidRPr="00A06AD4" w:rsidRDefault="009024EF" w:rsidP="009024EF">
            <w:pPr>
              <w:ind w:right="107"/>
              <w:jc w:val="both"/>
            </w:pPr>
            <w:r w:rsidRPr="00A06AD4">
              <w:t>My sergeant in being aware of this knowledge gap and providing opportunity for me when they arise. Also my colleagues on my team, depending on availability/priority by supporting me in this by giving opportunities with these types of calls.</w:t>
            </w:r>
          </w:p>
        </w:tc>
        <w:tc>
          <w:tcPr>
            <w:tcW w:w="1519" w:type="dxa"/>
            <w:shd w:val="clear" w:color="auto" w:fill="auto"/>
          </w:tcPr>
          <w:p w:rsidR="009024EF" w:rsidRPr="00A06AD4" w:rsidRDefault="009024EF" w:rsidP="009024EF">
            <w:pPr>
              <w:jc w:val="both"/>
            </w:pPr>
            <w:r w:rsidRPr="00A06AD4">
              <w:t>Timescale difficult to provide. Within the next 6 months additional experience and exposure to be gained.</w:t>
            </w:r>
          </w:p>
        </w:tc>
      </w:tr>
      <w:tr w:rsidR="009024EF" w:rsidRPr="009024EF" w:rsidTr="00A06AD4">
        <w:trPr>
          <w:cantSplit/>
          <w:trHeight w:val="20"/>
          <w:jc w:val="center"/>
        </w:trPr>
        <w:tc>
          <w:tcPr>
            <w:tcW w:w="2263" w:type="dxa"/>
            <w:shd w:val="clear" w:color="auto" w:fill="auto"/>
          </w:tcPr>
          <w:p w:rsidR="009024EF" w:rsidRPr="00A06AD4" w:rsidRDefault="009024EF" w:rsidP="009024EF">
            <w:pPr>
              <w:ind w:right="107"/>
              <w:jc w:val="both"/>
            </w:pPr>
            <w:r w:rsidRPr="00A06AD4">
              <w:t>Creating case files and their subsequent relevant documents.</w:t>
            </w:r>
          </w:p>
          <w:p w:rsidR="009024EF" w:rsidRPr="00A06AD4" w:rsidRDefault="009024EF" w:rsidP="009024EF">
            <w:pPr>
              <w:ind w:right="107"/>
              <w:jc w:val="both"/>
            </w:pPr>
          </w:p>
          <w:p w:rsidR="009024EF" w:rsidRPr="00A06AD4" w:rsidRDefault="009024EF" w:rsidP="009024EF">
            <w:pPr>
              <w:ind w:right="107"/>
              <w:jc w:val="both"/>
            </w:pPr>
          </w:p>
          <w:p w:rsidR="009024EF" w:rsidRPr="00A06AD4" w:rsidRDefault="009024EF" w:rsidP="009024EF">
            <w:pPr>
              <w:ind w:right="107"/>
              <w:jc w:val="both"/>
            </w:pPr>
          </w:p>
        </w:tc>
        <w:tc>
          <w:tcPr>
            <w:tcW w:w="3119" w:type="dxa"/>
            <w:shd w:val="clear" w:color="auto" w:fill="auto"/>
          </w:tcPr>
          <w:p w:rsidR="009024EF" w:rsidRPr="00A06AD4" w:rsidRDefault="009024EF" w:rsidP="009024EF">
            <w:pPr>
              <w:ind w:right="107"/>
              <w:jc w:val="both"/>
            </w:pPr>
            <w:r w:rsidRPr="00A06AD4">
              <w:t>Assisting colleagues with their workloads to gain more experience in the different types of incidents and the relevant documentation required for the different types of offences.</w:t>
            </w:r>
          </w:p>
        </w:tc>
        <w:tc>
          <w:tcPr>
            <w:tcW w:w="2835" w:type="dxa"/>
            <w:shd w:val="clear" w:color="auto" w:fill="auto"/>
          </w:tcPr>
          <w:p w:rsidR="009024EF" w:rsidRPr="00A06AD4" w:rsidRDefault="00A06AD4" w:rsidP="009024EF">
            <w:pPr>
              <w:ind w:right="107"/>
              <w:jc w:val="both"/>
            </w:pPr>
            <w:r w:rsidRPr="00A06AD4">
              <w:t>My colleagues</w:t>
            </w:r>
            <w:r w:rsidR="009024EF" w:rsidRPr="00A06AD4">
              <w:t xml:space="preserve"> </w:t>
            </w:r>
            <w:r w:rsidR="000B0100" w:rsidRPr="00A06AD4">
              <w:t>being aware of this focus and allo</w:t>
            </w:r>
            <w:r w:rsidRPr="00A06AD4">
              <w:t xml:space="preserve">wing me to contribute. I </w:t>
            </w:r>
            <w:r w:rsidR="000B0100" w:rsidRPr="00A06AD4">
              <w:t>will be proactive in seeking opportunities to further im</w:t>
            </w:r>
            <w:r w:rsidRPr="00A06AD4">
              <w:t>prove my knowledge.</w:t>
            </w:r>
          </w:p>
        </w:tc>
        <w:tc>
          <w:tcPr>
            <w:tcW w:w="1519" w:type="dxa"/>
            <w:shd w:val="clear" w:color="auto" w:fill="auto"/>
          </w:tcPr>
          <w:p w:rsidR="009024EF" w:rsidRPr="00A06AD4" w:rsidRDefault="00A06AD4" w:rsidP="009024EF">
            <w:pPr>
              <w:jc w:val="both"/>
            </w:pPr>
            <w:r w:rsidRPr="00A06AD4">
              <w:t>Immediate</w:t>
            </w:r>
            <w:r w:rsidR="000B0100" w:rsidRPr="00A06AD4">
              <w:t>.</w:t>
            </w:r>
          </w:p>
        </w:tc>
      </w:tr>
    </w:tbl>
    <w:p w:rsidR="00575A8F" w:rsidRPr="009024EF" w:rsidRDefault="00575A8F" w:rsidP="00E6298B">
      <w:pPr>
        <w:ind w:right="107"/>
        <w:jc w:val="both"/>
        <w:rPr>
          <w:sz w:val="22"/>
          <w:szCs w:val="22"/>
        </w:rPr>
      </w:pPr>
    </w:p>
    <w:p w:rsidR="00575A8F" w:rsidRPr="009024EF" w:rsidRDefault="00575A8F" w:rsidP="00E6298B">
      <w:pPr>
        <w:ind w:right="107"/>
        <w:jc w:val="both"/>
        <w:rPr>
          <w:sz w:val="22"/>
          <w:szCs w:val="22"/>
        </w:rPr>
      </w:pPr>
    </w:p>
    <w:p w:rsidR="00536FA9" w:rsidRPr="009024EF" w:rsidRDefault="00536FA9" w:rsidP="00E6298B">
      <w:pPr>
        <w:overflowPunct/>
        <w:autoSpaceDE/>
        <w:autoSpaceDN/>
        <w:adjustRightInd/>
        <w:ind w:right="107"/>
        <w:textAlignment w:val="auto"/>
        <w:rPr>
          <w:b/>
          <w:sz w:val="22"/>
          <w:szCs w:val="22"/>
        </w:rPr>
      </w:pPr>
      <w:r w:rsidRPr="009024EF">
        <w:rPr>
          <w:b/>
          <w:sz w:val="22"/>
          <w:szCs w:val="22"/>
        </w:rPr>
        <w:br w:type="page"/>
      </w:r>
    </w:p>
    <w:p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E6298B">
      <w:pPr>
        <w:ind w:right="107"/>
        <w:jc w:val="both"/>
        <w:rPr>
          <w:b/>
          <w:sz w:val="24"/>
          <w:szCs w:val="24"/>
        </w:rPr>
      </w:pPr>
    </w:p>
    <w:p w:rsidR="00422AFA" w:rsidRDefault="00422AFA" w:rsidP="00E6298B">
      <w:pPr>
        <w:overflowPunct/>
        <w:autoSpaceDE/>
        <w:autoSpaceDN/>
        <w:adjustRightInd/>
        <w:ind w:right="107"/>
        <w:textAlignment w:val="auto"/>
        <w:rPr>
          <w:b/>
          <w:sz w:val="22"/>
          <w:szCs w:val="22"/>
        </w:rPr>
      </w:pPr>
      <w:r>
        <w:rPr>
          <w:b/>
          <w:sz w:val="22"/>
          <w:szCs w:val="22"/>
        </w:rPr>
        <w:t>Task 1:</w:t>
      </w:r>
    </w:p>
    <w:p w:rsidR="00422AFA" w:rsidRDefault="00422AFA" w:rsidP="00E6298B">
      <w:pPr>
        <w:overflowPunct/>
        <w:autoSpaceDE/>
        <w:autoSpaceDN/>
        <w:adjustRightInd/>
        <w:ind w:right="107"/>
        <w:textAlignment w:val="auto"/>
        <w:rPr>
          <w:b/>
          <w:sz w:val="22"/>
          <w:szCs w:val="22"/>
        </w:rPr>
      </w:pPr>
    </w:p>
    <w:p w:rsidR="00422AFA" w:rsidRPr="00B335C5" w:rsidRDefault="00422AFA" w:rsidP="00422AFA">
      <w:pPr>
        <w:rPr>
          <w:rFonts w:cstheme="minorHAnsi"/>
        </w:rPr>
      </w:pPr>
      <w:r w:rsidRPr="00B335C5">
        <w:rPr>
          <w:rFonts w:cstheme="minorHAnsi"/>
        </w:rPr>
        <w:t>Al-Sowygh ZH.</w:t>
      </w:r>
      <w:r>
        <w:rPr>
          <w:rFonts w:cstheme="minorHAnsi"/>
        </w:rPr>
        <w:t xml:space="preserve"> (2013).</w:t>
      </w:r>
      <w:r w:rsidRPr="00B335C5">
        <w:rPr>
          <w:rFonts w:cstheme="minorHAnsi"/>
        </w:rPr>
        <w:t xml:space="preserve"> Academic distress, perceived stress and coping strategies among dental students in Saudi Arabia. </w:t>
      </w:r>
      <w:r w:rsidRPr="00B335C5">
        <w:rPr>
          <w:rFonts w:cstheme="minorHAnsi"/>
          <w:i/>
          <w:iCs/>
        </w:rPr>
        <w:t>Saudi Dent J</w:t>
      </w:r>
      <w:r w:rsidRPr="00B335C5">
        <w:rPr>
          <w:rFonts w:cstheme="minorHAnsi"/>
        </w:rPr>
        <w:t>. 2013;25(3):97–105</w:t>
      </w:r>
    </w:p>
    <w:p w:rsidR="00422AFA" w:rsidRPr="00B335C5" w:rsidRDefault="00422AFA" w:rsidP="00422AFA">
      <w:pPr>
        <w:rPr>
          <w:rFonts w:cstheme="minorHAnsi"/>
        </w:rPr>
      </w:pPr>
    </w:p>
    <w:p w:rsidR="00422AFA" w:rsidRPr="00B335C5" w:rsidRDefault="00422AFA" w:rsidP="00422AFA">
      <w:pPr>
        <w:rPr>
          <w:rFonts w:cstheme="minorHAnsi"/>
        </w:rPr>
      </w:pPr>
      <w:r w:rsidRPr="00B335C5">
        <w:rPr>
          <w:rFonts w:cstheme="minorHAnsi"/>
        </w:rPr>
        <w:t>Edward, S. (2006)</w:t>
      </w:r>
      <w:r>
        <w:rPr>
          <w:rFonts w:cstheme="minorHAnsi"/>
        </w:rPr>
        <w:t>.</w:t>
      </w:r>
      <w:r w:rsidRPr="00B335C5">
        <w:rPr>
          <w:rFonts w:cstheme="minorHAnsi"/>
        </w:rPr>
        <w:t xml:space="preserve"> Physical Exercise and Psychological Well-Being. </w:t>
      </w:r>
      <w:r w:rsidRPr="00B335C5">
        <w:rPr>
          <w:rFonts w:cstheme="minorHAnsi"/>
          <w:i/>
          <w:iCs/>
        </w:rPr>
        <w:t>South African Journal of Psychology</w:t>
      </w:r>
      <w:r w:rsidRPr="00B335C5">
        <w:rPr>
          <w:rFonts w:cstheme="minorHAnsi"/>
        </w:rPr>
        <w:t xml:space="preserve">, </w:t>
      </w:r>
      <w:r w:rsidRPr="00B335C5">
        <w:rPr>
          <w:rFonts w:cstheme="minorHAnsi"/>
          <w:b/>
          <w:bCs/>
        </w:rPr>
        <w:t>36</w:t>
      </w:r>
      <w:r w:rsidRPr="00B335C5">
        <w:rPr>
          <w:rFonts w:cstheme="minorHAnsi"/>
        </w:rPr>
        <w:t>, 357-373.</w:t>
      </w:r>
    </w:p>
    <w:p w:rsidR="00422AFA" w:rsidRPr="00B335C5" w:rsidRDefault="00422AFA" w:rsidP="00422AFA">
      <w:pPr>
        <w:rPr>
          <w:rFonts w:cstheme="minorHAnsi"/>
        </w:rPr>
      </w:pPr>
    </w:p>
    <w:p w:rsidR="00422AFA" w:rsidRPr="00B335C5" w:rsidRDefault="00422AFA" w:rsidP="00422AFA">
      <w:pPr>
        <w:rPr>
          <w:rFonts w:cstheme="minorHAnsi"/>
        </w:rPr>
      </w:pPr>
      <w:r w:rsidRPr="00B335C5">
        <w:rPr>
          <w:rFonts w:cstheme="minorHAnsi"/>
        </w:rPr>
        <w:t>Fine G.A. (1986)</w:t>
      </w:r>
      <w:r>
        <w:rPr>
          <w:rFonts w:cstheme="minorHAnsi"/>
        </w:rPr>
        <w:t>.</w:t>
      </w:r>
      <w:r w:rsidRPr="00B335C5">
        <w:rPr>
          <w:rFonts w:cstheme="minorHAnsi"/>
        </w:rPr>
        <w:t xml:space="preserve"> Friendships in the Work Place. In: Derlega V.J., Winstead B.A. (eds) Friendship and Social Interaction. Springer Series in Social Psychology. Springer, New York, NY </w:t>
      </w:r>
    </w:p>
    <w:p w:rsidR="00422AFA" w:rsidRPr="00B335C5" w:rsidRDefault="00422AFA" w:rsidP="00422AFA">
      <w:pPr>
        <w:rPr>
          <w:rFonts w:cstheme="minorHAnsi"/>
        </w:rPr>
      </w:pPr>
    </w:p>
    <w:p w:rsidR="00422AFA" w:rsidRPr="00B335C5" w:rsidRDefault="00422AFA" w:rsidP="00422AFA">
      <w:pPr>
        <w:rPr>
          <w:rFonts w:cstheme="minorHAnsi"/>
        </w:rPr>
      </w:pPr>
      <w:r w:rsidRPr="00B335C5">
        <w:rPr>
          <w:rFonts w:cstheme="minorHAnsi"/>
        </w:rPr>
        <w:t>Folkman S., Lazarus R.S.</w:t>
      </w:r>
      <w:r>
        <w:rPr>
          <w:rFonts w:cstheme="minorHAnsi"/>
        </w:rPr>
        <w:t xml:space="preserve"> (1980).</w:t>
      </w:r>
      <w:r w:rsidRPr="00B335C5">
        <w:rPr>
          <w:rFonts w:cstheme="minorHAnsi"/>
        </w:rPr>
        <w:t xml:space="preserve"> An analysis of coping in a middle-aged community sam</w:t>
      </w:r>
      <w:r>
        <w:rPr>
          <w:rFonts w:cstheme="minorHAnsi"/>
        </w:rPr>
        <w:t xml:space="preserve">ple. J. Health Soc. Behav. </w:t>
      </w:r>
      <w:r w:rsidRPr="00B335C5">
        <w:rPr>
          <w:rFonts w:cstheme="minorHAnsi"/>
        </w:rPr>
        <w:t>21(3):219–239.</w:t>
      </w:r>
    </w:p>
    <w:p w:rsidR="00422AFA" w:rsidRPr="00B335C5" w:rsidRDefault="00422AFA" w:rsidP="00422AFA">
      <w:pPr>
        <w:rPr>
          <w:rFonts w:cstheme="minorHAnsi"/>
        </w:rPr>
      </w:pPr>
    </w:p>
    <w:p w:rsidR="00422AFA" w:rsidRPr="00B335C5" w:rsidRDefault="00422AFA" w:rsidP="00422AFA">
      <w:pPr>
        <w:rPr>
          <w:rFonts w:eastAsia="Frutiger-Light" w:cstheme="minorHAnsi"/>
        </w:rPr>
      </w:pPr>
      <w:r w:rsidRPr="00B335C5">
        <w:rPr>
          <w:rFonts w:eastAsia="Frutiger-Light" w:cstheme="minorHAnsi"/>
        </w:rPr>
        <w:t xml:space="preserve">Kelley, T. M. </w:t>
      </w:r>
      <w:r>
        <w:rPr>
          <w:rFonts w:eastAsia="Frutiger-Light" w:cstheme="minorHAnsi"/>
        </w:rPr>
        <w:t>(</w:t>
      </w:r>
      <w:r w:rsidRPr="00B335C5">
        <w:rPr>
          <w:rFonts w:eastAsia="Frutiger-Light" w:cstheme="minorHAnsi"/>
        </w:rPr>
        <w:t>2005</w:t>
      </w:r>
      <w:r>
        <w:rPr>
          <w:rFonts w:eastAsia="Frutiger-Light" w:cstheme="minorHAnsi"/>
        </w:rPr>
        <w:t>).</w:t>
      </w:r>
      <w:r w:rsidRPr="00B335C5">
        <w:rPr>
          <w:rFonts w:eastAsia="Frutiger-Light" w:cstheme="minorHAnsi"/>
        </w:rPr>
        <w:t xml:space="preserve"> Natural Resilience and Innate Mental Health. </w:t>
      </w:r>
      <w:r w:rsidRPr="00B335C5">
        <w:rPr>
          <w:rFonts w:eastAsia="Frutiger-Light" w:cstheme="minorHAnsi"/>
          <w:i/>
          <w:iCs/>
        </w:rPr>
        <w:t xml:space="preserve">American Psychologist </w:t>
      </w:r>
      <w:r w:rsidRPr="00B335C5">
        <w:rPr>
          <w:rFonts w:eastAsia="Frutiger-Light" w:cstheme="minorHAnsi"/>
        </w:rPr>
        <w:t>60, 265.</w:t>
      </w:r>
    </w:p>
    <w:p w:rsidR="00422AFA" w:rsidRPr="00B335C5" w:rsidRDefault="00422AFA" w:rsidP="00422AFA">
      <w:pPr>
        <w:rPr>
          <w:rFonts w:eastAsia="Frutiger-Light" w:cstheme="minorHAnsi"/>
        </w:rPr>
      </w:pPr>
    </w:p>
    <w:p w:rsidR="00422AFA" w:rsidRPr="00B335C5" w:rsidRDefault="00422AFA" w:rsidP="00422AFA">
      <w:pPr>
        <w:rPr>
          <w:rFonts w:cstheme="minorHAnsi"/>
        </w:rPr>
      </w:pPr>
      <w:r w:rsidRPr="00B335C5">
        <w:rPr>
          <w:rFonts w:cstheme="minorHAnsi"/>
        </w:rPr>
        <w:t xml:space="preserve">(Mind) </w:t>
      </w:r>
      <w:hyperlink r:id="rId24" w:anchor=".XbHPP-RYYYs" w:history="1">
        <w:r w:rsidRPr="00B335C5">
          <w:rPr>
            <w:rStyle w:val="Hyperlink"/>
            <w:rFonts w:cstheme="minorHAnsi"/>
          </w:rPr>
          <w:t>https://www.mind.org.uk/information-support/types-of-mental-health-problems/stress/signs-of-stress/#.XbHPP-RYYYs</w:t>
        </w:r>
      </w:hyperlink>
    </w:p>
    <w:p w:rsidR="00422AFA" w:rsidRPr="00B335C5" w:rsidRDefault="00422AFA" w:rsidP="00422AFA">
      <w:pPr>
        <w:spacing w:before="100"/>
        <w:rPr>
          <w:rFonts w:cstheme="minorHAnsi"/>
        </w:rPr>
      </w:pPr>
    </w:p>
    <w:p w:rsidR="00422AFA" w:rsidRPr="00B335C5" w:rsidRDefault="00422AFA" w:rsidP="00422AFA">
      <w:pPr>
        <w:rPr>
          <w:rFonts w:eastAsia="Frutiger-Light" w:cstheme="minorHAnsi"/>
        </w:rPr>
      </w:pPr>
      <w:r w:rsidRPr="00B335C5">
        <w:rPr>
          <w:rFonts w:eastAsia="Frutiger-Light" w:cstheme="minorHAnsi"/>
        </w:rPr>
        <w:t xml:space="preserve">Richardson, G. (2002). The metatheory of resilience and resiliency. </w:t>
      </w:r>
      <w:r w:rsidRPr="00B335C5">
        <w:rPr>
          <w:rFonts w:eastAsia="Frutiger-Light" w:cstheme="minorHAnsi"/>
          <w:i/>
          <w:iCs/>
        </w:rPr>
        <w:t>Journal of Clinical Psychology</w:t>
      </w:r>
      <w:r w:rsidRPr="00B335C5">
        <w:rPr>
          <w:rFonts w:eastAsia="Frutiger-Light" w:cstheme="minorHAnsi"/>
        </w:rPr>
        <w:t>, 58(3), 307–321.</w:t>
      </w:r>
    </w:p>
    <w:p w:rsidR="00422AFA" w:rsidRPr="00B335C5" w:rsidRDefault="00422AFA" w:rsidP="00422AFA">
      <w:pPr>
        <w:rPr>
          <w:rFonts w:eastAsia="Frutiger-Light" w:cstheme="minorHAnsi"/>
        </w:rPr>
      </w:pPr>
    </w:p>
    <w:p w:rsidR="00422AFA" w:rsidRDefault="00422AFA" w:rsidP="00573071">
      <w:pPr>
        <w:spacing w:before="100"/>
        <w:rPr>
          <w:rFonts w:cstheme="minorHAnsi"/>
        </w:rPr>
      </w:pPr>
      <w:r w:rsidRPr="00B335C5">
        <w:rPr>
          <w:rFonts w:cstheme="minorHAnsi"/>
        </w:rPr>
        <w:t>Selye</w:t>
      </w:r>
      <w:r>
        <w:rPr>
          <w:rFonts w:cstheme="minorHAnsi"/>
        </w:rPr>
        <w:t>,</w:t>
      </w:r>
      <w:r w:rsidRPr="00B335C5">
        <w:rPr>
          <w:rFonts w:cstheme="minorHAnsi"/>
        </w:rPr>
        <w:t xml:space="preserve"> H. </w:t>
      </w:r>
      <w:r>
        <w:rPr>
          <w:rFonts w:cstheme="minorHAnsi"/>
        </w:rPr>
        <w:t>(</w:t>
      </w:r>
      <w:r w:rsidRPr="00B335C5">
        <w:rPr>
          <w:rFonts w:cstheme="minorHAnsi"/>
        </w:rPr>
        <w:t>1982</w:t>
      </w:r>
      <w:r>
        <w:rPr>
          <w:rFonts w:cstheme="minorHAnsi"/>
        </w:rPr>
        <w:t>)</w:t>
      </w:r>
      <w:r w:rsidRPr="00B335C5">
        <w:rPr>
          <w:rFonts w:cstheme="minorHAnsi"/>
        </w:rPr>
        <w:t>. History of the stress concept. In: Goldberger L, Breznitz S, editors. Handbook of Stress: Theoretical an</w:t>
      </w:r>
      <w:r w:rsidR="00573071">
        <w:rPr>
          <w:rFonts w:cstheme="minorHAnsi"/>
        </w:rPr>
        <w:t>d Clinical Aspects. Free Press.</w:t>
      </w:r>
    </w:p>
    <w:p w:rsidR="00573071" w:rsidRPr="00B335C5" w:rsidRDefault="00573071" w:rsidP="00573071">
      <w:pPr>
        <w:spacing w:before="100"/>
        <w:rPr>
          <w:rFonts w:cstheme="minorHAnsi"/>
        </w:rPr>
      </w:pPr>
    </w:p>
    <w:p w:rsidR="00422AFA" w:rsidRDefault="00422AFA" w:rsidP="00573071">
      <w:pPr>
        <w:rPr>
          <w:rFonts w:eastAsia="Frutiger-Light" w:cstheme="minorHAnsi"/>
        </w:rPr>
      </w:pPr>
      <w:r>
        <w:rPr>
          <w:rFonts w:eastAsia="Frutiger-Light" w:cstheme="minorHAnsi"/>
        </w:rPr>
        <w:t>Windle</w:t>
      </w:r>
      <w:r w:rsidRPr="00B335C5">
        <w:rPr>
          <w:rFonts w:eastAsia="Frutiger-Light" w:cstheme="minorHAnsi"/>
        </w:rPr>
        <w:t>, M. (1999)</w:t>
      </w:r>
      <w:r>
        <w:rPr>
          <w:rFonts w:eastAsia="Frutiger-Light" w:cstheme="minorHAnsi"/>
        </w:rPr>
        <w:t>.</w:t>
      </w:r>
      <w:r w:rsidRPr="00B335C5">
        <w:rPr>
          <w:rFonts w:eastAsia="Frutiger-Light" w:cstheme="minorHAnsi"/>
        </w:rPr>
        <w:t xml:space="preserve"> Critical conceptual and measurement issues in the study of resilience. In: GLANTZ, M.D.E.J. and JEANNETTE, L. (eds) </w:t>
      </w:r>
      <w:r w:rsidRPr="00B335C5">
        <w:rPr>
          <w:rFonts w:eastAsia="Frutiger-Light" w:cstheme="minorHAnsi"/>
          <w:i/>
          <w:iCs/>
        </w:rPr>
        <w:t>Resilience and development, positive life adaptations</w:t>
      </w:r>
      <w:r w:rsidRPr="00B335C5">
        <w:rPr>
          <w:rFonts w:eastAsia="Frutiger-Light" w:cstheme="minorHAnsi"/>
        </w:rPr>
        <w:t>. p303.</w:t>
      </w:r>
    </w:p>
    <w:p w:rsidR="00422AFA" w:rsidRDefault="00422AFA" w:rsidP="00422AFA">
      <w:pPr>
        <w:rPr>
          <w:rFonts w:eastAsia="Frutiger-Light" w:cstheme="minorHAnsi"/>
        </w:rPr>
      </w:pPr>
    </w:p>
    <w:p w:rsidR="00422AFA" w:rsidRDefault="00422AFA" w:rsidP="00422AFA">
      <w:pPr>
        <w:rPr>
          <w:rFonts w:eastAsia="Frutiger-Light" w:cstheme="minorHAnsi"/>
        </w:rPr>
      </w:pPr>
      <w:r>
        <w:rPr>
          <w:rFonts w:eastAsia="Frutiger-Light" w:cstheme="minorHAnsi"/>
        </w:rPr>
        <w:t>Task 2:</w:t>
      </w:r>
    </w:p>
    <w:p w:rsidR="00422AFA" w:rsidRPr="00A52C3A" w:rsidRDefault="00422AFA" w:rsidP="00422AFA">
      <w:pPr>
        <w:rPr>
          <w:rFonts w:eastAsia="Frutiger-Light" w:cstheme="minorHAnsi"/>
        </w:rPr>
      </w:pPr>
    </w:p>
    <w:p w:rsidR="00422AFA" w:rsidRPr="0020708F" w:rsidRDefault="00422AFA" w:rsidP="00422AFA">
      <w:pPr>
        <w:rPr>
          <w:rFonts w:cstheme="minorHAnsi"/>
        </w:rPr>
      </w:pPr>
      <w:r w:rsidRPr="0020708F">
        <w:rPr>
          <w:rFonts w:cstheme="minorHAnsi"/>
        </w:rPr>
        <w:t xml:space="preserve">College of Policing (2019). </w:t>
      </w:r>
      <w:r w:rsidRPr="0020708F">
        <w:rPr>
          <w:rFonts w:cstheme="minorHAnsi"/>
          <w:i/>
          <w:iCs/>
        </w:rPr>
        <w:t>Use of force, firearms and less lethal weapons</w:t>
      </w:r>
      <w:r w:rsidRPr="0020708F">
        <w:rPr>
          <w:rFonts w:cstheme="minorHAnsi"/>
        </w:rPr>
        <w:t>. [online] Available at: https://www.app.college.police.uk/app-content/armed-policing/use-of-force-firearms-and-less-lethal-weapons/ [Accessed 5 Dec. 2019].</w:t>
      </w:r>
    </w:p>
    <w:p w:rsidR="00422AFA" w:rsidRPr="0020708F" w:rsidRDefault="00422AFA" w:rsidP="00422AFA">
      <w:pPr>
        <w:rPr>
          <w:rFonts w:cstheme="minorHAnsi"/>
        </w:rPr>
      </w:pPr>
      <w:r w:rsidRPr="0020708F">
        <w:rPr>
          <w:rFonts w:cstheme="minorHAnsi"/>
        </w:rPr>
        <w:t xml:space="preserve"> </w:t>
      </w:r>
    </w:p>
    <w:p w:rsidR="00422AFA" w:rsidRPr="0020708F" w:rsidRDefault="00422AFA" w:rsidP="00422AFA">
      <w:pPr>
        <w:rPr>
          <w:rFonts w:cstheme="minorHAnsi"/>
        </w:rPr>
      </w:pPr>
      <w:r w:rsidRPr="0020708F">
        <w:rPr>
          <w:rFonts w:cstheme="minorHAnsi"/>
        </w:rPr>
        <w:t>Davies, C (2008)</w:t>
      </w:r>
      <w:r>
        <w:rPr>
          <w:rFonts w:cstheme="minorHAnsi"/>
        </w:rPr>
        <w:t>.</w:t>
      </w:r>
      <w:r w:rsidRPr="0020708F">
        <w:rPr>
          <w:rFonts w:cstheme="minorHAnsi"/>
        </w:rPr>
        <w:t xml:space="preserve"> Conflict of Interest in Policing. Sydney : Institute of Criminology Press.</w:t>
      </w:r>
    </w:p>
    <w:p w:rsidR="00422AFA" w:rsidRPr="0020708F" w:rsidRDefault="00422AFA" w:rsidP="00422AFA">
      <w:pPr>
        <w:rPr>
          <w:rFonts w:cstheme="minorHAnsi"/>
        </w:rPr>
      </w:pPr>
    </w:p>
    <w:p w:rsidR="00422AFA" w:rsidRPr="0020708F" w:rsidRDefault="00422AFA" w:rsidP="00422AFA">
      <w:pPr>
        <w:rPr>
          <w:rFonts w:cstheme="minorHAnsi"/>
        </w:rPr>
      </w:pPr>
      <w:r w:rsidRPr="0020708F">
        <w:rPr>
          <w:rFonts w:cstheme="minorHAnsi"/>
        </w:rPr>
        <w:t>Gottman, J. M., &amp; DeClaire, J. (2001). The relationship cure: A 5 step guide to strengthening your marriage, family, and friendships. New York, NY: Three Rivers Press.</w:t>
      </w:r>
    </w:p>
    <w:p w:rsidR="00422AFA" w:rsidRPr="0020708F" w:rsidRDefault="00422AFA" w:rsidP="00422AFA">
      <w:pPr>
        <w:rPr>
          <w:rFonts w:cstheme="minorHAnsi"/>
        </w:rPr>
      </w:pPr>
    </w:p>
    <w:p w:rsidR="00422AFA" w:rsidRPr="0020708F" w:rsidRDefault="00422AFA" w:rsidP="00422AFA">
      <w:pPr>
        <w:rPr>
          <w:rFonts w:cstheme="minorHAnsi"/>
        </w:rPr>
      </w:pPr>
      <w:r w:rsidRPr="0020708F">
        <w:rPr>
          <w:rFonts w:cstheme="minorHAnsi"/>
        </w:rPr>
        <w:t>Nation Police Improvement Agency (NPIA). (2009)</w:t>
      </w:r>
      <w:r>
        <w:rPr>
          <w:rFonts w:cstheme="minorHAnsi"/>
        </w:rPr>
        <w:t>.</w:t>
      </w:r>
      <w:r w:rsidRPr="0020708F">
        <w:rPr>
          <w:rFonts w:cstheme="minorHAnsi"/>
        </w:rPr>
        <w:t xml:space="preserve"> IPLDP Quick notes. Version 1.09. London: The Stationary Office.</w:t>
      </w:r>
    </w:p>
    <w:p w:rsidR="00422AFA" w:rsidRPr="0020708F" w:rsidRDefault="00422AFA" w:rsidP="00422AFA">
      <w:pPr>
        <w:rPr>
          <w:rFonts w:cstheme="minorHAnsi"/>
        </w:rPr>
      </w:pPr>
    </w:p>
    <w:p w:rsidR="00422AFA" w:rsidRPr="0020708F" w:rsidRDefault="00422AFA" w:rsidP="00422AFA">
      <w:pPr>
        <w:rPr>
          <w:rFonts w:cstheme="minorHAnsi"/>
        </w:rPr>
      </w:pPr>
      <w:r w:rsidRPr="0020708F">
        <w:rPr>
          <w:rFonts w:cstheme="minorHAnsi"/>
        </w:rPr>
        <w:t>Oberwittler, D., &amp; Roché, S. (2017)</w:t>
      </w:r>
      <w:r>
        <w:rPr>
          <w:rFonts w:cstheme="minorHAnsi"/>
        </w:rPr>
        <w:t>.</w:t>
      </w:r>
      <w:r w:rsidRPr="0020708F">
        <w:rPr>
          <w:rFonts w:cstheme="minorHAnsi"/>
        </w:rPr>
        <w:t xml:space="preserve"> Police-Citizen Relations Across the World. Germany: Routledge.</w:t>
      </w:r>
    </w:p>
    <w:p w:rsidR="00422AFA" w:rsidRPr="0020708F" w:rsidRDefault="00422AFA" w:rsidP="00422AFA">
      <w:pPr>
        <w:rPr>
          <w:rFonts w:cstheme="minorHAnsi"/>
        </w:rPr>
      </w:pPr>
    </w:p>
    <w:p w:rsidR="00422AFA" w:rsidRPr="0020708F" w:rsidRDefault="00422AFA" w:rsidP="00422AFA">
      <w:pPr>
        <w:rPr>
          <w:rFonts w:cstheme="minorHAnsi"/>
        </w:rPr>
      </w:pPr>
      <w:r w:rsidRPr="0020708F">
        <w:rPr>
          <w:rFonts w:cstheme="minorHAnsi"/>
        </w:rPr>
        <w:t>Paterson, R. J. (2000). The assertiveness workbook: How to express your ideas and stand up for yourself at work and in relationships. Oakland, CA: New Harbinger, Inc.</w:t>
      </w:r>
    </w:p>
    <w:p w:rsidR="00422AFA" w:rsidRPr="0020708F" w:rsidRDefault="00422AFA" w:rsidP="00422AFA">
      <w:pPr>
        <w:rPr>
          <w:rFonts w:cstheme="minorHAnsi"/>
        </w:rPr>
      </w:pPr>
    </w:p>
    <w:p w:rsidR="00422AFA" w:rsidRPr="0020708F" w:rsidRDefault="00422AFA" w:rsidP="00422AFA">
      <w:pPr>
        <w:rPr>
          <w:rFonts w:cstheme="minorHAnsi"/>
        </w:rPr>
      </w:pPr>
      <w:r w:rsidRPr="0020708F">
        <w:rPr>
          <w:rFonts w:cstheme="minorHAnsi"/>
        </w:rPr>
        <w:lastRenderedPageBreak/>
        <w:t>Townsend, M. (2010). Starved stuff: Feeding the 7 basic needs of healthy relationships. Townsend Relationship Center.</w:t>
      </w:r>
    </w:p>
    <w:p w:rsidR="00422AFA" w:rsidRPr="0020708F" w:rsidRDefault="00422AFA" w:rsidP="00422AFA">
      <w:pPr>
        <w:rPr>
          <w:rFonts w:cstheme="minorHAnsi"/>
        </w:rPr>
      </w:pPr>
    </w:p>
    <w:p w:rsidR="00422AFA" w:rsidRDefault="00422AFA" w:rsidP="00422AFA">
      <w:pPr>
        <w:rPr>
          <w:rFonts w:cstheme="minorHAnsi"/>
        </w:rPr>
      </w:pPr>
      <w:r w:rsidRPr="0020708F">
        <w:rPr>
          <w:rFonts w:cstheme="minorHAnsi"/>
        </w:rPr>
        <w:t>Vartanian, O., &amp; Mandel, D. R. (2011). Neuroscience of Decision Making. New York, NY: Psychology Press.</w:t>
      </w:r>
    </w:p>
    <w:p w:rsidR="00422AFA" w:rsidRDefault="00422AFA" w:rsidP="00422AFA">
      <w:pPr>
        <w:rPr>
          <w:rFonts w:cstheme="minorHAnsi"/>
        </w:rPr>
      </w:pPr>
    </w:p>
    <w:p w:rsidR="00422AFA" w:rsidRDefault="00422AFA" w:rsidP="00422AFA">
      <w:pPr>
        <w:rPr>
          <w:rFonts w:cstheme="minorHAnsi"/>
        </w:rPr>
      </w:pPr>
      <w:r>
        <w:rPr>
          <w:rFonts w:cstheme="minorHAnsi"/>
        </w:rPr>
        <w:t>Task 3:</w:t>
      </w:r>
    </w:p>
    <w:p w:rsidR="00573071" w:rsidRDefault="00573071" w:rsidP="00422AFA">
      <w:pPr>
        <w:rPr>
          <w:rFonts w:cstheme="minorHAnsi"/>
        </w:rPr>
      </w:pPr>
    </w:p>
    <w:p w:rsidR="00573071" w:rsidRDefault="00573071" w:rsidP="00573071">
      <w:pPr>
        <w:rPr>
          <w:rFonts w:cstheme="minorHAnsi"/>
        </w:rPr>
      </w:pPr>
      <w:r w:rsidRPr="00055567">
        <w:rPr>
          <w:rFonts w:cstheme="minorHAnsi"/>
        </w:rPr>
        <w:t>Bradford, B and Quinton, P. (2014) Self-legitimacy, police culture and support for democratic policing in an English constabulary. British Journal of Criminology, 54 (6): 1,023-1,046.</w:t>
      </w:r>
    </w:p>
    <w:p w:rsidR="00573071" w:rsidRDefault="00573071" w:rsidP="00573071">
      <w:pPr>
        <w:rPr>
          <w:rFonts w:cstheme="minorHAnsi"/>
        </w:rPr>
      </w:pPr>
    </w:p>
    <w:p w:rsidR="00573071" w:rsidRDefault="00573071" w:rsidP="00573071">
      <w:pPr>
        <w:rPr>
          <w:rFonts w:cstheme="minorHAnsi"/>
        </w:rPr>
      </w:pPr>
      <w:r>
        <w:t>College of Policing (2014) Code of ethics: A code of practice for the principles and standards of professional behaviour for the policing profession of England and Wales. Ryton-on-Dunsmore: College of Policing.</w:t>
      </w:r>
    </w:p>
    <w:p w:rsidR="00573071" w:rsidRDefault="00573071" w:rsidP="00573071">
      <w:pPr>
        <w:rPr>
          <w:rFonts w:cstheme="minorHAnsi"/>
        </w:rPr>
      </w:pPr>
    </w:p>
    <w:p w:rsidR="00573071" w:rsidRDefault="00573071" w:rsidP="00573071">
      <w:pPr>
        <w:rPr>
          <w:rFonts w:cstheme="minorHAnsi"/>
        </w:rPr>
      </w:pPr>
      <w:r w:rsidRPr="00055567">
        <w:rPr>
          <w:rFonts w:cstheme="minorHAnsi"/>
        </w:rPr>
        <w:t xml:space="preserve">College.police.uk. (2020). </w:t>
      </w:r>
      <w:r w:rsidRPr="00055567">
        <w:rPr>
          <w:rFonts w:cstheme="minorHAnsi"/>
          <w:i/>
          <w:iCs/>
        </w:rPr>
        <w:t>Code of Ethics | College of Policing</w:t>
      </w:r>
      <w:r w:rsidRPr="00055567">
        <w:rPr>
          <w:rFonts w:cstheme="minorHAnsi"/>
        </w:rPr>
        <w:t xml:space="preserve">. [online] Available at: https://www.college.police.uk/What-we-do/Ethics/Ethics-home/Pages/Code-of-Ethics.aspx [Accessed 2 Jan. 2020]. </w:t>
      </w:r>
    </w:p>
    <w:p w:rsidR="00573071" w:rsidRDefault="00573071" w:rsidP="00573071">
      <w:pPr>
        <w:rPr>
          <w:rFonts w:cstheme="minorHAnsi"/>
        </w:rPr>
      </w:pPr>
    </w:p>
    <w:p w:rsidR="00573071" w:rsidRDefault="00573071" w:rsidP="00573071">
      <w:pPr>
        <w:rPr>
          <w:rFonts w:cstheme="minorHAnsi"/>
        </w:rPr>
      </w:pPr>
      <w:r w:rsidRPr="00055567">
        <w:rPr>
          <w:rFonts w:cstheme="minorHAnsi"/>
        </w:rPr>
        <w:t xml:space="preserve">Cps.gov.uk. (2020). </w:t>
      </w:r>
      <w:r w:rsidRPr="00055567">
        <w:rPr>
          <w:rFonts w:cstheme="minorHAnsi"/>
          <w:i/>
          <w:iCs/>
        </w:rPr>
        <w:t>Hate crime | The Crown Prosecution Service</w:t>
      </w:r>
      <w:r w:rsidRPr="00055567">
        <w:rPr>
          <w:rFonts w:cstheme="minorHAnsi"/>
        </w:rPr>
        <w:t xml:space="preserve">. [online] Available at: https://www.cps.gov.uk/hate-crime [Accessed 2 Jan. 2020]. </w:t>
      </w:r>
    </w:p>
    <w:p w:rsidR="00573071" w:rsidRDefault="00573071" w:rsidP="00573071">
      <w:pPr>
        <w:rPr>
          <w:rFonts w:cstheme="minorHAnsi"/>
        </w:rPr>
      </w:pPr>
    </w:p>
    <w:p w:rsidR="00573071" w:rsidRDefault="00573071" w:rsidP="00573071">
      <w:pPr>
        <w:rPr>
          <w:rFonts w:cstheme="minorHAnsi"/>
        </w:rPr>
      </w:pPr>
      <w:r>
        <w:t>Porter, L., Webb, S., Prenzler, T. and Gill, M. (2015) The role of leadership in promoting ethical police behaviour: The findings of qualitative case study research. Ryton-on-Dunsmore: College of Police.</w:t>
      </w:r>
    </w:p>
    <w:p w:rsidR="00573071" w:rsidRDefault="00573071" w:rsidP="00573071">
      <w:pPr>
        <w:rPr>
          <w:rFonts w:cstheme="minorHAnsi"/>
        </w:rPr>
      </w:pPr>
    </w:p>
    <w:p w:rsidR="00573071" w:rsidRDefault="00573071" w:rsidP="00573071">
      <w:pPr>
        <w:rPr>
          <w:rFonts w:cstheme="minorHAnsi"/>
        </w:rPr>
      </w:pPr>
      <w:r w:rsidRPr="00055567">
        <w:rPr>
          <w:rFonts w:cstheme="minorHAnsi"/>
        </w:rPr>
        <w:t>Starmer, K. (2000). European Human Rights Law. London: Legal Action Group.</w:t>
      </w:r>
    </w:p>
    <w:p w:rsidR="00573071" w:rsidRDefault="00573071" w:rsidP="00573071">
      <w:pPr>
        <w:rPr>
          <w:rFonts w:cstheme="minorHAnsi"/>
        </w:rPr>
      </w:pPr>
    </w:p>
    <w:p w:rsidR="00573071" w:rsidRDefault="00573071" w:rsidP="00573071">
      <w:pPr>
        <w:rPr>
          <w:rFonts w:cstheme="minorHAnsi"/>
        </w:rPr>
      </w:pPr>
      <w:r w:rsidRPr="00055567">
        <w:rPr>
          <w:rFonts w:cstheme="minorHAnsi"/>
        </w:rPr>
        <w:t xml:space="preserve">Turnbull-Walker, A. (1986). </w:t>
      </w:r>
      <w:r w:rsidRPr="00055567">
        <w:rPr>
          <w:rFonts w:cstheme="minorHAnsi"/>
          <w:i/>
          <w:iCs/>
        </w:rPr>
        <w:t>The Police and Criminal Evidence Act 1984</w:t>
      </w:r>
      <w:r w:rsidRPr="00055567">
        <w:rPr>
          <w:rFonts w:cstheme="minorHAnsi"/>
        </w:rPr>
        <w:t>. London: Fourmat.</w:t>
      </w:r>
    </w:p>
    <w:p w:rsidR="00573071" w:rsidRDefault="00573071" w:rsidP="00573071">
      <w:pPr>
        <w:rPr>
          <w:rFonts w:cstheme="minorHAnsi"/>
        </w:rPr>
      </w:pPr>
    </w:p>
    <w:p w:rsidR="00573071" w:rsidRDefault="00573071" w:rsidP="00422AFA">
      <w:pPr>
        <w:rPr>
          <w:rFonts w:cstheme="minorHAnsi"/>
        </w:rPr>
      </w:pPr>
      <w:r>
        <w:t>Tyler T. R. (2011). Why people cooperate: The role of social motivations. Princeton, NJ: Princeton University Press.</w:t>
      </w:r>
    </w:p>
    <w:p w:rsidR="00573071" w:rsidRDefault="00573071" w:rsidP="00422AFA">
      <w:pPr>
        <w:rPr>
          <w:rFonts w:cstheme="minorHAnsi"/>
        </w:rPr>
      </w:pPr>
    </w:p>
    <w:p w:rsidR="00573071" w:rsidRDefault="00573071" w:rsidP="00422AFA">
      <w:pPr>
        <w:rPr>
          <w:rFonts w:cstheme="minorHAnsi"/>
        </w:rPr>
      </w:pPr>
      <w:r>
        <w:rPr>
          <w:rFonts w:cstheme="minorHAnsi"/>
        </w:rPr>
        <w:t>Task 4:</w:t>
      </w:r>
    </w:p>
    <w:p w:rsidR="00573071" w:rsidRDefault="00573071" w:rsidP="00422AFA">
      <w:pPr>
        <w:rPr>
          <w:rFonts w:cstheme="minorHAnsi"/>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College of Policing (2020) </w:t>
      </w:r>
      <w:r w:rsidRPr="00F10333">
        <w:rPr>
          <w:rFonts w:asciiTheme="minorHAnsi" w:hAnsiTheme="minorHAnsi" w:cstheme="minorHAnsi"/>
          <w:i/>
          <w:iCs/>
          <w:sz w:val="22"/>
          <w:szCs w:val="22"/>
        </w:rPr>
        <w:t>National Decision Model</w:t>
      </w:r>
      <w:r w:rsidRPr="00F10333">
        <w:rPr>
          <w:rFonts w:asciiTheme="minorHAnsi" w:hAnsiTheme="minorHAnsi" w:cstheme="minorHAnsi"/>
          <w:sz w:val="22"/>
          <w:szCs w:val="22"/>
        </w:rPr>
        <w:t>. [online] Available at: https://www.app.college.police.uk/app-content/national-decision-model/ [Accessed 4 Jan. 2020].</w:t>
      </w:r>
    </w:p>
    <w:p w:rsidR="002D545E" w:rsidRPr="00F10333" w:rsidRDefault="002D545E" w:rsidP="002D545E">
      <w:pPr>
        <w:rPr>
          <w:rFonts w:asciiTheme="minorHAnsi" w:hAnsiTheme="minorHAnsi" w:cstheme="minorHAnsi"/>
          <w:sz w:val="22"/>
          <w:szCs w:val="22"/>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Corsianos, M. (2003) </w:t>
      </w:r>
      <w:hyperlink r:id="rId25" w:history="1">
        <w:r w:rsidRPr="00F10333">
          <w:rPr>
            <w:rFonts w:asciiTheme="minorHAnsi" w:hAnsiTheme="minorHAnsi" w:cstheme="minorHAnsi"/>
            <w:color w:val="0000FF"/>
            <w:sz w:val="22"/>
            <w:szCs w:val="22"/>
            <w:u w:val="single"/>
          </w:rPr>
          <w:t>Discretion in detectives' decision making and 'high profile' cases</w:t>
        </w:r>
      </w:hyperlink>
      <w:r w:rsidRPr="00F10333">
        <w:rPr>
          <w:rFonts w:asciiTheme="minorHAnsi" w:hAnsiTheme="minorHAnsi" w:cstheme="minorHAnsi"/>
          <w:sz w:val="22"/>
          <w:szCs w:val="22"/>
        </w:rPr>
        <w:t xml:space="preserve">. </w:t>
      </w:r>
      <w:r w:rsidRPr="00F10333">
        <w:rPr>
          <w:rFonts w:asciiTheme="minorHAnsi" w:hAnsiTheme="minorHAnsi" w:cstheme="minorHAnsi"/>
          <w:i/>
          <w:iCs/>
          <w:sz w:val="22"/>
          <w:szCs w:val="22"/>
        </w:rPr>
        <w:t>Police Practice and Research</w:t>
      </w:r>
      <w:r w:rsidRPr="00F10333">
        <w:rPr>
          <w:rFonts w:asciiTheme="minorHAnsi" w:hAnsiTheme="minorHAnsi" w:cstheme="minorHAnsi"/>
          <w:sz w:val="22"/>
          <w:szCs w:val="22"/>
        </w:rPr>
        <w:t xml:space="preserve"> 4:3, pages 301-314. </w:t>
      </w:r>
    </w:p>
    <w:p w:rsidR="002D545E" w:rsidRDefault="002D545E" w:rsidP="002D545E">
      <w:pPr>
        <w:rPr>
          <w:rFonts w:asciiTheme="minorHAnsi" w:hAnsiTheme="minorHAnsi" w:cstheme="minorHAnsi"/>
          <w:sz w:val="22"/>
          <w:szCs w:val="22"/>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Crank, J.P. (2004). Understanding police culture (2nd ed.). Conklin, NY: Anderson. </w:t>
      </w:r>
    </w:p>
    <w:p w:rsidR="002D545E" w:rsidRDefault="002D545E" w:rsidP="002D545E">
      <w:pPr>
        <w:rPr>
          <w:rFonts w:asciiTheme="minorHAnsi" w:hAnsiTheme="minorHAnsi" w:cstheme="minorHAnsi"/>
          <w:sz w:val="22"/>
          <w:szCs w:val="22"/>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Diemer, K., Ross, S., Humphreys, C., &amp; Healey. L. (2017). </w:t>
      </w:r>
      <w:hyperlink r:id="rId26" w:history="1">
        <w:r w:rsidRPr="00F10333">
          <w:rPr>
            <w:rFonts w:asciiTheme="minorHAnsi" w:hAnsiTheme="minorHAnsi" w:cstheme="minorHAnsi"/>
            <w:color w:val="0000FF"/>
            <w:sz w:val="22"/>
            <w:szCs w:val="22"/>
            <w:u w:val="single"/>
          </w:rPr>
          <w:t>A ‘double edged sword’: discretion and compulsion in policing domestic violence</w:t>
        </w:r>
      </w:hyperlink>
      <w:r w:rsidRPr="00F10333">
        <w:rPr>
          <w:rFonts w:asciiTheme="minorHAnsi" w:hAnsiTheme="minorHAnsi" w:cstheme="minorHAnsi"/>
          <w:sz w:val="22"/>
          <w:szCs w:val="22"/>
        </w:rPr>
        <w:t xml:space="preserve">. </w:t>
      </w:r>
      <w:r w:rsidRPr="00F10333">
        <w:rPr>
          <w:rFonts w:asciiTheme="minorHAnsi" w:hAnsiTheme="minorHAnsi" w:cstheme="minorHAnsi"/>
          <w:i/>
          <w:iCs/>
          <w:sz w:val="22"/>
          <w:szCs w:val="22"/>
        </w:rPr>
        <w:t>Police Practice and Research</w:t>
      </w:r>
      <w:r w:rsidRPr="00F10333">
        <w:rPr>
          <w:rFonts w:asciiTheme="minorHAnsi" w:hAnsiTheme="minorHAnsi" w:cstheme="minorHAnsi"/>
          <w:sz w:val="22"/>
          <w:szCs w:val="22"/>
        </w:rPr>
        <w:t xml:space="preserve"> 18:4, pages 339-351. </w:t>
      </w:r>
    </w:p>
    <w:p w:rsidR="002D545E" w:rsidRDefault="002D545E" w:rsidP="002D545E">
      <w:pPr>
        <w:rPr>
          <w:rFonts w:asciiTheme="minorHAnsi" w:hAnsiTheme="minorHAnsi" w:cstheme="minorHAnsi"/>
          <w:sz w:val="22"/>
          <w:szCs w:val="22"/>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Goldstein, H. (1963). Police Discretion: The Ideal versus the Real. </w:t>
      </w:r>
      <w:r w:rsidRPr="00F10333">
        <w:rPr>
          <w:rFonts w:asciiTheme="minorHAnsi" w:hAnsiTheme="minorHAnsi" w:cstheme="minorHAnsi"/>
          <w:i/>
          <w:iCs/>
          <w:sz w:val="22"/>
          <w:szCs w:val="22"/>
        </w:rPr>
        <w:t>Public Administration Review,</w:t>
      </w:r>
      <w:r w:rsidRPr="00F10333">
        <w:rPr>
          <w:rFonts w:asciiTheme="minorHAnsi" w:hAnsiTheme="minorHAnsi" w:cstheme="minorHAnsi"/>
          <w:sz w:val="22"/>
          <w:szCs w:val="22"/>
        </w:rPr>
        <w:t xml:space="preserve"> </w:t>
      </w:r>
      <w:r w:rsidRPr="00F10333">
        <w:rPr>
          <w:rFonts w:asciiTheme="minorHAnsi" w:hAnsiTheme="minorHAnsi" w:cstheme="minorHAnsi"/>
          <w:i/>
          <w:iCs/>
          <w:sz w:val="22"/>
          <w:szCs w:val="22"/>
        </w:rPr>
        <w:t>23</w:t>
      </w:r>
      <w:r w:rsidRPr="00F10333">
        <w:rPr>
          <w:rFonts w:asciiTheme="minorHAnsi" w:hAnsiTheme="minorHAnsi" w:cstheme="minorHAnsi"/>
          <w:sz w:val="22"/>
          <w:szCs w:val="22"/>
        </w:rPr>
        <w:t xml:space="preserve">(3), 140-148. </w:t>
      </w:r>
    </w:p>
    <w:p w:rsidR="002D545E" w:rsidRPr="00F10333" w:rsidRDefault="002D545E" w:rsidP="002D545E">
      <w:pPr>
        <w:rPr>
          <w:rFonts w:asciiTheme="minorHAnsi" w:hAnsiTheme="minorHAnsi" w:cstheme="minorHAnsi"/>
          <w:sz w:val="22"/>
          <w:szCs w:val="22"/>
        </w:rPr>
      </w:pPr>
    </w:p>
    <w:p w:rsidR="002D545E" w:rsidRDefault="002D545E" w:rsidP="002D545E">
      <w:pPr>
        <w:rPr>
          <w:rFonts w:asciiTheme="minorHAnsi" w:hAnsiTheme="minorHAnsi" w:cstheme="minorHAnsi"/>
          <w:sz w:val="22"/>
          <w:szCs w:val="22"/>
        </w:rPr>
      </w:pPr>
      <w:r w:rsidRPr="00F10333">
        <w:rPr>
          <w:rFonts w:asciiTheme="minorHAnsi" w:hAnsiTheme="minorHAnsi" w:cstheme="minorHAnsi"/>
          <w:sz w:val="22"/>
          <w:szCs w:val="22"/>
        </w:rPr>
        <w:t xml:space="preserve">Hale , C. , Uglow , S. &amp; Heaton , R. (2005) , “Uniform styles II: Police families and policing styles” , </w:t>
      </w:r>
      <w:r w:rsidRPr="00F10333">
        <w:rPr>
          <w:rFonts w:asciiTheme="minorHAnsi" w:hAnsiTheme="minorHAnsi" w:cstheme="minorHAnsi"/>
          <w:i/>
          <w:iCs/>
          <w:sz w:val="22"/>
          <w:szCs w:val="22"/>
        </w:rPr>
        <w:t>Policing and Society</w:t>
      </w:r>
      <w:r w:rsidRPr="00F10333">
        <w:rPr>
          <w:rFonts w:asciiTheme="minorHAnsi" w:hAnsiTheme="minorHAnsi" w:cstheme="minorHAnsi"/>
          <w:sz w:val="22"/>
          <w:szCs w:val="22"/>
        </w:rPr>
        <w:t xml:space="preserve"> , Vol. 15, no. 1 , pp. 1 – 18. </w:t>
      </w:r>
    </w:p>
    <w:p w:rsidR="002D545E" w:rsidRPr="00F10333" w:rsidRDefault="002D545E" w:rsidP="002D545E">
      <w:pPr>
        <w:rPr>
          <w:rFonts w:asciiTheme="minorHAnsi" w:hAnsiTheme="minorHAnsi" w:cstheme="minorHAnsi"/>
          <w:sz w:val="22"/>
          <w:szCs w:val="22"/>
        </w:rPr>
      </w:pPr>
    </w:p>
    <w:p w:rsidR="002D545E" w:rsidRPr="00D8103D" w:rsidRDefault="002D545E" w:rsidP="002D545E">
      <w:pPr>
        <w:rPr>
          <w:rFonts w:asciiTheme="minorHAnsi" w:hAnsiTheme="minorHAnsi" w:cstheme="minorHAnsi"/>
          <w:sz w:val="22"/>
          <w:szCs w:val="22"/>
        </w:rPr>
      </w:pPr>
      <w:r w:rsidRPr="00D8103D">
        <w:rPr>
          <w:rFonts w:asciiTheme="minorHAnsi" w:hAnsiTheme="minorHAnsi" w:cstheme="minorHAnsi"/>
          <w:sz w:val="22"/>
          <w:szCs w:val="22"/>
        </w:rPr>
        <w:t xml:space="preserve">Oliveira, A. and Murphy, K. (2014). Race, Social Identity, and Perceptions of Police Bias. </w:t>
      </w:r>
      <w:r w:rsidRPr="00D8103D">
        <w:rPr>
          <w:rFonts w:asciiTheme="minorHAnsi" w:hAnsiTheme="minorHAnsi" w:cstheme="minorHAnsi"/>
          <w:i/>
          <w:iCs/>
          <w:sz w:val="22"/>
          <w:szCs w:val="22"/>
        </w:rPr>
        <w:t>Race and Justice</w:t>
      </w:r>
      <w:r w:rsidRPr="00D8103D">
        <w:rPr>
          <w:rFonts w:asciiTheme="minorHAnsi" w:hAnsiTheme="minorHAnsi" w:cstheme="minorHAnsi"/>
          <w:sz w:val="22"/>
          <w:szCs w:val="22"/>
        </w:rPr>
        <w:t>, 5(3), pp.259-277.</w:t>
      </w:r>
    </w:p>
    <w:p w:rsidR="00422AFA" w:rsidRDefault="00422AFA" w:rsidP="00422AFA">
      <w:pPr>
        <w:rPr>
          <w:rFonts w:cstheme="minorHAnsi"/>
        </w:rPr>
      </w:pPr>
    </w:p>
    <w:p w:rsidR="00422AFA" w:rsidRPr="0020708F" w:rsidRDefault="00422AFA" w:rsidP="00422AFA">
      <w:pPr>
        <w:rPr>
          <w:rFonts w:cstheme="minorHAnsi"/>
        </w:rPr>
      </w:pPr>
    </w:p>
    <w:p w:rsidR="00422AFA" w:rsidRDefault="006D4550" w:rsidP="00E6298B">
      <w:pPr>
        <w:overflowPunct/>
        <w:autoSpaceDE/>
        <w:autoSpaceDN/>
        <w:adjustRightInd/>
        <w:ind w:right="107"/>
        <w:textAlignment w:val="auto"/>
        <w:rPr>
          <w:b/>
          <w:sz w:val="24"/>
          <w:szCs w:val="24"/>
        </w:rPr>
      </w:pPr>
      <w:r>
        <w:rPr>
          <w:b/>
          <w:sz w:val="24"/>
          <w:szCs w:val="24"/>
        </w:rPr>
        <w:br w:type="page"/>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w:t>
      </w:r>
      <w:r w:rsidR="00CC4DCE">
        <w:rPr>
          <w:sz w:val="24"/>
          <w:szCs w:val="24"/>
        </w:rPr>
        <w:t>d:  _ 6449 A. Evans</w:t>
      </w:r>
      <w:r w:rsidRPr="005D583E">
        <w:rPr>
          <w:sz w:val="24"/>
          <w:szCs w:val="24"/>
        </w:rPr>
        <w:t>_  (Learner</w:t>
      </w:r>
      <w:r w:rsidR="00CC4DCE">
        <w:rPr>
          <w:sz w:val="24"/>
          <w:szCs w:val="24"/>
        </w:rPr>
        <w:t>)</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CC4DCE"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_ 05/01/2020</w:t>
      </w:r>
      <w:r w:rsidR="00AC4637" w:rsidRPr="005D583E">
        <w:rPr>
          <w:sz w:val="24"/>
          <w:szCs w:val="24"/>
        </w:rPr>
        <w:t>_</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ind w:right="107"/>
        <w:jc w:val="both"/>
        <w:rPr>
          <w:b/>
          <w:sz w:val="24"/>
          <w:szCs w:val="24"/>
        </w:rPr>
      </w:pPr>
    </w:p>
    <w:p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0B0100">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rsidR="28A9B94D" w:rsidRDefault="28A9B94D">
      <w:r w:rsidRPr="28A9B94D">
        <w:rPr>
          <w:rFonts w:eastAsia="Arial"/>
          <w:b/>
          <w:bCs/>
          <w:sz w:val="24"/>
          <w:szCs w:val="24"/>
        </w:rPr>
        <w:lastRenderedPageBreak/>
        <w:t>Confirmation of the progress on the Occupational Competency Portfolio (OCP).</w:t>
      </w:r>
    </w:p>
    <w:p w:rsidR="28A9B94D" w:rsidRDefault="28A9B94D">
      <w:r w:rsidRPr="28A9B94D">
        <w:rPr>
          <w:rFonts w:eastAsia="Arial"/>
          <w:b/>
          <w:bCs/>
          <w:sz w:val="24"/>
          <w:szCs w:val="24"/>
        </w:rPr>
        <w:t xml:space="preserve"> </w:t>
      </w:r>
    </w:p>
    <w:p w:rsidR="28A9B94D" w:rsidRDefault="28A9B94D">
      <w:r w:rsidRPr="28A9B94D">
        <w:rPr>
          <w:rFonts w:eastAsia="Arial"/>
          <w:sz w:val="24"/>
          <w:szCs w:val="24"/>
        </w:rPr>
        <w:t xml:space="preserve">I confirm that I am progressing with the Occupational Competency Portfolio (OCP) in accordance to the regulations. </w:t>
      </w:r>
    </w:p>
    <w:p w:rsidR="28A9B94D" w:rsidRDefault="28A9B94D">
      <w:r w:rsidRPr="28A9B94D">
        <w:rPr>
          <w:rFonts w:eastAsia="Arial"/>
          <w:b/>
          <w:bCs/>
          <w:sz w:val="24"/>
          <w:szCs w:val="24"/>
        </w:rPr>
        <w:t xml:space="preserve"> </w:t>
      </w:r>
    </w:p>
    <w:p w:rsidR="28A9B94D" w:rsidRDefault="28A9B94D" w:rsidP="28A9B94D">
      <w:pPr>
        <w:jc w:val="both"/>
      </w:pPr>
      <w:r w:rsidRPr="28A9B94D">
        <w:rPr>
          <w:rFonts w:eastAsia="Arial"/>
          <w:sz w:val="24"/>
          <w:szCs w:val="24"/>
        </w:rPr>
        <w:t>Sign</w:t>
      </w:r>
      <w:r w:rsidR="00CC4DCE">
        <w:rPr>
          <w:rFonts w:eastAsia="Arial"/>
          <w:sz w:val="24"/>
          <w:szCs w:val="24"/>
        </w:rPr>
        <w:t>ed:  _ 6440 A.Evans</w:t>
      </w:r>
      <w:r w:rsidRPr="28A9B94D">
        <w:rPr>
          <w:rFonts w:eastAsia="Arial"/>
          <w:sz w:val="24"/>
          <w:szCs w:val="24"/>
        </w:rPr>
        <w:t xml:space="preserve"> _ (Learner)</w:t>
      </w:r>
    </w:p>
    <w:p w:rsidR="28A9B94D" w:rsidRDefault="28A9B94D" w:rsidP="28A9B94D">
      <w:pPr>
        <w:jc w:val="both"/>
      </w:pPr>
      <w:r w:rsidRPr="28A9B94D">
        <w:rPr>
          <w:rFonts w:eastAsia="Arial"/>
          <w:sz w:val="24"/>
          <w:szCs w:val="24"/>
        </w:rPr>
        <w:t xml:space="preserve"> </w:t>
      </w:r>
    </w:p>
    <w:p w:rsidR="28A9B94D" w:rsidRDefault="28A9B94D" w:rsidP="28A9B94D">
      <w:pPr>
        <w:jc w:val="both"/>
      </w:pPr>
      <w:r w:rsidRPr="28A9B94D">
        <w:rPr>
          <w:rFonts w:eastAsia="Arial"/>
          <w:sz w:val="24"/>
          <w:szCs w:val="24"/>
        </w:rPr>
        <w:t>Date: _</w:t>
      </w:r>
      <w:r w:rsidR="00CC4DCE">
        <w:rPr>
          <w:rFonts w:eastAsia="Arial"/>
          <w:sz w:val="24"/>
          <w:szCs w:val="24"/>
        </w:rPr>
        <w:t xml:space="preserve"> 05/01/2020</w:t>
      </w:r>
      <w:r w:rsidRPr="28A9B94D">
        <w:rPr>
          <w:rFonts w:eastAsia="Arial"/>
          <w:sz w:val="24"/>
          <w:szCs w:val="24"/>
        </w:rPr>
        <w:t xml:space="preserve"> _</w:t>
      </w:r>
    </w:p>
    <w:p w:rsidR="28A9B94D" w:rsidRDefault="28A9B94D">
      <w:r w:rsidRPr="28A9B94D">
        <w:rPr>
          <w:rFonts w:eastAsia="Arial"/>
          <w:b/>
          <w:bCs/>
          <w:sz w:val="24"/>
          <w:szCs w:val="24"/>
        </w:rPr>
        <w:t xml:space="preserve"> </w:t>
      </w:r>
    </w:p>
    <w:p w:rsidR="28A9B94D" w:rsidRDefault="28A9B94D">
      <w:r w:rsidRPr="28A9B94D">
        <w:rPr>
          <w:rFonts w:eastAsia="Arial"/>
          <w:b/>
          <w:bCs/>
          <w:sz w:val="24"/>
          <w:szCs w:val="24"/>
        </w:rPr>
        <w:t xml:space="preserve"> </w:t>
      </w:r>
    </w:p>
    <w:p w:rsidR="28A9B94D" w:rsidRDefault="28A9B94D" w:rsidP="28A9B94D">
      <w:pPr>
        <w:jc w:val="both"/>
      </w:pPr>
      <w:r w:rsidRPr="28A9B94D">
        <w:rPr>
          <w:rFonts w:eastAsia="Arial"/>
          <w:sz w:val="24"/>
          <w:szCs w:val="24"/>
        </w:rPr>
        <w:t>Si</w:t>
      </w:r>
      <w:r w:rsidR="00CC4DCE">
        <w:rPr>
          <w:rFonts w:eastAsia="Arial"/>
          <w:sz w:val="24"/>
          <w:szCs w:val="24"/>
        </w:rPr>
        <w:t>gned:  _ PC 5972 Ryan Whitehouse</w:t>
      </w:r>
      <w:r w:rsidRPr="28A9B94D">
        <w:rPr>
          <w:rFonts w:eastAsia="Arial"/>
          <w:sz w:val="24"/>
          <w:szCs w:val="24"/>
        </w:rPr>
        <w:t xml:space="preserve"> _ (Tutor Constable) </w:t>
      </w:r>
    </w:p>
    <w:p w:rsidR="28A9B94D" w:rsidRDefault="28A9B94D" w:rsidP="28A9B94D">
      <w:pPr>
        <w:jc w:val="both"/>
      </w:pPr>
      <w:r w:rsidRPr="28A9B94D">
        <w:rPr>
          <w:rFonts w:eastAsia="Arial"/>
          <w:sz w:val="24"/>
          <w:szCs w:val="24"/>
        </w:rPr>
        <w:t xml:space="preserve"> </w:t>
      </w:r>
    </w:p>
    <w:p w:rsidR="28A9B94D" w:rsidRDefault="00CC4DCE" w:rsidP="28A9B94D">
      <w:pPr>
        <w:jc w:val="both"/>
      </w:pPr>
      <w:r>
        <w:rPr>
          <w:rFonts w:eastAsia="Arial"/>
          <w:sz w:val="24"/>
          <w:szCs w:val="24"/>
        </w:rPr>
        <w:t>Date: _ 05/01/20</w:t>
      </w:r>
      <w:r w:rsidR="28A9B94D" w:rsidRPr="28A9B94D">
        <w:rPr>
          <w:rFonts w:eastAsia="Arial"/>
          <w:sz w:val="24"/>
          <w:szCs w:val="24"/>
        </w:rPr>
        <w:t xml:space="preserve"> _</w:t>
      </w:r>
    </w:p>
    <w:p w:rsidR="28A9B94D" w:rsidRDefault="28A9B94D">
      <w:r w:rsidRPr="28A9B94D">
        <w:rPr>
          <w:rFonts w:eastAsia="Arial"/>
          <w:b/>
          <w:bCs/>
          <w:sz w:val="24"/>
          <w:szCs w:val="24"/>
        </w:rPr>
        <w:t xml:space="preserve"> </w:t>
      </w:r>
    </w:p>
    <w:p w:rsidR="28A9B94D" w:rsidRDefault="28A9B94D">
      <w:r w:rsidRPr="28A9B94D">
        <w:rPr>
          <w:rFonts w:eastAsia="Arial"/>
          <w:b/>
          <w:bCs/>
          <w:sz w:val="24"/>
          <w:szCs w:val="24"/>
        </w:rPr>
        <w:t xml:space="preserve"> </w:t>
      </w:r>
    </w:p>
    <w:p w:rsidR="28A9B94D" w:rsidRDefault="28A9B94D">
      <w:r w:rsidRPr="28A9B94D">
        <w:rPr>
          <w:rFonts w:eastAsia="Arial"/>
          <w:b/>
          <w:bCs/>
          <w:sz w:val="24"/>
          <w:szCs w:val="24"/>
        </w:rPr>
        <w:t>(Please print this page, sign it, and scan it and add it back into the document)</w:t>
      </w:r>
    </w:p>
    <w:p w:rsidR="28A9B94D" w:rsidRDefault="28A9B94D" w:rsidP="28A9B94D"/>
    <w:sectPr w:rsidR="28A9B94D" w:rsidSect="000B0100">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FC2" w:rsidRDefault="004D7FC2">
      <w:r>
        <w:separator/>
      </w:r>
    </w:p>
  </w:endnote>
  <w:endnote w:type="continuationSeparator" w:id="0">
    <w:p w:rsidR="004D7FC2" w:rsidRDefault="004D7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liss 2 Regular">
    <w:altName w:val="Bliss 2 Regular"/>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FS Elliot Pro Light">
    <w:altName w:val="FS Elliot Pro Light"/>
    <w:panose1 w:val="00000000000000000000"/>
    <w:charset w:val="00"/>
    <w:family w:val="swiss"/>
    <w:notTrueType/>
    <w:pitch w:val="default"/>
    <w:sig w:usb0="00000003" w:usb1="00000000" w:usb2="00000000" w:usb3="00000000" w:csb0="00000001" w:csb1="00000000"/>
  </w:font>
  <w:font w:name="Frutiger-Light">
    <w:altName w:val="Malgun Gothic Semilight"/>
    <w:panose1 w:val="00000000000000000000"/>
    <w:charset w:val="88"/>
    <w:family w:val="swiss"/>
    <w:notTrueType/>
    <w:pitch w:val="default"/>
    <w:sig w:usb0="00000001" w:usb1="08080000" w:usb2="00000010" w:usb3="00000000" w:csb0="0010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2" w:name="TITUS1FooterEvenPages"/>
    <w:r>
      <w:rPr>
        <w:sz w:val="17"/>
      </w:rPr>
      <w:t> </w:t>
    </w:r>
  </w:p>
  <w:bookmarkEnd w:id="2"/>
  <w:p w:rsidR="000B0100" w:rsidRDefault="000B0100" w:rsidP="000B0100">
    <w:pPr>
      <w:pStyle w:val="Footer"/>
      <w:jc w:val="right"/>
    </w:pPr>
    <w:r>
      <w:fldChar w:fldCharType="begin"/>
    </w:r>
    <w:r>
      <w:instrText xml:space="preserve"> PAGE   \* MERGEFORMAT </w:instrText>
    </w:r>
    <w:r>
      <w:fldChar w:fldCharType="separate"/>
    </w:r>
    <w:r w:rsidR="00AD0CB2">
      <w:rPr>
        <w:noProof/>
      </w:rPr>
      <w:t>2</w:t>
    </w:r>
    <w:r>
      <w:rPr>
        <w:noProof/>
      </w:rPr>
      <w:fldChar w:fldCharType="end"/>
    </w:r>
  </w:p>
  <w:p w:rsidR="000B0100" w:rsidRPr="00BB5EAA" w:rsidRDefault="000B0100" w:rsidP="000B0100">
    <w:pPr>
      <w:pStyle w:val="Footer"/>
      <w:ind w:right="360"/>
      <w:jc w:val="center"/>
    </w:pPr>
  </w:p>
  <w:p w:rsidR="004D7FC2" w:rsidRDefault="004D7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3" w:name="TITUS1FooterPrimary"/>
    <w:r>
      <w:rPr>
        <w:sz w:val="17"/>
      </w:rPr>
      <w:t> </w:t>
    </w:r>
  </w:p>
  <w:bookmarkEnd w:id="3"/>
  <w:p w:rsidR="004D7FC2" w:rsidRDefault="004D7FC2">
    <w:pPr>
      <w:pStyle w:val="Footer"/>
      <w:jc w:val="right"/>
    </w:pPr>
    <w:r>
      <w:fldChar w:fldCharType="begin"/>
    </w:r>
    <w:r>
      <w:instrText xml:space="preserve"> PAGE   \* MERGEFORMAT </w:instrText>
    </w:r>
    <w:r>
      <w:fldChar w:fldCharType="separate"/>
    </w:r>
    <w:r w:rsidR="00AD0CB2">
      <w:rPr>
        <w:noProof/>
      </w:rPr>
      <w:t>7</w:t>
    </w:r>
    <w:r>
      <w:rPr>
        <w:noProof/>
      </w:rPr>
      <w:fldChar w:fldCharType="end"/>
    </w:r>
  </w:p>
  <w:p w:rsidR="004D7FC2" w:rsidRPr="00BB5EAA" w:rsidRDefault="004D7FC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5" w:name="TITUS1FooterFirstPage"/>
    <w:r>
      <w:rPr>
        <w:sz w:val="17"/>
      </w:rPr>
      <w:t> </w:t>
    </w:r>
  </w:p>
  <w:bookmarkEnd w:id="5"/>
  <w:p w:rsidR="000B0100" w:rsidRDefault="000B0100" w:rsidP="000B0100">
    <w:pPr>
      <w:pStyle w:val="Footer"/>
      <w:jc w:val="right"/>
    </w:pPr>
    <w:r>
      <w:fldChar w:fldCharType="begin"/>
    </w:r>
    <w:r>
      <w:instrText xml:space="preserve"> PAGE   \* MERGEFORMAT </w:instrText>
    </w:r>
    <w:r>
      <w:fldChar w:fldCharType="separate"/>
    </w:r>
    <w:r w:rsidR="00AD0CB2">
      <w:rPr>
        <w:noProof/>
      </w:rPr>
      <w:t>1</w:t>
    </w:r>
    <w:r>
      <w:rPr>
        <w:noProof/>
      </w:rPr>
      <w:fldChar w:fldCharType="end"/>
    </w:r>
  </w:p>
  <w:p w:rsidR="000B0100" w:rsidRPr="00BB5EAA" w:rsidRDefault="000B0100" w:rsidP="000B0100">
    <w:pPr>
      <w:pStyle w:val="Footer"/>
      <w:ind w:right="360"/>
      <w:jc w:val="center"/>
    </w:pPr>
  </w:p>
  <w:p w:rsidR="004D7FC2" w:rsidRDefault="004D7FC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9" w:name="TITUS2FooterEvenPages"/>
    <w:r>
      <w:rPr>
        <w:sz w:val="17"/>
      </w:rPr>
      <w:t> </w:t>
    </w:r>
  </w:p>
  <w:bookmarkEnd w:id="9"/>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sidR="00AD0CB2">
      <w:rPr>
        <w:noProof/>
      </w:rPr>
      <w:t>20</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10" w:name="TITUS2FooterPrimary"/>
    <w:r>
      <w:rPr>
        <w:sz w:val="17"/>
      </w:rPr>
      <w:t> </w:t>
    </w:r>
  </w:p>
  <w:bookmarkEnd w:id="10"/>
  <w:p w:rsidR="000B0100" w:rsidRDefault="000B0100">
    <w:pPr>
      <w:pStyle w:val="Footer"/>
      <w:jc w:val="right"/>
    </w:pPr>
  </w:p>
  <w:p w:rsidR="000B0100" w:rsidRDefault="000B0100">
    <w:pPr>
      <w:pStyle w:val="Footer"/>
      <w:jc w:val="right"/>
    </w:pPr>
    <w:r>
      <w:fldChar w:fldCharType="begin"/>
    </w:r>
    <w:r>
      <w:instrText xml:space="preserve"> PAGE   \* MERGEFORMAT </w:instrText>
    </w:r>
    <w:r>
      <w:fldChar w:fldCharType="separate"/>
    </w:r>
    <w:r w:rsidR="00AD0CB2">
      <w:rPr>
        <w:noProof/>
      </w:rPr>
      <w:t>21</w:t>
    </w:r>
    <w:r>
      <w:rPr>
        <w:noProof/>
      </w:rPr>
      <w:fldChar w:fldCharType="end"/>
    </w:r>
  </w:p>
  <w:p w:rsidR="000B0100" w:rsidRPr="00BB5EAA" w:rsidRDefault="000B01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12" w:name="TITUS2FooterFirstPage"/>
    <w:r>
      <w:rPr>
        <w:sz w:val="17"/>
      </w:rPr>
      <w:t> </w:t>
    </w:r>
  </w:p>
  <w:bookmarkEnd w:id="12"/>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sidR="00AD0CB2">
      <w:rPr>
        <w:noProof/>
      </w:rPr>
      <w:t>9</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15" w:name="TITUS3FooterEvenPages"/>
    <w:r>
      <w:rPr>
        <w:sz w:val="17"/>
      </w:rPr>
      <w:t> </w:t>
    </w:r>
  </w:p>
  <w:bookmarkEnd w:id="15"/>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sidR="00AD0CB2">
      <w:rPr>
        <w:noProof/>
      </w:rPr>
      <w:t>30</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16" w:name="TITUS3FooterPrimary"/>
    <w:r>
      <w:rPr>
        <w:sz w:val="17"/>
      </w:rPr>
      <w:t> </w:t>
    </w:r>
  </w:p>
  <w:bookmarkEnd w:id="16"/>
  <w:p w:rsidR="000B0100" w:rsidRDefault="000B0100">
    <w:pPr>
      <w:pStyle w:val="Footer"/>
      <w:jc w:val="right"/>
    </w:pPr>
  </w:p>
  <w:p w:rsidR="000B0100" w:rsidRDefault="000B0100">
    <w:pPr>
      <w:pStyle w:val="Footer"/>
      <w:jc w:val="right"/>
    </w:pPr>
    <w:r>
      <w:fldChar w:fldCharType="begin"/>
    </w:r>
    <w:r>
      <w:instrText xml:space="preserve"> PAGE   \* MERGEFORMAT </w:instrText>
    </w:r>
    <w:r>
      <w:fldChar w:fldCharType="separate"/>
    </w:r>
    <w:r w:rsidR="00AD0CB2">
      <w:rPr>
        <w:noProof/>
      </w:rPr>
      <w:t>31</w:t>
    </w:r>
    <w:r>
      <w:rPr>
        <w:noProof/>
      </w:rPr>
      <w:fldChar w:fldCharType="end"/>
    </w:r>
  </w:p>
  <w:p w:rsidR="000B0100" w:rsidRPr="00BB5EAA" w:rsidRDefault="000B010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18" w:name="TITUS3FooterFirstPage"/>
    <w:r>
      <w:rPr>
        <w:sz w:val="17"/>
      </w:rPr>
      <w:t> </w:t>
    </w:r>
  </w:p>
  <w:bookmarkEnd w:id="18"/>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sidR="00AD0CB2">
      <w:rPr>
        <w:noProof/>
      </w:rPr>
      <w:t>29</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21" w:name="TITUS4FooterEvenPages"/>
    <w:r>
      <w:rPr>
        <w:sz w:val="17"/>
      </w:rPr>
      <w:t> </w:t>
    </w:r>
  </w:p>
  <w:bookmarkEnd w:id="21"/>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Pr>
        <w:noProof/>
      </w:rPr>
      <w:t>26</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22" w:name="TITUS4FooterPrimary"/>
    <w:r>
      <w:rPr>
        <w:sz w:val="17"/>
      </w:rPr>
      <w:t> </w:t>
    </w:r>
  </w:p>
  <w:bookmarkEnd w:id="22"/>
  <w:p w:rsidR="000B0100" w:rsidRDefault="000B0100">
    <w:pPr>
      <w:pStyle w:val="Footer"/>
      <w:jc w:val="right"/>
    </w:pPr>
  </w:p>
  <w:p w:rsidR="000B0100" w:rsidRDefault="000B0100">
    <w:pPr>
      <w:pStyle w:val="Footer"/>
      <w:jc w:val="right"/>
    </w:pPr>
    <w:r>
      <w:fldChar w:fldCharType="begin"/>
    </w:r>
    <w:r>
      <w:instrText xml:space="preserve"> PAGE   \* MERGEFORMAT </w:instrText>
    </w:r>
    <w:r>
      <w:fldChar w:fldCharType="separate"/>
    </w:r>
    <w:r>
      <w:rPr>
        <w:noProof/>
      </w:rPr>
      <w:t>23</w:t>
    </w:r>
    <w:r>
      <w:rPr>
        <w:noProof/>
      </w:rPr>
      <w:fldChar w:fldCharType="end"/>
    </w:r>
  </w:p>
  <w:p w:rsidR="000B0100" w:rsidRPr="00BB5EAA" w:rsidRDefault="000B010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Footer"/>
      <w:rPr>
        <w:sz w:val="17"/>
      </w:rPr>
    </w:pPr>
    <w:bookmarkStart w:id="24" w:name="TITUS4FooterFirstPage"/>
    <w:r>
      <w:rPr>
        <w:sz w:val="17"/>
      </w:rPr>
      <w:t> </w:t>
    </w:r>
  </w:p>
  <w:bookmarkEnd w:id="24"/>
  <w:p w:rsidR="000B0100" w:rsidRDefault="000B0100" w:rsidP="000B0100">
    <w:pPr>
      <w:pStyle w:val="Footer"/>
      <w:jc w:val="right"/>
    </w:pPr>
  </w:p>
  <w:p w:rsidR="000B0100" w:rsidRDefault="000B0100" w:rsidP="000B0100">
    <w:pPr>
      <w:pStyle w:val="Footer"/>
      <w:jc w:val="right"/>
    </w:pPr>
    <w:r>
      <w:fldChar w:fldCharType="begin"/>
    </w:r>
    <w:r>
      <w:instrText xml:space="preserve"> PAGE   \* MERGEFORMAT </w:instrText>
    </w:r>
    <w:r>
      <w:fldChar w:fldCharType="separate"/>
    </w:r>
    <w:r w:rsidR="00AD0CB2">
      <w:rPr>
        <w:noProof/>
      </w:rPr>
      <w:t>33</w:t>
    </w:r>
    <w:r>
      <w:rPr>
        <w:noProof/>
      </w:rPr>
      <w:fldChar w:fldCharType="end"/>
    </w:r>
  </w:p>
  <w:p w:rsidR="000B0100" w:rsidRPr="00BB5EAA" w:rsidRDefault="000B0100" w:rsidP="000B0100">
    <w:pPr>
      <w:pStyle w:val="Footer"/>
      <w:ind w:right="360"/>
      <w:jc w:val="center"/>
    </w:pPr>
  </w:p>
  <w:p w:rsidR="000B0100" w:rsidRDefault="000B0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FC2" w:rsidRDefault="004D7FC2">
      <w:r>
        <w:separator/>
      </w:r>
    </w:p>
  </w:footnote>
  <w:footnote w:type="continuationSeparator" w:id="0">
    <w:p w:rsidR="004D7FC2" w:rsidRDefault="004D7F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6AD4" w:rsidRDefault="00AD0CB2" w:rsidP="00AD0CB2">
    <w:pPr>
      <w:pStyle w:val="Header"/>
      <w:rPr>
        <w:sz w:val="17"/>
      </w:rPr>
    </w:pPr>
    <w:bookmarkStart w:id="0" w:name="TITUS1HeaderEvenPages"/>
    <w:r>
      <w:rPr>
        <w:sz w:val="17"/>
      </w:rPr>
      <w:t> </w:t>
    </w:r>
  </w:p>
  <w:bookmarkEnd w:id="0"/>
  <w:p w:rsidR="00A06AD4" w:rsidRDefault="00A06AD4" w:rsidP="00A06AD4">
    <w:pPr>
      <w:pStyle w:val="Header"/>
    </w:pPr>
  </w:p>
  <w:p w:rsidR="000B0100" w:rsidRDefault="000B01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FC2" w:rsidRDefault="00AD0CB2" w:rsidP="00AD0CB2">
    <w:pPr>
      <w:pStyle w:val="Header"/>
      <w:rPr>
        <w:sz w:val="17"/>
      </w:rPr>
    </w:pPr>
    <w:bookmarkStart w:id="1" w:name="TITUS1HeaderPrimary"/>
    <w:r>
      <w:rPr>
        <w:sz w:val="17"/>
      </w:rPr>
      <w:t> </w:t>
    </w:r>
  </w:p>
  <w:bookmarkEnd w:id="1"/>
  <w:p w:rsidR="000B0100" w:rsidRDefault="000B01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FC2" w:rsidRDefault="00AD0CB2" w:rsidP="00AD0CB2">
    <w:pPr>
      <w:pStyle w:val="Header"/>
      <w:rPr>
        <w:sz w:val="17"/>
      </w:rPr>
    </w:pPr>
    <w:bookmarkStart w:id="4" w:name="TITUS1HeaderFirstPage"/>
    <w:r>
      <w:rPr>
        <w:sz w:val="17"/>
      </w:rPr>
      <w:t> </w:t>
    </w:r>
  </w:p>
  <w:bookmarkEnd w:id="4"/>
  <w:p w:rsidR="000B0100" w:rsidRDefault="000B01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7" w:name="TITUS2HeaderEvenPages"/>
    <w:r>
      <w:rPr>
        <w:sz w:val="17"/>
      </w:rPr>
      <w:t> </w:t>
    </w:r>
  </w:p>
  <w:bookmarkEnd w:id="7"/>
  <w:p w:rsidR="000B0100" w:rsidRDefault="000B0100" w:rsidP="000B0100">
    <w:pPr>
      <w:pStyle w:val="Header"/>
    </w:pPr>
  </w:p>
  <w:p w:rsidR="000B0100" w:rsidRDefault="000B01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8" w:name="TITUS2HeaderPrimary"/>
    <w:r>
      <w:rPr>
        <w:sz w:val="17"/>
      </w:rPr>
      <w:t> </w:t>
    </w:r>
  </w:p>
  <w:bookmarkEnd w:id="8"/>
  <w:p w:rsidR="000B0100" w:rsidRDefault="000B01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11" w:name="TITUS2HeaderFirstPage"/>
    <w:r>
      <w:rPr>
        <w:sz w:val="17"/>
      </w:rPr>
      <w:t> </w:t>
    </w:r>
  </w:p>
  <w:bookmarkEnd w:id="11"/>
  <w:p w:rsidR="000B0100" w:rsidRDefault="000B0100" w:rsidP="000B0100">
    <w:pPr>
      <w:pStyle w:val="Header"/>
    </w:pPr>
  </w:p>
  <w:p w:rsidR="000B0100" w:rsidRDefault="000B010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13" w:name="TITUS3HeaderEvenPages"/>
    <w:r>
      <w:rPr>
        <w:sz w:val="17"/>
      </w:rPr>
      <w:t> </w:t>
    </w:r>
  </w:p>
  <w:bookmarkEnd w:id="13"/>
  <w:p w:rsidR="000B0100" w:rsidRDefault="000B0100" w:rsidP="000B0100">
    <w:pPr>
      <w:pStyle w:val="Header"/>
    </w:pPr>
  </w:p>
  <w:p w:rsidR="000B0100" w:rsidRDefault="000B010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14" w:name="TITUS3HeaderPrimary"/>
    <w:r>
      <w:rPr>
        <w:sz w:val="17"/>
      </w:rPr>
      <w:t> </w:t>
    </w:r>
  </w:p>
  <w:bookmarkEnd w:id="14"/>
  <w:p w:rsidR="000B0100" w:rsidRDefault="000B010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17" w:name="TITUS3HeaderFirstPage"/>
    <w:r>
      <w:rPr>
        <w:sz w:val="17"/>
      </w:rPr>
      <w:t> </w:t>
    </w:r>
  </w:p>
  <w:bookmarkEnd w:id="17"/>
  <w:p w:rsidR="000B0100" w:rsidRDefault="000B0100" w:rsidP="000B0100">
    <w:pPr>
      <w:pStyle w:val="Header"/>
    </w:pPr>
  </w:p>
  <w:p w:rsidR="000B0100" w:rsidRDefault="000B010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19" w:name="TITUS4HeaderEvenPages"/>
    <w:r>
      <w:rPr>
        <w:sz w:val="17"/>
      </w:rPr>
      <w:t> </w:t>
    </w:r>
  </w:p>
  <w:bookmarkEnd w:id="19"/>
  <w:p w:rsidR="000B0100" w:rsidRDefault="000B0100" w:rsidP="000B0100">
    <w:pPr>
      <w:pStyle w:val="Header"/>
    </w:pPr>
  </w:p>
  <w:p w:rsidR="000B0100" w:rsidRDefault="000B010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20" w:name="TITUS4HeaderPrimary"/>
    <w:r>
      <w:rPr>
        <w:sz w:val="17"/>
      </w:rPr>
      <w:t> </w:t>
    </w:r>
  </w:p>
  <w:bookmarkEnd w:id="20"/>
  <w:p w:rsidR="000B0100" w:rsidRDefault="000B010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0100" w:rsidRDefault="00AD0CB2" w:rsidP="00AD0CB2">
    <w:pPr>
      <w:pStyle w:val="Header"/>
      <w:rPr>
        <w:sz w:val="17"/>
      </w:rPr>
    </w:pPr>
    <w:bookmarkStart w:id="23" w:name="TITUS4HeaderFirstPage"/>
    <w:r>
      <w:rPr>
        <w:sz w:val="17"/>
      </w:rPr>
      <w:t> </w:t>
    </w:r>
  </w:p>
  <w:bookmarkEnd w:id="23"/>
  <w:p w:rsidR="000B0100" w:rsidRDefault="000B0100" w:rsidP="000B0100">
    <w:pPr>
      <w:pStyle w:val="Header"/>
    </w:pPr>
  </w:p>
  <w:p w:rsidR="000B0100" w:rsidRDefault="000B0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BB5"/>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100"/>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14F69"/>
    <w:rsid w:val="001347F8"/>
    <w:rsid w:val="00137BB5"/>
    <w:rsid w:val="00137E05"/>
    <w:rsid w:val="001447F6"/>
    <w:rsid w:val="00147DE3"/>
    <w:rsid w:val="00150794"/>
    <w:rsid w:val="001608C4"/>
    <w:rsid w:val="00171418"/>
    <w:rsid w:val="001831B9"/>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545E"/>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565F"/>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2AFA"/>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7FC2"/>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3071"/>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0CC2"/>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24EF"/>
    <w:rsid w:val="009079BD"/>
    <w:rsid w:val="00910B43"/>
    <w:rsid w:val="00912BD9"/>
    <w:rsid w:val="00920E5B"/>
    <w:rsid w:val="00926436"/>
    <w:rsid w:val="0093018C"/>
    <w:rsid w:val="00932AFF"/>
    <w:rsid w:val="00945497"/>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6AD4"/>
    <w:rsid w:val="00A10D56"/>
    <w:rsid w:val="00A11EB7"/>
    <w:rsid w:val="00A12AAE"/>
    <w:rsid w:val="00A15BF1"/>
    <w:rsid w:val="00A16DD1"/>
    <w:rsid w:val="00A22441"/>
    <w:rsid w:val="00A23F3B"/>
    <w:rsid w:val="00A24406"/>
    <w:rsid w:val="00A25F64"/>
    <w:rsid w:val="00A27CC2"/>
    <w:rsid w:val="00A40ED6"/>
    <w:rsid w:val="00A46A24"/>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0CB2"/>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C4DCE"/>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6E18BDB1"/>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4">
    <w:name w:val="A4"/>
    <w:uiPriority w:val="99"/>
    <w:rsid w:val="00573071"/>
    <w:rPr>
      <w:rFonts w:cs="Bliss 2 Regular"/>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tandfonline.com/doi/abs/10.1080/15614263.2016.1230853"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tandfonline.com/doi/abs/10.1080/1561426032000113893" TargetMode="Externa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org.uk/information-support/types-of-mental-health-problems/stress/signs-of-stress/" TargetMode="Externa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4B3E6E26-A464-4297-B474-DBF5EF064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33</Pages>
  <Words>11204</Words>
  <Characters>60654</Characters>
  <Application>Microsoft Office Word</Application>
  <DocSecurity>0</DocSecurity>
  <Lines>505</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Evans,Amy swp6440</cp:lastModifiedBy>
  <cp:revision>7</cp:revision>
  <cp:lastPrinted>2019-08-13T11:47:00Z</cp:lastPrinted>
  <dcterms:created xsi:type="dcterms:W3CDTF">2020-01-03T19:10:00Z</dcterms:created>
  <dcterms:modified xsi:type="dcterms:W3CDTF">2020-01-06T08:05:00Z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3f46eb38-e4fe-429f-8106-2391b5b431e9</vt:lpwstr>
  </property>
  <property fmtid="{D5CDD505-2E9C-101B-9397-08002B2CF9AE}" pid="4" name="Classification">
    <vt:lpwstr>OFFICIAL</vt:lpwstr>
  </property>
  <property fmtid="{D5CDD505-2E9C-101B-9397-08002B2CF9AE}" pid="5" name="Visibility">
    <vt:lpwstr>NOT VISIBLE</vt:lpwstr>
  </property>
</Properties>
</file>