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1785938" cy="716021"/>
            <wp:effectExtent b="0" l="0" r="0" t="0"/>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1785938" cy="71602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8"/>
          <w:szCs w:val="28"/>
          <w:rtl w:val="0"/>
        </w:rPr>
        <w:t xml:space="preserve">APPENDIX GA36a</w:t>
      </w:r>
      <w:r w:rsidDel="00000000" w:rsidR="00000000" w:rsidRPr="00000000">
        <w:rPr>
          <w:rtl w:val="0"/>
        </w:rPr>
      </w:r>
    </w:p>
    <w:tbl>
      <w:tblPr>
        <w:tblStyle w:val="Table1"/>
        <w:tblW w:w="940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405"/>
        <w:tblGridChange w:id="0">
          <w:tblGrid>
            <w:gridCol w:w="9405"/>
          </w:tblGrid>
        </w:tblGridChange>
      </w:tblGrid>
      <w:tr>
        <w:trPr>
          <w:cantSplit w:val="0"/>
          <w:trHeight w:val="1185" w:hRule="atLeast"/>
          <w:tblHeader w:val="0"/>
        </w:trPr>
        <w:tc>
          <w:tcPr>
            <w:tcBorders>
              <w:top w:color="000000" w:space="0" w:sz="5" w:val="single"/>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03">
            <w:pPr>
              <w:pStyle w:val="Heading4"/>
              <w:keepNext w:val="0"/>
              <w:keepLines w:val="0"/>
              <w:spacing w:after="40" w:before="240" w:lineRule="auto"/>
              <w:ind w:left="400" w:firstLine="0"/>
              <w:jc w:val="center"/>
              <w:rPr>
                <w:rFonts w:ascii="Times New Roman" w:cs="Times New Roman" w:eastAsia="Times New Roman" w:hAnsi="Times New Roman"/>
                <w:b w:val="1"/>
                <w:bCs w:val="1"/>
                <w:color w:val="000000"/>
                <w:sz w:val="22"/>
                <w:szCs w:val="22"/>
              </w:rPr>
            </w:pPr>
            <w:bookmarkStart w:colFirst="0" w:colLast="0" w:name="_1438545dwshz" w:id="0"/>
            <w:bookmarkEnd w:id="0"/>
            <w:r w:rsidDel="00000000" w:rsidR="00000000" w:rsidRPr="00000000">
              <w:rPr>
                <w:rFonts w:ascii="Times New Roman" w:cs="Times New Roman" w:eastAsia="Times New Roman" w:hAnsi="Times New Roman"/>
                <w:b w:val="1"/>
                <w:bCs w:val="1"/>
                <w:color w:val="000000"/>
                <w:sz w:val="22"/>
                <w:szCs w:val="22"/>
                <w:rtl w:val="0"/>
              </w:rPr>
              <w:t xml:space="preserve">LEVEL 4 ASSESSMENT SPECIFICATION</w:t>
            </w:r>
          </w:p>
          <w:p w:rsidR="00000000" w:rsidDel="00000000" w:rsidP="00000000" w:rsidRDefault="00000000" w:rsidRPr="00000000" w14:paraId="00000004">
            <w:pPr>
              <w:spacing w:line="360" w:lineRule="auto"/>
              <w:ind w:left="40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Assessment 1</w:t>
            </w:r>
          </w:p>
        </w:tc>
      </w:tr>
    </w:tbl>
    <w:p w:rsidR="00000000" w:rsidDel="00000000" w:rsidP="00000000" w:rsidRDefault="00000000" w:rsidRPr="00000000" w14:paraId="00000005">
      <w:pPr>
        <w:jc w:val="left"/>
        <w:rPr>
          <w:rFonts w:ascii="Times New Roman" w:cs="Times New Roman" w:eastAsia="Times New Roman" w:hAnsi="Times New Roman"/>
          <w:b w:val="1"/>
          <w:bCs w:val="1"/>
          <w:i w:val="1"/>
          <w:iCs w:val="1"/>
          <w:sz w:val="32"/>
          <w:szCs w:val="32"/>
        </w:rPr>
      </w:pPr>
      <w:r w:rsidDel="00000000" w:rsidR="00000000" w:rsidRPr="00000000">
        <w:rPr>
          <w:rtl w:val="0"/>
        </w:rPr>
      </w:r>
    </w:p>
    <w:tbl>
      <w:tblPr>
        <w:tblStyle w:val="Table2"/>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42.1818181818182"/>
        <w:gridCol w:w="2978.181818181818"/>
        <w:gridCol w:w="2184"/>
        <w:gridCol w:w="2155.6363636363635"/>
        <w:tblGridChange w:id="0">
          <w:tblGrid>
            <w:gridCol w:w="2042.1818181818182"/>
            <w:gridCol w:w="2978.181818181818"/>
            <w:gridCol w:w="2184"/>
            <w:gridCol w:w="2155.6363636363635"/>
          </w:tblGrid>
        </w:tblGridChange>
      </w:tblGrid>
      <w:tr>
        <w:trPr>
          <w:cantSplit w:val="0"/>
          <w:trHeight w:val="270" w:hRule="atLeast"/>
          <w:tblHeader w:val="0"/>
        </w:trPr>
        <w:tc>
          <w:tcPr>
            <w:tcBorders>
              <w:top w:color="000000" w:space="0" w:sz="5" w:val="single"/>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06">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Student name:</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07">
            <w:pPr>
              <w:ind w:left="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NUR AMIRAH HAZIRAH BINTI HASAN</w:t>
            </w:r>
          </w:p>
        </w:tc>
        <w:tc>
          <w:tcPr>
            <w:tcBorders>
              <w:top w:color="000000" w:space="0" w:sz="5" w:val="single"/>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08">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Student ID number:</w:t>
            </w:r>
          </w:p>
        </w:tc>
        <w:tc>
          <w:tcPr>
            <w:tcBorders>
              <w:top w:color="000000" w:space="0" w:sz="5" w:val="single"/>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09">
            <w:pPr>
              <w:ind w:left="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2436789</w:t>
            </w:r>
          </w:p>
        </w:tc>
      </w:tr>
      <w:tr>
        <w:trPr>
          <w:cantSplit w:val="0"/>
          <w:trHeight w:val="270" w:hRule="atLeast"/>
          <w:tblHeader w:val="0"/>
        </w:trPr>
        <w:tc>
          <w:tcPr>
            <w:tcBorders>
              <w:top w:color="000000" w:space="0" w:sz="0" w:val="nil"/>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0A">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Programme:</w:t>
            </w:r>
          </w:p>
        </w:tc>
        <w:tc>
          <w:tcPr>
            <w:gridSpan w:val="3"/>
            <w:tcBorders>
              <w:top w:color="000000" w:space="0" w:sz="0" w:val="nil"/>
              <w:left w:color="000000" w:space="0" w:sz="0" w:val="nil"/>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0B">
            <w:pPr>
              <w:ind w:left="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INTERNATIONAL BUSINESS </w:t>
            </w:r>
          </w:p>
        </w:tc>
      </w:tr>
      <w:tr>
        <w:trPr>
          <w:cantSplit w:val="0"/>
          <w:trHeight w:val="270" w:hRule="atLeast"/>
          <w:tblHeader w:val="0"/>
        </w:trPr>
        <w:tc>
          <w:tcPr>
            <w:tcBorders>
              <w:top w:color="000000" w:space="0" w:sz="0" w:val="nil"/>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0E">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Module:</w:t>
            </w:r>
          </w:p>
        </w:tc>
        <w:tc>
          <w:tcPr>
            <w:gridSpan w:val="3"/>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0F">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Contemporary Challenges: Making a Difference</w:t>
            </w:r>
          </w:p>
        </w:tc>
      </w:tr>
      <w:tr>
        <w:trPr>
          <w:cantSplit w:val="0"/>
          <w:trHeight w:val="810" w:hRule="atLeast"/>
          <w:tblHeader w:val="0"/>
        </w:trPr>
        <w:tc>
          <w:tcPr>
            <w:tcBorders>
              <w:top w:color="000000" w:space="0" w:sz="0" w:val="nil"/>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12">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Module code:</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13">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MWBA4000</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14">
            <w:pPr>
              <w:pStyle w:val="Heading2"/>
              <w:keepNext w:val="0"/>
              <w:keepLines w:val="0"/>
              <w:spacing w:after="80" w:lineRule="auto"/>
              <w:ind w:left="400" w:firstLine="0"/>
              <w:rPr>
                <w:rFonts w:ascii="Times New Roman" w:cs="Times New Roman" w:eastAsia="Times New Roman" w:hAnsi="Times New Roman"/>
                <w:b w:val="1"/>
                <w:bCs w:val="1"/>
                <w:sz w:val="22"/>
                <w:szCs w:val="22"/>
              </w:rPr>
            </w:pPr>
            <w:bookmarkStart w:colFirst="0" w:colLast="0" w:name="_q42orw4dvuc" w:id="1"/>
            <w:bookmarkEnd w:id="1"/>
            <w:r w:rsidDel="00000000" w:rsidR="00000000" w:rsidRPr="00000000">
              <w:rPr>
                <w:rFonts w:ascii="Times New Roman" w:cs="Times New Roman" w:eastAsia="Times New Roman" w:hAnsi="Times New Roman"/>
                <w:b w:val="1"/>
                <w:bCs w:val="1"/>
                <w:sz w:val="22"/>
                <w:szCs w:val="22"/>
                <w:rtl w:val="0"/>
              </w:rPr>
              <w:t xml:space="preserve">Contribution to Overall Module Assessment (%):</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15">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100%</w:t>
            </w:r>
          </w:p>
        </w:tc>
      </w:tr>
      <w:tr>
        <w:trPr>
          <w:cantSplit w:val="0"/>
          <w:trHeight w:val="270" w:hRule="atLeast"/>
          <w:tblHeader w:val="0"/>
        </w:trPr>
        <w:tc>
          <w:tcPr>
            <w:tcBorders>
              <w:top w:color="000000" w:space="0" w:sz="0" w:val="nil"/>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16">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Lecturer:</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17">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Emma Roberts</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18">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Internal Verifier:</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19">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Vic Saunders</w:t>
            </w:r>
          </w:p>
        </w:tc>
      </w:tr>
      <w:tr>
        <w:trPr>
          <w:cantSplit w:val="0"/>
          <w:trHeight w:val="1065" w:hRule="atLeast"/>
          <w:tblHeader w:val="0"/>
        </w:trPr>
        <w:tc>
          <w:tcPr>
            <w:tcBorders>
              <w:top w:color="000000" w:space="0" w:sz="0" w:val="nil"/>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1A">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Assignment Title:</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1B">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Group Presentation with supporting material (max 4 in a group)</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1C">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Word count (or equivalent):</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1D">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5 mins each plus 1,500 words supporting material</w:t>
            </w:r>
          </w:p>
        </w:tc>
      </w:tr>
      <w:tr>
        <w:trPr>
          <w:cantSplit w:val="0"/>
          <w:trHeight w:val="855" w:hRule="atLeast"/>
          <w:tblHeader w:val="0"/>
        </w:trPr>
        <w:tc>
          <w:tcPr>
            <w:tcBorders>
              <w:top w:color="000000" w:space="0" w:sz="0" w:val="nil"/>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1E">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Submission deadline:</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1F">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 Monday 24</w:t>
            </w:r>
            <w:r w:rsidDel="00000000" w:rsidR="00000000" w:rsidRPr="00000000">
              <w:rPr>
                <w:rFonts w:ascii="Times New Roman" w:cs="Times New Roman" w:eastAsia="Times New Roman" w:hAnsi="Times New Roman"/>
                <w:b w:val="1"/>
                <w:bCs w:val="1"/>
                <w:vertAlign w:val="superscript"/>
                <w:rtl w:val="0"/>
              </w:rPr>
              <w:t xml:space="preserve">th</w:t>
            </w:r>
            <w:r w:rsidDel="00000000" w:rsidR="00000000" w:rsidRPr="00000000">
              <w:rPr>
                <w:rFonts w:ascii="Times New Roman" w:cs="Times New Roman" w:eastAsia="Times New Roman" w:hAnsi="Times New Roman"/>
                <w:b w:val="1"/>
                <w:bCs w:val="1"/>
                <w:rtl w:val="0"/>
              </w:rPr>
              <w:t xml:space="preserve"> August  2026 (23.55/ 11.55pm British Summer Time BST)</w:t>
            </w:r>
          </w:p>
        </w:tc>
        <w:tc>
          <w:tcPr>
            <w:tcBorders>
              <w:top w:color="000000" w:space="0" w:sz="0" w:val="nil"/>
              <w:left w:color="000000" w:space="0" w:sz="0" w:val="nil"/>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20">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Return date of provisional marks &amp; written feedback:</w:t>
            </w:r>
          </w:p>
        </w:tc>
        <w:tc>
          <w:tcPr>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21">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21</w:t>
            </w:r>
            <w:r w:rsidDel="00000000" w:rsidR="00000000" w:rsidRPr="00000000">
              <w:rPr>
                <w:rFonts w:ascii="Times New Roman" w:cs="Times New Roman" w:eastAsia="Times New Roman" w:hAnsi="Times New Roman"/>
                <w:b w:val="1"/>
                <w:bCs w:val="1"/>
                <w:vertAlign w:val="superscript"/>
                <w:rtl w:val="0"/>
              </w:rPr>
              <w:t xml:space="preserve">st</w:t>
            </w:r>
            <w:r w:rsidDel="00000000" w:rsidR="00000000" w:rsidRPr="00000000">
              <w:rPr>
                <w:rFonts w:ascii="Times New Roman" w:cs="Times New Roman" w:eastAsia="Times New Roman" w:hAnsi="Times New Roman"/>
                <w:b w:val="1"/>
                <w:bCs w:val="1"/>
                <w:rtl w:val="0"/>
              </w:rPr>
              <w:t xml:space="preserve"> September 2026</w:t>
            </w:r>
          </w:p>
        </w:tc>
      </w:tr>
      <w:tr>
        <w:trPr>
          <w:cantSplit w:val="0"/>
          <w:trHeight w:val="3705" w:hRule="atLeast"/>
          <w:tblHeader w:val="0"/>
        </w:trPr>
        <w:tc>
          <w:tcPr>
            <w:tcBorders>
              <w:top w:color="000000" w:space="0" w:sz="0" w:val="nil"/>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22">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Submission method:</w:t>
            </w:r>
          </w:p>
        </w:tc>
        <w:tc>
          <w:tcPr>
            <w:gridSpan w:val="3"/>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23">
            <w:pPr>
              <w:ind w:left="40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4">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Alternative submission method (if applicable):</w:t>
            </w:r>
          </w:p>
          <w:p w:rsidR="00000000" w:rsidDel="00000000" w:rsidP="00000000" w:rsidRDefault="00000000" w:rsidRPr="00000000" w14:paraId="00000025">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Late submission of the assessment will result in a late penalty mark:</w:t>
            </w:r>
          </w:p>
          <w:p w:rsidR="00000000" w:rsidDel="00000000" w:rsidP="00000000" w:rsidRDefault="00000000" w:rsidRPr="00000000" w14:paraId="00000026">
            <w:pPr>
              <w:ind w:left="40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Work which is submitted up to 1 week late will be capped at 40% for the first attempt and will be awarded a mark of 0% for re-assessment. Late submission penalties may be lifted only if there is an approved extenuating circumstances claim.</w:t>
            </w:r>
          </w:p>
          <w:p w:rsidR="00000000" w:rsidDel="00000000" w:rsidP="00000000" w:rsidRDefault="00000000" w:rsidRPr="00000000" w14:paraId="00000027">
            <w:pPr>
              <w:ind w:left="40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trPr>
          <w:cantSplit w:val="0"/>
          <w:trHeight w:val="1335" w:hRule="atLeast"/>
          <w:tblHeader w:val="0"/>
        </w:trPr>
        <w:tc>
          <w:tcPr>
            <w:tcBorders>
              <w:top w:color="000000" w:space="0" w:sz="0" w:val="nil"/>
              <w:left w:color="000000" w:space="0" w:sz="5" w:val="single"/>
              <w:bottom w:color="000000" w:space="0" w:sz="5" w:val="single"/>
              <w:right w:color="000000" w:space="0" w:sz="5" w:val="single"/>
            </w:tcBorders>
            <w:shd w:fill="d9d9d9" w:val="clear"/>
            <w:tcMar>
              <w:top w:w="0.0" w:type="dxa"/>
              <w:left w:w="100.0" w:type="dxa"/>
              <w:bottom w:w="0.0" w:type="dxa"/>
              <w:right w:w="100.0" w:type="dxa"/>
            </w:tcMar>
            <w:vAlign w:val="top"/>
          </w:tcPr>
          <w:p w:rsidR="00000000" w:rsidDel="00000000" w:rsidP="00000000" w:rsidRDefault="00000000" w:rsidRPr="00000000" w14:paraId="0000002A">
            <w:pPr>
              <w:ind w:left="400" w:firstLine="0"/>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Academic honesty / referencing:</w:t>
            </w:r>
          </w:p>
        </w:tc>
        <w:tc>
          <w:tcPr>
            <w:gridSpan w:val="3"/>
            <w:tcBorders>
              <w:top w:color="000000" w:space="0" w:sz="0" w:val="nil"/>
              <w:left w:color="000000" w:space="0" w:sz="0" w:val="nil"/>
              <w:bottom w:color="000000" w:space="0" w:sz="5" w:val="single"/>
              <w:right w:color="000000" w:space="0" w:sz="5" w:val="single"/>
            </w:tcBorders>
            <w:shd w:fill="auto" w:val="clear"/>
            <w:tcMar>
              <w:top w:w="0.0" w:type="dxa"/>
              <w:left w:w="100.0" w:type="dxa"/>
              <w:bottom w:w="0.0" w:type="dxa"/>
              <w:right w:w="100.0" w:type="dxa"/>
            </w:tcMar>
            <w:vAlign w:val="top"/>
          </w:tcPr>
          <w:p w:rsidR="00000000" w:rsidDel="00000000" w:rsidP="00000000" w:rsidRDefault="00000000" w:rsidRPr="00000000" w14:paraId="0000002B">
            <w:pPr>
              <w:ind w:left="40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SECTION 1 </w:t>
      </w:r>
    </w:p>
    <w:p w:rsidR="00000000" w:rsidDel="00000000" w:rsidP="00000000" w:rsidRDefault="00000000" w:rsidRPr="00000000" w14:paraId="00000030">
      <w:pPr>
        <w:spacing w:line="360" w:lineRule="auto"/>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365500"/>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33655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365500"/>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33655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spacing w:line="36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365500"/>
            <wp:effectExtent b="0" l="0" r="0" t="0"/>
            <wp:docPr id="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336550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35">
      <w:pPr>
        <w:spacing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SECTION 2</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Our group of four set out to explore how global teams tackle complex problems, using the title “The significance of the global team in effective problem solving.” We structured our presentation to flow logically: starting with macro-level wicked problems and international contexts, moving into structured problem-solving and design thinking, looking at emotional intelligence and new technologies, and finally wrapping up with a reflective look at our own teamwork. Across all our segments, we realized that modern challenges are simply too big for any single office or nation to handle on its own; they require a synchronized, culturally smart global team effort.</w:t>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part of the presentation focused specifically on structured problem-solving, namely, the four stages of design thinking (investigating, defining, proposing, evaluating) and why interdisciplinary thinking is non-negotiable. On my slides, I broke down how global teams use these tools to escape linear problem-solving traps and handle cross-border friction. I also made sure to critique these models honestly, highlighting how things like fast-moving markets or strict corporate hierarchies can break down even the best-laid design frameworks if leaders aren’t paying attention.</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contribution connects directly with the rest of the team’s work. The wicked problems my teammates talked about in the opening set the chaotic scene that design thinking is meant to organize. Furthermore, the cross-functional, interdisciplinary teamwork I discussed ties straight into our third member’s focus on emotional intelligence and ethical tech use, because you cannot successfully deploy tools like artificial intelligence without cross-functional safety and oversight. </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the operational hurdles and critical views I raised provided the exact kinds of real-world friction our fourth member needed to analyze using Gibbs’ reflective cycle.</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Ultimately, my section bridges the gap between high-level theory and boots-on-the-ground execution. It shows that frameworks like design thinking are only as good as the trust, psychological safety, and cultural awareness the team builds along the way. Solving problems globally isn’t just about following a rigid manual; it’s about orchestrating diverse human perspectives to turn messy dilemmas into practical breakthroughs.</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SECTION 3</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Taking a step back to critique our group’s core ideas reveals some sharp academic debates, especially around whether tools like design thinking actually work everywhere. While management textbooks love to pitch design thinking as a silver bullet, many scholars point out that it can slow teams down terribly in fast-moving global markets where you need to make decisions overnight. On top of that, design frameworks assume a flat, open workplace where anyone can speak up. In reality, working across high-power-distance cultures means junior employees might just nod along instead of challenging a senior leader’s flawed idea. This matches my own view that treating management models like rigid religion usually leads to superficial corporate theater rather than actual results. Throughout this project, I had to use a lot of critical thinking to sift through these contradictions, relying on active listening and conflict management to smooth out our team disagreements. When we hit roadblocks, I tried to ground our decisions in a healthy mix of academic theory and the messy reality of international teamwork.</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Handling a critical reflection on a group task means staying honest about where things worked and where we stumbled as a team.</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SECTION 4</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Reflecting on how our group pulled this assignment together gives us a clear window into how team dynamics actually work in practice, using Graham Gibbs’ reflective cycle to guide the process.</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the start, we were tasked with creating a video presentation and written notes on global problem-solving, but we quickly faced some classic group hurdles regarding task allocation, scheduling logistics, and trying to weave four different writing styles into one smooth academic voice. Honestly, I felt pretty anxious and overwhelmed by the sheer size of the assignment at first, but once we broke the work into clear chunks and started leaning on practical tools like design thinking and reflective frameworks, that anxiety turned into genuine momentum and teamwork.</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Looking back, our team had some great highs and a few bumpy moments, with our biggest strength being our mix of backgrounds and perspectives, which made our arguments much richer, though we definitely hit some friction early on when trying to merge our different communication styles. This experience proved just how vital core teamwork skills like critical thinking, conflict management, and tactical influencing really are, as critical thinking kept us from swallowing management buzzwords whole while conflict management saved us when we had conflicting ideas about our arguments.</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Ultimately, our group turned early logistical chaos into a strong, cohesive project by staying open-minded and emotionally intelligent, driving home the point that global teamwork fails without mutual respect and psychological safety.</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Moving forward into future group projects, I will ensure we set up clear communication rules from day one, lean even harder into healthy academic debate, and stay flexible when plans inevitably shift.</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REFERENCES</w:t>
      </w:r>
    </w:p>
    <w:p w:rsidR="00000000" w:rsidDel="00000000" w:rsidP="00000000" w:rsidRDefault="00000000" w:rsidRPr="00000000" w14:paraId="00000054">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Bason, C., &amp; Austin, R. D. (2019). The right way to lead design thinking. </w:t>
      </w:r>
      <w:r w:rsidDel="00000000" w:rsidR="00000000" w:rsidRPr="00000000">
        <w:rPr>
          <w:rFonts w:ascii="Times New Roman" w:cs="Times New Roman" w:eastAsia="Times New Roman" w:hAnsi="Times New Roman"/>
          <w:i w:val="1"/>
          <w:iCs w:val="1"/>
          <w:sz w:val="24"/>
          <w:szCs w:val="24"/>
          <w:rtl w:val="0"/>
        </w:rPr>
        <w:t xml:space="preserve">Harvard Business Review</w:t>
      </w:r>
      <w:r w:rsidDel="00000000" w:rsidR="00000000" w:rsidRPr="00000000">
        <w:rPr>
          <w:rFonts w:ascii="Times New Roman" w:cs="Times New Roman" w:eastAsia="Times New Roman" w:hAnsi="Times New Roman"/>
          <w:sz w:val="24"/>
          <w:szCs w:val="24"/>
          <w:rtl w:val="0"/>
        </w:rPr>
        <w:t xml:space="preserve">, 97(2), 82–91.</w:t>
      </w:r>
      <w:hyperlink r:id="rId10">
        <w:r w:rsidDel="00000000" w:rsidR="00000000" w:rsidRPr="00000000">
          <w:rPr>
            <w:rFonts w:ascii="Times New Roman" w:cs="Times New Roman" w:eastAsia="Times New Roman" w:hAnsi="Times New Roman"/>
            <w:sz w:val="24"/>
            <w:szCs w:val="24"/>
            <w:rtl w:val="0"/>
          </w:rPr>
          <w:t xml:space="preserve"> </w:t>
        </w:r>
      </w:hyperlink>
      <w:hyperlink r:id="rId11">
        <w:r w:rsidDel="00000000" w:rsidR="00000000" w:rsidRPr="00000000">
          <w:rPr>
            <w:rFonts w:ascii="Times New Roman" w:cs="Times New Roman" w:eastAsia="Times New Roman" w:hAnsi="Times New Roman"/>
            <w:color w:val="1155cc"/>
            <w:sz w:val="24"/>
            <w:szCs w:val="24"/>
            <w:u w:val="single"/>
            <w:rtl w:val="0"/>
          </w:rPr>
          <w:t xml:space="preserve">Available on Harvard Business Review</w:t>
        </w:r>
      </w:hyperlink>
      <w:r w:rsidDel="00000000" w:rsidR="00000000" w:rsidRPr="00000000">
        <w:rPr>
          <w:rtl w:val="0"/>
        </w:rPr>
      </w:r>
    </w:p>
    <w:p w:rsidR="00000000" w:rsidDel="00000000" w:rsidP="00000000" w:rsidRDefault="00000000" w:rsidRPr="00000000" w14:paraId="00000055">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Camillus, J. C. (2008). Strategy as a wicked problem: Making sense of complex management challenges. </w:t>
      </w:r>
      <w:r w:rsidDel="00000000" w:rsidR="00000000" w:rsidRPr="00000000">
        <w:rPr>
          <w:rFonts w:ascii="Times New Roman" w:cs="Times New Roman" w:eastAsia="Times New Roman" w:hAnsi="Times New Roman"/>
          <w:i w:val="1"/>
          <w:iCs w:val="1"/>
          <w:sz w:val="24"/>
          <w:szCs w:val="24"/>
          <w:rtl w:val="0"/>
        </w:rPr>
        <w:t xml:space="preserve">Harvard Business Review</w:t>
      </w:r>
      <w:r w:rsidDel="00000000" w:rsidR="00000000" w:rsidRPr="00000000">
        <w:rPr>
          <w:rFonts w:ascii="Times New Roman" w:cs="Times New Roman" w:eastAsia="Times New Roman" w:hAnsi="Times New Roman"/>
          <w:sz w:val="24"/>
          <w:szCs w:val="24"/>
          <w:rtl w:val="0"/>
        </w:rPr>
        <w:t xml:space="preserve">, 86(5), 98–106.</w:t>
      </w:r>
      <w:hyperlink r:id="rId12">
        <w:r w:rsidDel="00000000" w:rsidR="00000000" w:rsidRPr="00000000">
          <w:rPr>
            <w:rFonts w:ascii="Times New Roman" w:cs="Times New Roman" w:eastAsia="Times New Roman" w:hAnsi="Times New Roman"/>
            <w:sz w:val="24"/>
            <w:szCs w:val="24"/>
            <w:rtl w:val="0"/>
          </w:rPr>
          <w:t xml:space="preserve"> </w:t>
        </w:r>
      </w:hyperlink>
      <w:hyperlink r:id="rId13">
        <w:r w:rsidDel="00000000" w:rsidR="00000000" w:rsidRPr="00000000">
          <w:rPr>
            <w:rFonts w:ascii="Times New Roman" w:cs="Times New Roman" w:eastAsia="Times New Roman" w:hAnsi="Times New Roman"/>
            <w:color w:val="1155cc"/>
            <w:sz w:val="24"/>
            <w:szCs w:val="24"/>
            <w:u w:val="single"/>
            <w:rtl w:val="0"/>
          </w:rPr>
          <w:t xml:space="preserve">Available on Harvard Business Review</w:t>
        </w:r>
      </w:hyperlink>
      <w:r w:rsidDel="00000000" w:rsidR="00000000" w:rsidRPr="00000000">
        <w:rPr>
          <w:rtl w:val="0"/>
        </w:rPr>
      </w:r>
    </w:p>
    <w:p w:rsidR="00000000" w:rsidDel="00000000" w:rsidP="00000000" w:rsidRDefault="00000000" w:rsidRPr="00000000" w14:paraId="00000056">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Gibbs, G. (1988). </w:t>
      </w:r>
      <w:r w:rsidDel="00000000" w:rsidR="00000000" w:rsidRPr="00000000">
        <w:rPr>
          <w:rFonts w:ascii="Times New Roman" w:cs="Times New Roman" w:eastAsia="Times New Roman" w:hAnsi="Times New Roman"/>
          <w:i w:val="1"/>
          <w:iCs w:val="1"/>
          <w:sz w:val="24"/>
          <w:szCs w:val="24"/>
          <w:rtl w:val="0"/>
        </w:rPr>
        <w:t xml:space="preserve">Learning by doing: A guide to teaching and learning methods</w:t>
      </w:r>
      <w:r w:rsidDel="00000000" w:rsidR="00000000" w:rsidRPr="00000000">
        <w:rPr>
          <w:rFonts w:ascii="Times New Roman" w:cs="Times New Roman" w:eastAsia="Times New Roman" w:hAnsi="Times New Roman"/>
          <w:sz w:val="24"/>
          <w:szCs w:val="24"/>
          <w:rtl w:val="0"/>
        </w:rPr>
        <w:t xml:space="preserve">. Further Education Unit. Oxford Polytechnic.</w:t>
      </w:r>
    </w:p>
    <w:p w:rsidR="00000000" w:rsidDel="00000000" w:rsidP="00000000" w:rsidRDefault="00000000" w:rsidRPr="00000000" w14:paraId="00000057">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Grint, K. (2005). Problems, problems, problems: The social construction of 'leadership'. </w:t>
      </w:r>
      <w:r w:rsidDel="00000000" w:rsidR="00000000" w:rsidRPr="00000000">
        <w:rPr>
          <w:rFonts w:ascii="Times New Roman" w:cs="Times New Roman" w:eastAsia="Times New Roman" w:hAnsi="Times New Roman"/>
          <w:i w:val="1"/>
          <w:iCs w:val="1"/>
          <w:sz w:val="24"/>
          <w:szCs w:val="24"/>
          <w:rtl w:val="0"/>
        </w:rPr>
        <w:t xml:space="preserve">Human Relations</w:t>
      </w:r>
      <w:r w:rsidDel="00000000" w:rsidR="00000000" w:rsidRPr="00000000">
        <w:rPr>
          <w:rFonts w:ascii="Times New Roman" w:cs="Times New Roman" w:eastAsia="Times New Roman" w:hAnsi="Times New Roman"/>
          <w:sz w:val="24"/>
          <w:szCs w:val="24"/>
          <w:rtl w:val="0"/>
        </w:rPr>
        <w:t xml:space="preserve">, 58(11), 1467–1494.</w:t>
      </w:r>
    </w:p>
    <w:p w:rsidR="00000000" w:rsidDel="00000000" w:rsidP="00000000" w:rsidRDefault="00000000" w:rsidRPr="00000000" w14:paraId="00000058">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Meyer, E. (2017). Navigating the cultural minefield: How to lead across differences. </w:t>
      </w:r>
      <w:r w:rsidDel="00000000" w:rsidR="00000000" w:rsidRPr="00000000">
        <w:rPr>
          <w:rFonts w:ascii="Times New Roman" w:cs="Times New Roman" w:eastAsia="Times New Roman" w:hAnsi="Times New Roman"/>
          <w:i w:val="1"/>
          <w:iCs w:val="1"/>
          <w:sz w:val="24"/>
          <w:szCs w:val="24"/>
          <w:rtl w:val="0"/>
        </w:rPr>
        <w:t xml:space="preserve">Harvard Business Review</w:t>
      </w:r>
      <w:r w:rsidDel="00000000" w:rsidR="00000000" w:rsidRPr="00000000">
        <w:rPr>
          <w:rFonts w:ascii="Times New Roman" w:cs="Times New Roman" w:eastAsia="Times New Roman" w:hAnsi="Times New Roman"/>
          <w:sz w:val="24"/>
          <w:szCs w:val="24"/>
          <w:rtl w:val="0"/>
        </w:rPr>
        <w:t xml:space="preserve">, 95(3), 119–123.</w:t>
      </w:r>
      <w:hyperlink r:id="rId14">
        <w:r w:rsidDel="00000000" w:rsidR="00000000" w:rsidRPr="00000000">
          <w:rPr>
            <w:rFonts w:ascii="Times New Roman" w:cs="Times New Roman" w:eastAsia="Times New Roman" w:hAnsi="Times New Roman"/>
            <w:sz w:val="24"/>
            <w:szCs w:val="24"/>
            <w:rtl w:val="0"/>
          </w:rPr>
          <w:t xml:space="preserve"> </w:t>
        </w:r>
      </w:hyperlink>
      <w:hyperlink r:id="rId15">
        <w:r w:rsidDel="00000000" w:rsidR="00000000" w:rsidRPr="00000000">
          <w:rPr>
            <w:rFonts w:ascii="Times New Roman" w:cs="Times New Roman" w:eastAsia="Times New Roman" w:hAnsi="Times New Roman"/>
            <w:color w:val="1155cc"/>
            <w:sz w:val="24"/>
            <w:szCs w:val="24"/>
            <w:u w:val="single"/>
            <w:rtl w:val="0"/>
          </w:rPr>
          <w:t xml:space="preserve">Available on Harvard Business Review</w:t>
        </w:r>
      </w:hyperlink>
      <w:r w:rsidDel="00000000" w:rsidR="00000000" w:rsidRPr="00000000">
        <w:rPr>
          <w:rtl w:val="0"/>
        </w:rPr>
      </w:r>
    </w:p>
    <w:p w:rsidR="00000000" w:rsidDel="00000000" w:rsidP="00000000" w:rsidRDefault="00000000" w:rsidRPr="00000000" w14:paraId="00000059">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Rittel, H. W., &amp; Webber, M. M. (1973). Dilemmas in a general theory of planning. </w:t>
      </w:r>
      <w:r w:rsidDel="00000000" w:rsidR="00000000" w:rsidRPr="00000000">
        <w:rPr>
          <w:rFonts w:ascii="Times New Roman" w:cs="Times New Roman" w:eastAsia="Times New Roman" w:hAnsi="Times New Roman"/>
          <w:i w:val="1"/>
          <w:iCs w:val="1"/>
          <w:sz w:val="24"/>
          <w:szCs w:val="24"/>
          <w:rtl w:val="0"/>
        </w:rPr>
        <w:t xml:space="preserve">Policy Sciences</w:t>
      </w:r>
      <w:r w:rsidDel="00000000" w:rsidR="00000000" w:rsidRPr="00000000">
        <w:rPr>
          <w:rFonts w:ascii="Times New Roman" w:cs="Times New Roman" w:eastAsia="Times New Roman" w:hAnsi="Times New Roman"/>
          <w:sz w:val="24"/>
          <w:szCs w:val="24"/>
          <w:rtl w:val="0"/>
        </w:rPr>
        <w:t xml:space="preserve">, 4(2), 155–169.</w:t>
      </w:r>
    </w:p>
    <w:sectPr>
      <w:headerReference r:id="rId1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tcPr>
      <w:shd w:fill="c0c0c0" w:val="clear"/>
    </w:tcPr>
  </w:style>
  <w:style w:type="table" w:styleId="Table2">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hbr.org/2019/03/the-right-way-to-lead-design-thinking" TargetMode="External"/><Relationship Id="rId10" Type="http://schemas.openxmlformats.org/officeDocument/2006/relationships/hyperlink" Target="https://hbr.org/2019/03/the-right-way-to-lead-design-thinking" TargetMode="External"/><Relationship Id="rId13" Type="http://schemas.openxmlformats.org/officeDocument/2006/relationships/hyperlink" Target="https://www.google.com/search?q=https://hbr.org/2008/05/strategy-as-a-wicked-problem-making-sense-of-complex-management-challenges" TargetMode="External"/><Relationship Id="rId12" Type="http://schemas.openxmlformats.org/officeDocument/2006/relationships/hyperlink" Target="https://www.google.com/search?q=https://hbr.org/2008/05/strategy-as-a-wicked-problem-making-sense-of-complex-management-challeng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google.com/search?q=https://hbr.org/2015/05/getting-to-si-ja-hai-and-oui" TargetMode="External"/><Relationship Id="rId14" Type="http://schemas.openxmlformats.org/officeDocument/2006/relationships/hyperlink" Target="https://www.google.com/search?q=https://hbr.org/2015/05/getting-to-si-ja-hai-and-oui" TargetMode="Externa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1.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