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1FC8141" w:rsidP="129ED4C5" w:rsidRDefault="61FC8141" w14:paraId="6F699ECB" w14:textId="6A4C71C0">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1"/>
          <w:bCs w:val="1"/>
          <w:i w:val="0"/>
          <w:iCs w:val="0"/>
          <w:caps w:val="0"/>
          <w:smallCaps w:val="0"/>
          <w:noProof w:val="0"/>
          <w:color w:val="000000" w:themeColor="text1" w:themeTint="FF" w:themeShade="FF"/>
          <w:sz w:val="24"/>
          <w:szCs w:val="24"/>
          <w:lang w:val="en-GB"/>
        </w:rPr>
        <w:t>What is play?</w:t>
      </w:r>
    </w:p>
    <w:p w:rsidR="61FC8141" w:rsidP="129ED4C5" w:rsidRDefault="61FC8141" w14:paraId="0C18A4B9" w14:textId="15F31FB4">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Defining play is difficult as it is complex and personal and changes from person to person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(MacDonald, 2022; Yogmen </w:t>
      </w:r>
      <w:r w:rsidRPr="129ED4C5" w:rsidR="61FC8141">
        <w:rPr>
          <w:rFonts w:ascii="Aptos" w:hAnsi="Aptos" w:eastAsia="Aptos" w:cs="Aptos"/>
          <w:b w:val="0"/>
          <w:bCs w:val="0"/>
          <w:i w:val="1"/>
          <w:iCs w:val="1"/>
          <w:caps w:val="0"/>
          <w:smallCaps w:val="0"/>
          <w:noProof w:val="0"/>
          <w:color w:val="000000" w:themeColor="text1" w:themeTint="FF" w:themeShade="FF"/>
          <w:sz w:val="24"/>
          <w:szCs w:val="24"/>
          <w:highlight w:val="yellow"/>
          <w:lang w:val="en-GB"/>
        </w:rPr>
        <w:t xml:space="preserve">et al.,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2018).</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MacDonald (2018)</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continues to say that most definitions describe what play provides rather than what it is. It is often said that play is important to a child’s holistic development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(Botrill, 2018; Welsh Assembly Government, 2002; Howard, 2020; Brodie, 2018).</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1FC8141" w:rsidP="129ED4C5" w:rsidRDefault="61FC8141" w14:paraId="66027A57" w14:textId="4C7D4730">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The Welsh government (2024)</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state that ‘play is fundamental right for all children’. Children have an innate desire to play, and through play they will be able to explore emotions and start to make sense of their world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(The welsh Government, 2024; Lockheart, 2017)</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 The UN Convention on the Rights of the Child (UNCRC) is a legally binding agreement that has been signed by 196 countries (as of July 12, 2022), outlining the basic rights of every child, regardless of their race, religion, or abilities. In Article 31 they state that ‘every child has the right to relax, play and take part in a wide range of cultural and artistic activities’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(UNICEF, no date).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In General Comment no. 17 on Article 31, the United Nations Committee on the Rights of the Child notes that play has the key characteristics of fun, uncertainty, challenge, flexibility and non-productivity.</w:t>
      </w:r>
    </w:p>
    <w:p w:rsidR="61FC8141" w:rsidP="129ED4C5" w:rsidRDefault="61FC8141" w14:paraId="709A4BE8" w14:textId="33940E9D">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Silmser (2020)</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conveys through play, children learn to form relationships, share, and learn self-advocacy skills. She continues to state it teaches children leadership skills as well as teamwork, supports dealing with challenges in the environment, and overcome fears. Although there are many benefits to play and research stating playing enhances learning,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Brooker (2010)</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identifies that play can often be viewed as an activity once work is completed, and that play- based learning is a hard concept for parents to accept. </w:t>
      </w:r>
    </w:p>
    <w:p w:rsidR="61FC8141" w:rsidP="129ED4C5" w:rsidRDefault="61FC8141" w14:paraId="272FC060" w14:textId="1EFE7FB9">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Rough and Tumble</w:t>
      </w:r>
    </w:p>
    <w:p w:rsidR="61FC8141" w:rsidP="129ED4C5" w:rsidRDefault="61FC8141" w14:paraId="624798F2" w14:textId="422FD63B">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Jarvis (2010)</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discusses that rough and tumble play can take on many vigorous forms such as chasing, running, play fighting and jumping. Other types of rough and tumble play include ticking, climbing over each other, and pushing.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Joshi and Jones (2021)</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recognise this type of play is often misunderstood by adults as there are fears of it encouraging aggressive behaviour and having negative effects on relationships.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Rees- Edwards, 2022; Storli, 2021 and DiCarlo </w:t>
      </w:r>
      <w:r w:rsidRPr="129ED4C5" w:rsidR="61FC8141">
        <w:rPr>
          <w:rFonts w:ascii="Aptos" w:hAnsi="Aptos" w:eastAsia="Aptos" w:cs="Aptos"/>
          <w:b w:val="0"/>
          <w:bCs w:val="0"/>
          <w:i w:val="1"/>
          <w:iCs w:val="1"/>
          <w:caps w:val="0"/>
          <w:smallCaps w:val="0"/>
          <w:noProof w:val="0"/>
          <w:color w:val="000000" w:themeColor="text1" w:themeTint="FF" w:themeShade="FF"/>
          <w:sz w:val="24"/>
          <w:szCs w:val="24"/>
          <w:highlight w:val="yellow"/>
          <w:lang w:val="en-GB"/>
        </w:rPr>
        <w:t>et al, 2014</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argue how there are many benefits such as encouraging physical activity, learn about self- control, co-ordination and body control. She continues by saying it can also encourage language, communication and cognitive development.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Lockheart (2017)</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adds play can teach empathy and can prevent obesity.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Nursery World (2019)</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agree that rough and tumble play contribute to a child’s holistic development and encourages learning one's strength, how to respond appropriately to others personal and physical boundaries and work out social relationships. </w:t>
      </w:r>
    </w:p>
    <w:p w:rsidR="61FC8141" w:rsidP="129ED4C5" w:rsidRDefault="61FC8141" w14:paraId="0C7E0955" w14:textId="7903F72C">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Although there are many benefits to rough and tumble, it is seen less in settings as there is a worry it could encourage aggressive behaviour. However,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Vieger e</w:t>
      </w:r>
      <w:r w:rsidRPr="129ED4C5" w:rsidR="61FC8141">
        <w:rPr>
          <w:rFonts w:ascii="Aptos" w:hAnsi="Aptos" w:eastAsia="Aptos" w:cs="Aptos"/>
          <w:b w:val="0"/>
          <w:bCs w:val="0"/>
          <w:i w:val="1"/>
          <w:iCs w:val="1"/>
          <w:caps w:val="0"/>
          <w:smallCaps w:val="0"/>
          <w:strike w:val="0"/>
          <w:dstrike w:val="0"/>
          <w:noProof w:val="0"/>
          <w:color w:val="000000" w:themeColor="text1" w:themeTint="FF" w:themeShade="FF"/>
          <w:sz w:val="24"/>
          <w:szCs w:val="24"/>
          <w:highlight w:val="yellow"/>
          <w:u w:val="none"/>
          <w:lang w:val="en-GB"/>
        </w:rPr>
        <w:t xml:space="preserve">t al.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(2022)</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believe that aggression is not present in rough and tumble play and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Smith and StGeorge (2022)</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believe that there is evidence to support the fact that the higher level of education and the more experienced teachers,  will allow for playfighting on the school playground as they understand the benefits and can better distinguish play from aggression.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 xml:space="preserve">Smith, 2009; Moyles,2005)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state to see if the children are playing or if it is aggressive, look at their facial expressions to see whether they are positive, happy and smiling or if an adult needs to intervene. </w:t>
      </w:r>
    </w:p>
    <w:p w:rsidR="61FC8141" w:rsidP="129ED4C5" w:rsidRDefault="61FC8141" w14:paraId="110E2DBF" w14:textId="3F06D66E">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 are many ways to support rough and tumble in practice.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Anastasi (2024)</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suggest some ways to facilitate rough and tumble play is by introducing crash mats, foam shapes and getting children involved to set boundaries to ensure all participants feel safe.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 xml:space="preserve">Brightwheel (2025)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provides more information on how to facilitate this play safely by maintaining active supervision, teaching how to land softly, and keeping hands open to minimise casualties.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Jantz (2022)</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expresses how the benefits of rough and tumble should be explained to parents so they can make an educated decision whether their child can take part.</w:t>
      </w:r>
    </w:p>
    <w:p w:rsidR="61FC8141" w:rsidP="129ED4C5" w:rsidRDefault="61FC8141" w14:paraId="42ECC00E" w14:textId="3DD0F35B">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One can acknowledge rough and tumble through Vygotsky’s theory when children create their own zone of proximal development. According to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Vygotsky in Whitebread and Jameson (2005)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children set their own level of challenge, what they are doing is always developmentally appropriate.</w:t>
      </w:r>
    </w:p>
    <w:p w:rsidR="61FC8141" w:rsidP="129ED4C5" w:rsidRDefault="61FC8141" w14:paraId="7319EFB6" w14:textId="4C8BA264">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When referring to Parten’s stages of play, rough and tumble would be considered cooperative play as it requires two people. </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t>Hart and Tannock (2018, quoted in Storli, 2021)</w:t>
      </w:r>
      <w:r w:rsidRPr="129ED4C5" w:rsidR="61FC81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state rough and tumble as ‘verbally and physical cooperative play behaviour involving at least two children’. </w:t>
      </w:r>
    </w:p>
    <w:p w:rsidR="61FC8141" w:rsidP="129ED4C5" w:rsidRDefault="61FC8141" w14:paraId="4E2423F0" w14:textId="613BDB0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1"/>
          <w:bCs w:val="1"/>
          <w:i w:val="0"/>
          <w:iCs w:val="0"/>
          <w:caps w:val="0"/>
          <w:smallCaps w:val="0"/>
          <w:noProof w:val="0"/>
          <w:color w:val="000000" w:themeColor="text1" w:themeTint="FF" w:themeShade="FF"/>
          <w:sz w:val="24"/>
          <w:szCs w:val="24"/>
          <w:lang w:val="en-GB"/>
        </w:rPr>
        <w:t>Imaginative Play</w:t>
      </w:r>
    </w:p>
    <w:p w:rsidR="61FC8141" w:rsidP="129ED4C5" w:rsidRDefault="61FC8141" w14:paraId="5A804643" w14:textId="33DB78B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Play Wales (2017)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claim imaginative play can often be confused for fantasy play. They explain by stating where fantasy play is using fictional events and characters, imaginative play has elements based on reality.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Rees- Edwards (2022)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states children taking part in imaginative play are creating activities that provides opportunities to problem solve and to create new possibilities. Many agree that imaginative play helps children make sense of the world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(Rees- Edwards, 2022; Spivey, 2024).</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Worthington (2010)</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recognises that when children weave in and out of play they start to transfer ‘real world’ knowledge from other areas of their lives.</w:t>
      </w:r>
    </w:p>
    <w:p w:rsidR="61FC8141" w:rsidP="129ED4C5" w:rsidRDefault="61FC8141" w14:paraId="2F0D0ECD" w14:textId="14D602F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Spivey (2022)</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discusses some benefits of imaginative play conveying that it helps children develop critical thinking skills, follow simple instructions, enhances both expressive and receptive language, improves social skills, and supports children to learn to manage their emotions.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Gajdamaschko (2006)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believes that Vygotsky viewed imagination as an advanced psychological function that allows a child to gain control over their own behaviour.</w:t>
      </w:r>
    </w:p>
    <w:p w:rsidR="61FC8141" w:rsidP="129ED4C5" w:rsidRDefault="61FC8141" w14:paraId="364F002D" w14:textId="651029B2">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Innacone (2019)</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presents the idea that Bruner described the child's process of interpreting reality as an ongoing development of narrative interpretations of the world around them.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Bruner (1986)</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assumed that the primary role of a narrative is to investigate different versions of the human experience, or "possible worlds." It is an effective tool for examining problems and potential ways to address them. Through imaginative play it allows the child to explore different scenarios and outcomes. When looking at play stages, imaginative play can be solitary, associated, or cooperated play. For example, in a home corner one may see a child pretending to cook something in the kitchen, this is the solitary play. There could be multiple children in the home corner all pretending to cook but doing it individually, this would be associated play. Finaly you could see multiple children in the home corner, creating and pretending to cook food together, this would be cooperated play. </w:t>
      </w:r>
    </w:p>
    <w:p w:rsidR="61FC8141" w:rsidP="129ED4C5" w:rsidRDefault="61FC8141" w14:paraId="7A6D992F" w14:textId="4C215431">
      <w:pPr>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Bottrill (2018)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discusses Malaguzzi and how he envisioned children being enabled to realise and express themselves along with the principles of respect, responsibility and community.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Malaguzzi’s</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poem, </w:t>
      </w:r>
      <w:r w:rsidRPr="129ED4C5" w:rsidR="61FC8141">
        <w:rPr>
          <w:rFonts w:ascii="Aptos" w:hAnsi="Aptos" w:eastAsia="Aptos" w:cs="Aptos"/>
          <w:b w:val="0"/>
          <w:bCs w:val="0"/>
          <w:i w:val="1"/>
          <w:iCs w:val="1"/>
          <w:caps w:val="0"/>
          <w:smallCaps w:val="0"/>
          <w:noProof w:val="0"/>
          <w:color w:val="000000" w:themeColor="text1" w:themeTint="FF" w:themeShade="FF"/>
          <w:sz w:val="24"/>
          <w:szCs w:val="24"/>
          <w:lang w:val="en-GB"/>
        </w:rPr>
        <w:t>The Hundred Languages of Children</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shows the importance of all the ways a child can express themselves.  </w:t>
      </w:r>
    </w:p>
    <w:p w:rsidR="61FC8141" w:rsidP="129ED4C5" w:rsidRDefault="61FC8141" w14:paraId="6B6F1114" w14:textId="0D64EB3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1"/>
          <w:bCs w:val="1"/>
          <w:i w:val="0"/>
          <w:iCs w:val="0"/>
          <w:caps w:val="0"/>
          <w:smallCaps w:val="0"/>
          <w:noProof w:val="0"/>
          <w:color w:val="000000" w:themeColor="text1" w:themeTint="FF" w:themeShade="FF"/>
          <w:sz w:val="24"/>
          <w:szCs w:val="24"/>
          <w:lang w:val="en-GB"/>
        </w:rPr>
        <w:t>Part 2 Self- directed play</w:t>
      </w:r>
    </w:p>
    <w:p w:rsidR="61FC8141" w:rsidP="129ED4C5" w:rsidRDefault="61FC8141" w14:paraId="2C3D2911" w14:textId="6397845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Self-directed play is a form of independent play that occurs when children decide what to play and how to play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(Play Adventures, 2019)</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They create their own rules, driven by their personal interests and intrinsic motivation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Broadhead, 2010; Play Adventures, 2019). Aminpour, Bishop and Corkery (2020)</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recognise the primary types of self-directed play include physical play, cognitive play and social play.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Rees- Edwards (2022)</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believes free play encourages learning on how to be autonomous.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Bertram and Pascal (2010)</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believe children need a lot of opportunities to be self-directed and that they should be inspired to manage their own learning.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Welsh Assembly Government (2002)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recognise that children’s free choice of their own play is a crucial factor in enhancing their learning and aiding their development and well-being.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HFL Education (2023)</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express that open ended play meets the characteristics of effective teaching by allowing children to play and explore, support active learning, and think critically.</w:t>
      </w:r>
    </w:p>
    <w:p w:rsidR="61FC8141" w:rsidP="129ED4C5" w:rsidRDefault="61FC8141" w14:paraId="1A44BD6F" w14:textId="523BC26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Gray (2015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states that children are biologically designed to educate themselves. He continues to argue that adults do not need to educate them, all that needs to be done is to provide the conditions the children need to educate themselves.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Lockheart (2017)</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admits it is not easy to just let children play as adult’s natural instincts are to interfere. He continues to state that play is simple and for children it is innate, and that adult’s interference adds no value.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Dunlap (2021)</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states when an adult intervenes in play without taking the cycle of the play into account, the intervention interrupts the child-created world and disturbs the flow of the play. However, adults can support self- directed play with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Macdonald (2020)</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recognising the importance of an adult interaction during play work and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McInnes </w:t>
      </w:r>
      <w:r w:rsidRPr="129ED4C5" w:rsidR="61FC8141">
        <w:rPr>
          <w:rFonts w:ascii="Aptos" w:hAnsi="Aptos" w:eastAsia="Aptos" w:cs="Aptos"/>
          <w:b w:val="0"/>
          <w:bCs w:val="0"/>
          <w:i w:val="1"/>
          <w:iCs w:val="1"/>
          <w:caps w:val="0"/>
          <w:smallCaps w:val="0"/>
          <w:noProof w:val="0"/>
          <w:color w:val="000000" w:themeColor="text1" w:themeTint="FF" w:themeShade="FF"/>
          <w:sz w:val="24"/>
          <w:szCs w:val="24"/>
          <w:highlight w:val="yellow"/>
          <w:lang w:val="en-GB"/>
        </w:rPr>
        <w:t xml:space="preserve">et al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(2013)</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proposes that with adults asking open ended questions it allows for children to use wider language and gives children more choice and control over their learning.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Welsh Assembly Government (2024)</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maintains adult should give enough time and opportunities for children to effectively master skills, allowing for extended periods of uninterrupted play where they can fully engage and embrace their learning.</w:t>
      </w:r>
    </w:p>
    <w:p w:rsidR="61FC8141" w:rsidP="129ED4C5" w:rsidRDefault="61FC8141" w14:paraId="22736812" w14:textId="3BC64D1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Adults providing the right environment for children are also providing opportunities to create an inclusive environment, so all children can play as they choose.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Play Wales (2025)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explains to create a rich environment to play, give children plenty of opportunities to play as they desire, either alone or with others, in a space or setting that supports their play needs.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Welsh Government (2024)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advocate implementing inclusive practice within a pedagogical approach will ensure children have a sense of belonging and feel valued. They note to make an environment inclusive, keep it well organised as this will ensure it is accessible to all, removing barriers and making appropriate adaptions, offer open ended resources that reflect diversity and to include diverse representation within resources. </w:t>
      </w:r>
    </w:p>
    <w:p w:rsidR="61FC8141" w:rsidP="129ED4C5" w:rsidRDefault="61FC8141" w14:paraId="04ADBE40" w14:textId="16BF67FF">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There are many benefits to self-directed play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Ledendecker, 2020; The Steiner Collection, no date),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a few being exploring by themselves allows children to gain a better understanding of what they can do for themselves giving them more independence. It gives them a chance to problem solve, developing their skills and allows for them to express themselves and be creative.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The Steiner Collection (no date)</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notes that instead of using toys intended for a specific purpose, by offering ‘open ended items’ encourages children to use their imagination and decide what they want to do. ‘The flexibility of resources allows children to collaborate and cooperate in cognitively challenging and emotionally satisfying play’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(Moyles,2005). Birthto5matters (no date) state children experience autonomy and can develop confidence in their own agency through their ability to make choices and take responsibility.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Self- directed play gives opportunity for children to focus on interests.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Gray (2018)</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expresses being able to follow passions when young, will potentially influence the job you have when older. He believes that educational systems as they are now, thwarts passions and that when one finds a passion, work, play and learning are all as one.</w:t>
      </w:r>
    </w:p>
    <w:p w:rsidR="61FC8141" w:rsidP="129ED4C5" w:rsidRDefault="61FC8141" w14:paraId="495D09E9" w14:textId="05CEAA42">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It is important to consider the play cycle when looking at the role of the adult and how it contributes to a child’s holistic development. The play cycle consists of six elements: metalude, play cue, play return, play frame, loop and flow and annihilation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(King and Sturrock (2019).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To ensure play is not being adulterated, adults must wait for a play cue, to be invited into a child’s play. </w:t>
      </w:r>
    </w:p>
    <w:p w:rsidR="61FC8141" w:rsidP="129ED4C5" w:rsidRDefault="61FC8141" w14:paraId="7CEAA9CF" w14:textId="2D9760B8">
      <w:pPr>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1"/>
          <w:bCs w:val="1"/>
          <w:i w:val="0"/>
          <w:iCs w:val="0"/>
          <w:caps w:val="0"/>
          <w:smallCaps w:val="0"/>
          <w:noProof w:val="0"/>
          <w:color w:val="000000" w:themeColor="text1" w:themeTint="FF" w:themeShade="FF"/>
          <w:sz w:val="24"/>
          <w:szCs w:val="24"/>
          <w:lang w:val="en-GB"/>
        </w:rPr>
        <w:t>Observations Section 3</w:t>
      </w:r>
    </w:p>
    <w:p w:rsidR="61FC8141" w:rsidP="129ED4C5" w:rsidRDefault="61FC8141" w14:paraId="54F51049" w14:textId="29C714B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Kynaston (2015)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explains observations as one of the many ways that identify children’s strengths and needs. There are many reasons why observations are important,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College of the Canyons (2020)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argue it supports teachers to become more accountable.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Smidt (2015)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shares these views and insists that only by watching and learning can we fully support and start scaffolding learning to extend their learning.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Kurt, 2020; Smidt, 2015 and Tinney, 2020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recognise that not only does observation provide a deeper understanding of child development but also aids in supporting children further and providing appropriate resources for them.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Campbell- Barr and Tregenza (2023)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acknowledge that observations are there to focus on the child, however special attention must be taken to ensure the observation does not shift the focus on to what the child ‘should’ become</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 Care Learning (2024)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appreciate that observing can detect concerns that may otherwise go unnoticed. They specify saying it can draw attention to communication delays, and that these aspects are essential to recognise earlier so interventions can be done in a timely manner. In the curriculum for funded non-maintained settings,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Welsh Government (2024) note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the responsibility of practitioners to use observations to plan environments and create meaningful experiences that are relevant to the children’s interests.There are many ways to observe children with narrative, check lists and time sampling being a few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(Sharman, Cross and Vennis (2015)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Drake ( 2010)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maintains that children should not be observed in a ‘test’ like situation as the results will most probably become distorted. </w:t>
      </w:r>
    </w:p>
    <w:p w:rsidR="61FC8141" w:rsidP="129ED4C5" w:rsidRDefault="61FC8141" w14:paraId="5D3DA8FA" w14:textId="636480F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Arnerich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(2021)</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describes The Leuven Scale as a five-point scale which focuses on well-being and involvement of a child. It is a popular form of observation as it was developed by Ferres Laevers who is considered an early year's pioneer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(Nursery World, 2005).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The well-being aspect is scored from one being the lowest, presented as the child showing signs of discomfort, up to five which is extremely high with the child continuously displaying they are happy, satisfied and fully engaged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(Storli and Sandsetter, 2018)</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The involvement aspect is also scored from one to five.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Laevers and Declercq (2018)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de</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red"/>
          <w:lang w:val="en-GB"/>
        </w:rPr>
        <w:t>s</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cribe one being no activity and five being continuous intense activity.  It can be used to observe children as a group or individually and should be done for approximately two minutes at a time.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Scottish Borders Council, no date; Arnerich, 2021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state that Laevers</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believed a child who is not high up on the well-being and involvement scale will not be able to deeply engage and benefit from experiences within settings.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Laevers (2016)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conveys when looking at education, the whole picture must be considered. </w:t>
      </w:r>
    </w:p>
    <w:p w:rsidR="61FC8141" w:rsidP="129ED4C5" w:rsidRDefault="61FC8141" w14:paraId="79DCEA9E" w14:textId="59E57AA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Welsh Government (2024)</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state in their curriculum that well-being being is one of their five child development to provide a holistic learning environment.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Eyworks (2022)</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describes some of the characteristics of high levels of involvement as deep satisfaction and genuine interest. They recognise that these characteristics are also linked to effective teaching and learning within the Early Years Foundation Stage.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Laevers (2015)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believes the essence of the rating process involves an empathetic act where the observer must immerse themselves in the child's experience, essentially trying to become the child.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Laevers (2015)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also suggests that the higher competence teachers tend to have more involved children.</w:t>
      </w:r>
    </w:p>
    <w:p w:rsidR="61FC8141" w:rsidP="129ED4C5" w:rsidRDefault="61FC8141" w14:paraId="5A001E3D" w14:textId="4CB54D8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It could be argued that The Leuven Scale is a positive alternative to outcome-based observations as it is not assessment based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(MacRae and Jones, 2022).</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They continue to explore the theory that the more absorbed the child is, the deeper their experience, and the more they will use critical thinking.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Greenway and Hutchings (2020)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suggest that observing well-being could positively influence practice and policy within settings. However, there are limitations to using Leuven’s Scale.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Greenway and Hutchings, 2022; MacRae and Jones 2020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acknowledge that documenting someone’s well-being is not necessarily straight forward as it can be subjective. This could lead to people obtaining different result or even interpreting results differently to how they were intended.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Peterson and Elam (2020)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propose that biases can influence observation outcomes and argue that people may not even be aware of having biased views. </w:t>
      </w:r>
    </w:p>
    <w:p w:rsidR="61FC8141" w:rsidP="129ED4C5" w:rsidRDefault="61FC8141" w14:paraId="22AE3133" w14:textId="5E54D92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The Leuven scale takes into consideration the emotional and cognitive engagement of a child (Arnerich,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2021; Nursey World, 2005; Storli and Sandsetter, 2018)</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It does not necessarily assess all areas of development such as physical development, social skills, or language development. However, it does offer a well-rounded picture of a child’s emotional and cognitive well-being, which are crucial aspects to a child’s holistic development.</w:t>
      </w:r>
    </w:p>
    <w:p w:rsidR="61FC8141" w:rsidP="129ED4C5" w:rsidRDefault="61FC8141" w14:paraId="6865446B" w14:textId="22981E9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1"/>
          <w:bCs w:val="1"/>
          <w:i w:val="0"/>
          <w:iCs w:val="0"/>
          <w:caps w:val="0"/>
          <w:smallCaps w:val="0"/>
          <w:noProof w:val="0"/>
          <w:color w:val="000000" w:themeColor="text1" w:themeTint="FF" w:themeShade="FF"/>
          <w:sz w:val="24"/>
          <w:szCs w:val="24"/>
          <w:lang w:val="en-GB"/>
        </w:rPr>
        <w:t>Section 4</w:t>
      </w:r>
    </w:p>
    <w:p w:rsidR="61FC8141" w:rsidP="129ED4C5" w:rsidRDefault="61FC8141" w14:paraId="2BC80965" w14:textId="2BE9008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When observing a child, it is important to think about what is to be gained from the observation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(Brodie, no date).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It is necessary to consider different observation methods  depending on what information is trying to be gathered.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Drake (2010)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draws attention the fact that one observation will not provide enough information for assessment and will simply contribute information to a summary based on numerous observations across different contexts.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 Gokce (2020)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mentions the level of involvement from the observer will influence what observation will take place. He explains how participant observation and taking field notes requires the involvement of the observer in settings. Whilst recordings and photos can provide the conditions for non-participatory observation.</w:t>
      </w:r>
    </w:p>
    <w:p w:rsidR="61FC8141" w:rsidP="129ED4C5" w:rsidRDefault="61FC8141" w14:paraId="58D4A5FE" w14:textId="1C66CF3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5"/>
          <w:szCs w:val="25"/>
          <w:lang w:val="en-GB"/>
        </w:rPr>
        <w:t xml:space="preserve">It is often said that children learn best and are motivated through play </w:t>
      </w:r>
      <w:r w:rsidRPr="129ED4C5" w:rsidR="61FC8141">
        <w:rPr>
          <w:rFonts w:ascii="Aptos" w:hAnsi="Aptos" w:eastAsia="Aptos" w:cs="Aptos"/>
          <w:b w:val="0"/>
          <w:bCs w:val="0"/>
          <w:i w:val="0"/>
          <w:iCs w:val="0"/>
          <w:caps w:val="0"/>
          <w:smallCaps w:val="0"/>
          <w:noProof w:val="0"/>
          <w:color w:val="000000" w:themeColor="text1" w:themeTint="FF" w:themeShade="FF"/>
          <w:sz w:val="25"/>
          <w:szCs w:val="25"/>
          <w:highlight w:val="yellow"/>
          <w:lang w:val="en-GB"/>
        </w:rPr>
        <w:t xml:space="preserve">(Wainwright </w:t>
      </w:r>
      <w:r w:rsidRPr="129ED4C5" w:rsidR="61FC8141">
        <w:rPr>
          <w:rFonts w:ascii="Aptos" w:hAnsi="Aptos" w:eastAsia="Aptos" w:cs="Aptos"/>
          <w:b w:val="0"/>
          <w:bCs w:val="0"/>
          <w:i w:val="1"/>
          <w:iCs w:val="1"/>
          <w:caps w:val="0"/>
          <w:smallCaps w:val="0"/>
          <w:noProof w:val="0"/>
          <w:color w:val="000000" w:themeColor="text1" w:themeTint="FF" w:themeShade="FF"/>
          <w:sz w:val="25"/>
          <w:szCs w:val="25"/>
          <w:highlight w:val="yellow"/>
          <w:lang w:val="en-GB"/>
        </w:rPr>
        <w:t>et al.,</w:t>
      </w:r>
      <w:r w:rsidRPr="129ED4C5" w:rsidR="61FC8141">
        <w:rPr>
          <w:rFonts w:ascii="Aptos" w:hAnsi="Aptos" w:eastAsia="Aptos" w:cs="Aptos"/>
          <w:b w:val="0"/>
          <w:bCs w:val="0"/>
          <w:i w:val="0"/>
          <w:iCs w:val="0"/>
          <w:caps w:val="0"/>
          <w:smallCaps w:val="0"/>
          <w:noProof w:val="0"/>
          <w:color w:val="000000" w:themeColor="text1" w:themeTint="FF" w:themeShade="FF"/>
          <w:sz w:val="25"/>
          <w:szCs w:val="25"/>
          <w:highlight w:val="yellow"/>
          <w:lang w:val="en-GB"/>
        </w:rPr>
        <w:t xml:space="preserve"> 2019).</w:t>
      </w:r>
      <w:r w:rsidRPr="129ED4C5" w:rsidR="61FC8141">
        <w:rPr>
          <w:rFonts w:ascii="Aptos" w:hAnsi="Aptos" w:eastAsia="Aptos" w:cs="Aptos"/>
          <w:b w:val="0"/>
          <w:bCs w:val="0"/>
          <w:i w:val="0"/>
          <w:iCs w:val="0"/>
          <w:caps w:val="0"/>
          <w:smallCaps w:val="0"/>
          <w:noProof w:val="0"/>
          <w:color w:val="000000" w:themeColor="text1" w:themeTint="FF" w:themeShade="FF"/>
          <w:sz w:val="25"/>
          <w:szCs w:val="25"/>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5"/>
          <w:szCs w:val="25"/>
          <w:highlight w:val="yellow"/>
          <w:lang w:val="en-GB"/>
        </w:rPr>
        <w:t>Pyles and Danniels (2017)</w:t>
      </w:r>
      <w:r w:rsidRPr="129ED4C5" w:rsidR="61FC8141">
        <w:rPr>
          <w:rFonts w:ascii="Aptos" w:hAnsi="Aptos" w:eastAsia="Aptos" w:cs="Aptos"/>
          <w:b w:val="0"/>
          <w:bCs w:val="0"/>
          <w:i w:val="0"/>
          <w:iCs w:val="0"/>
          <w:caps w:val="0"/>
          <w:smallCaps w:val="0"/>
          <w:noProof w:val="0"/>
          <w:color w:val="000000" w:themeColor="text1" w:themeTint="FF" w:themeShade="FF"/>
          <w:sz w:val="25"/>
          <w:szCs w:val="25"/>
          <w:lang w:val="en-GB"/>
        </w:rPr>
        <w:t xml:space="preserve"> note by embracing a holistic perspective of play, it provides children with opportunity to grow physically, emotionally, socially, and develop cognitive skills.</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The Lego Foundation (2018)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also believe learning and development is intricate and holistic, and skills across all developmental areas can be supported through play. D</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rake (2010)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suggests taking opportunities to observe children whilst they are engaged in self- initiated, challenging activities. She believes by doing this, it will create a true holistic picture to what the child knows and what they can do. Observing through play aligns with the new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Curriculum for Wales (2022)</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looking at ambition, creativity, ethics, and well-being.</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 Gething (2024)</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writes how he is proud that the Welsh government is the first government to legislate play. He continues saying that they strongly believe in the importance of play and how it benefits children’s well-being, health, and happiness. </w:t>
      </w:r>
    </w:p>
    <w:p w:rsidR="61FC8141" w:rsidP="129ED4C5" w:rsidRDefault="61FC8141" w14:paraId="4DC23304" w14:textId="7684428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It is informative to observe children through play as it allows it provides a holistic view of the child.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Tinnes, Louis and McCall (2015)</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suggest when starting to organise and control the situation by asking children to complete specific tasks for the purpose of observing and recording them, there is a risk to missing essential information necessary to support their learning.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Howard and McInnes (2012)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suggest that development is likely to improve through play as children are more likely to try as there is minimal risk of failure.</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 Early Years Careers (no date)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suggest that observing through play gives insight to information about the learner as an individual, considers the child’s natural patterns and find out how the child’s skills are developing. Froebel advocated that recording important observations of the child’s development would support learning. He viewed observations as a way to assess what children could do and how to support this further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(Campbell- Barr and Tregenza, 2023).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Montessori on the other hand, believed observations were to help the educator understand the needs of the children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(Lontz, 2016).</w:t>
      </w:r>
    </w:p>
    <w:p w:rsidR="129ED4C5" w:rsidP="129ED4C5" w:rsidRDefault="129ED4C5" w14:paraId="5B249ABE" w14:textId="520E8BF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1FC8141" w:rsidP="129ED4C5" w:rsidRDefault="61FC8141" w14:paraId="30C36740" w14:textId="2A8F019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With regards to the adult’s involvement in the observation</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Rekers and McCree (2022)</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believe in ‘stepping back’ and watching from a distance, then over time, make judgements based what has been observed. They continue to state observations paired with reflective practice can support with planning future sessions and consider what they can do to support the child more.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West Sussex Government (2015)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affirm that planning without observation, would essentially be what the adult felt important and not based on the child’s needs.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Tučková (no date) also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draws attention to the fact that adults must not intervene unless the child is at risk, presents a cue that they want help or want the adult to join in. She also appreciates that children may not feel comfortable being observed in which case the observations should stop.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Ryan (2023)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supports that an early year’s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green"/>
          <w:lang w:val="en-GB"/>
        </w:rPr>
        <w:t>practitioner’s</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 xml:space="preserve"> role is vital to supporting children’s development. She expands by explaining through observations and educated knowledge, it will contribute to planning for the next stages of learning.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McInnes </w:t>
      </w:r>
      <w:r w:rsidRPr="129ED4C5" w:rsidR="61FC8141">
        <w:rPr>
          <w:rFonts w:ascii="Aptos" w:hAnsi="Aptos" w:eastAsia="Aptos" w:cs="Aptos"/>
          <w:b w:val="0"/>
          <w:bCs w:val="0"/>
          <w:i w:val="1"/>
          <w:iCs w:val="1"/>
          <w:caps w:val="0"/>
          <w:smallCaps w:val="0"/>
          <w:noProof w:val="0"/>
          <w:color w:val="000000" w:themeColor="text1" w:themeTint="FF" w:themeShade="FF"/>
          <w:sz w:val="24"/>
          <w:szCs w:val="24"/>
          <w:highlight w:val="yellow"/>
          <w:lang w:val="en-GB"/>
        </w:rPr>
        <w:t xml:space="preserve">et al. </w:t>
      </w:r>
      <w:r w:rsidRPr="129ED4C5" w:rsidR="61FC8141">
        <w:rPr>
          <w:rFonts w:ascii="Aptos" w:hAnsi="Aptos" w:eastAsia="Aptos" w:cs="Aptos"/>
          <w:b w:val="0"/>
          <w:bCs w:val="0"/>
          <w:i w:val="0"/>
          <w:iCs w:val="0"/>
          <w:caps w:val="0"/>
          <w:smallCaps w:val="0"/>
          <w:noProof w:val="0"/>
          <w:color w:val="000000" w:themeColor="text1" w:themeTint="FF" w:themeShade="FF"/>
          <w:sz w:val="24"/>
          <w:szCs w:val="24"/>
          <w:highlight w:val="yellow"/>
          <w:lang w:val="en-GB"/>
        </w:rPr>
        <w:t xml:space="preserve">(2013) </w:t>
      </w:r>
      <w:r w:rsidRPr="129ED4C5" w:rsidR="61FC8141">
        <w:rPr>
          <w:rFonts w:ascii="Aptos" w:hAnsi="Aptos" w:eastAsia="Aptos" w:cs="Aptos"/>
          <w:b w:val="0"/>
          <w:bCs w:val="0"/>
          <w:i w:val="0"/>
          <w:iCs w:val="0"/>
          <w:caps w:val="0"/>
          <w:smallCaps w:val="0"/>
          <w:noProof w:val="0"/>
          <w:color w:val="000000" w:themeColor="text1" w:themeTint="FF" w:themeShade="FF"/>
          <w:sz w:val="24"/>
          <w:szCs w:val="24"/>
          <w:lang w:val="en-GB"/>
        </w:rPr>
        <w:t>explore how adults can influence the child’s perception of play. In environments where play is co-created by children and adults, with more interactions, the presence of an adult is less likely to be seen as a cue for distinguishing between play and 'work’. As a result, children are more likely to adopt a playful attitude toward tasks, which will impact their future learning behaviour.</w:t>
      </w:r>
    </w:p>
    <w:p w:rsidR="129ED4C5" w:rsidP="129ED4C5" w:rsidRDefault="129ED4C5" w14:paraId="41094D17" w14:textId="5BBDA3C0">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E89AA8"/>
    <w:rsid w:val="11BEE60A"/>
    <w:rsid w:val="129ED4C5"/>
    <w:rsid w:val="4CE89AA8"/>
    <w:rsid w:val="61FC8141"/>
    <w:rsid w:val="6EECF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ED60"/>
  <w15:chartTrackingRefBased/>
  <w15:docId w15:val="{2438339E-55D6-4D9C-BBE1-1FA6BC109C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Hill (2405809)</dc:creator>
  <keywords/>
  <dc:description/>
  <lastModifiedBy>Lydia Hill (2405809)</lastModifiedBy>
  <revision>3</revision>
  <dcterms:created xsi:type="dcterms:W3CDTF">2025-02-19T09:28:35.5898443Z</dcterms:created>
  <dcterms:modified xsi:type="dcterms:W3CDTF">2025-02-19T13:44:50.9077535Z</dcterms:modified>
</coreProperties>
</file>