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D3832" w14:textId="277DAE11" w:rsidR="00A46F0B" w:rsidRDefault="00C36A64" w:rsidP="00A46F0B">
      <w:pPr>
        <w:spacing w:line="360" w:lineRule="auto"/>
        <w:jc w:val="both"/>
        <w:rPr>
          <w:rFonts w:ascii="Arial" w:hAnsi="Arial" w:cs="Arial"/>
          <w:b/>
          <w:bCs/>
          <w:sz w:val="24"/>
          <w:szCs w:val="24"/>
        </w:rPr>
      </w:pPr>
      <w:r>
        <w:rPr>
          <w:rFonts w:ascii="Times New Roman" w:hAnsi="Times New Roman" w:cs="Times New Roman"/>
          <w:noProof/>
          <w:sz w:val="24"/>
          <w:szCs w:val="24"/>
          <w:lang w:eastAsia="en-GB"/>
          <w14:ligatures w14:val="none"/>
        </w:rPr>
        <mc:AlternateContent>
          <mc:Choice Requires="wps">
            <w:drawing>
              <wp:anchor distT="0" distB="0" distL="114300" distR="114300" simplePos="0" relativeHeight="251663360" behindDoc="0" locked="0" layoutInCell="1" allowOverlap="1" wp14:anchorId="44193F4D" wp14:editId="00268845">
                <wp:simplePos x="0" y="0"/>
                <wp:positionH relativeFrom="page">
                  <wp:posOffset>5674360</wp:posOffset>
                </wp:positionH>
                <wp:positionV relativeFrom="paragraph">
                  <wp:posOffset>-3689350</wp:posOffset>
                </wp:positionV>
                <wp:extent cx="2967355" cy="14008100"/>
                <wp:effectExtent l="0" t="0" r="4445" b="0"/>
                <wp:wrapNone/>
                <wp:docPr id="126379145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7355" cy="14008100"/>
                        </a:xfrm>
                        <a:prstGeom prst="rect">
                          <a:avLst/>
                        </a:prstGeom>
                        <a:solidFill>
                          <a:srgbClr val="C00000"/>
                        </a:solidFill>
                        <a:extLst>
                          <a:ext uri="{91240B29-F687-4F45-9708-019B960494DF}">
                            <a14:hiddenLine xmlns:a14="http://schemas.microsoft.com/office/drawing/2010/main" w="9525">
                              <a:solidFill>
                                <a:srgbClr val="D8D8D8"/>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C108F" id="Rectangle 1" o:spid="_x0000_s1026" style="position:absolute;margin-left:446.8pt;margin-top:-290.5pt;width:233.65pt;height:1103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" fillcolor="#c00000" stroked="f" strokecolor="#d8d8d8">
                <w10:wrap anchorx="page"/>
              </v:rect>
            </w:pict>
          </mc:Fallback>
        </mc:AlternateContent>
      </w:r>
      <w:r w:rsidR="00635A9E">
        <w:rPr>
          <w:rFonts w:ascii="Arial" w:hAnsi="Arial" w:cs="Arial"/>
          <w:b/>
          <w:bCs/>
          <w:sz w:val="24"/>
          <w:szCs w:val="24"/>
        </w:rPr>
        <w:t xml:space="preserve">  </w:t>
      </w:r>
      <w:r w:rsidR="00D670A9">
        <w:rPr>
          <w:rFonts w:ascii="Arial" w:hAnsi="Arial" w:cs="Arial"/>
          <w:b/>
          <w:bCs/>
          <w:sz w:val="24"/>
          <w:szCs w:val="24"/>
        </w:rPr>
        <w:t xml:space="preserve">International </w:t>
      </w:r>
      <w:r w:rsidR="00CB43A7">
        <w:rPr>
          <w:rFonts w:ascii="Arial" w:hAnsi="Arial" w:cs="Arial"/>
          <w:b/>
          <w:bCs/>
          <w:sz w:val="24"/>
          <w:szCs w:val="24"/>
        </w:rPr>
        <w:t>M</w:t>
      </w:r>
      <w:r w:rsidR="000B79D0">
        <w:rPr>
          <w:rFonts w:ascii="Arial" w:hAnsi="Arial" w:cs="Arial"/>
          <w:b/>
          <w:bCs/>
          <w:sz w:val="24"/>
          <w:szCs w:val="24"/>
        </w:rPr>
        <w:t xml:space="preserve">eetings Management for the </w:t>
      </w:r>
      <w:r w:rsidR="007635B8">
        <w:rPr>
          <w:rFonts w:ascii="Arial" w:hAnsi="Arial" w:cs="Arial"/>
          <w:b/>
          <w:bCs/>
          <w:sz w:val="24"/>
          <w:szCs w:val="24"/>
        </w:rPr>
        <w:t>Hotel Industry</w:t>
      </w:r>
      <w:r w:rsidR="00635A9E">
        <w:rPr>
          <w:rFonts w:ascii="Arial" w:hAnsi="Arial" w:cs="Arial"/>
          <w:b/>
          <w:bCs/>
          <w:sz w:val="24"/>
          <w:szCs w:val="24"/>
        </w:rPr>
        <w:t xml:space="preserve">                                                           </w:t>
      </w:r>
    </w:p>
    <w:p w14:paraId="4841B672" w14:textId="44C731D9" w:rsidR="00A46F0B" w:rsidRDefault="00A46F0B" w:rsidP="00A46F0B">
      <w:pPr>
        <w:spacing w:line="360" w:lineRule="auto"/>
        <w:jc w:val="both"/>
        <w:rPr>
          <w:rFonts w:ascii="Arial" w:hAnsi="Arial" w:cs="Arial"/>
          <w:b/>
          <w:bCs/>
          <w:sz w:val="24"/>
          <w:szCs w:val="24"/>
        </w:rPr>
      </w:pPr>
      <w:r>
        <w:rPr>
          <w:rFonts w:ascii="Arial" w:hAnsi="Arial" w:cs="Arial"/>
          <w:b/>
          <w:bCs/>
          <w:sz w:val="24"/>
          <w:szCs w:val="24"/>
        </w:rPr>
        <w:t xml:space="preserve"> </w:t>
      </w:r>
    </w:p>
    <w:p w14:paraId="1C011CEA" w14:textId="23F009FB" w:rsidR="00A46F0B" w:rsidRDefault="00A46F0B" w:rsidP="00A46F0B">
      <w:pPr>
        <w:spacing w:line="360" w:lineRule="auto"/>
        <w:jc w:val="both"/>
        <w:rPr>
          <w:rFonts w:ascii="Arial" w:hAnsi="Arial" w:cs="Arial"/>
          <w:b/>
          <w:bCs/>
          <w:sz w:val="24"/>
          <w:szCs w:val="24"/>
        </w:rPr>
      </w:pPr>
    </w:p>
    <w:p w14:paraId="6B60B0FC" w14:textId="77777777" w:rsidR="002238FA" w:rsidRDefault="002238FA" w:rsidP="00A46F0B">
      <w:pPr>
        <w:spacing w:line="360" w:lineRule="auto"/>
        <w:jc w:val="both"/>
        <w:rPr>
          <w:rFonts w:ascii="Arial" w:hAnsi="Arial" w:cs="Arial"/>
          <w:b/>
          <w:bCs/>
          <w:sz w:val="24"/>
          <w:szCs w:val="24"/>
        </w:rPr>
      </w:pPr>
    </w:p>
    <w:p w14:paraId="71BF0D41" w14:textId="0012C6C9" w:rsidR="00A46F0B" w:rsidRDefault="007635B8" w:rsidP="00A46F0B">
      <w:pPr>
        <w:spacing w:line="360" w:lineRule="auto"/>
        <w:jc w:val="both"/>
        <w:rPr>
          <w:rFonts w:ascii="Arial" w:hAnsi="Arial" w:cs="Arial"/>
          <w:b/>
          <w:bCs/>
          <w:sz w:val="24"/>
          <w:szCs w:val="24"/>
        </w:rPr>
      </w:pPr>
      <w:r>
        <w:rPr>
          <w:rFonts w:ascii="Arial" w:hAnsi="Arial" w:cs="Arial"/>
          <w:b/>
          <w:bCs/>
          <w:sz w:val="24"/>
          <w:szCs w:val="24"/>
        </w:rPr>
        <w:t xml:space="preserve">Lavinia Lenuta </w:t>
      </w:r>
      <w:proofErr w:type="spellStart"/>
      <w:r>
        <w:rPr>
          <w:rFonts w:ascii="Arial" w:hAnsi="Arial" w:cs="Arial"/>
          <w:b/>
          <w:bCs/>
          <w:sz w:val="24"/>
          <w:szCs w:val="24"/>
        </w:rPr>
        <w:t>Siminiuc</w:t>
      </w:r>
      <w:proofErr w:type="spellEnd"/>
    </w:p>
    <w:p w14:paraId="69DFCD6E" w14:textId="75DE0D9B" w:rsidR="00E81713" w:rsidRDefault="00E81713" w:rsidP="00A46F0B">
      <w:pPr>
        <w:spacing w:line="360" w:lineRule="auto"/>
        <w:jc w:val="both"/>
        <w:rPr>
          <w:rFonts w:ascii="Arial" w:hAnsi="Arial" w:cs="Arial"/>
          <w:b/>
          <w:bCs/>
          <w:sz w:val="24"/>
          <w:szCs w:val="24"/>
        </w:rPr>
      </w:pPr>
      <w:r>
        <w:rPr>
          <w:rFonts w:ascii="Arial" w:hAnsi="Arial" w:cs="Arial"/>
          <w:b/>
          <w:bCs/>
          <w:sz w:val="24"/>
          <w:szCs w:val="24"/>
        </w:rPr>
        <w:t>2208461</w:t>
      </w:r>
    </w:p>
    <w:p w14:paraId="045E2B35" w14:textId="7F5FBA5E" w:rsidR="00E81713" w:rsidRDefault="00E81713" w:rsidP="00A46F0B">
      <w:pPr>
        <w:spacing w:line="360" w:lineRule="auto"/>
        <w:jc w:val="both"/>
        <w:rPr>
          <w:rFonts w:ascii="Arial" w:hAnsi="Arial" w:cs="Arial"/>
          <w:b/>
          <w:bCs/>
          <w:sz w:val="24"/>
          <w:szCs w:val="24"/>
        </w:rPr>
      </w:pPr>
      <w:r>
        <w:rPr>
          <w:rFonts w:ascii="Arial" w:hAnsi="Arial" w:cs="Arial"/>
          <w:b/>
          <w:bCs/>
          <w:sz w:val="24"/>
          <w:szCs w:val="24"/>
        </w:rPr>
        <w:t>Kathryn Flynn</w:t>
      </w:r>
    </w:p>
    <w:p w14:paraId="57AB2E67" w14:textId="2692887B" w:rsidR="00A46F0B" w:rsidRDefault="00A46F0B" w:rsidP="00A46F0B">
      <w:pPr>
        <w:spacing w:line="360" w:lineRule="auto"/>
        <w:jc w:val="both"/>
        <w:rPr>
          <w:rFonts w:ascii="Arial" w:hAnsi="Arial" w:cs="Arial"/>
          <w:b/>
          <w:bCs/>
          <w:sz w:val="24"/>
          <w:szCs w:val="24"/>
        </w:rPr>
      </w:pPr>
    </w:p>
    <w:p w14:paraId="5D2013F0" w14:textId="59E9D805" w:rsidR="00A46F0B" w:rsidRDefault="00A46F0B" w:rsidP="00A46F0B">
      <w:pPr>
        <w:spacing w:line="360" w:lineRule="auto"/>
        <w:jc w:val="both"/>
        <w:rPr>
          <w:rFonts w:ascii="Arial" w:hAnsi="Arial" w:cs="Arial"/>
          <w:b/>
          <w:bCs/>
          <w:sz w:val="24"/>
          <w:szCs w:val="24"/>
        </w:rPr>
      </w:pPr>
    </w:p>
    <w:p w14:paraId="32A9B4F5" w14:textId="61D9E314" w:rsidR="00A46F0B" w:rsidRDefault="003C4E40" w:rsidP="00A46F0B">
      <w:pPr>
        <w:spacing w:line="360" w:lineRule="auto"/>
        <w:jc w:val="both"/>
        <w:rPr>
          <w:rFonts w:ascii="Arial" w:hAnsi="Arial" w:cs="Arial"/>
          <w:b/>
          <w:bCs/>
          <w:sz w:val="28"/>
          <w:szCs w:val="28"/>
        </w:rPr>
      </w:pPr>
      <w:r>
        <w:rPr>
          <w:rFonts w:ascii="Arial" w:hAnsi="Arial" w:cs="Arial"/>
          <w:b/>
          <w:bCs/>
          <w:sz w:val="28"/>
          <w:szCs w:val="28"/>
        </w:rPr>
        <w:t xml:space="preserve">            </w:t>
      </w:r>
      <w:r w:rsidR="00143C70">
        <w:rPr>
          <w:rFonts w:ascii="Arial" w:hAnsi="Arial" w:cs="Arial"/>
          <w:b/>
          <w:bCs/>
          <w:sz w:val="28"/>
          <w:szCs w:val="28"/>
        </w:rPr>
        <w:t>Festive Family Fun Run</w:t>
      </w:r>
      <w:r>
        <w:rPr>
          <w:rFonts w:ascii="Arial" w:hAnsi="Arial" w:cs="Arial"/>
          <w:b/>
          <w:bCs/>
          <w:sz w:val="28"/>
          <w:szCs w:val="28"/>
        </w:rPr>
        <w:t xml:space="preserve"> Event</w:t>
      </w:r>
    </w:p>
    <w:p w14:paraId="3C6FB6EE" w14:textId="298186D9" w:rsidR="003C4E40" w:rsidRPr="00143C70" w:rsidRDefault="003C4E40" w:rsidP="00A46F0B">
      <w:pPr>
        <w:spacing w:line="360" w:lineRule="auto"/>
        <w:jc w:val="both"/>
        <w:rPr>
          <w:rFonts w:ascii="Arial" w:hAnsi="Arial" w:cs="Arial"/>
          <w:b/>
          <w:bCs/>
          <w:sz w:val="28"/>
          <w:szCs w:val="28"/>
        </w:rPr>
      </w:pPr>
      <w:r>
        <w:rPr>
          <w:rFonts w:ascii="Arial" w:hAnsi="Arial" w:cs="Arial"/>
          <w:b/>
          <w:bCs/>
          <w:sz w:val="28"/>
          <w:szCs w:val="28"/>
        </w:rPr>
        <w:t xml:space="preserve">                               </w:t>
      </w:r>
      <w:r w:rsidR="00D81229">
        <w:rPr>
          <w:rFonts w:ascii="Arial" w:hAnsi="Arial" w:cs="Arial"/>
          <w:b/>
          <w:bCs/>
          <w:sz w:val="28"/>
          <w:szCs w:val="28"/>
        </w:rPr>
        <w:t>Report</w:t>
      </w:r>
    </w:p>
    <w:p w14:paraId="338FDB85" w14:textId="0EE11E45" w:rsidR="00A46F0B" w:rsidRDefault="00A46F0B" w:rsidP="00A46F0B">
      <w:pPr>
        <w:spacing w:line="360" w:lineRule="auto"/>
        <w:jc w:val="both"/>
        <w:rPr>
          <w:rFonts w:ascii="Arial" w:hAnsi="Arial" w:cs="Arial"/>
          <w:b/>
          <w:bCs/>
          <w:sz w:val="24"/>
          <w:szCs w:val="24"/>
        </w:rPr>
      </w:pPr>
    </w:p>
    <w:p w14:paraId="30E53FDB" w14:textId="02840C2E" w:rsidR="00A46F0B" w:rsidRDefault="00070533" w:rsidP="00070533">
      <w:pPr>
        <w:tabs>
          <w:tab w:val="left" w:pos="6330"/>
        </w:tabs>
        <w:spacing w:line="360" w:lineRule="auto"/>
        <w:jc w:val="both"/>
        <w:rPr>
          <w:rFonts w:ascii="Arial" w:hAnsi="Arial" w:cs="Arial"/>
          <w:b/>
          <w:bCs/>
          <w:sz w:val="24"/>
          <w:szCs w:val="24"/>
        </w:rPr>
      </w:pPr>
      <w:r>
        <w:rPr>
          <w:rFonts w:ascii="Arial" w:hAnsi="Arial" w:cs="Arial"/>
          <w:b/>
          <w:bCs/>
          <w:sz w:val="24"/>
          <w:szCs w:val="24"/>
        </w:rPr>
        <w:tab/>
      </w:r>
      <w:r w:rsidR="00415E79">
        <w:rPr>
          <w:rFonts w:ascii="Times New Roman" w:hAnsi="Times New Roman" w:cs="Times New Roman"/>
          <w:noProof/>
          <w:sz w:val="24"/>
          <w:szCs w:val="24"/>
          <w:lang w:eastAsia="en-GB"/>
          <w14:ligatures w14:val="none"/>
        </w:rPr>
        <mc:AlternateContent>
          <mc:Choice Requires="wps">
            <w:drawing>
              <wp:anchor distT="0" distB="0" distL="114300" distR="114300" simplePos="0" relativeHeight="251664384" behindDoc="0" locked="0" layoutInCell="1" allowOverlap="1" wp14:anchorId="2D8B312F" wp14:editId="4FEAAF37">
                <wp:simplePos x="0" y="0"/>
                <wp:positionH relativeFrom="column">
                  <wp:posOffset>0</wp:posOffset>
                </wp:positionH>
                <wp:positionV relativeFrom="paragraph">
                  <wp:posOffset>6760210</wp:posOffset>
                </wp:positionV>
                <wp:extent cx="3084830" cy="2833370"/>
                <wp:effectExtent l="0" t="0" r="0" b="0"/>
                <wp:wrapNone/>
                <wp:docPr id="20489300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4830"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3F88B7A" w14:textId="7C30893B" w:rsidR="00415E79" w:rsidRDefault="00415E79" w:rsidP="00415E79">
                                <w:pPr>
                                  <w:pStyle w:val="NoSpacing"/>
                                  <w:spacing w:line="360" w:lineRule="auto"/>
                                  <w:rPr>
                                    <w:color w:val="FFFFFF" w:themeColor="background1"/>
                                    <w:sz w:val="28"/>
                                    <w:szCs w:val="28"/>
                                  </w:rPr>
                                </w:pPr>
                                <w:r>
                                  <w:rPr>
                                    <w:color w:val="FFFFFF" w:themeColor="background1"/>
                                    <w:sz w:val="28"/>
                                    <w:szCs w:val="28"/>
                                  </w:rPr>
                                  <w:t>Lavinia Lenuta</w:t>
                                </w:r>
                              </w:p>
                            </w:sdtContent>
                          </w:sdt>
                          <w:sdt>
                            <w:sdtPr>
                              <w:rPr>
                                <w:color w:val="FFFFFF" w:themeColor="background1"/>
                                <w:sz w:val="28"/>
                                <w:szCs w:val="28"/>
                              </w:rPr>
                              <w:alias w:val="Company"/>
                              <w:id w:val="1760174317"/>
                              <w:showingPlcHdr/>
                              <w:dataBinding w:prefixMappings="xmlns:ns0='http://schemas.openxmlformats.org/officeDocument/2006/extended-properties'" w:xpath="/ns0:Properties[1]/ns0:Company[1]" w:storeItemID="{6668398D-A668-4E3E-A5EB-62B293D839F1}"/>
                              <w:text/>
                            </w:sdtPr>
                            <w:sdtContent>
                              <w:p w14:paraId="410B9193" w14:textId="77777777" w:rsidR="00415E79" w:rsidRDefault="00415E79" w:rsidP="00415E79">
                                <w:pPr>
                                  <w:pStyle w:val="NoSpacing"/>
                                  <w:spacing w:line="360" w:lineRule="auto"/>
                                  <w:rPr>
                                    <w:color w:val="FFFFFF" w:themeColor="background1"/>
                                    <w:sz w:val="28"/>
                                    <w:szCs w:val="28"/>
                                  </w:rPr>
                                </w:pPr>
                                <w:r>
                                  <w:rPr>
                                    <w:color w:val="FFFFFF" w:themeColor="background1"/>
                                    <w:sz w:val="28"/>
                                    <w:szCs w:val="28"/>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73DC8E77" w14:textId="77777777" w:rsidR="00415E79" w:rsidRDefault="00415E79" w:rsidP="00415E79">
                                <w:pPr>
                                  <w:pStyle w:val="NoSpacing"/>
                                  <w:spacing w:line="360" w:lineRule="auto"/>
                                  <w:rPr>
                                    <w:color w:val="FFFFFF" w:themeColor="background1"/>
                                  </w:rPr>
                                </w:pPr>
                                <w:r>
                                  <w:rPr>
                                    <w:color w:val="FFFFFF" w:themeColor="background1"/>
                                  </w:rPr>
                                  <w:t xml:space="preserve">     </w:t>
                                </w:r>
                              </w:p>
                            </w:sdtContent>
                          </w:sdt>
                        </w:txbxContent>
                      </wps:txbx>
                      <wps:bodyPr rot="0" vertOverflow="clip" horzOverflow="clip" vert="horz" wrap="square" lIns="365760" tIns="182880" rIns="182880" bIns="18288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2D8B312F" id="Rectangle 9" o:spid="_x0000_s1026" style="position:absolute;left:0;text-align:left;margin-left:0;margin-top:532.3pt;width:242.9pt;height:22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" filled="f" stroked="f" strokecolor="white" strokeweight="1pt">
                <v:fill opacity="52428f"/>
                <v:shadow color="#d8d8d8" offset="3pt,3pt"/>
                <v:textbox inset="28.8pt,14.4pt,14.4pt,14.4pt">
                  <w:txbxContent>
                    <w:sdt>
                      <w:sdtPr>
                        <w:rPr>
                          <w:color w:val="FFFFFF" w:themeColor="background1"/>
                          <w:sz w:val="28"/>
                          <w:szCs w:val="28"/>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3F88B7A" w14:textId="7C30893B" w:rsidR="00415E79" w:rsidRDefault="00415E79" w:rsidP="00415E79">
                          <w:pPr>
                            <w:pStyle w:val="NoSpacing"/>
                            <w:spacing w:line="360" w:lineRule="auto"/>
                            <w:rPr>
                              <w:color w:val="FFFFFF" w:themeColor="background1"/>
                              <w:sz w:val="28"/>
                              <w:szCs w:val="28"/>
                            </w:rPr>
                          </w:pPr>
                          <w:r>
                            <w:rPr>
                              <w:color w:val="FFFFFF" w:themeColor="background1"/>
                              <w:sz w:val="28"/>
                              <w:szCs w:val="28"/>
                            </w:rPr>
                            <w:t>Lavinia Lenuta</w:t>
                          </w:r>
                        </w:p>
                      </w:sdtContent>
                    </w:sdt>
                    <w:sdt>
                      <w:sdtPr>
                        <w:rPr>
                          <w:color w:val="FFFFFF" w:themeColor="background1"/>
                          <w:sz w:val="28"/>
                          <w:szCs w:val="28"/>
                        </w:rPr>
                        <w:alias w:val="Company"/>
                        <w:id w:val="1760174317"/>
                        <w:showingPlcHdr/>
                        <w:dataBinding w:prefixMappings="xmlns:ns0='http://schemas.openxmlformats.org/officeDocument/2006/extended-properties'" w:xpath="/ns0:Properties[1]/ns0:Company[1]" w:storeItemID="{6668398D-A668-4E3E-A5EB-62B293D839F1}"/>
                        <w:text/>
                      </w:sdtPr>
                      <w:sdtContent>
                        <w:p w14:paraId="410B9193" w14:textId="77777777" w:rsidR="00415E79" w:rsidRDefault="00415E79" w:rsidP="00415E79">
                          <w:pPr>
                            <w:pStyle w:val="NoSpacing"/>
                            <w:spacing w:line="360" w:lineRule="auto"/>
                            <w:rPr>
                              <w:color w:val="FFFFFF" w:themeColor="background1"/>
                              <w:sz w:val="28"/>
                              <w:szCs w:val="28"/>
                            </w:rPr>
                          </w:pPr>
                          <w:r>
                            <w:rPr>
                              <w:color w:val="FFFFFF" w:themeColor="background1"/>
                              <w:sz w:val="28"/>
                              <w:szCs w:val="28"/>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73DC8E77" w14:textId="77777777" w:rsidR="00415E79" w:rsidRDefault="00415E79" w:rsidP="00415E79">
                          <w:pPr>
                            <w:pStyle w:val="NoSpacing"/>
                            <w:spacing w:line="360" w:lineRule="auto"/>
                            <w:rPr>
                              <w:color w:val="FFFFFF" w:themeColor="background1"/>
                            </w:rPr>
                          </w:pPr>
                          <w:r>
                            <w:rPr>
                              <w:color w:val="FFFFFF" w:themeColor="background1"/>
                            </w:rPr>
                            <w:t xml:space="preserve">     </w:t>
                          </w:r>
                        </w:p>
                      </w:sdtContent>
                    </w:sdt>
                  </w:txbxContent>
                </v:textbox>
              </v:rect>
            </w:pict>
          </mc:Fallback>
        </mc:AlternateContent>
      </w:r>
    </w:p>
    <w:p w14:paraId="65CF736C" w14:textId="77777777" w:rsidR="00A46F0B" w:rsidRDefault="00A46F0B" w:rsidP="00A46F0B">
      <w:pPr>
        <w:spacing w:line="360" w:lineRule="auto"/>
        <w:jc w:val="both"/>
        <w:rPr>
          <w:rFonts w:ascii="Arial" w:hAnsi="Arial" w:cs="Arial"/>
          <w:b/>
          <w:bCs/>
          <w:sz w:val="24"/>
          <w:szCs w:val="24"/>
        </w:rPr>
      </w:pPr>
    </w:p>
    <w:p w14:paraId="67838D2D" w14:textId="77777777" w:rsidR="00557C83" w:rsidRDefault="00557C83" w:rsidP="00A46F0B">
      <w:pPr>
        <w:spacing w:line="360" w:lineRule="auto"/>
        <w:jc w:val="both"/>
        <w:rPr>
          <w:rFonts w:ascii="Arial" w:hAnsi="Arial" w:cs="Arial"/>
          <w:b/>
          <w:bCs/>
          <w:sz w:val="24"/>
          <w:szCs w:val="24"/>
        </w:rPr>
      </w:pPr>
    </w:p>
    <w:p w14:paraId="628BDF48" w14:textId="094FAF1C" w:rsidR="00A46F0B" w:rsidRDefault="00B97A9A" w:rsidP="00A46F0B">
      <w:pPr>
        <w:spacing w:line="360" w:lineRule="auto"/>
        <w:jc w:val="both"/>
        <w:rPr>
          <w:rFonts w:ascii="Arial" w:hAnsi="Arial" w:cs="Arial"/>
          <w:b/>
          <w:bCs/>
          <w:sz w:val="24"/>
          <w:szCs w:val="24"/>
        </w:rPr>
      </w:pPr>
      <w:r>
        <w:rPr>
          <w:noProof/>
        </w:rPr>
        <w:drawing>
          <wp:inline distT="0" distB="0" distL="0" distR="0" wp14:anchorId="1858A389" wp14:editId="7164CEDC">
            <wp:extent cx="4883150" cy="3095625"/>
            <wp:effectExtent l="0" t="0" r="0" b="9525"/>
            <wp:docPr id="464" name="Picture 1" descr="A group of people in santa outf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descr="A group of people in santa outfits&#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883150" cy="3095625"/>
                    </a:xfrm>
                    <a:prstGeom prst="rect">
                      <a:avLst/>
                    </a:prstGeom>
                    <a:ln w="12700">
                      <a:noFill/>
                    </a:ln>
                  </pic:spPr>
                </pic:pic>
              </a:graphicData>
            </a:graphic>
          </wp:inline>
        </w:drawing>
      </w:r>
    </w:p>
    <w:p w14:paraId="2B01C053" w14:textId="369DFF2F" w:rsidR="00A46F0B" w:rsidRDefault="00163F23" w:rsidP="00163F23">
      <w:pPr>
        <w:tabs>
          <w:tab w:val="left" w:pos="6310"/>
        </w:tabs>
        <w:spacing w:line="360" w:lineRule="auto"/>
        <w:jc w:val="both"/>
        <w:rPr>
          <w:rFonts w:ascii="Arial" w:hAnsi="Arial" w:cs="Arial"/>
          <w:b/>
          <w:bCs/>
          <w:sz w:val="24"/>
          <w:szCs w:val="24"/>
        </w:rPr>
      </w:pPr>
      <w:r>
        <w:rPr>
          <w:rFonts w:ascii="Arial" w:hAnsi="Arial" w:cs="Arial"/>
          <w:b/>
          <w:bCs/>
          <w:sz w:val="24"/>
          <w:szCs w:val="24"/>
        </w:rPr>
        <w:lastRenderedPageBreak/>
        <w:tab/>
      </w:r>
    </w:p>
    <w:p w14:paraId="7D3BEA98" w14:textId="65849518" w:rsidR="00A46F0B" w:rsidRDefault="00A46F0B" w:rsidP="00A46F0B">
      <w:pPr>
        <w:spacing w:line="360" w:lineRule="auto"/>
        <w:jc w:val="both"/>
        <w:rPr>
          <w:rFonts w:ascii="Arial" w:hAnsi="Arial" w:cs="Arial"/>
          <w:b/>
          <w:bCs/>
          <w:sz w:val="24"/>
          <w:szCs w:val="24"/>
        </w:rPr>
      </w:pPr>
    </w:p>
    <w:p w14:paraId="3DCF1C1B" w14:textId="6FCDCDE7" w:rsidR="002F603B" w:rsidRPr="00D81229" w:rsidRDefault="002F603B" w:rsidP="00D81229">
      <w:pPr>
        <w:shd w:val="clear" w:color="auto" w:fill="FFFFFF"/>
        <w:spacing w:after="0" w:line="240" w:lineRule="auto"/>
        <w:jc w:val="both"/>
        <w:rPr>
          <w:rFonts w:ascii="Arial" w:eastAsia="Times New Roman" w:hAnsi="Arial" w:cs="Arial"/>
          <w:color w:val="1D2228"/>
          <w:sz w:val="24"/>
          <w:szCs w:val="24"/>
          <w:lang w:eastAsia="en-GB"/>
          <w14:ligatures w14:val="none"/>
        </w:rPr>
      </w:pPr>
      <w:r w:rsidRPr="00D81229">
        <w:rPr>
          <w:rFonts w:ascii="Arial" w:eastAsia="Times New Roman" w:hAnsi="Arial" w:cs="Arial"/>
          <w:color w:val="1D2228"/>
          <w:sz w:val="24"/>
          <w:szCs w:val="24"/>
          <w:lang w:eastAsia="en-GB"/>
          <w14:ligatures w14:val="none"/>
        </w:rPr>
        <w:t>I acknowledge the use of Grammarly</w:t>
      </w:r>
      <w:r w:rsidR="006373D2" w:rsidRPr="00D81229">
        <w:rPr>
          <w:rFonts w:ascii="Arial" w:eastAsia="Times New Roman" w:hAnsi="Arial" w:cs="Arial"/>
          <w:color w:val="1D2228"/>
          <w:sz w:val="24"/>
          <w:szCs w:val="24"/>
          <w:lang w:eastAsia="en-GB"/>
          <w14:ligatures w14:val="none"/>
        </w:rPr>
        <w:t xml:space="preserve"> App</w:t>
      </w:r>
      <w:r w:rsidRPr="00D81229">
        <w:rPr>
          <w:rFonts w:ascii="Arial" w:eastAsia="Times New Roman" w:hAnsi="Arial" w:cs="Arial"/>
          <w:color w:val="1D2228"/>
          <w:sz w:val="24"/>
          <w:szCs w:val="24"/>
          <w:lang w:eastAsia="en-GB"/>
          <w14:ligatures w14:val="none"/>
        </w:rPr>
        <w:t xml:space="preserve"> (</w:t>
      </w:r>
      <w:hyperlink r:id="rId6" w:history="1">
        <w:r w:rsidR="006373D2" w:rsidRPr="00D81229">
          <w:rPr>
            <w:rStyle w:val="Hyperlink"/>
            <w:rFonts w:ascii="Arial" w:eastAsia="Times New Roman" w:hAnsi="Arial" w:cs="Arial"/>
            <w:sz w:val="24"/>
            <w:szCs w:val="24"/>
            <w:lang w:eastAsia="en-GB"/>
            <w14:ligatures w14:val="none"/>
          </w:rPr>
          <w:t>https://www.grammarly.com/</w:t>
        </w:r>
      </w:hyperlink>
      <w:r w:rsidRPr="00D81229">
        <w:rPr>
          <w:rFonts w:ascii="Arial" w:eastAsia="Times New Roman" w:hAnsi="Arial" w:cs="Arial"/>
          <w:color w:val="1D2228"/>
          <w:sz w:val="24"/>
          <w:szCs w:val="24"/>
          <w:lang w:eastAsia="en-GB"/>
          <w14:ligatures w14:val="none"/>
        </w:rPr>
        <w:t>)</w:t>
      </w:r>
      <w:r w:rsidR="006373D2" w:rsidRPr="00D81229">
        <w:rPr>
          <w:rFonts w:ascii="Arial" w:eastAsia="Times New Roman" w:hAnsi="Arial" w:cs="Arial"/>
          <w:color w:val="1D2228"/>
          <w:sz w:val="24"/>
          <w:szCs w:val="24"/>
          <w:lang w:eastAsia="en-GB"/>
          <w14:ligatures w14:val="none"/>
        </w:rPr>
        <w:t xml:space="preserve"> a</w:t>
      </w:r>
      <w:r w:rsidR="00CC0B0D" w:rsidRPr="00D81229">
        <w:rPr>
          <w:rFonts w:ascii="Arial" w:eastAsia="Times New Roman" w:hAnsi="Arial" w:cs="Arial"/>
          <w:color w:val="1D2228"/>
          <w:sz w:val="24"/>
          <w:szCs w:val="24"/>
          <w:lang w:eastAsia="en-GB"/>
          <w14:ligatures w14:val="none"/>
        </w:rPr>
        <w:t xml:space="preserve">nd </w:t>
      </w:r>
      <w:r w:rsidR="00651B3F" w:rsidRPr="00D81229">
        <w:rPr>
          <w:rFonts w:ascii="Arial" w:eastAsia="Times New Roman" w:hAnsi="Arial" w:cs="Arial"/>
          <w:color w:val="1D2228"/>
          <w:sz w:val="24"/>
          <w:szCs w:val="24"/>
          <w:lang w:eastAsia="en-GB"/>
          <w14:ligatures w14:val="none"/>
        </w:rPr>
        <w:t>Microsoft</w:t>
      </w:r>
      <w:r w:rsidR="00EA0346" w:rsidRPr="00D81229">
        <w:rPr>
          <w:rFonts w:ascii="Arial" w:eastAsia="Times New Roman" w:hAnsi="Arial" w:cs="Arial"/>
          <w:color w:val="1D2228"/>
          <w:sz w:val="24"/>
          <w:szCs w:val="24"/>
          <w:lang w:eastAsia="en-GB"/>
          <w14:ligatures w14:val="none"/>
        </w:rPr>
        <w:t xml:space="preserve"> Editor</w:t>
      </w:r>
      <w:r w:rsidRPr="00D81229">
        <w:rPr>
          <w:rFonts w:ascii="Arial" w:eastAsia="Times New Roman" w:hAnsi="Arial" w:cs="Arial"/>
          <w:color w:val="1D2228"/>
          <w:sz w:val="24"/>
          <w:szCs w:val="24"/>
          <w:lang w:eastAsia="en-GB"/>
          <w14:ligatures w14:val="none"/>
        </w:rPr>
        <w:t xml:space="preserve"> on 8th November 2024 </w:t>
      </w:r>
    </w:p>
    <w:p w14:paraId="4D75FF97" w14:textId="77777777" w:rsidR="002F603B" w:rsidRPr="00D81229" w:rsidRDefault="002F603B" w:rsidP="00D81229">
      <w:pPr>
        <w:shd w:val="clear" w:color="auto" w:fill="FFFFFF"/>
        <w:spacing w:after="0" w:line="240" w:lineRule="auto"/>
        <w:jc w:val="both"/>
        <w:rPr>
          <w:rFonts w:ascii="Arial" w:eastAsia="Times New Roman" w:hAnsi="Arial" w:cs="Arial"/>
          <w:color w:val="1D2228"/>
          <w:sz w:val="24"/>
          <w:szCs w:val="24"/>
          <w:lang w:eastAsia="en-GB"/>
          <w14:ligatures w14:val="none"/>
        </w:rPr>
      </w:pPr>
      <w:r w:rsidRPr="00D81229">
        <w:rPr>
          <w:rFonts w:ascii="Arial" w:eastAsia="Times New Roman" w:hAnsi="Arial" w:cs="Arial"/>
          <w:color w:val="1D2228"/>
          <w:sz w:val="24"/>
          <w:szCs w:val="24"/>
          <w:lang w:eastAsia="en-GB"/>
          <w14:ligatures w14:val="none"/>
        </w:rPr>
        <w:t>I confirm that I have not presented any Al generated text as my own work. I confirm I have copies of my drafts, notes, and other resources I used before, and after the use of Al tools which I may be asked to provide in evidence.</w:t>
      </w:r>
    </w:p>
    <w:p w14:paraId="7EA3BD21" w14:textId="5FC0C897" w:rsidR="00A46F0B" w:rsidRDefault="00A46F0B" w:rsidP="00A46F0B">
      <w:pPr>
        <w:spacing w:line="360" w:lineRule="auto"/>
        <w:jc w:val="both"/>
        <w:rPr>
          <w:rFonts w:ascii="Arial" w:hAnsi="Arial" w:cs="Arial"/>
          <w:b/>
          <w:bCs/>
          <w:sz w:val="24"/>
          <w:szCs w:val="24"/>
        </w:rPr>
      </w:pPr>
    </w:p>
    <w:p w14:paraId="6A9B9B30" w14:textId="77777777" w:rsidR="00A46F0B" w:rsidRDefault="00A46F0B" w:rsidP="00A46F0B">
      <w:pPr>
        <w:spacing w:line="360" w:lineRule="auto"/>
        <w:jc w:val="both"/>
        <w:rPr>
          <w:rFonts w:ascii="Arial" w:hAnsi="Arial" w:cs="Arial"/>
          <w:b/>
          <w:bCs/>
          <w:sz w:val="24"/>
          <w:szCs w:val="24"/>
        </w:rPr>
      </w:pPr>
    </w:p>
    <w:p w14:paraId="6E9D788C" w14:textId="77777777" w:rsidR="00A46F0B" w:rsidRDefault="00A46F0B" w:rsidP="00A46F0B">
      <w:pPr>
        <w:spacing w:line="360" w:lineRule="auto"/>
        <w:jc w:val="both"/>
        <w:rPr>
          <w:rFonts w:ascii="Arial" w:hAnsi="Arial" w:cs="Arial"/>
          <w:b/>
          <w:bCs/>
          <w:sz w:val="24"/>
          <w:szCs w:val="24"/>
        </w:rPr>
      </w:pPr>
    </w:p>
    <w:p w14:paraId="2A267338" w14:textId="77777777" w:rsidR="00A46F0B" w:rsidRDefault="00A46F0B" w:rsidP="00A46F0B">
      <w:pPr>
        <w:spacing w:line="360" w:lineRule="auto"/>
        <w:jc w:val="both"/>
        <w:rPr>
          <w:rFonts w:ascii="Arial" w:hAnsi="Arial" w:cs="Arial"/>
          <w:b/>
          <w:bCs/>
          <w:sz w:val="24"/>
          <w:szCs w:val="24"/>
        </w:rPr>
      </w:pPr>
    </w:p>
    <w:p w14:paraId="201EF59A" w14:textId="77777777" w:rsidR="00A46F0B" w:rsidRDefault="00A46F0B" w:rsidP="00A46F0B">
      <w:pPr>
        <w:spacing w:line="360" w:lineRule="auto"/>
        <w:jc w:val="both"/>
        <w:rPr>
          <w:rFonts w:ascii="Arial" w:hAnsi="Arial" w:cs="Arial"/>
          <w:b/>
          <w:bCs/>
          <w:sz w:val="24"/>
          <w:szCs w:val="24"/>
        </w:rPr>
      </w:pPr>
    </w:p>
    <w:p w14:paraId="5EC0C8A5" w14:textId="77777777" w:rsidR="00A46F0B" w:rsidRDefault="00A46F0B" w:rsidP="00A46F0B">
      <w:pPr>
        <w:spacing w:line="360" w:lineRule="auto"/>
        <w:jc w:val="both"/>
        <w:rPr>
          <w:rFonts w:ascii="Arial" w:hAnsi="Arial" w:cs="Arial"/>
          <w:b/>
          <w:bCs/>
          <w:sz w:val="24"/>
          <w:szCs w:val="24"/>
        </w:rPr>
      </w:pPr>
    </w:p>
    <w:p w14:paraId="04C816B1" w14:textId="77777777" w:rsidR="00635A9E" w:rsidRDefault="00635A9E" w:rsidP="00A46F0B">
      <w:pPr>
        <w:spacing w:line="360" w:lineRule="auto"/>
        <w:jc w:val="both"/>
        <w:rPr>
          <w:rFonts w:ascii="Arial" w:hAnsi="Arial" w:cs="Arial"/>
          <w:b/>
          <w:bCs/>
          <w:sz w:val="24"/>
          <w:szCs w:val="24"/>
        </w:rPr>
      </w:pPr>
    </w:p>
    <w:p w14:paraId="301A893D" w14:textId="77777777" w:rsidR="00635A9E" w:rsidRDefault="00635A9E" w:rsidP="00A46F0B">
      <w:pPr>
        <w:spacing w:line="360" w:lineRule="auto"/>
        <w:jc w:val="both"/>
        <w:rPr>
          <w:rFonts w:ascii="Arial" w:hAnsi="Arial" w:cs="Arial"/>
          <w:b/>
          <w:bCs/>
          <w:sz w:val="24"/>
          <w:szCs w:val="24"/>
        </w:rPr>
      </w:pPr>
    </w:p>
    <w:p w14:paraId="48626C8D" w14:textId="77777777" w:rsidR="00635A9E" w:rsidRDefault="00635A9E" w:rsidP="00A46F0B">
      <w:pPr>
        <w:spacing w:line="360" w:lineRule="auto"/>
        <w:jc w:val="both"/>
        <w:rPr>
          <w:rFonts w:ascii="Arial" w:hAnsi="Arial" w:cs="Arial"/>
          <w:b/>
          <w:bCs/>
          <w:sz w:val="24"/>
          <w:szCs w:val="24"/>
        </w:rPr>
      </w:pPr>
    </w:p>
    <w:p w14:paraId="15E2A485" w14:textId="77777777" w:rsidR="00635A9E" w:rsidRDefault="00635A9E" w:rsidP="00A46F0B">
      <w:pPr>
        <w:spacing w:line="360" w:lineRule="auto"/>
        <w:jc w:val="both"/>
        <w:rPr>
          <w:rFonts w:ascii="Arial" w:hAnsi="Arial" w:cs="Arial"/>
          <w:b/>
          <w:bCs/>
          <w:sz w:val="24"/>
          <w:szCs w:val="24"/>
        </w:rPr>
      </w:pPr>
    </w:p>
    <w:p w14:paraId="2E2BBBD1" w14:textId="77777777" w:rsidR="00635A9E" w:rsidRDefault="00635A9E" w:rsidP="00A46F0B">
      <w:pPr>
        <w:spacing w:line="360" w:lineRule="auto"/>
        <w:jc w:val="both"/>
        <w:rPr>
          <w:rFonts w:ascii="Arial" w:hAnsi="Arial" w:cs="Arial"/>
          <w:b/>
          <w:bCs/>
          <w:sz w:val="24"/>
          <w:szCs w:val="24"/>
        </w:rPr>
      </w:pPr>
    </w:p>
    <w:p w14:paraId="1402E526" w14:textId="77777777" w:rsidR="00635A9E" w:rsidRDefault="00635A9E" w:rsidP="00A46F0B">
      <w:pPr>
        <w:spacing w:line="360" w:lineRule="auto"/>
        <w:jc w:val="both"/>
        <w:rPr>
          <w:rFonts w:ascii="Arial" w:hAnsi="Arial" w:cs="Arial"/>
          <w:b/>
          <w:bCs/>
          <w:sz w:val="24"/>
          <w:szCs w:val="24"/>
        </w:rPr>
      </w:pPr>
    </w:p>
    <w:p w14:paraId="2AE2147E" w14:textId="77777777" w:rsidR="002778D7" w:rsidRDefault="002778D7" w:rsidP="00A46F0B">
      <w:pPr>
        <w:spacing w:line="360" w:lineRule="auto"/>
        <w:jc w:val="both"/>
        <w:rPr>
          <w:rFonts w:ascii="Arial" w:hAnsi="Arial" w:cs="Arial"/>
          <w:b/>
          <w:bCs/>
          <w:sz w:val="24"/>
          <w:szCs w:val="24"/>
        </w:rPr>
      </w:pPr>
    </w:p>
    <w:p w14:paraId="7C7F51E3" w14:textId="77777777" w:rsidR="00FE47CC" w:rsidRDefault="00FE47CC" w:rsidP="00A46F0B">
      <w:pPr>
        <w:spacing w:line="360" w:lineRule="auto"/>
        <w:jc w:val="both"/>
        <w:rPr>
          <w:rFonts w:ascii="Arial" w:hAnsi="Arial" w:cs="Arial"/>
          <w:b/>
          <w:bCs/>
          <w:sz w:val="24"/>
          <w:szCs w:val="24"/>
        </w:rPr>
      </w:pPr>
    </w:p>
    <w:p w14:paraId="239C3E9C" w14:textId="77777777" w:rsidR="00FE47CC" w:rsidRDefault="00FE47CC" w:rsidP="00A46F0B">
      <w:pPr>
        <w:spacing w:line="360" w:lineRule="auto"/>
        <w:jc w:val="both"/>
        <w:rPr>
          <w:rFonts w:ascii="Arial" w:hAnsi="Arial" w:cs="Arial"/>
          <w:b/>
          <w:bCs/>
          <w:sz w:val="24"/>
          <w:szCs w:val="24"/>
        </w:rPr>
      </w:pPr>
    </w:p>
    <w:p w14:paraId="6916163C" w14:textId="77777777" w:rsidR="00FE47CC" w:rsidRDefault="00FE47CC" w:rsidP="00A46F0B">
      <w:pPr>
        <w:spacing w:line="360" w:lineRule="auto"/>
        <w:jc w:val="both"/>
        <w:rPr>
          <w:rFonts w:ascii="Arial" w:hAnsi="Arial" w:cs="Arial"/>
          <w:b/>
          <w:bCs/>
          <w:sz w:val="24"/>
          <w:szCs w:val="24"/>
        </w:rPr>
      </w:pPr>
    </w:p>
    <w:p w14:paraId="6D37217E" w14:textId="77777777" w:rsidR="00FE47CC" w:rsidRDefault="00FE47CC" w:rsidP="00A46F0B">
      <w:pPr>
        <w:spacing w:line="360" w:lineRule="auto"/>
        <w:jc w:val="both"/>
        <w:rPr>
          <w:rFonts w:ascii="Arial" w:hAnsi="Arial" w:cs="Arial"/>
          <w:b/>
          <w:bCs/>
          <w:sz w:val="24"/>
          <w:szCs w:val="24"/>
        </w:rPr>
      </w:pPr>
    </w:p>
    <w:p w14:paraId="425A5F6F" w14:textId="77777777" w:rsidR="00FE47CC" w:rsidRDefault="00FE47CC" w:rsidP="00A46F0B">
      <w:pPr>
        <w:spacing w:line="360" w:lineRule="auto"/>
        <w:jc w:val="both"/>
        <w:rPr>
          <w:rFonts w:ascii="Arial" w:hAnsi="Arial" w:cs="Arial"/>
          <w:b/>
          <w:bCs/>
          <w:sz w:val="24"/>
          <w:szCs w:val="24"/>
        </w:rPr>
      </w:pPr>
    </w:p>
    <w:p w14:paraId="07A4BBCC" w14:textId="77777777" w:rsidR="00FE47CC" w:rsidRDefault="00FE47CC" w:rsidP="00A46F0B">
      <w:pPr>
        <w:spacing w:line="360" w:lineRule="auto"/>
        <w:jc w:val="both"/>
        <w:rPr>
          <w:rFonts w:ascii="Arial" w:hAnsi="Arial" w:cs="Arial"/>
          <w:b/>
          <w:bCs/>
          <w:sz w:val="24"/>
          <w:szCs w:val="24"/>
        </w:rPr>
      </w:pPr>
    </w:p>
    <w:p w14:paraId="06EA0DEA" w14:textId="77777777" w:rsidR="00FE47CC" w:rsidRDefault="00FE47CC" w:rsidP="00A46F0B">
      <w:pPr>
        <w:spacing w:line="360" w:lineRule="auto"/>
        <w:jc w:val="both"/>
        <w:rPr>
          <w:rFonts w:ascii="Arial" w:hAnsi="Arial" w:cs="Arial"/>
          <w:b/>
          <w:bCs/>
          <w:sz w:val="24"/>
          <w:szCs w:val="24"/>
        </w:rPr>
      </w:pPr>
    </w:p>
    <w:p w14:paraId="24DE4885" w14:textId="55C5235A" w:rsidR="00A46F0B" w:rsidRDefault="00A46F0B" w:rsidP="00A46F0B">
      <w:pPr>
        <w:spacing w:line="360" w:lineRule="auto"/>
        <w:jc w:val="both"/>
        <w:rPr>
          <w:rFonts w:ascii="Arial" w:hAnsi="Arial" w:cs="Arial"/>
          <w:b/>
          <w:bCs/>
          <w:sz w:val="24"/>
          <w:szCs w:val="24"/>
        </w:rPr>
      </w:pPr>
      <w:r>
        <w:rPr>
          <w:rFonts w:ascii="Arial" w:hAnsi="Arial" w:cs="Arial"/>
          <w:b/>
          <w:bCs/>
          <w:sz w:val="24"/>
          <w:szCs w:val="24"/>
        </w:rPr>
        <w:lastRenderedPageBreak/>
        <w:t>Executive Summary</w:t>
      </w:r>
    </w:p>
    <w:p w14:paraId="7E90E357"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This report examines the Festive Family Fun Run through the Event Cycle of the EMBOK framework, detailing each phase of event management from Initiation to Closure. The report focuses on conceptual design, marketing, budget distribution, and risk management strategies to improve attendee experience and reach financial sustainability. The primary objectives are to increase charitable donations by 20%, register 10,000 participants, and obtain sponsorships that account for a minimum of 40% of the budget. The report also examines best crowd management practices, accessibility, and industry trends such as digital engagement and sustainable event operations. Incorporating these elements will guarantee a successful and memorable event that will benefit the community and facilitate future events. Recommendations include improving customer comfort and accessibility through multilingual signs and carefully chosen rest areas.</w:t>
      </w:r>
    </w:p>
    <w:p w14:paraId="176E7652" w14:textId="77777777" w:rsidR="00A46F0B" w:rsidRDefault="00A46F0B" w:rsidP="00A46F0B">
      <w:pPr>
        <w:spacing w:line="360" w:lineRule="auto"/>
        <w:jc w:val="both"/>
        <w:rPr>
          <w:rFonts w:ascii="Arial" w:hAnsi="Arial" w:cs="Arial"/>
          <w:b/>
          <w:bCs/>
          <w:sz w:val="24"/>
          <w:szCs w:val="24"/>
        </w:rPr>
      </w:pPr>
    </w:p>
    <w:p w14:paraId="03BDE90E" w14:textId="77777777" w:rsidR="00A46F0B" w:rsidRDefault="00A46F0B" w:rsidP="00A46F0B">
      <w:pPr>
        <w:spacing w:line="360" w:lineRule="auto"/>
        <w:jc w:val="both"/>
        <w:rPr>
          <w:rFonts w:ascii="Arial" w:hAnsi="Arial" w:cs="Arial"/>
          <w:b/>
          <w:bCs/>
          <w:sz w:val="24"/>
          <w:szCs w:val="24"/>
        </w:rPr>
      </w:pPr>
    </w:p>
    <w:p w14:paraId="27A27995" w14:textId="77777777" w:rsidR="00A46F0B" w:rsidRDefault="00A46F0B" w:rsidP="00A46F0B">
      <w:pPr>
        <w:spacing w:line="360" w:lineRule="auto"/>
        <w:jc w:val="both"/>
        <w:rPr>
          <w:rFonts w:ascii="Arial" w:hAnsi="Arial" w:cs="Arial"/>
          <w:b/>
          <w:bCs/>
          <w:sz w:val="24"/>
          <w:szCs w:val="24"/>
        </w:rPr>
      </w:pPr>
    </w:p>
    <w:p w14:paraId="1F1F0526" w14:textId="77777777" w:rsidR="00A46F0B" w:rsidRDefault="00A46F0B" w:rsidP="00A46F0B">
      <w:pPr>
        <w:spacing w:line="360" w:lineRule="auto"/>
        <w:jc w:val="both"/>
        <w:rPr>
          <w:rFonts w:ascii="Arial" w:hAnsi="Arial" w:cs="Arial"/>
          <w:b/>
          <w:bCs/>
          <w:sz w:val="24"/>
          <w:szCs w:val="24"/>
        </w:rPr>
      </w:pPr>
    </w:p>
    <w:p w14:paraId="0415493E" w14:textId="77777777" w:rsidR="00A46F0B" w:rsidRDefault="00A46F0B" w:rsidP="00A46F0B">
      <w:pPr>
        <w:spacing w:line="360" w:lineRule="auto"/>
        <w:jc w:val="both"/>
        <w:rPr>
          <w:rFonts w:ascii="Arial" w:hAnsi="Arial" w:cs="Arial"/>
          <w:b/>
          <w:bCs/>
          <w:sz w:val="24"/>
          <w:szCs w:val="24"/>
        </w:rPr>
      </w:pPr>
    </w:p>
    <w:p w14:paraId="3FA7791C" w14:textId="77777777" w:rsidR="00A46F0B" w:rsidRDefault="00A46F0B" w:rsidP="00A46F0B">
      <w:pPr>
        <w:spacing w:line="360" w:lineRule="auto"/>
        <w:jc w:val="both"/>
        <w:rPr>
          <w:rFonts w:ascii="Arial" w:hAnsi="Arial" w:cs="Arial"/>
          <w:b/>
          <w:bCs/>
          <w:sz w:val="24"/>
          <w:szCs w:val="24"/>
        </w:rPr>
      </w:pPr>
    </w:p>
    <w:p w14:paraId="16DDF9BF" w14:textId="77777777" w:rsidR="00A46F0B" w:rsidRDefault="00A46F0B" w:rsidP="00A46F0B">
      <w:pPr>
        <w:spacing w:line="360" w:lineRule="auto"/>
        <w:jc w:val="both"/>
        <w:rPr>
          <w:rFonts w:ascii="Arial" w:hAnsi="Arial" w:cs="Arial"/>
          <w:b/>
          <w:bCs/>
          <w:sz w:val="24"/>
          <w:szCs w:val="24"/>
        </w:rPr>
      </w:pPr>
    </w:p>
    <w:p w14:paraId="5CC2CE4E" w14:textId="77777777" w:rsidR="00A46F0B" w:rsidRDefault="00A46F0B" w:rsidP="00A46F0B">
      <w:pPr>
        <w:spacing w:line="360" w:lineRule="auto"/>
        <w:jc w:val="both"/>
        <w:rPr>
          <w:rFonts w:ascii="Arial" w:hAnsi="Arial" w:cs="Arial"/>
          <w:b/>
          <w:bCs/>
          <w:sz w:val="24"/>
          <w:szCs w:val="24"/>
        </w:rPr>
      </w:pPr>
    </w:p>
    <w:p w14:paraId="38716FD6" w14:textId="77777777" w:rsidR="00A46F0B" w:rsidRDefault="00A46F0B" w:rsidP="00A46F0B">
      <w:pPr>
        <w:spacing w:line="360" w:lineRule="auto"/>
        <w:jc w:val="both"/>
        <w:rPr>
          <w:rFonts w:ascii="Arial" w:hAnsi="Arial" w:cs="Arial"/>
          <w:b/>
          <w:bCs/>
          <w:sz w:val="24"/>
          <w:szCs w:val="24"/>
        </w:rPr>
      </w:pPr>
    </w:p>
    <w:p w14:paraId="72DC34FD" w14:textId="77777777" w:rsidR="00A46F0B" w:rsidRDefault="00A46F0B" w:rsidP="00A46F0B">
      <w:pPr>
        <w:spacing w:line="360" w:lineRule="auto"/>
        <w:jc w:val="both"/>
        <w:rPr>
          <w:rFonts w:ascii="Arial" w:hAnsi="Arial" w:cs="Arial"/>
          <w:b/>
          <w:bCs/>
          <w:sz w:val="24"/>
          <w:szCs w:val="24"/>
        </w:rPr>
      </w:pPr>
    </w:p>
    <w:p w14:paraId="04E9BC5C" w14:textId="77777777" w:rsidR="00A46F0B" w:rsidRDefault="00A46F0B" w:rsidP="00A46F0B">
      <w:pPr>
        <w:spacing w:line="360" w:lineRule="auto"/>
        <w:jc w:val="both"/>
        <w:rPr>
          <w:rFonts w:ascii="Arial" w:hAnsi="Arial" w:cs="Arial"/>
          <w:b/>
          <w:bCs/>
          <w:sz w:val="24"/>
          <w:szCs w:val="24"/>
        </w:rPr>
      </w:pPr>
    </w:p>
    <w:p w14:paraId="15EBBF03" w14:textId="77777777" w:rsidR="00A46F0B" w:rsidRDefault="00A46F0B" w:rsidP="00A46F0B">
      <w:pPr>
        <w:spacing w:line="360" w:lineRule="auto"/>
        <w:jc w:val="both"/>
        <w:rPr>
          <w:rFonts w:ascii="Arial" w:hAnsi="Arial" w:cs="Arial"/>
          <w:b/>
          <w:bCs/>
          <w:sz w:val="24"/>
          <w:szCs w:val="24"/>
        </w:rPr>
      </w:pPr>
    </w:p>
    <w:p w14:paraId="100B824D" w14:textId="77777777" w:rsidR="00A46F0B" w:rsidRDefault="00A46F0B" w:rsidP="00A46F0B">
      <w:pPr>
        <w:spacing w:line="360" w:lineRule="auto"/>
        <w:jc w:val="both"/>
        <w:rPr>
          <w:rFonts w:ascii="Arial" w:hAnsi="Arial" w:cs="Arial"/>
          <w:b/>
          <w:bCs/>
          <w:sz w:val="24"/>
          <w:szCs w:val="24"/>
        </w:rPr>
      </w:pPr>
    </w:p>
    <w:p w14:paraId="2DFA68B3" w14:textId="77777777" w:rsidR="00450873" w:rsidRDefault="00450873" w:rsidP="00A46F0B">
      <w:pPr>
        <w:spacing w:line="360" w:lineRule="auto"/>
        <w:jc w:val="both"/>
        <w:rPr>
          <w:rFonts w:ascii="Arial" w:hAnsi="Arial" w:cs="Arial"/>
          <w:b/>
          <w:bCs/>
          <w:sz w:val="24"/>
          <w:szCs w:val="24"/>
        </w:rPr>
      </w:pPr>
    </w:p>
    <w:p w14:paraId="24927DE5" w14:textId="41A6904B" w:rsidR="00A46F0B" w:rsidRDefault="00A46F0B" w:rsidP="00A46F0B">
      <w:pPr>
        <w:spacing w:line="360" w:lineRule="auto"/>
        <w:jc w:val="both"/>
        <w:rPr>
          <w:rFonts w:ascii="Arial" w:hAnsi="Arial" w:cs="Arial"/>
          <w:b/>
          <w:bCs/>
          <w:sz w:val="24"/>
          <w:szCs w:val="24"/>
        </w:rPr>
      </w:pPr>
      <w:r>
        <w:rPr>
          <w:rFonts w:ascii="Arial" w:hAnsi="Arial" w:cs="Arial"/>
          <w:b/>
          <w:bCs/>
          <w:sz w:val="24"/>
          <w:szCs w:val="24"/>
        </w:rPr>
        <w:lastRenderedPageBreak/>
        <w:t>Table of Contents</w:t>
      </w:r>
    </w:p>
    <w:p w14:paraId="22F47D54"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Introduction</w:t>
      </w:r>
    </w:p>
    <w:p w14:paraId="1878CFC4"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The Event Cycle</w:t>
      </w:r>
    </w:p>
    <w:p w14:paraId="6DC75A48"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Event Concept</w:t>
      </w:r>
    </w:p>
    <w:p w14:paraId="13DF7252"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Aim and Objectives</w:t>
      </w:r>
    </w:p>
    <w:p w14:paraId="7E31787F"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SMART Goals for Festive Family Fun Run</w:t>
      </w:r>
    </w:p>
    <w:p w14:paraId="4AE88FA1"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Event Management</w:t>
      </w:r>
    </w:p>
    <w:p w14:paraId="56DAF81E"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Operational Requirements</w:t>
      </w:r>
    </w:p>
    <w:p w14:paraId="296D6E91"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Marketing Strategy and Framework</w:t>
      </w:r>
    </w:p>
    <w:p w14:paraId="66377815"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Risk Management</w:t>
      </w:r>
    </w:p>
    <w:p w14:paraId="79069B70"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Competitor Analysis and Best Practices</w:t>
      </w:r>
    </w:p>
    <w:p w14:paraId="0D86016A"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Event Budget</w:t>
      </w:r>
    </w:p>
    <w:p w14:paraId="68F0FE5F"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Expenditure Breakdown</w:t>
      </w:r>
    </w:p>
    <w:p w14:paraId="005B6B91"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Revenue Sources</w:t>
      </w:r>
    </w:p>
    <w:p w14:paraId="4E3A401D" w14:textId="77777777" w:rsidR="00A46F0B" w:rsidRDefault="00A46F0B" w:rsidP="00A46F0B">
      <w:pPr>
        <w:numPr>
          <w:ilvl w:val="1"/>
          <w:numId w:val="5"/>
        </w:numPr>
        <w:spacing w:line="360" w:lineRule="auto"/>
        <w:jc w:val="both"/>
        <w:rPr>
          <w:rFonts w:ascii="Arial" w:hAnsi="Arial" w:cs="Arial"/>
          <w:sz w:val="24"/>
          <w:szCs w:val="24"/>
        </w:rPr>
      </w:pPr>
      <w:r>
        <w:rPr>
          <w:rFonts w:ascii="Arial" w:hAnsi="Arial" w:cs="Arial"/>
          <w:sz w:val="24"/>
          <w:szCs w:val="24"/>
        </w:rPr>
        <w:t>Financial Viability</w:t>
      </w:r>
    </w:p>
    <w:p w14:paraId="2BBA7958"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Industry Trends, Issues, and Impacts</w:t>
      </w:r>
    </w:p>
    <w:p w14:paraId="2BCE00E8"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Situational and Cultural Considerations</w:t>
      </w:r>
    </w:p>
    <w:p w14:paraId="19059941"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Conclusion</w:t>
      </w:r>
    </w:p>
    <w:p w14:paraId="06D50558"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Recommendations</w:t>
      </w:r>
    </w:p>
    <w:p w14:paraId="353AB352" w14:textId="77777777" w:rsidR="00A46F0B" w:rsidRDefault="00A46F0B" w:rsidP="00A46F0B">
      <w:pPr>
        <w:numPr>
          <w:ilvl w:val="0"/>
          <w:numId w:val="5"/>
        </w:numPr>
        <w:spacing w:line="360" w:lineRule="auto"/>
        <w:jc w:val="both"/>
        <w:rPr>
          <w:rFonts w:ascii="Arial" w:hAnsi="Arial" w:cs="Arial"/>
          <w:sz w:val="24"/>
          <w:szCs w:val="24"/>
        </w:rPr>
      </w:pPr>
      <w:r>
        <w:rPr>
          <w:rFonts w:ascii="Arial" w:hAnsi="Arial" w:cs="Arial"/>
          <w:sz w:val="24"/>
          <w:szCs w:val="24"/>
        </w:rPr>
        <w:t>Reference List</w:t>
      </w:r>
    </w:p>
    <w:p w14:paraId="27FE2D07" w14:textId="77777777" w:rsidR="00A46F0B" w:rsidRDefault="00A46F0B" w:rsidP="00A46F0B">
      <w:pPr>
        <w:spacing w:line="360" w:lineRule="auto"/>
        <w:jc w:val="both"/>
        <w:rPr>
          <w:rFonts w:ascii="Arial" w:hAnsi="Arial" w:cs="Arial"/>
          <w:b/>
          <w:bCs/>
          <w:sz w:val="24"/>
          <w:szCs w:val="24"/>
        </w:rPr>
      </w:pPr>
    </w:p>
    <w:p w14:paraId="5D123005" w14:textId="77777777" w:rsidR="00A46F0B" w:rsidRDefault="00A46F0B" w:rsidP="00A46F0B">
      <w:pPr>
        <w:spacing w:line="360" w:lineRule="auto"/>
        <w:jc w:val="both"/>
        <w:rPr>
          <w:rFonts w:ascii="Arial" w:hAnsi="Arial" w:cs="Arial"/>
          <w:b/>
          <w:bCs/>
          <w:sz w:val="24"/>
          <w:szCs w:val="24"/>
        </w:rPr>
      </w:pPr>
    </w:p>
    <w:p w14:paraId="1DC91ECA" w14:textId="77777777" w:rsidR="00A46F0B" w:rsidRDefault="00A46F0B" w:rsidP="00A46F0B">
      <w:pPr>
        <w:spacing w:line="360" w:lineRule="auto"/>
        <w:jc w:val="both"/>
        <w:rPr>
          <w:rFonts w:ascii="Arial" w:hAnsi="Arial" w:cs="Arial"/>
          <w:b/>
          <w:bCs/>
          <w:sz w:val="24"/>
          <w:szCs w:val="24"/>
        </w:rPr>
      </w:pPr>
    </w:p>
    <w:p w14:paraId="67E00FBB" w14:textId="77777777" w:rsidR="00450873" w:rsidRDefault="00450873" w:rsidP="00A46F0B">
      <w:pPr>
        <w:spacing w:line="360" w:lineRule="auto"/>
        <w:jc w:val="both"/>
        <w:rPr>
          <w:rFonts w:ascii="Arial" w:hAnsi="Arial" w:cs="Arial"/>
          <w:b/>
          <w:bCs/>
          <w:sz w:val="24"/>
          <w:szCs w:val="24"/>
        </w:rPr>
      </w:pPr>
    </w:p>
    <w:p w14:paraId="47AEDF3C" w14:textId="7A8F55EB" w:rsidR="00A46F0B" w:rsidRDefault="00A46F0B" w:rsidP="00A46F0B">
      <w:pPr>
        <w:spacing w:line="360" w:lineRule="auto"/>
        <w:jc w:val="both"/>
        <w:rPr>
          <w:rFonts w:ascii="Arial" w:hAnsi="Arial" w:cs="Arial"/>
          <w:b/>
          <w:bCs/>
          <w:sz w:val="24"/>
          <w:szCs w:val="24"/>
        </w:rPr>
      </w:pPr>
      <w:r>
        <w:rPr>
          <w:rFonts w:ascii="Arial" w:hAnsi="Arial" w:cs="Arial"/>
          <w:b/>
          <w:bCs/>
          <w:sz w:val="24"/>
          <w:szCs w:val="24"/>
        </w:rPr>
        <w:lastRenderedPageBreak/>
        <w:t>Introduction</w:t>
      </w:r>
    </w:p>
    <w:p w14:paraId="1AB6CEF3"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Event management is a multifaceted domain requiring a systematic methodology to guarantee that every component of an event corresponds with operational objectives and attendee expectations. The Event Cycle in the EMBOK framework offers a detailed model for event management, divided into five consecutive phases: Initiation, Planning, Implementation, Event, and Closure. This framework allows event organisers to address each stage carefully, providing adequate preparation, practical implementation, and reflective post-event evaluation. This report analyses the Festive Family Fun Run as a case study of the Event Cycle, explaining how each phase—from initial planning to post-event assessment—facilitates the event's goals. The report examines event-specific elements, including concept design, budgeting, and industry trends, focussing on different strategies for efficient crowd management, community involvement, and financial sustainability.</w:t>
      </w:r>
    </w:p>
    <w:p w14:paraId="722E050F" w14:textId="77777777" w:rsidR="00A46F0B" w:rsidRDefault="00A46F0B" w:rsidP="00A46F0B">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The Event Cycle</w:t>
      </w:r>
    </w:p>
    <w:p w14:paraId="6A8506E9" w14:textId="0055A1A1" w:rsidR="00A46F0B" w:rsidRDefault="00A46F0B" w:rsidP="00A46F0B">
      <w:pPr>
        <w:spacing w:line="360" w:lineRule="auto"/>
        <w:jc w:val="both"/>
        <w:rPr>
          <w:rFonts w:ascii="Arial" w:hAnsi="Arial" w:cs="Arial"/>
          <w:b/>
          <w:bCs/>
          <w:sz w:val="24"/>
          <w:szCs w:val="24"/>
        </w:rPr>
      </w:pPr>
      <w:r>
        <w:rPr>
          <w:rFonts w:ascii="Arial" w:hAnsi="Arial" w:cs="Arial"/>
          <w:noProof/>
          <w:sz w:val="24"/>
          <w:szCs w:val="24"/>
        </w:rPr>
        <w:drawing>
          <wp:inline distT="0" distB="0" distL="0" distR="0" wp14:anchorId="2394BE11" wp14:editId="546D4DFC">
            <wp:extent cx="5588000" cy="2349500"/>
            <wp:effectExtent l="0" t="0" r="0" b="0"/>
            <wp:docPr id="284959863" name="Picture 2"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OK - Event Management Body of Knowledge - Phas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000" cy="2349500"/>
                    </a:xfrm>
                    <a:prstGeom prst="rect">
                      <a:avLst/>
                    </a:prstGeom>
                    <a:noFill/>
                    <a:ln>
                      <a:noFill/>
                    </a:ln>
                  </pic:spPr>
                </pic:pic>
              </a:graphicData>
            </a:graphic>
          </wp:inline>
        </w:drawing>
      </w:r>
    </w:p>
    <w:p w14:paraId="0C66F93B" w14:textId="31348E5F"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The Event Cycle in the EMBOK framework—comprising Initiation, Planning, Implementation, Event, and Closure—provides a systematic method for event management. This cycle ensures that each phase logically progresses from the preceding one, promoting a more unified and purposeful planning process (Robson, 2008). Every phase plays a role to the event's success, as research shows the significance of phase-specific objectives and resource allocation for successfully handling complications (Bowdin, 2011; Stokes, 2008). </w:t>
      </w:r>
      <w:r>
        <w:rPr>
          <w:rFonts w:ascii="Arial" w:hAnsi="Arial" w:cs="Arial"/>
          <w:sz w:val="24"/>
          <w:szCs w:val="24"/>
        </w:rPr>
        <w:br/>
        <w:t xml:space="preserve">During the Initiation phase, significant choices are made to guarantee alignment with the community's requirements and the event's financial goals. At this stage, knowing </w:t>
      </w:r>
      <w:r>
        <w:rPr>
          <w:rFonts w:ascii="Arial" w:hAnsi="Arial" w:cs="Arial"/>
          <w:sz w:val="24"/>
          <w:szCs w:val="24"/>
        </w:rPr>
        <w:lastRenderedPageBreak/>
        <w:t>the distinctive characteristics of a family-</w:t>
      </w:r>
      <w:proofErr w:type="spellStart"/>
      <w:r>
        <w:rPr>
          <w:rFonts w:ascii="Arial" w:hAnsi="Arial" w:cs="Arial"/>
          <w:sz w:val="24"/>
          <w:szCs w:val="24"/>
        </w:rPr>
        <w:t>centered</w:t>
      </w:r>
      <w:proofErr w:type="spellEnd"/>
      <w:r>
        <w:rPr>
          <w:rFonts w:ascii="Arial" w:hAnsi="Arial" w:cs="Arial"/>
          <w:sz w:val="24"/>
          <w:szCs w:val="24"/>
        </w:rPr>
        <w:t xml:space="preserve"> event permits organisers to personalise their approaches for an inclusive and community-oriented atmosphere, as demonstrated in successful charity events (Bowdin, 2011; Filo et al., 2009).</w:t>
      </w:r>
      <w:r>
        <w:rPr>
          <w:rFonts w:ascii="Arial" w:hAnsi="Arial" w:cs="Arial"/>
          <w:sz w:val="24"/>
          <w:szCs w:val="24"/>
        </w:rPr>
        <w:br/>
        <w:t xml:space="preserve">In the planning phase, logistics including obtaining the rental of Hyde Park, putting together the marketing strategy, and the organisation of sponsorships have been finished. An efficiently planned logistics strategy guarantees an uninterrupted operation of aspects such as Santa’s Workshop and vendor arrangements. Research shows the importance of careful preparation in managing large-scale events, and it helps minimise risks related to crowd control and scheduling (Li, 2017). </w:t>
      </w:r>
      <w:r>
        <w:rPr>
          <w:rFonts w:ascii="Arial" w:hAnsi="Arial" w:cs="Arial"/>
          <w:sz w:val="24"/>
          <w:szCs w:val="24"/>
        </w:rPr>
        <w:br/>
        <w:t>The Implementation phase focuses on the practical arrangement related to setting up festive installations and facilitating easy registration. Real-time adjustments and resource optimisation are essential, permitting adaptability to challenges during setup (Shen </w:t>
      </w:r>
      <w:r w:rsidR="00450873">
        <w:rPr>
          <w:rFonts w:ascii="Arial" w:hAnsi="Arial" w:cs="Arial"/>
          <w:sz w:val="24"/>
          <w:szCs w:val="24"/>
        </w:rPr>
        <w:t>and</w:t>
      </w:r>
      <w:r>
        <w:rPr>
          <w:rFonts w:ascii="Arial" w:hAnsi="Arial" w:cs="Arial"/>
          <w:sz w:val="24"/>
          <w:szCs w:val="24"/>
        </w:rPr>
        <w:t xml:space="preserve"> Liu, 2023).</w:t>
      </w:r>
      <w:r>
        <w:rPr>
          <w:rFonts w:ascii="Arial" w:hAnsi="Arial" w:cs="Arial"/>
          <w:sz w:val="24"/>
          <w:szCs w:val="24"/>
        </w:rPr>
        <w:br/>
        <w:t>On Event Day, a systematic timeline directs the activities, from the arrival of guests to the rotation of events. The focus on operational efficiency guarantees a positive participant experience, a priority confirmed by research on event-day management practices throughout various contexts (Theodorakis et al., 2015).</w:t>
      </w:r>
      <w:r>
        <w:rPr>
          <w:rFonts w:ascii="Arial" w:hAnsi="Arial" w:cs="Arial"/>
          <w:sz w:val="24"/>
          <w:szCs w:val="24"/>
        </w:rPr>
        <w:br/>
        <w:t xml:space="preserve">In the Closure phase, cleanup, financial reconciliation, and post-event evaluation provide insights for future growth. The systematic post-event evaluation corresponds with EMBOK’s standards for ongoing improvement, completing the cycle while creating a basis for bettering future events (Dwyer et al., 2016). </w:t>
      </w:r>
      <w:r>
        <w:rPr>
          <w:rFonts w:ascii="Arial" w:hAnsi="Arial" w:cs="Arial"/>
          <w:sz w:val="24"/>
          <w:szCs w:val="24"/>
        </w:rPr>
        <w:br/>
        <w:t>Following the Event Cycle, the Festive Family Fun Run can strategically utilise each phase to improve its social and financial outcomes, ensuring a significant experience and an efficient event operation.</w:t>
      </w:r>
    </w:p>
    <w:p w14:paraId="65740514" w14:textId="77777777" w:rsidR="00A46F0B" w:rsidRDefault="00A46F0B" w:rsidP="00A46F0B">
      <w:pPr>
        <w:spacing w:line="360" w:lineRule="auto"/>
        <w:jc w:val="both"/>
        <w:rPr>
          <w:rFonts w:ascii="Arial" w:hAnsi="Arial" w:cs="Arial"/>
          <w:sz w:val="24"/>
          <w:szCs w:val="24"/>
        </w:rPr>
      </w:pPr>
    </w:p>
    <w:p w14:paraId="2EF3B665" w14:textId="77777777" w:rsidR="00A46F0B" w:rsidRDefault="00A46F0B" w:rsidP="00A46F0B">
      <w:pPr>
        <w:spacing w:line="360" w:lineRule="auto"/>
        <w:jc w:val="both"/>
        <w:rPr>
          <w:rFonts w:ascii="Arial" w:hAnsi="Arial" w:cs="Arial"/>
          <w:sz w:val="24"/>
          <w:szCs w:val="24"/>
        </w:rPr>
      </w:pPr>
    </w:p>
    <w:p w14:paraId="56A90A45" w14:textId="77777777" w:rsidR="00A46F0B" w:rsidRDefault="00A46F0B" w:rsidP="00A46F0B">
      <w:pPr>
        <w:spacing w:line="360" w:lineRule="auto"/>
        <w:jc w:val="both"/>
        <w:rPr>
          <w:rFonts w:ascii="Arial" w:hAnsi="Arial" w:cs="Arial"/>
          <w:sz w:val="24"/>
          <w:szCs w:val="24"/>
        </w:rPr>
      </w:pPr>
    </w:p>
    <w:p w14:paraId="2DFBE125" w14:textId="77777777" w:rsidR="00A46F0B" w:rsidRDefault="00A46F0B" w:rsidP="00A46F0B">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 xml:space="preserve">Event Concept </w:t>
      </w:r>
    </w:p>
    <w:p w14:paraId="32F90762" w14:textId="45A7A20F" w:rsidR="00A46F0B" w:rsidRDefault="00A46F0B" w:rsidP="00A46F0B">
      <w:pPr>
        <w:spacing w:line="360" w:lineRule="auto"/>
        <w:jc w:val="both"/>
        <w:rPr>
          <w:rFonts w:ascii="Arial" w:hAnsi="Arial" w:cs="Arial"/>
          <w:sz w:val="24"/>
          <w:szCs w:val="24"/>
        </w:rPr>
      </w:pPr>
      <w:r>
        <w:rPr>
          <w:noProof/>
        </w:rPr>
        <w:lastRenderedPageBreak/>
        <w:drawing>
          <wp:anchor distT="0" distB="0" distL="114300" distR="114300" simplePos="0" relativeHeight="251659264" behindDoc="0" locked="0" layoutInCell="1" allowOverlap="1" wp14:anchorId="2C14C6D2" wp14:editId="1E5124AB">
            <wp:simplePos x="0" y="0"/>
            <wp:positionH relativeFrom="column">
              <wp:posOffset>40640</wp:posOffset>
            </wp:positionH>
            <wp:positionV relativeFrom="paragraph">
              <wp:posOffset>66675</wp:posOffset>
            </wp:positionV>
            <wp:extent cx="3785870" cy="2524760"/>
            <wp:effectExtent l="0" t="0" r="5080" b="8890"/>
            <wp:wrapSquare wrapText="bothSides"/>
            <wp:docPr id="779865641" name="Picture 5" descr="Saints Santa Run - Downtown in Dec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ints Santa Run - Downtown in Decemb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5870" cy="252476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The Festive Family Fun Run offers a carefully crafted itinerary, starting with an exciting, themed run through Hyde Park, allowing participants of all ages to participate in a festive, community-oriented experience. The fun run, surrounded by a wintry landscape, offers families a distinctive combination of fitness and festive cheer. Activities like Santa’s Workshop, which provides seasonal crafts and gift-making stations, contribute to the experience by increasing active participation for children and families. A food village displaying the local vendors products, provides festive delicacies that strengthens the experience and accentuates the importance of supporting local businesses, an important aspect of community-oriented design for events (Stokes, 2008; Mayfield </w:t>
      </w:r>
      <w:r w:rsidR="00450873">
        <w:rPr>
          <w:rFonts w:ascii="Arial" w:hAnsi="Arial" w:cs="Arial"/>
          <w:sz w:val="24"/>
          <w:szCs w:val="24"/>
        </w:rPr>
        <w:t>and</w:t>
      </w:r>
      <w:r>
        <w:rPr>
          <w:rFonts w:ascii="Arial" w:hAnsi="Arial" w:cs="Arial"/>
          <w:sz w:val="24"/>
          <w:szCs w:val="24"/>
        </w:rPr>
        <w:t xml:space="preserve"> Crompton, 1995).</w:t>
      </w:r>
    </w:p>
    <w:p w14:paraId="169D0442"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The engagement strategy for this event has been created to have a lasting impact. Each component—fun runs, workshops, and festive treats—is meticulously designed to cultivate repeat attendance and community devotion. Such events grow by creating memorable experiences, helping participants to leave with a stronger sense of community and collective memories. This method corresponds to the principles outlined by Pegg and Patterson (2010) as essential for encouraging visitor satisfaction, as it aligns with their motivations and social requirements, growing the overall experience quality.</w:t>
      </w:r>
    </w:p>
    <w:p w14:paraId="20B920A9"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The event's family-oriented nature is fundamental to its design, aiming at local families, tourists, and community organisations seeking enjoyable, affordable activities during the holiday season. The Festive Family Fun Run integrates recreational activities with social components, celebrating seasonal joy while cultivating an inclusive environment that promotes communal values and traditions, that helps building local connections and boosting tourism (Stokes, 2008).</w:t>
      </w:r>
    </w:p>
    <w:p w14:paraId="7926AE36" w14:textId="77777777" w:rsidR="00A46F0B" w:rsidRDefault="00A46F0B" w:rsidP="00A46F0B">
      <w:pPr>
        <w:spacing w:line="360" w:lineRule="auto"/>
        <w:jc w:val="both"/>
        <w:rPr>
          <w:rFonts w:ascii="Arial" w:hAnsi="Arial" w:cs="Arial"/>
          <w:b/>
          <w:bCs/>
          <w:sz w:val="24"/>
          <w:szCs w:val="24"/>
        </w:rPr>
      </w:pPr>
    </w:p>
    <w:p w14:paraId="5BF63E02" w14:textId="77777777" w:rsidR="00A46F0B" w:rsidRDefault="00A46F0B" w:rsidP="00A46F0B">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lastRenderedPageBreak/>
        <w:t xml:space="preserve">Aim and Objectives </w:t>
      </w:r>
    </w:p>
    <w:p w14:paraId="10B5BE40" w14:textId="2493A199" w:rsidR="00A46F0B" w:rsidRDefault="00A46F0B" w:rsidP="00A46F0B">
      <w:pPr>
        <w:spacing w:line="360" w:lineRule="auto"/>
        <w:jc w:val="both"/>
        <w:rPr>
          <w:rFonts w:ascii="Arial" w:hAnsi="Arial" w:cs="Arial"/>
          <w:sz w:val="24"/>
          <w:szCs w:val="24"/>
        </w:rPr>
      </w:pPr>
      <w:r>
        <w:rPr>
          <w:rFonts w:ascii="Arial" w:hAnsi="Arial" w:cs="Arial"/>
          <w:noProof/>
          <w:sz w:val="24"/>
          <w:szCs w:val="24"/>
        </w:rPr>
        <w:drawing>
          <wp:inline distT="0" distB="0" distL="0" distR="0" wp14:anchorId="1C4C6220" wp14:editId="0814E4A1">
            <wp:extent cx="5731510" cy="2397125"/>
            <wp:effectExtent l="0" t="0" r="2540" b="3175"/>
            <wp:docPr id="413892226" name="Picture 1" descr="How to Create SMART Business Goals | Cultivate Advis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Create SMART Business Goals | Cultivate Advis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397125"/>
                    </a:xfrm>
                    <a:prstGeom prst="rect">
                      <a:avLst/>
                    </a:prstGeom>
                    <a:noFill/>
                    <a:ln>
                      <a:noFill/>
                    </a:ln>
                  </pic:spPr>
                </pic:pic>
              </a:graphicData>
            </a:graphic>
          </wp:inline>
        </w:drawing>
      </w:r>
    </w:p>
    <w:p w14:paraId="275069D4"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The principal objective of the Festive Family Fun Run is to organise a revenue generating event that significantly benefits community welfare and produces significant donations for local charities. This objective corresponds with community-oriented event planning, which highlights the mutual advantages of integrating philanthropic aims with public involvement (Fechner et al., 2022).</w:t>
      </w:r>
    </w:p>
    <w:p w14:paraId="52F8B5EB" w14:textId="77777777" w:rsidR="00A46F0B" w:rsidRDefault="00A46F0B" w:rsidP="00A46F0B">
      <w:pPr>
        <w:spacing w:line="360" w:lineRule="auto"/>
        <w:jc w:val="both"/>
        <w:rPr>
          <w:rFonts w:ascii="Arial" w:hAnsi="Arial" w:cs="Arial"/>
          <w:sz w:val="24"/>
          <w:szCs w:val="24"/>
        </w:rPr>
      </w:pPr>
      <w:r>
        <w:rPr>
          <w:rFonts w:ascii="Arial" w:hAnsi="Arial" w:cs="Arial"/>
          <w:b/>
          <w:bCs/>
          <w:sz w:val="24"/>
          <w:szCs w:val="24"/>
        </w:rPr>
        <w:t>SMART Goals for Festive Family Fun Run</w:t>
      </w:r>
    </w:p>
    <w:p w14:paraId="2A67D249" w14:textId="77777777" w:rsidR="00A46F0B" w:rsidRDefault="00A46F0B" w:rsidP="00A46F0B">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Increase charitable funds by 20% through strategic sponsorships and an open registration framework, which improves donor involvement (Filo et al., 2009). </w:t>
      </w:r>
    </w:p>
    <w:p w14:paraId="6BFB1328" w14:textId="77777777" w:rsidR="00A46F0B" w:rsidRDefault="00A46F0B" w:rsidP="00A46F0B">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Engage 10,000 participants through family-oriented marketing, promoting inclusivity and community engagement (Rhonda, 1999). </w:t>
      </w:r>
    </w:p>
    <w:p w14:paraId="1A1AE12A" w14:textId="77777777" w:rsidR="00A46F0B" w:rsidRDefault="00A46F0B" w:rsidP="00A46F0B">
      <w:pPr>
        <w:pStyle w:val="ListParagraph"/>
        <w:numPr>
          <w:ilvl w:val="0"/>
          <w:numId w:val="6"/>
        </w:numPr>
        <w:spacing w:line="360" w:lineRule="auto"/>
        <w:jc w:val="both"/>
        <w:rPr>
          <w:rFonts w:ascii="Arial" w:hAnsi="Arial" w:cs="Arial"/>
          <w:sz w:val="24"/>
          <w:szCs w:val="24"/>
        </w:rPr>
      </w:pPr>
      <w:r>
        <w:rPr>
          <w:rFonts w:ascii="Arial" w:hAnsi="Arial" w:cs="Arial"/>
          <w:sz w:val="24"/>
          <w:szCs w:val="24"/>
        </w:rPr>
        <w:t>Obtain sponsorships that cover a minimum of 40% of the event budget, which improves financial sustainability and positive community perception (</w:t>
      </w:r>
      <w:proofErr w:type="spellStart"/>
      <w:r>
        <w:rPr>
          <w:rFonts w:ascii="Arial" w:hAnsi="Arial" w:cs="Arial"/>
          <w:sz w:val="24"/>
          <w:szCs w:val="24"/>
        </w:rPr>
        <w:t>Fasczewski</w:t>
      </w:r>
      <w:proofErr w:type="spellEnd"/>
      <w:r>
        <w:rPr>
          <w:rFonts w:ascii="Arial" w:hAnsi="Arial" w:cs="Arial"/>
          <w:sz w:val="24"/>
          <w:szCs w:val="24"/>
        </w:rPr>
        <w:t xml:space="preserve"> et al., 2021).</w:t>
      </w:r>
    </w:p>
    <w:p w14:paraId="143CD703" w14:textId="77777777" w:rsidR="00A46F0B" w:rsidRDefault="00A46F0B" w:rsidP="00A46F0B">
      <w:pPr>
        <w:spacing w:line="360" w:lineRule="auto"/>
        <w:jc w:val="both"/>
        <w:rPr>
          <w:rFonts w:ascii="Arial" w:hAnsi="Arial" w:cs="Arial"/>
          <w:b/>
          <w:bCs/>
          <w:sz w:val="24"/>
          <w:szCs w:val="24"/>
        </w:rPr>
      </w:pPr>
    </w:p>
    <w:p w14:paraId="7D113DE4" w14:textId="77777777" w:rsidR="00A46F0B" w:rsidRDefault="00A46F0B" w:rsidP="00A46F0B">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 xml:space="preserve">Event Management </w:t>
      </w:r>
    </w:p>
    <w:p w14:paraId="19804FB0"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A successful event management for the Festive Family Fun Run requires precise operational planning, community-oriented marketing, and careful risk management, all essential to maintaining a successful and safe experience.</w:t>
      </w:r>
    </w:p>
    <w:p w14:paraId="6A7DD027" w14:textId="77777777" w:rsidR="00A46F0B" w:rsidRDefault="00A46F0B" w:rsidP="00A46F0B">
      <w:pPr>
        <w:spacing w:line="360" w:lineRule="auto"/>
        <w:jc w:val="both"/>
        <w:rPr>
          <w:rFonts w:ascii="Arial" w:hAnsi="Arial" w:cs="Arial"/>
          <w:sz w:val="24"/>
          <w:szCs w:val="24"/>
        </w:rPr>
      </w:pPr>
      <w:r>
        <w:rPr>
          <w:rFonts w:ascii="Arial" w:hAnsi="Arial" w:cs="Arial"/>
          <w:b/>
          <w:bCs/>
          <w:i/>
          <w:iCs/>
          <w:sz w:val="24"/>
          <w:szCs w:val="24"/>
        </w:rPr>
        <w:lastRenderedPageBreak/>
        <w:t>Operational Requirements</w:t>
      </w:r>
      <w:r>
        <w:rPr>
          <w:rFonts w:ascii="Arial" w:hAnsi="Arial" w:cs="Arial"/>
          <w:sz w:val="24"/>
          <w:szCs w:val="24"/>
        </w:rPr>
        <w:br/>
        <w:t xml:space="preserve">Successful operations depend on detailed logistical planning, especially for a high-traffic location such as Hyde Park. </w:t>
      </w:r>
    </w:p>
    <w:p w14:paraId="77A7515D"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Reliable logistics facilitate seamless movement across event spaces, with staff concentrated on skilled volunteers to improve attendee experience. Contingency planning anticipates potential challenges, including overcrowding and medical emergencies. Real-time crowd density monitoring could prevent blockages and facilitate safe navigation through areas of congestion (Sharma et al., 2018). Additionally, assigning more staff at entry points and overseeing vendor locations could reduce risks while improving attendee comfort (Rahmat et al., 2011). SWOT analysis clarifies operational strengths, such as easy event layouts, while facing weaknesses, including insufficient parking. These strategies correspond with the 7Ps framework to make sure that the event is secure, effective, and pleasurable.</w:t>
      </w:r>
    </w:p>
    <w:p w14:paraId="68E95DE2"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Space allocation and crowd flow must be optimised to facilitate the various activities—Santa’s Workshop, food stalls, and the race route—while ensuring clear and safe passageways. Research indicates that pre-event evaluations, including identifying potential blockages and placing controlled entry points, considerably lower risks (Bladen et al., 2012). Furthermore, the utilisation of obvious security measures and properly labelled facilities (e.g., portable restrooms, first-aid stations) promotes crowd safety and attendee comfort, which is recognised to improve the overall event experience (Rahmat et al., 2011).</w:t>
      </w:r>
    </w:p>
    <w:p w14:paraId="5BC3A61B" w14:textId="3257D7BA" w:rsidR="00A46F0B" w:rsidRDefault="00A46F0B" w:rsidP="00A46F0B">
      <w:pPr>
        <w:spacing w:line="360" w:lineRule="auto"/>
        <w:jc w:val="both"/>
        <w:rPr>
          <w:rFonts w:ascii="Arial" w:hAnsi="Arial" w:cs="Arial"/>
          <w:sz w:val="24"/>
          <w:szCs w:val="24"/>
        </w:rPr>
      </w:pPr>
      <w:r>
        <w:rPr>
          <w:rFonts w:ascii="Arial" w:hAnsi="Arial" w:cs="Arial"/>
          <w:b/>
          <w:bCs/>
          <w:i/>
          <w:iCs/>
          <w:sz w:val="24"/>
          <w:szCs w:val="24"/>
        </w:rPr>
        <w:t>Marketing Strategy and Framework</w:t>
      </w:r>
      <w:r>
        <w:rPr>
          <w:rFonts w:ascii="Arial" w:hAnsi="Arial" w:cs="Arial"/>
          <w:sz w:val="24"/>
          <w:szCs w:val="24"/>
        </w:rPr>
        <w:br/>
        <w:t xml:space="preserve">The event's community-focused marketing utilises digital platforms to engage families and local communities through channels such as Mumsnet and </w:t>
      </w:r>
      <w:proofErr w:type="spellStart"/>
      <w:r>
        <w:rPr>
          <w:rFonts w:ascii="Arial" w:hAnsi="Arial" w:cs="Arial"/>
          <w:sz w:val="24"/>
          <w:szCs w:val="24"/>
        </w:rPr>
        <w:t>Netmums</w:t>
      </w:r>
      <w:proofErr w:type="spellEnd"/>
      <w:r>
        <w:rPr>
          <w:rFonts w:ascii="Arial" w:hAnsi="Arial" w:cs="Arial"/>
          <w:sz w:val="24"/>
          <w:szCs w:val="24"/>
        </w:rPr>
        <w:t xml:space="preserve">. This focused strategy increases event visibility within essential demographics, increasing participation and attendance (Laurell and Björner, 2018). Social media strategies, strengthened by influencer collaborations, widen the reach beyond typical audiences, permitting the attraction of both local families and international tourists seeking distinctive cultural experiences. The concentration on digital advertising aligns with recent changes in the promotion of events, where active participation by attendees through online communities promotes inclusivity (Wrathall </w:t>
      </w:r>
      <w:r w:rsidR="00840DE2">
        <w:rPr>
          <w:rFonts w:ascii="Arial" w:hAnsi="Arial" w:cs="Arial"/>
          <w:sz w:val="24"/>
          <w:szCs w:val="24"/>
        </w:rPr>
        <w:t xml:space="preserve">and </w:t>
      </w:r>
      <w:proofErr w:type="spellStart"/>
      <w:r>
        <w:rPr>
          <w:rFonts w:ascii="Arial" w:hAnsi="Arial" w:cs="Arial"/>
          <w:sz w:val="24"/>
          <w:szCs w:val="24"/>
        </w:rPr>
        <w:t>Steriopoulos</w:t>
      </w:r>
      <w:proofErr w:type="spellEnd"/>
      <w:r>
        <w:rPr>
          <w:rFonts w:ascii="Arial" w:hAnsi="Arial" w:cs="Arial"/>
          <w:sz w:val="24"/>
          <w:szCs w:val="24"/>
        </w:rPr>
        <w:t>, 2022).</w:t>
      </w:r>
    </w:p>
    <w:p w14:paraId="7BC82F13" w14:textId="661A9F18" w:rsidR="00A46F0B" w:rsidRDefault="00A46F0B" w:rsidP="00A46F0B">
      <w:pPr>
        <w:spacing w:line="360" w:lineRule="auto"/>
        <w:jc w:val="both"/>
        <w:rPr>
          <w:rFonts w:ascii="Arial" w:hAnsi="Arial" w:cs="Arial"/>
          <w:sz w:val="24"/>
          <w:szCs w:val="24"/>
        </w:rPr>
      </w:pPr>
      <w:r>
        <w:rPr>
          <w:noProof/>
        </w:rPr>
        <w:lastRenderedPageBreak/>
        <w:drawing>
          <wp:anchor distT="0" distB="0" distL="114300" distR="114300" simplePos="0" relativeHeight="251660288" behindDoc="0" locked="0" layoutInCell="1" allowOverlap="1" wp14:anchorId="341C21C8" wp14:editId="33B5F23B">
            <wp:simplePos x="0" y="0"/>
            <wp:positionH relativeFrom="column">
              <wp:posOffset>26670</wp:posOffset>
            </wp:positionH>
            <wp:positionV relativeFrom="paragraph">
              <wp:posOffset>6985</wp:posOffset>
            </wp:positionV>
            <wp:extent cx="3384550" cy="2482215"/>
            <wp:effectExtent l="0" t="0" r="6350" b="0"/>
            <wp:wrapSquare wrapText="bothSides"/>
            <wp:docPr id="1330625456" name="Picture 4" descr="A hand drawing 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hand drawing a diagram of different colored circl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l="9157"/>
                    <a:stretch>
                      <a:fillRect/>
                    </a:stretch>
                  </pic:blipFill>
                  <pic:spPr bwMode="auto">
                    <a:xfrm>
                      <a:off x="0" y="0"/>
                      <a:ext cx="3384550" cy="24822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The marketing strategy for the Festive Family Fun Run use the 7Ps of marketing: Product, Price, Place, Promotion, People, Process, and Physical Evidence (Kotler, 2017):</w:t>
      </w:r>
    </w:p>
    <w:p w14:paraId="49C2E0DD" w14:textId="77777777" w:rsidR="00A46F0B" w:rsidRDefault="00A46F0B" w:rsidP="00A46F0B">
      <w:pPr>
        <w:numPr>
          <w:ilvl w:val="0"/>
          <w:numId w:val="7"/>
        </w:numPr>
        <w:spacing w:line="360" w:lineRule="auto"/>
        <w:jc w:val="both"/>
        <w:rPr>
          <w:rFonts w:ascii="Arial" w:hAnsi="Arial" w:cs="Arial"/>
          <w:sz w:val="24"/>
          <w:szCs w:val="24"/>
        </w:rPr>
      </w:pPr>
      <w:r>
        <w:rPr>
          <w:rFonts w:ascii="Arial" w:hAnsi="Arial" w:cs="Arial"/>
          <w:b/>
          <w:bCs/>
          <w:sz w:val="24"/>
          <w:szCs w:val="24"/>
        </w:rPr>
        <w:t>Product</w:t>
      </w:r>
      <w:r>
        <w:rPr>
          <w:rFonts w:ascii="Arial" w:hAnsi="Arial" w:cs="Arial"/>
          <w:sz w:val="24"/>
          <w:szCs w:val="24"/>
        </w:rPr>
        <w:t>: A festive, family-</w:t>
      </w:r>
      <w:proofErr w:type="spellStart"/>
      <w:r>
        <w:rPr>
          <w:rFonts w:ascii="Arial" w:hAnsi="Arial" w:cs="Arial"/>
          <w:sz w:val="24"/>
          <w:szCs w:val="24"/>
        </w:rPr>
        <w:t>centered</w:t>
      </w:r>
      <w:proofErr w:type="spellEnd"/>
      <w:r>
        <w:rPr>
          <w:rFonts w:ascii="Arial" w:hAnsi="Arial" w:cs="Arial"/>
          <w:sz w:val="24"/>
          <w:szCs w:val="24"/>
        </w:rPr>
        <w:t xml:space="preserve"> event with a fun run, Santa’s Workshop, and a local food village.</w:t>
      </w:r>
    </w:p>
    <w:p w14:paraId="54396CF4" w14:textId="531DBA79" w:rsidR="00A46F0B" w:rsidRDefault="00A46F0B" w:rsidP="00A46F0B">
      <w:pPr>
        <w:numPr>
          <w:ilvl w:val="0"/>
          <w:numId w:val="7"/>
        </w:numPr>
        <w:spacing w:line="360" w:lineRule="auto"/>
        <w:jc w:val="both"/>
        <w:rPr>
          <w:rFonts w:ascii="Arial" w:hAnsi="Arial" w:cs="Arial"/>
          <w:sz w:val="24"/>
          <w:szCs w:val="24"/>
        </w:rPr>
      </w:pPr>
      <w:r>
        <w:rPr>
          <w:rFonts w:ascii="Arial" w:hAnsi="Arial" w:cs="Arial"/>
          <w:b/>
          <w:bCs/>
          <w:sz w:val="24"/>
          <w:szCs w:val="24"/>
        </w:rPr>
        <w:t>Price</w:t>
      </w:r>
      <w:r>
        <w:rPr>
          <w:rFonts w:ascii="Arial" w:hAnsi="Arial" w:cs="Arial"/>
          <w:sz w:val="24"/>
          <w:szCs w:val="24"/>
        </w:rPr>
        <w:t xml:space="preserve">: Accessible pricing includes affordable admission, VIP tickets, and run registration fees (Andersson </w:t>
      </w:r>
      <w:r w:rsidR="00912C0D">
        <w:rPr>
          <w:rFonts w:ascii="Arial" w:hAnsi="Arial" w:cs="Arial"/>
          <w:sz w:val="24"/>
          <w:szCs w:val="24"/>
        </w:rPr>
        <w:t>and</w:t>
      </w:r>
      <w:r>
        <w:rPr>
          <w:rFonts w:ascii="Arial" w:hAnsi="Arial" w:cs="Arial"/>
          <w:sz w:val="24"/>
          <w:szCs w:val="24"/>
        </w:rPr>
        <w:t xml:space="preserve"> Lundberg, 2013).</w:t>
      </w:r>
    </w:p>
    <w:p w14:paraId="3A15B158" w14:textId="77777777" w:rsidR="00A46F0B" w:rsidRDefault="00A46F0B" w:rsidP="00A46F0B">
      <w:pPr>
        <w:numPr>
          <w:ilvl w:val="0"/>
          <w:numId w:val="7"/>
        </w:numPr>
        <w:spacing w:line="360" w:lineRule="auto"/>
        <w:jc w:val="both"/>
        <w:rPr>
          <w:rFonts w:ascii="Arial" w:hAnsi="Arial" w:cs="Arial"/>
          <w:sz w:val="24"/>
          <w:szCs w:val="24"/>
        </w:rPr>
      </w:pPr>
      <w:r>
        <w:rPr>
          <w:rFonts w:ascii="Arial" w:hAnsi="Arial" w:cs="Arial"/>
          <w:b/>
          <w:bCs/>
          <w:sz w:val="24"/>
          <w:szCs w:val="24"/>
        </w:rPr>
        <w:t>Place</w:t>
      </w:r>
      <w:r>
        <w:rPr>
          <w:rFonts w:ascii="Arial" w:hAnsi="Arial" w:cs="Arial"/>
          <w:sz w:val="24"/>
          <w:szCs w:val="24"/>
        </w:rPr>
        <w:t xml:space="preserve">: Hyde Park offers easy </w:t>
      </w:r>
      <w:proofErr w:type="gramStart"/>
      <w:r>
        <w:rPr>
          <w:rFonts w:ascii="Arial" w:hAnsi="Arial" w:cs="Arial"/>
          <w:sz w:val="24"/>
          <w:szCs w:val="24"/>
        </w:rPr>
        <w:t>accesses  for</w:t>
      </w:r>
      <w:proofErr w:type="gramEnd"/>
      <w:r>
        <w:rPr>
          <w:rFonts w:ascii="Arial" w:hAnsi="Arial" w:cs="Arial"/>
          <w:sz w:val="24"/>
          <w:szCs w:val="24"/>
        </w:rPr>
        <w:t xml:space="preserve"> both locals and tourists (Smith, 2017).</w:t>
      </w:r>
    </w:p>
    <w:p w14:paraId="6D415B9A" w14:textId="20F0367C" w:rsidR="00A46F0B" w:rsidRDefault="00A46F0B" w:rsidP="00A46F0B">
      <w:pPr>
        <w:numPr>
          <w:ilvl w:val="0"/>
          <w:numId w:val="7"/>
        </w:numPr>
        <w:spacing w:line="360" w:lineRule="auto"/>
        <w:jc w:val="both"/>
        <w:rPr>
          <w:rFonts w:ascii="Arial" w:hAnsi="Arial" w:cs="Arial"/>
          <w:sz w:val="24"/>
          <w:szCs w:val="24"/>
        </w:rPr>
      </w:pPr>
      <w:r>
        <w:rPr>
          <w:rFonts w:ascii="Arial" w:hAnsi="Arial" w:cs="Arial"/>
          <w:b/>
          <w:bCs/>
          <w:sz w:val="24"/>
          <w:szCs w:val="24"/>
        </w:rPr>
        <w:t>Promotion</w:t>
      </w:r>
      <w:r>
        <w:rPr>
          <w:rFonts w:ascii="Arial" w:hAnsi="Arial" w:cs="Arial"/>
          <w:sz w:val="24"/>
          <w:szCs w:val="24"/>
        </w:rPr>
        <w:t xml:space="preserve">: Digital ads and influencer partnerships on family platforms like Mumsnet boost visibility (Laurell </w:t>
      </w:r>
      <w:r w:rsidR="00912C0D">
        <w:rPr>
          <w:rFonts w:ascii="Arial" w:hAnsi="Arial" w:cs="Arial"/>
          <w:sz w:val="24"/>
          <w:szCs w:val="24"/>
        </w:rPr>
        <w:t>and</w:t>
      </w:r>
      <w:r>
        <w:rPr>
          <w:rFonts w:ascii="Arial" w:hAnsi="Arial" w:cs="Arial"/>
          <w:sz w:val="24"/>
          <w:szCs w:val="24"/>
        </w:rPr>
        <w:t xml:space="preserve"> Björner, 2018).</w:t>
      </w:r>
    </w:p>
    <w:p w14:paraId="7F640C97" w14:textId="77777777" w:rsidR="00A46F0B" w:rsidRDefault="00A46F0B" w:rsidP="00A46F0B">
      <w:pPr>
        <w:numPr>
          <w:ilvl w:val="0"/>
          <w:numId w:val="7"/>
        </w:numPr>
        <w:spacing w:line="360" w:lineRule="auto"/>
        <w:jc w:val="both"/>
        <w:rPr>
          <w:rFonts w:ascii="Arial" w:hAnsi="Arial" w:cs="Arial"/>
          <w:sz w:val="24"/>
          <w:szCs w:val="24"/>
        </w:rPr>
      </w:pPr>
      <w:r>
        <w:rPr>
          <w:rFonts w:ascii="Arial" w:hAnsi="Arial" w:cs="Arial"/>
          <w:b/>
          <w:bCs/>
          <w:sz w:val="24"/>
          <w:szCs w:val="24"/>
        </w:rPr>
        <w:t>People</w:t>
      </w:r>
      <w:r>
        <w:rPr>
          <w:rFonts w:ascii="Arial" w:hAnsi="Arial" w:cs="Arial"/>
          <w:sz w:val="24"/>
          <w:szCs w:val="24"/>
        </w:rPr>
        <w:t>: Trained staff and volunteers increase family-friendly experiences (Rahmat et al., 2011).</w:t>
      </w:r>
    </w:p>
    <w:p w14:paraId="3C44018E" w14:textId="77777777" w:rsidR="00A46F0B" w:rsidRDefault="00A46F0B" w:rsidP="00A46F0B">
      <w:pPr>
        <w:numPr>
          <w:ilvl w:val="0"/>
          <w:numId w:val="7"/>
        </w:numPr>
        <w:spacing w:line="360" w:lineRule="auto"/>
        <w:jc w:val="both"/>
        <w:rPr>
          <w:rFonts w:ascii="Arial" w:hAnsi="Arial" w:cs="Arial"/>
          <w:sz w:val="24"/>
          <w:szCs w:val="24"/>
        </w:rPr>
      </w:pPr>
      <w:r>
        <w:rPr>
          <w:rFonts w:ascii="Arial" w:hAnsi="Arial" w:cs="Arial"/>
          <w:b/>
          <w:bCs/>
          <w:sz w:val="24"/>
          <w:szCs w:val="24"/>
        </w:rPr>
        <w:t>Process</w:t>
      </w:r>
      <w:r>
        <w:rPr>
          <w:rFonts w:ascii="Arial" w:hAnsi="Arial" w:cs="Arial"/>
          <w:sz w:val="24"/>
          <w:szCs w:val="24"/>
        </w:rPr>
        <w:t>: Simplified ticketing and crowd flow reduce wait times (Sharma et al., 2018).</w:t>
      </w:r>
    </w:p>
    <w:p w14:paraId="17FC7270" w14:textId="77777777" w:rsidR="00A46F0B" w:rsidRDefault="00A46F0B" w:rsidP="00A46F0B">
      <w:pPr>
        <w:numPr>
          <w:ilvl w:val="0"/>
          <w:numId w:val="7"/>
        </w:numPr>
        <w:spacing w:line="360" w:lineRule="auto"/>
        <w:jc w:val="both"/>
        <w:rPr>
          <w:rFonts w:ascii="Arial" w:hAnsi="Arial" w:cs="Arial"/>
          <w:sz w:val="24"/>
          <w:szCs w:val="24"/>
        </w:rPr>
      </w:pPr>
      <w:r>
        <w:rPr>
          <w:rFonts w:ascii="Arial" w:hAnsi="Arial" w:cs="Arial"/>
          <w:b/>
          <w:bCs/>
          <w:sz w:val="24"/>
          <w:szCs w:val="24"/>
        </w:rPr>
        <w:t>Physical Evidence</w:t>
      </w:r>
      <w:r>
        <w:rPr>
          <w:rFonts w:ascii="Arial" w:hAnsi="Arial" w:cs="Arial"/>
          <w:sz w:val="24"/>
          <w:szCs w:val="24"/>
        </w:rPr>
        <w:t>: Festive decorations and branded zones create an attractive, memorable setting (Bladen et al., 2012).</w:t>
      </w:r>
    </w:p>
    <w:p w14:paraId="4ABF01F6" w14:textId="42893874"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Additionally, by incorporating Maslow’s hierarchy facilitates the customisation of messages to meet participant needs, which include building a secure, family-oriented atmosphere (safety needs) in encouraging a sense of community and belonging (social needs) (Pegg </w:t>
      </w:r>
      <w:r w:rsidR="003070F4">
        <w:rPr>
          <w:rFonts w:ascii="Arial" w:hAnsi="Arial" w:cs="Arial"/>
          <w:sz w:val="24"/>
          <w:szCs w:val="24"/>
        </w:rPr>
        <w:t>and</w:t>
      </w:r>
      <w:r>
        <w:rPr>
          <w:rFonts w:ascii="Arial" w:hAnsi="Arial" w:cs="Arial"/>
          <w:sz w:val="24"/>
          <w:szCs w:val="24"/>
        </w:rPr>
        <w:t xml:space="preserve"> Patterson, 2010). This strategy creates participant satisfaction and increases the event's attractiveness.</w:t>
      </w:r>
    </w:p>
    <w:p w14:paraId="1CBB1AF4" w14:textId="7053EB85" w:rsidR="00A46F0B" w:rsidRDefault="00A46F0B" w:rsidP="00A46F0B">
      <w:pPr>
        <w:spacing w:line="360" w:lineRule="auto"/>
        <w:jc w:val="both"/>
        <w:rPr>
          <w:rFonts w:ascii="Arial" w:hAnsi="Arial" w:cs="Arial"/>
          <w:sz w:val="24"/>
          <w:szCs w:val="24"/>
        </w:rPr>
      </w:pPr>
      <w:r>
        <w:rPr>
          <w:rFonts w:ascii="Arial" w:hAnsi="Arial" w:cs="Arial"/>
          <w:b/>
          <w:bCs/>
          <w:i/>
          <w:iCs/>
          <w:sz w:val="24"/>
          <w:szCs w:val="24"/>
        </w:rPr>
        <w:lastRenderedPageBreak/>
        <w:t>Risk Management</w:t>
      </w:r>
      <w:r>
        <w:rPr>
          <w:rFonts w:ascii="Arial" w:hAnsi="Arial" w:cs="Arial"/>
          <w:sz w:val="24"/>
          <w:szCs w:val="24"/>
        </w:rPr>
        <w:br/>
      </w:r>
      <w:r>
        <w:rPr>
          <w:noProof/>
        </w:rPr>
        <w:drawing>
          <wp:anchor distT="0" distB="0" distL="114300" distR="114300" simplePos="0" relativeHeight="251661312" behindDoc="0" locked="0" layoutInCell="1" allowOverlap="1" wp14:anchorId="3648D80A" wp14:editId="7FFEE2E8">
            <wp:simplePos x="0" y="0"/>
            <wp:positionH relativeFrom="column">
              <wp:posOffset>0</wp:posOffset>
            </wp:positionH>
            <wp:positionV relativeFrom="paragraph">
              <wp:posOffset>184150</wp:posOffset>
            </wp:positionV>
            <wp:extent cx="2811145" cy="2811145"/>
            <wp:effectExtent l="0" t="0" r="8255" b="8255"/>
            <wp:wrapSquare wrapText="bothSides"/>
            <wp:docPr id="2012085980" name="Picture 3" descr="World's First 5G-Enabled Edge AI Camera – S Series AI Surveillance |  Adiance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rld's First 5G-Enabled Edge AI Camera – S Series AI Surveillance |  Adiance Technolog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1145" cy="28111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4"/>
          <w:szCs w:val="24"/>
        </w:rPr>
        <w:t xml:space="preserve">The approach to risk management for the Fun Run adopts a stratified methodology, integrating preventive safety protocols with immediate risk mitigation strategies. Preparatory measures, such as fire safety compliance and crowd control training, are essential for reducing risks (Robson, 2008). Furthermore, technological innovations in crowd density monitoring provide effective solutions for managing high-traffic areas. Surveillance systems can identify crowd accumulation, facilitating prompt intervention to prevent escalated situations, as examined by Sharma et al. (2018) in similar event scenarios. </w:t>
      </w:r>
    </w:p>
    <w:p w14:paraId="5105BB49"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These components merge to build a resilient management framework, confirming that the Festive Family Fun Run is pleasurable and safe, while expanding community confidence through reliable safety measures and exciting marketing initiatives. </w:t>
      </w:r>
    </w:p>
    <w:p w14:paraId="63EEC5A5" w14:textId="77777777" w:rsidR="00A46F0B" w:rsidRDefault="00A46F0B" w:rsidP="00A46F0B">
      <w:pPr>
        <w:spacing w:line="360" w:lineRule="auto"/>
        <w:jc w:val="both"/>
        <w:rPr>
          <w:rFonts w:ascii="Arial" w:hAnsi="Arial" w:cs="Arial"/>
          <w:sz w:val="24"/>
          <w:szCs w:val="24"/>
        </w:rPr>
      </w:pPr>
      <w:r>
        <w:rPr>
          <w:rFonts w:ascii="Arial" w:hAnsi="Arial" w:cs="Arial"/>
          <w:b/>
          <w:bCs/>
          <w:sz w:val="24"/>
          <w:szCs w:val="24"/>
        </w:rPr>
        <w:t>Competitor Analysis and Best Practices</w:t>
      </w:r>
    </w:p>
    <w:p w14:paraId="5A213AE2"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Famous competitors such as the Race for Life and Hyde Park’s Winter Wonderland prioritise excellent crowd management, thematic experiences, and solid community connections. Using best practices such as crowd density tracking and tiered sponsorships, the Festive Family Fun Run can improve operations, increase engagement, and conform to industry standards (Bowdin, 2011; Sharma et al., 2018).</w:t>
      </w:r>
    </w:p>
    <w:p w14:paraId="47DCD82D" w14:textId="77777777" w:rsidR="00A46F0B" w:rsidRDefault="00A46F0B" w:rsidP="00A46F0B">
      <w:pPr>
        <w:spacing w:line="360" w:lineRule="auto"/>
        <w:jc w:val="both"/>
        <w:rPr>
          <w:rFonts w:ascii="Arial" w:hAnsi="Arial" w:cs="Arial"/>
          <w:sz w:val="24"/>
          <w:szCs w:val="24"/>
        </w:rPr>
      </w:pPr>
    </w:p>
    <w:p w14:paraId="7E5E1BA6" w14:textId="77777777" w:rsidR="00A46F0B" w:rsidRDefault="00A46F0B" w:rsidP="00A46F0B">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 xml:space="preserve">Event Budget   </w:t>
      </w:r>
    </w:p>
    <w:p w14:paraId="7B579F52"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A detailed budget plan is necessary for the Festive Family Fun Run, incorporating revenue and expenses to guarantee financial sustainability. By specifying precise costs and revenue streams, we can pinpoint areas for efficient allocation of resources and obtain the necessary funding for a successful event.</w:t>
      </w:r>
    </w:p>
    <w:p w14:paraId="6B87FBE8" w14:textId="77777777" w:rsidR="00A46F0B" w:rsidRDefault="00A46F0B" w:rsidP="00A46F0B">
      <w:pPr>
        <w:spacing w:line="360" w:lineRule="auto"/>
        <w:jc w:val="both"/>
        <w:rPr>
          <w:rFonts w:ascii="Arial" w:hAnsi="Arial" w:cs="Arial"/>
          <w:b/>
          <w:bCs/>
          <w:i/>
          <w:iCs/>
          <w:sz w:val="24"/>
          <w:szCs w:val="24"/>
        </w:rPr>
      </w:pPr>
      <w:r>
        <w:rPr>
          <w:rFonts w:ascii="Arial" w:hAnsi="Arial" w:cs="Arial"/>
          <w:b/>
          <w:bCs/>
          <w:i/>
          <w:iCs/>
          <w:sz w:val="24"/>
          <w:szCs w:val="24"/>
        </w:rPr>
        <w:t>Expenditure Breakdown</w:t>
      </w:r>
    </w:p>
    <w:p w14:paraId="5AD7DB81" w14:textId="77777777" w:rsidR="00A46F0B" w:rsidRDefault="00A46F0B" w:rsidP="00A46F0B">
      <w:pPr>
        <w:numPr>
          <w:ilvl w:val="0"/>
          <w:numId w:val="8"/>
        </w:numPr>
        <w:spacing w:line="360" w:lineRule="auto"/>
        <w:jc w:val="both"/>
        <w:rPr>
          <w:rFonts w:ascii="Arial" w:hAnsi="Arial" w:cs="Arial"/>
          <w:sz w:val="24"/>
          <w:szCs w:val="24"/>
        </w:rPr>
      </w:pPr>
      <w:r>
        <w:rPr>
          <w:rFonts w:ascii="Arial" w:hAnsi="Arial" w:cs="Arial"/>
          <w:b/>
          <w:bCs/>
          <w:sz w:val="24"/>
          <w:szCs w:val="24"/>
        </w:rPr>
        <w:lastRenderedPageBreak/>
        <w:t>Venue Rental and Permits</w:t>
      </w:r>
      <w:r>
        <w:rPr>
          <w:rFonts w:ascii="Arial" w:hAnsi="Arial" w:cs="Arial"/>
          <w:sz w:val="24"/>
          <w:szCs w:val="24"/>
        </w:rPr>
        <w:t>: Estimated at £50,000, Hyde Park’s rental includes seasonal demand fees and necessary licenses, ensuring accessibility and compliance with city regulations (Smith, 2017).</w:t>
      </w:r>
    </w:p>
    <w:p w14:paraId="260CD72E" w14:textId="77777777" w:rsidR="00A46F0B" w:rsidRDefault="00A46F0B" w:rsidP="00A46F0B">
      <w:pPr>
        <w:numPr>
          <w:ilvl w:val="0"/>
          <w:numId w:val="8"/>
        </w:numPr>
        <w:spacing w:line="360" w:lineRule="auto"/>
        <w:jc w:val="both"/>
        <w:rPr>
          <w:rFonts w:ascii="Arial" w:hAnsi="Arial" w:cs="Arial"/>
          <w:sz w:val="24"/>
          <w:szCs w:val="24"/>
        </w:rPr>
      </w:pPr>
      <w:r>
        <w:rPr>
          <w:rFonts w:ascii="Arial" w:hAnsi="Arial" w:cs="Arial"/>
          <w:b/>
          <w:bCs/>
          <w:sz w:val="24"/>
          <w:szCs w:val="24"/>
        </w:rPr>
        <w:t>Staffing and Security</w:t>
      </w:r>
      <w:r>
        <w:rPr>
          <w:rFonts w:ascii="Arial" w:hAnsi="Arial" w:cs="Arial"/>
          <w:sz w:val="24"/>
          <w:szCs w:val="24"/>
        </w:rPr>
        <w:t>: Approximately £20,000, covering wages for event staff, security and volunteers.</w:t>
      </w:r>
    </w:p>
    <w:p w14:paraId="55A7C817" w14:textId="77777777" w:rsidR="00A46F0B" w:rsidRDefault="00A46F0B" w:rsidP="00A46F0B">
      <w:pPr>
        <w:numPr>
          <w:ilvl w:val="0"/>
          <w:numId w:val="8"/>
        </w:numPr>
        <w:spacing w:line="360" w:lineRule="auto"/>
        <w:jc w:val="both"/>
        <w:rPr>
          <w:rFonts w:ascii="Arial" w:hAnsi="Arial" w:cs="Arial"/>
          <w:sz w:val="24"/>
          <w:szCs w:val="24"/>
        </w:rPr>
      </w:pPr>
      <w:r>
        <w:rPr>
          <w:rFonts w:ascii="Arial" w:hAnsi="Arial" w:cs="Arial"/>
          <w:b/>
          <w:bCs/>
          <w:sz w:val="24"/>
          <w:szCs w:val="24"/>
        </w:rPr>
        <w:t>Workshops and Setup</w:t>
      </w:r>
      <w:r>
        <w:rPr>
          <w:rFonts w:ascii="Arial" w:hAnsi="Arial" w:cs="Arial"/>
          <w:sz w:val="24"/>
          <w:szCs w:val="24"/>
        </w:rPr>
        <w:t>: Santa’s Workshop and crafts area setup costs are estimated at £25,000, including tent rentals, decorations, and activity materials (Smith, 2017).</w:t>
      </w:r>
    </w:p>
    <w:p w14:paraId="20B40608" w14:textId="77777777" w:rsidR="00A46F0B" w:rsidRDefault="00A46F0B" w:rsidP="00A46F0B">
      <w:pPr>
        <w:numPr>
          <w:ilvl w:val="0"/>
          <w:numId w:val="8"/>
        </w:numPr>
        <w:spacing w:line="360" w:lineRule="auto"/>
        <w:jc w:val="both"/>
        <w:rPr>
          <w:rFonts w:ascii="Arial" w:hAnsi="Arial" w:cs="Arial"/>
          <w:sz w:val="24"/>
          <w:szCs w:val="24"/>
        </w:rPr>
      </w:pPr>
      <w:r>
        <w:rPr>
          <w:rFonts w:ascii="Arial" w:hAnsi="Arial" w:cs="Arial"/>
          <w:b/>
          <w:bCs/>
          <w:sz w:val="24"/>
          <w:szCs w:val="24"/>
        </w:rPr>
        <w:t>Marketing and Advertising</w:t>
      </w:r>
      <w:r>
        <w:rPr>
          <w:rFonts w:ascii="Arial" w:hAnsi="Arial" w:cs="Arial"/>
          <w:sz w:val="24"/>
          <w:szCs w:val="24"/>
        </w:rPr>
        <w:t>: Digital and local advertising, projected at £12,000, relying on family-oriented online platforms.</w:t>
      </w:r>
    </w:p>
    <w:p w14:paraId="3558150F" w14:textId="77777777" w:rsidR="00A46F0B" w:rsidRDefault="00A46F0B" w:rsidP="00A46F0B">
      <w:pPr>
        <w:numPr>
          <w:ilvl w:val="0"/>
          <w:numId w:val="8"/>
        </w:numPr>
        <w:spacing w:line="360" w:lineRule="auto"/>
        <w:jc w:val="both"/>
        <w:rPr>
          <w:rFonts w:ascii="Arial" w:hAnsi="Arial" w:cs="Arial"/>
          <w:sz w:val="24"/>
          <w:szCs w:val="24"/>
        </w:rPr>
      </w:pPr>
      <w:r>
        <w:rPr>
          <w:rFonts w:ascii="Arial" w:hAnsi="Arial" w:cs="Arial"/>
          <w:b/>
          <w:bCs/>
          <w:sz w:val="24"/>
          <w:szCs w:val="24"/>
        </w:rPr>
        <w:t>Miscellaneous Costs</w:t>
      </w:r>
      <w:r>
        <w:rPr>
          <w:rFonts w:ascii="Arial" w:hAnsi="Arial" w:cs="Arial"/>
          <w:sz w:val="24"/>
          <w:szCs w:val="24"/>
        </w:rPr>
        <w:t>: £10,000 for insurance, utilities, and unforeseen expenses.</w:t>
      </w:r>
    </w:p>
    <w:p w14:paraId="0F2CA41D" w14:textId="77777777" w:rsidR="00A46F0B" w:rsidRDefault="00A46F0B" w:rsidP="00A46F0B">
      <w:pPr>
        <w:spacing w:line="360" w:lineRule="auto"/>
        <w:jc w:val="both"/>
        <w:rPr>
          <w:rFonts w:ascii="Arial" w:hAnsi="Arial" w:cs="Arial"/>
          <w:b/>
          <w:bCs/>
          <w:i/>
          <w:iCs/>
          <w:sz w:val="24"/>
          <w:szCs w:val="24"/>
        </w:rPr>
      </w:pPr>
      <w:r>
        <w:rPr>
          <w:rFonts w:ascii="Arial" w:hAnsi="Arial" w:cs="Arial"/>
          <w:b/>
          <w:bCs/>
          <w:i/>
          <w:iCs/>
          <w:sz w:val="24"/>
          <w:szCs w:val="24"/>
        </w:rPr>
        <w:t>Revenue Sources</w:t>
      </w:r>
    </w:p>
    <w:p w14:paraId="3EA0A0D6" w14:textId="77777777" w:rsidR="00A46F0B" w:rsidRDefault="00A46F0B" w:rsidP="00A46F0B">
      <w:pPr>
        <w:numPr>
          <w:ilvl w:val="0"/>
          <w:numId w:val="9"/>
        </w:numPr>
        <w:spacing w:line="360" w:lineRule="auto"/>
        <w:jc w:val="both"/>
        <w:rPr>
          <w:rFonts w:ascii="Arial" w:hAnsi="Arial" w:cs="Arial"/>
          <w:sz w:val="24"/>
          <w:szCs w:val="24"/>
        </w:rPr>
      </w:pPr>
      <w:r>
        <w:rPr>
          <w:rFonts w:ascii="Arial" w:hAnsi="Arial" w:cs="Arial"/>
          <w:b/>
          <w:bCs/>
          <w:sz w:val="24"/>
          <w:szCs w:val="24"/>
        </w:rPr>
        <w:t>Sponsorship</w:t>
      </w:r>
      <w:r>
        <w:rPr>
          <w:rFonts w:ascii="Arial" w:hAnsi="Arial" w:cs="Arial"/>
          <w:sz w:val="24"/>
          <w:szCs w:val="24"/>
        </w:rPr>
        <w:t>: Through a tiered sponsorship approach, the aim is to raise £80,000 by offering businesses exclusive visibility and branded activity zones (Andersson et al., 2013).</w:t>
      </w:r>
    </w:p>
    <w:p w14:paraId="33470357" w14:textId="77777777" w:rsidR="00A46F0B" w:rsidRDefault="00A46F0B" w:rsidP="00A46F0B">
      <w:pPr>
        <w:numPr>
          <w:ilvl w:val="0"/>
          <w:numId w:val="9"/>
        </w:numPr>
        <w:spacing w:line="360" w:lineRule="auto"/>
        <w:jc w:val="both"/>
        <w:rPr>
          <w:rFonts w:ascii="Arial" w:hAnsi="Arial" w:cs="Arial"/>
          <w:sz w:val="24"/>
          <w:szCs w:val="24"/>
        </w:rPr>
      </w:pPr>
      <w:r>
        <w:rPr>
          <w:rFonts w:ascii="Arial" w:hAnsi="Arial" w:cs="Arial"/>
          <w:b/>
          <w:bCs/>
          <w:sz w:val="24"/>
          <w:szCs w:val="24"/>
        </w:rPr>
        <w:t>Ticket Sales</w:t>
      </w:r>
      <w:r>
        <w:rPr>
          <w:rFonts w:ascii="Arial" w:hAnsi="Arial" w:cs="Arial"/>
          <w:sz w:val="24"/>
          <w:szCs w:val="24"/>
        </w:rPr>
        <w:t>:</w:t>
      </w:r>
    </w:p>
    <w:p w14:paraId="4657F307" w14:textId="77777777" w:rsidR="00A46F0B" w:rsidRDefault="00A46F0B" w:rsidP="00A46F0B">
      <w:pPr>
        <w:numPr>
          <w:ilvl w:val="1"/>
          <w:numId w:val="9"/>
        </w:numPr>
        <w:spacing w:line="360" w:lineRule="auto"/>
        <w:jc w:val="both"/>
        <w:rPr>
          <w:rFonts w:ascii="Arial" w:hAnsi="Arial" w:cs="Arial"/>
          <w:sz w:val="24"/>
          <w:szCs w:val="24"/>
        </w:rPr>
      </w:pPr>
      <w:r>
        <w:rPr>
          <w:rFonts w:ascii="Arial" w:hAnsi="Arial" w:cs="Arial"/>
          <w:b/>
          <w:bCs/>
          <w:sz w:val="24"/>
          <w:szCs w:val="24"/>
        </w:rPr>
        <w:t>VIP Tickets</w:t>
      </w:r>
      <w:r>
        <w:rPr>
          <w:rFonts w:ascii="Arial" w:hAnsi="Arial" w:cs="Arial"/>
          <w:sz w:val="24"/>
          <w:szCs w:val="24"/>
        </w:rPr>
        <w:t>: 500 tickets at £150 each, projected to generate £75,000.</w:t>
      </w:r>
    </w:p>
    <w:p w14:paraId="371325E4" w14:textId="77777777" w:rsidR="00A46F0B" w:rsidRDefault="00A46F0B" w:rsidP="00A46F0B">
      <w:pPr>
        <w:numPr>
          <w:ilvl w:val="1"/>
          <w:numId w:val="9"/>
        </w:numPr>
        <w:spacing w:line="360" w:lineRule="auto"/>
        <w:jc w:val="both"/>
        <w:rPr>
          <w:rFonts w:ascii="Arial" w:hAnsi="Arial" w:cs="Arial"/>
          <w:sz w:val="24"/>
          <w:szCs w:val="24"/>
        </w:rPr>
      </w:pPr>
      <w:r>
        <w:rPr>
          <w:rFonts w:ascii="Arial" w:hAnsi="Arial" w:cs="Arial"/>
          <w:b/>
          <w:bCs/>
          <w:sz w:val="24"/>
          <w:szCs w:val="24"/>
        </w:rPr>
        <w:t>General Admission</w:t>
      </w:r>
      <w:r>
        <w:rPr>
          <w:rFonts w:ascii="Arial" w:hAnsi="Arial" w:cs="Arial"/>
          <w:sz w:val="24"/>
          <w:szCs w:val="24"/>
        </w:rPr>
        <w:t>: 7,000 tickets at £20, estimated at £140,000.</w:t>
      </w:r>
    </w:p>
    <w:p w14:paraId="74A16734" w14:textId="77777777" w:rsidR="00A46F0B" w:rsidRDefault="00A46F0B" w:rsidP="00A46F0B">
      <w:pPr>
        <w:numPr>
          <w:ilvl w:val="1"/>
          <w:numId w:val="9"/>
        </w:numPr>
        <w:spacing w:line="360" w:lineRule="auto"/>
        <w:jc w:val="both"/>
        <w:rPr>
          <w:rFonts w:ascii="Arial" w:hAnsi="Arial" w:cs="Arial"/>
          <w:sz w:val="24"/>
          <w:szCs w:val="24"/>
        </w:rPr>
      </w:pPr>
      <w:r>
        <w:rPr>
          <w:rFonts w:ascii="Arial" w:hAnsi="Arial" w:cs="Arial"/>
          <w:b/>
          <w:bCs/>
          <w:sz w:val="24"/>
          <w:szCs w:val="24"/>
        </w:rPr>
        <w:t>Fun Run Registration</w:t>
      </w:r>
      <w:r>
        <w:rPr>
          <w:rFonts w:ascii="Arial" w:hAnsi="Arial" w:cs="Arial"/>
          <w:sz w:val="24"/>
          <w:szCs w:val="24"/>
        </w:rPr>
        <w:t xml:space="preserve">: 3,500 runners at £25, </w:t>
      </w:r>
      <w:proofErr w:type="spellStart"/>
      <w:r>
        <w:rPr>
          <w:rFonts w:ascii="Arial" w:hAnsi="Arial" w:cs="Arial"/>
          <w:sz w:val="24"/>
          <w:szCs w:val="24"/>
        </w:rPr>
        <w:t>totaling</w:t>
      </w:r>
      <w:proofErr w:type="spellEnd"/>
      <w:r>
        <w:rPr>
          <w:rFonts w:ascii="Arial" w:hAnsi="Arial" w:cs="Arial"/>
          <w:sz w:val="24"/>
          <w:szCs w:val="24"/>
        </w:rPr>
        <w:t xml:space="preserve"> £87,500.</w:t>
      </w:r>
    </w:p>
    <w:p w14:paraId="6F012BC0" w14:textId="77777777" w:rsidR="00A46F0B" w:rsidRDefault="00A46F0B" w:rsidP="00A46F0B">
      <w:pPr>
        <w:numPr>
          <w:ilvl w:val="0"/>
          <w:numId w:val="9"/>
        </w:numPr>
        <w:spacing w:line="360" w:lineRule="auto"/>
        <w:jc w:val="both"/>
        <w:rPr>
          <w:rFonts w:ascii="Arial" w:hAnsi="Arial" w:cs="Arial"/>
          <w:b/>
          <w:bCs/>
          <w:sz w:val="24"/>
          <w:szCs w:val="24"/>
        </w:rPr>
      </w:pPr>
      <w:r>
        <w:rPr>
          <w:rFonts w:ascii="Arial" w:hAnsi="Arial" w:cs="Arial"/>
          <w:b/>
          <w:bCs/>
          <w:sz w:val="24"/>
          <w:szCs w:val="24"/>
        </w:rPr>
        <w:t>Vendor Fees</w:t>
      </w:r>
      <w:r>
        <w:rPr>
          <w:rFonts w:ascii="Arial" w:hAnsi="Arial" w:cs="Arial"/>
          <w:sz w:val="24"/>
          <w:szCs w:val="24"/>
        </w:rPr>
        <w:t xml:space="preserve">: 50 food and merchandise stalls at £600 each, </w:t>
      </w:r>
      <w:proofErr w:type="spellStart"/>
      <w:r>
        <w:rPr>
          <w:rFonts w:ascii="Arial" w:hAnsi="Arial" w:cs="Arial"/>
          <w:sz w:val="24"/>
          <w:szCs w:val="24"/>
        </w:rPr>
        <w:t>totaling</w:t>
      </w:r>
      <w:proofErr w:type="spellEnd"/>
      <w:r>
        <w:rPr>
          <w:rFonts w:ascii="Arial" w:hAnsi="Arial" w:cs="Arial"/>
          <w:sz w:val="24"/>
          <w:szCs w:val="24"/>
        </w:rPr>
        <w:t xml:space="preserve"> £30,000 (Smith, 2017).</w:t>
      </w:r>
    </w:p>
    <w:p w14:paraId="1AF85A51" w14:textId="77777777" w:rsidR="00A46F0B" w:rsidRDefault="00A46F0B" w:rsidP="00A46F0B">
      <w:pPr>
        <w:spacing w:line="360" w:lineRule="auto"/>
        <w:jc w:val="both"/>
        <w:rPr>
          <w:rFonts w:ascii="Arial" w:hAnsi="Arial" w:cs="Arial"/>
          <w:b/>
          <w:bCs/>
          <w:sz w:val="24"/>
          <w:szCs w:val="24"/>
        </w:rPr>
      </w:pPr>
      <w:r>
        <w:rPr>
          <w:rFonts w:ascii="Arial" w:hAnsi="Arial" w:cs="Arial"/>
          <w:b/>
          <w:bCs/>
          <w:sz w:val="24"/>
          <w:szCs w:val="24"/>
        </w:rPr>
        <w:t>Financial Viability</w:t>
      </w:r>
    </w:p>
    <w:p w14:paraId="44AD88C0" w14:textId="3FDFAE6F"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Implementing strategic cost-saving measures, including negotiating early deals with suppliers and obtaining local grants, reduces financial risks. Utilising volunteer staff for specific positions increases budget efficiency while building community involvement (Wrathall </w:t>
      </w:r>
      <w:r w:rsidR="00B8291B">
        <w:rPr>
          <w:rFonts w:ascii="Arial" w:hAnsi="Arial" w:cs="Arial"/>
          <w:sz w:val="24"/>
          <w:szCs w:val="24"/>
        </w:rPr>
        <w:t>and</w:t>
      </w:r>
      <w:r>
        <w:rPr>
          <w:rFonts w:ascii="Arial" w:hAnsi="Arial" w:cs="Arial"/>
          <w:sz w:val="24"/>
          <w:szCs w:val="24"/>
        </w:rPr>
        <w:t xml:space="preserve"> </w:t>
      </w:r>
      <w:proofErr w:type="spellStart"/>
      <w:r>
        <w:rPr>
          <w:rFonts w:ascii="Arial" w:hAnsi="Arial" w:cs="Arial"/>
          <w:sz w:val="24"/>
          <w:szCs w:val="24"/>
        </w:rPr>
        <w:t>Steriopoulos</w:t>
      </w:r>
      <w:proofErr w:type="spellEnd"/>
      <w:r>
        <w:rPr>
          <w:rFonts w:ascii="Arial" w:hAnsi="Arial" w:cs="Arial"/>
          <w:sz w:val="24"/>
          <w:szCs w:val="24"/>
        </w:rPr>
        <w:t>, 2022). The event is expected to be profitable, supporting both operational requirements and charitable donations through meticulous planning.</w:t>
      </w:r>
    </w:p>
    <w:p w14:paraId="506417D9" w14:textId="77777777" w:rsidR="00A46F0B" w:rsidRDefault="00A46F0B" w:rsidP="00A46F0B">
      <w:pPr>
        <w:spacing w:line="360" w:lineRule="auto"/>
        <w:jc w:val="both"/>
        <w:rPr>
          <w:rFonts w:ascii="Arial" w:hAnsi="Arial" w:cs="Arial"/>
          <w:sz w:val="24"/>
          <w:szCs w:val="24"/>
        </w:rPr>
      </w:pPr>
      <w:r>
        <w:rPr>
          <w:rFonts w:ascii="Arial" w:hAnsi="Arial" w:cs="Arial"/>
          <w:b/>
          <w:bCs/>
          <w:sz w:val="24"/>
          <w:szCs w:val="24"/>
        </w:rPr>
        <w:lastRenderedPageBreak/>
        <w:t>Break Even</w:t>
      </w:r>
    </w:p>
    <w:p w14:paraId="2AF3C177"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The break-even analysis indicates that an average ticket revenue of £27.50 necessitates the sale of approximately 4,255 tickets to make up the total fixed costs of £117,000. Presented here is the table: </w:t>
      </w:r>
    </w:p>
    <w:tbl>
      <w:tblPr>
        <w:tblStyle w:val="TableGrid"/>
        <w:tblW w:w="0" w:type="auto"/>
        <w:tblInd w:w="0" w:type="dxa"/>
        <w:tblLook w:val="04A0" w:firstRow="1" w:lastRow="0" w:firstColumn="1" w:lastColumn="0" w:noHBand="0" w:noVBand="1"/>
      </w:tblPr>
      <w:tblGrid>
        <w:gridCol w:w="3016"/>
        <w:gridCol w:w="3058"/>
        <w:gridCol w:w="2942"/>
      </w:tblGrid>
      <w:tr w:rsidR="00A46F0B" w14:paraId="1DDA967F"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6451BFB4"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Category/Metric</w:t>
            </w:r>
          </w:p>
        </w:tc>
        <w:tc>
          <w:tcPr>
            <w:tcW w:w="3117" w:type="dxa"/>
            <w:tcBorders>
              <w:top w:val="single" w:sz="4" w:space="0" w:color="auto"/>
              <w:left w:val="single" w:sz="4" w:space="0" w:color="auto"/>
              <w:bottom w:val="single" w:sz="4" w:space="0" w:color="auto"/>
              <w:right w:val="single" w:sz="4" w:space="0" w:color="auto"/>
            </w:tcBorders>
            <w:vAlign w:val="bottom"/>
            <w:hideMark/>
          </w:tcPr>
          <w:p w14:paraId="2F34558D"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Calculation/Amount</w:t>
            </w:r>
          </w:p>
        </w:tc>
        <w:tc>
          <w:tcPr>
            <w:tcW w:w="3117" w:type="dxa"/>
            <w:tcBorders>
              <w:top w:val="single" w:sz="4" w:space="0" w:color="auto"/>
              <w:left w:val="single" w:sz="4" w:space="0" w:color="auto"/>
              <w:bottom w:val="single" w:sz="4" w:space="0" w:color="auto"/>
              <w:right w:val="single" w:sz="4" w:space="0" w:color="auto"/>
            </w:tcBorders>
            <w:vAlign w:val="bottom"/>
            <w:hideMark/>
          </w:tcPr>
          <w:p w14:paraId="05C2D10D"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Result</w:t>
            </w:r>
          </w:p>
        </w:tc>
      </w:tr>
      <w:tr w:rsidR="00A46F0B" w14:paraId="5C850492"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65CC5782"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Fixed Costs: Venue Rental and Permits</w:t>
            </w:r>
          </w:p>
        </w:tc>
        <w:tc>
          <w:tcPr>
            <w:tcW w:w="3117" w:type="dxa"/>
            <w:tcBorders>
              <w:top w:val="single" w:sz="4" w:space="0" w:color="auto"/>
              <w:left w:val="single" w:sz="4" w:space="0" w:color="auto"/>
              <w:bottom w:val="single" w:sz="4" w:space="0" w:color="auto"/>
              <w:right w:val="single" w:sz="4" w:space="0" w:color="auto"/>
            </w:tcBorders>
            <w:vAlign w:val="bottom"/>
            <w:hideMark/>
          </w:tcPr>
          <w:p w14:paraId="6B45FA1B"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£50,000</w:t>
            </w:r>
          </w:p>
        </w:tc>
        <w:tc>
          <w:tcPr>
            <w:tcW w:w="3117" w:type="dxa"/>
            <w:tcBorders>
              <w:top w:val="single" w:sz="4" w:space="0" w:color="auto"/>
              <w:left w:val="single" w:sz="4" w:space="0" w:color="auto"/>
              <w:bottom w:val="single" w:sz="4" w:space="0" w:color="auto"/>
              <w:right w:val="single" w:sz="4" w:space="0" w:color="auto"/>
            </w:tcBorders>
            <w:vAlign w:val="bottom"/>
          </w:tcPr>
          <w:p w14:paraId="7698BC84" w14:textId="77777777" w:rsidR="00A46F0B" w:rsidRDefault="00A46F0B">
            <w:pPr>
              <w:spacing w:line="240" w:lineRule="auto"/>
              <w:jc w:val="both"/>
              <w:rPr>
                <w:rFonts w:ascii="Arial" w:hAnsi="Arial" w:cs="Arial"/>
                <w:sz w:val="24"/>
                <w:szCs w:val="24"/>
              </w:rPr>
            </w:pPr>
          </w:p>
        </w:tc>
      </w:tr>
      <w:tr w:rsidR="00A46F0B" w14:paraId="2DB8EEA0"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760D2F2D"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Fixed Costs: Staffing and Security</w:t>
            </w:r>
          </w:p>
        </w:tc>
        <w:tc>
          <w:tcPr>
            <w:tcW w:w="3117" w:type="dxa"/>
            <w:tcBorders>
              <w:top w:val="single" w:sz="4" w:space="0" w:color="auto"/>
              <w:left w:val="single" w:sz="4" w:space="0" w:color="auto"/>
              <w:bottom w:val="single" w:sz="4" w:space="0" w:color="auto"/>
              <w:right w:val="single" w:sz="4" w:space="0" w:color="auto"/>
            </w:tcBorders>
            <w:vAlign w:val="bottom"/>
            <w:hideMark/>
          </w:tcPr>
          <w:p w14:paraId="72D7BEE4"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£20,000</w:t>
            </w:r>
          </w:p>
        </w:tc>
        <w:tc>
          <w:tcPr>
            <w:tcW w:w="3117" w:type="dxa"/>
            <w:tcBorders>
              <w:top w:val="single" w:sz="4" w:space="0" w:color="auto"/>
              <w:left w:val="single" w:sz="4" w:space="0" w:color="auto"/>
              <w:bottom w:val="single" w:sz="4" w:space="0" w:color="auto"/>
              <w:right w:val="single" w:sz="4" w:space="0" w:color="auto"/>
            </w:tcBorders>
            <w:vAlign w:val="bottom"/>
          </w:tcPr>
          <w:p w14:paraId="59C3203F" w14:textId="77777777" w:rsidR="00A46F0B" w:rsidRDefault="00A46F0B">
            <w:pPr>
              <w:spacing w:line="240" w:lineRule="auto"/>
              <w:jc w:val="both"/>
              <w:rPr>
                <w:rFonts w:ascii="Arial" w:hAnsi="Arial" w:cs="Arial"/>
                <w:sz w:val="24"/>
                <w:szCs w:val="24"/>
              </w:rPr>
            </w:pPr>
          </w:p>
        </w:tc>
      </w:tr>
      <w:tr w:rsidR="00A46F0B" w14:paraId="57A885BC"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2AA72C85"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Fixed Costs: Workshops and Setup</w:t>
            </w:r>
          </w:p>
        </w:tc>
        <w:tc>
          <w:tcPr>
            <w:tcW w:w="3117" w:type="dxa"/>
            <w:tcBorders>
              <w:top w:val="single" w:sz="4" w:space="0" w:color="auto"/>
              <w:left w:val="single" w:sz="4" w:space="0" w:color="auto"/>
              <w:bottom w:val="single" w:sz="4" w:space="0" w:color="auto"/>
              <w:right w:val="single" w:sz="4" w:space="0" w:color="auto"/>
            </w:tcBorders>
            <w:vAlign w:val="bottom"/>
            <w:hideMark/>
          </w:tcPr>
          <w:p w14:paraId="6A63AD3A"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£25,000</w:t>
            </w:r>
          </w:p>
        </w:tc>
        <w:tc>
          <w:tcPr>
            <w:tcW w:w="3117" w:type="dxa"/>
            <w:tcBorders>
              <w:top w:val="single" w:sz="4" w:space="0" w:color="auto"/>
              <w:left w:val="single" w:sz="4" w:space="0" w:color="auto"/>
              <w:bottom w:val="single" w:sz="4" w:space="0" w:color="auto"/>
              <w:right w:val="single" w:sz="4" w:space="0" w:color="auto"/>
            </w:tcBorders>
            <w:vAlign w:val="bottom"/>
          </w:tcPr>
          <w:p w14:paraId="0CF96BC8" w14:textId="77777777" w:rsidR="00A46F0B" w:rsidRDefault="00A46F0B">
            <w:pPr>
              <w:spacing w:line="240" w:lineRule="auto"/>
              <w:jc w:val="both"/>
              <w:rPr>
                <w:rFonts w:ascii="Arial" w:hAnsi="Arial" w:cs="Arial"/>
                <w:sz w:val="24"/>
                <w:szCs w:val="24"/>
              </w:rPr>
            </w:pPr>
          </w:p>
        </w:tc>
      </w:tr>
      <w:tr w:rsidR="00A46F0B" w14:paraId="48EEE0C2"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771F7255"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Fixed Costs: Marketing and Advertising</w:t>
            </w:r>
          </w:p>
        </w:tc>
        <w:tc>
          <w:tcPr>
            <w:tcW w:w="3117" w:type="dxa"/>
            <w:tcBorders>
              <w:top w:val="single" w:sz="4" w:space="0" w:color="auto"/>
              <w:left w:val="single" w:sz="4" w:space="0" w:color="auto"/>
              <w:bottom w:val="single" w:sz="4" w:space="0" w:color="auto"/>
              <w:right w:val="single" w:sz="4" w:space="0" w:color="auto"/>
            </w:tcBorders>
            <w:vAlign w:val="bottom"/>
            <w:hideMark/>
          </w:tcPr>
          <w:p w14:paraId="0C721C72"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£12,000</w:t>
            </w:r>
          </w:p>
        </w:tc>
        <w:tc>
          <w:tcPr>
            <w:tcW w:w="3117" w:type="dxa"/>
            <w:tcBorders>
              <w:top w:val="single" w:sz="4" w:space="0" w:color="auto"/>
              <w:left w:val="single" w:sz="4" w:space="0" w:color="auto"/>
              <w:bottom w:val="single" w:sz="4" w:space="0" w:color="auto"/>
              <w:right w:val="single" w:sz="4" w:space="0" w:color="auto"/>
            </w:tcBorders>
            <w:vAlign w:val="bottom"/>
          </w:tcPr>
          <w:p w14:paraId="10B9F4BE" w14:textId="77777777" w:rsidR="00A46F0B" w:rsidRDefault="00A46F0B">
            <w:pPr>
              <w:spacing w:line="240" w:lineRule="auto"/>
              <w:jc w:val="both"/>
              <w:rPr>
                <w:rFonts w:ascii="Arial" w:hAnsi="Arial" w:cs="Arial"/>
                <w:sz w:val="24"/>
                <w:szCs w:val="24"/>
              </w:rPr>
            </w:pPr>
          </w:p>
        </w:tc>
      </w:tr>
      <w:tr w:rsidR="00A46F0B" w14:paraId="2F869659"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0F31541D"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Fixed Costs: Miscellaneous Costs</w:t>
            </w:r>
          </w:p>
        </w:tc>
        <w:tc>
          <w:tcPr>
            <w:tcW w:w="3117" w:type="dxa"/>
            <w:tcBorders>
              <w:top w:val="single" w:sz="4" w:space="0" w:color="auto"/>
              <w:left w:val="single" w:sz="4" w:space="0" w:color="auto"/>
              <w:bottom w:val="single" w:sz="4" w:space="0" w:color="auto"/>
              <w:right w:val="single" w:sz="4" w:space="0" w:color="auto"/>
            </w:tcBorders>
            <w:vAlign w:val="bottom"/>
            <w:hideMark/>
          </w:tcPr>
          <w:p w14:paraId="727483A5"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£10,000</w:t>
            </w:r>
          </w:p>
        </w:tc>
        <w:tc>
          <w:tcPr>
            <w:tcW w:w="3117" w:type="dxa"/>
            <w:tcBorders>
              <w:top w:val="single" w:sz="4" w:space="0" w:color="auto"/>
              <w:left w:val="single" w:sz="4" w:space="0" w:color="auto"/>
              <w:bottom w:val="single" w:sz="4" w:space="0" w:color="auto"/>
              <w:right w:val="single" w:sz="4" w:space="0" w:color="auto"/>
            </w:tcBorders>
            <w:vAlign w:val="bottom"/>
          </w:tcPr>
          <w:p w14:paraId="7AEB4A19" w14:textId="77777777" w:rsidR="00A46F0B" w:rsidRDefault="00A46F0B">
            <w:pPr>
              <w:spacing w:line="240" w:lineRule="auto"/>
              <w:jc w:val="both"/>
              <w:rPr>
                <w:rFonts w:ascii="Arial" w:hAnsi="Arial" w:cs="Arial"/>
                <w:sz w:val="24"/>
                <w:szCs w:val="24"/>
              </w:rPr>
            </w:pPr>
          </w:p>
        </w:tc>
      </w:tr>
      <w:tr w:rsidR="00A46F0B" w14:paraId="7953D69F"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59429226"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Total Fixed Costs</w:t>
            </w:r>
          </w:p>
        </w:tc>
        <w:tc>
          <w:tcPr>
            <w:tcW w:w="3117" w:type="dxa"/>
            <w:tcBorders>
              <w:top w:val="single" w:sz="4" w:space="0" w:color="auto"/>
              <w:left w:val="single" w:sz="4" w:space="0" w:color="auto"/>
              <w:bottom w:val="single" w:sz="4" w:space="0" w:color="auto"/>
              <w:right w:val="single" w:sz="4" w:space="0" w:color="auto"/>
            </w:tcBorders>
            <w:vAlign w:val="bottom"/>
            <w:hideMark/>
          </w:tcPr>
          <w:p w14:paraId="69ED9006"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£117,000</w:t>
            </w:r>
          </w:p>
        </w:tc>
        <w:tc>
          <w:tcPr>
            <w:tcW w:w="3117" w:type="dxa"/>
            <w:tcBorders>
              <w:top w:val="single" w:sz="4" w:space="0" w:color="auto"/>
              <w:left w:val="single" w:sz="4" w:space="0" w:color="auto"/>
              <w:bottom w:val="single" w:sz="4" w:space="0" w:color="auto"/>
              <w:right w:val="single" w:sz="4" w:space="0" w:color="auto"/>
            </w:tcBorders>
            <w:vAlign w:val="bottom"/>
            <w:hideMark/>
          </w:tcPr>
          <w:p w14:paraId="59BB1650"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£117,000</w:t>
            </w:r>
          </w:p>
        </w:tc>
      </w:tr>
      <w:tr w:rsidR="00A46F0B" w14:paraId="2787D3AB"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205D909E"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Revenue: Sponsorship</w:t>
            </w:r>
          </w:p>
        </w:tc>
        <w:tc>
          <w:tcPr>
            <w:tcW w:w="3117" w:type="dxa"/>
            <w:tcBorders>
              <w:top w:val="single" w:sz="4" w:space="0" w:color="auto"/>
              <w:left w:val="single" w:sz="4" w:space="0" w:color="auto"/>
              <w:bottom w:val="single" w:sz="4" w:space="0" w:color="auto"/>
              <w:right w:val="single" w:sz="4" w:space="0" w:color="auto"/>
            </w:tcBorders>
            <w:vAlign w:val="bottom"/>
            <w:hideMark/>
          </w:tcPr>
          <w:p w14:paraId="4081C4CE"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£80,000</w:t>
            </w:r>
          </w:p>
        </w:tc>
        <w:tc>
          <w:tcPr>
            <w:tcW w:w="3117" w:type="dxa"/>
            <w:tcBorders>
              <w:top w:val="single" w:sz="4" w:space="0" w:color="auto"/>
              <w:left w:val="single" w:sz="4" w:space="0" w:color="auto"/>
              <w:bottom w:val="single" w:sz="4" w:space="0" w:color="auto"/>
              <w:right w:val="single" w:sz="4" w:space="0" w:color="auto"/>
            </w:tcBorders>
            <w:vAlign w:val="bottom"/>
          </w:tcPr>
          <w:p w14:paraId="4D67F0A5" w14:textId="77777777" w:rsidR="00A46F0B" w:rsidRDefault="00A46F0B">
            <w:pPr>
              <w:spacing w:line="240" w:lineRule="auto"/>
              <w:jc w:val="both"/>
              <w:rPr>
                <w:rFonts w:ascii="Arial" w:hAnsi="Arial" w:cs="Arial"/>
                <w:sz w:val="24"/>
                <w:szCs w:val="24"/>
              </w:rPr>
            </w:pPr>
          </w:p>
        </w:tc>
      </w:tr>
      <w:tr w:rsidR="00A46F0B" w14:paraId="2022F735"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20D005EA"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Revenue: VIP Tickets (500 tickets </w:t>
            </w:r>
            <w:proofErr w:type="gramStart"/>
            <w:r>
              <w:rPr>
                <w:rFonts w:ascii="Arial" w:hAnsi="Arial" w:cs="Arial"/>
                <w:color w:val="000000"/>
                <w:sz w:val="24"/>
                <w:szCs w:val="24"/>
              </w:rPr>
              <w:t>at  £</w:t>
            </w:r>
            <w:proofErr w:type="gramEnd"/>
            <w:r>
              <w:rPr>
                <w:rFonts w:ascii="Arial" w:hAnsi="Arial" w:cs="Arial"/>
                <w:color w:val="000000"/>
                <w:sz w:val="24"/>
                <w:szCs w:val="24"/>
              </w:rPr>
              <w:t>150 each)</w:t>
            </w:r>
          </w:p>
        </w:tc>
        <w:tc>
          <w:tcPr>
            <w:tcW w:w="3117" w:type="dxa"/>
            <w:tcBorders>
              <w:top w:val="single" w:sz="4" w:space="0" w:color="auto"/>
              <w:left w:val="single" w:sz="4" w:space="0" w:color="auto"/>
              <w:bottom w:val="single" w:sz="4" w:space="0" w:color="auto"/>
              <w:right w:val="single" w:sz="4" w:space="0" w:color="auto"/>
            </w:tcBorders>
            <w:vAlign w:val="bottom"/>
            <w:hideMark/>
          </w:tcPr>
          <w:p w14:paraId="677F9DB9"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£75,000</w:t>
            </w:r>
          </w:p>
        </w:tc>
        <w:tc>
          <w:tcPr>
            <w:tcW w:w="3117" w:type="dxa"/>
            <w:tcBorders>
              <w:top w:val="single" w:sz="4" w:space="0" w:color="auto"/>
              <w:left w:val="single" w:sz="4" w:space="0" w:color="auto"/>
              <w:bottom w:val="single" w:sz="4" w:space="0" w:color="auto"/>
              <w:right w:val="single" w:sz="4" w:space="0" w:color="auto"/>
            </w:tcBorders>
            <w:vAlign w:val="bottom"/>
          </w:tcPr>
          <w:p w14:paraId="25D2B97F" w14:textId="77777777" w:rsidR="00A46F0B" w:rsidRDefault="00A46F0B">
            <w:pPr>
              <w:spacing w:line="240" w:lineRule="auto"/>
              <w:jc w:val="both"/>
              <w:rPr>
                <w:rFonts w:ascii="Arial" w:hAnsi="Arial" w:cs="Arial"/>
                <w:sz w:val="24"/>
                <w:szCs w:val="24"/>
              </w:rPr>
            </w:pPr>
          </w:p>
        </w:tc>
      </w:tr>
      <w:tr w:rsidR="00A46F0B" w14:paraId="4D16D237"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78727D53"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Revenue: General Admission (7,000 tickets </w:t>
            </w:r>
            <w:proofErr w:type="gramStart"/>
            <w:r>
              <w:rPr>
                <w:rFonts w:ascii="Arial" w:hAnsi="Arial" w:cs="Arial"/>
                <w:color w:val="000000"/>
                <w:sz w:val="24"/>
                <w:szCs w:val="24"/>
              </w:rPr>
              <w:t>at  £</w:t>
            </w:r>
            <w:proofErr w:type="gramEnd"/>
            <w:r>
              <w:rPr>
                <w:rFonts w:ascii="Arial" w:hAnsi="Arial" w:cs="Arial"/>
                <w:color w:val="000000"/>
                <w:sz w:val="24"/>
                <w:szCs w:val="24"/>
              </w:rPr>
              <w:t>20 each)</w:t>
            </w:r>
          </w:p>
        </w:tc>
        <w:tc>
          <w:tcPr>
            <w:tcW w:w="3117" w:type="dxa"/>
            <w:tcBorders>
              <w:top w:val="single" w:sz="4" w:space="0" w:color="auto"/>
              <w:left w:val="single" w:sz="4" w:space="0" w:color="auto"/>
              <w:bottom w:val="single" w:sz="4" w:space="0" w:color="auto"/>
              <w:right w:val="single" w:sz="4" w:space="0" w:color="auto"/>
            </w:tcBorders>
            <w:vAlign w:val="bottom"/>
            <w:hideMark/>
          </w:tcPr>
          <w:p w14:paraId="5B3EC785"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£140,000</w:t>
            </w:r>
          </w:p>
        </w:tc>
        <w:tc>
          <w:tcPr>
            <w:tcW w:w="3117" w:type="dxa"/>
            <w:tcBorders>
              <w:top w:val="single" w:sz="4" w:space="0" w:color="auto"/>
              <w:left w:val="single" w:sz="4" w:space="0" w:color="auto"/>
              <w:bottom w:val="single" w:sz="4" w:space="0" w:color="auto"/>
              <w:right w:val="single" w:sz="4" w:space="0" w:color="auto"/>
            </w:tcBorders>
            <w:vAlign w:val="bottom"/>
          </w:tcPr>
          <w:p w14:paraId="12792897" w14:textId="77777777" w:rsidR="00A46F0B" w:rsidRDefault="00A46F0B">
            <w:pPr>
              <w:spacing w:line="240" w:lineRule="auto"/>
              <w:jc w:val="both"/>
              <w:rPr>
                <w:rFonts w:ascii="Arial" w:hAnsi="Arial" w:cs="Arial"/>
                <w:sz w:val="24"/>
                <w:szCs w:val="24"/>
              </w:rPr>
            </w:pPr>
          </w:p>
        </w:tc>
      </w:tr>
      <w:tr w:rsidR="00A46F0B" w14:paraId="70F89004"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7F8B6C02"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Revenue: Fun Run Registration (3,500 runners </w:t>
            </w:r>
            <w:proofErr w:type="gramStart"/>
            <w:r>
              <w:rPr>
                <w:rFonts w:ascii="Arial" w:hAnsi="Arial" w:cs="Arial"/>
                <w:color w:val="000000"/>
                <w:sz w:val="24"/>
                <w:szCs w:val="24"/>
              </w:rPr>
              <w:t>at  £</w:t>
            </w:r>
            <w:proofErr w:type="gramEnd"/>
            <w:r>
              <w:rPr>
                <w:rFonts w:ascii="Arial" w:hAnsi="Arial" w:cs="Arial"/>
                <w:color w:val="000000"/>
                <w:sz w:val="24"/>
                <w:szCs w:val="24"/>
              </w:rPr>
              <w:t>25 each)</w:t>
            </w:r>
          </w:p>
        </w:tc>
        <w:tc>
          <w:tcPr>
            <w:tcW w:w="3117" w:type="dxa"/>
            <w:tcBorders>
              <w:top w:val="single" w:sz="4" w:space="0" w:color="auto"/>
              <w:left w:val="single" w:sz="4" w:space="0" w:color="auto"/>
              <w:bottom w:val="single" w:sz="4" w:space="0" w:color="auto"/>
              <w:right w:val="single" w:sz="4" w:space="0" w:color="auto"/>
            </w:tcBorders>
            <w:vAlign w:val="bottom"/>
            <w:hideMark/>
          </w:tcPr>
          <w:p w14:paraId="22BB7560"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£87,500</w:t>
            </w:r>
          </w:p>
        </w:tc>
        <w:tc>
          <w:tcPr>
            <w:tcW w:w="3117" w:type="dxa"/>
            <w:tcBorders>
              <w:top w:val="single" w:sz="4" w:space="0" w:color="auto"/>
              <w:left w:val="single" w:sz="4" w:space="0" w:color="auto"/>
              <w:bottom w:val="single" w:sz="4" w:space="0" w:color="auto"/>
              <w:right w:val="single" w:sz="4" w:space="0" w:color="auto"/>
            </w:tcBorders>
            <w:vAlign w:val="bottom"/>
          </w:tcPr>
          <w:p w14:paraId="0C92A60A" w14:textId="77777777" w:rsidR="00A46F0B" w:rsidRDefault="00A46F0B">
            <w:pPr>
              <w:spacing w:line="240" w:lineRule="auto"/>
              <w:jc w:val="both"/>
              <w:rPr>
                <w:rFonts w:ascii="Arial" w:hAnsi="Arial" w:cs="Arial"/>
                <w:sz w:val="24"/>
                <w:szCs w:val="24"/>
              </w:rPr>
            </w:pPr>
          </w:p>
        </w:tc>
      </w:tr>
      <w:tr w:rsidR="00A46F0B" w14:paraId="3DF5CEE1"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0AB9E71D"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Revenue: Vendor Fees (50 stalls </w:t>
            </w:r>
            <w:proofErr w:type="gramStart"/>
            <w:r>
              <w:rPr>
                <w:rFonts w:ascii="Arial" w:hAnsi="Arial" w:cs="Arial"/>
                <w:color w:val="000000"/>
                <w:sz w:val="24"/>
                <w:szCs w:val="24"/>
              </w:rPr>
              <w:t>at  £</w:t>
            </w:r>
            <w:proofErr w:type="gramEnd"/>
            <w:r>
              <w:rPr>
                <w:rFonts w:ascii="Arial" w:hAnsi="Arial" w:cs="Arial"/>
                <w:color w:val="000000"/>
                <w:sz w:val="24"/>
                <w:szCs w:val="24"/>
              </w:rPr>
              <w:t>600 each)</w:t>
            </w:r>
          </w:p>
        </w:tc>
        <w:tc>
          <w:tcPr>
            <w:tcW w:w="3117" w:type="dxa"/>
            <w:tcBorders>
              <w:top w:val="single" w:sz="4" w:space="0" w:color="auto"/>
              <w:left w:val="single" w:sz="4" w:space="0" w:color="auto"/>
              <w:bottom w:val="single" w:sz="4" w:space="0" w:color="auto"/>
              <w:right w:val="single" w:sz="4" w:space="0" w:color="auto"/>
            </w:tcBorders>
            <w:vAlign w:val="bottom"/>
            <w:hideMark/>
          </w:tcPr>
          <w:p w14:paraId="18E3E82E"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£30,000</w:t>
            </w:r>
          </w:p>
        </w:tc>
        <w:tc>
          <w:tcPr>
            <w:tcW w:w="3117" w:type="dxa"/>
            <w:tcBorders>
              <w:top w:val="single" w:sz="4" w:space="0" w:color="auto"/>
              <w:left w:val="single" w:sz="4" w:space="0" w:color="auto"/>
              <w:bottom w:val="single" w:sz="4" w:space="0" w:color="auto"/>
              <w:right w:val="single" w:sz="4" w:space="0" w:color="auto"/>
            </w:tcBorders>
            <w:vAlign w:val="bottom"/>
          </w:tcPr>
          <w:p w14:paraId="7A4ED95D" w14:textId="77777777" w:rsidR="00A46F0B" w:rsidRDefault="00A46F0B">
            <w:pPr>
              <w:spacing w:line="240" w:lineRule="auto"/>
              <w:jc w:val="both"/>
              <w:rPr>
                <w:rFonts w:ascii="Arial" w:hAnsi="Arial" w:cs="Arial"/>
                <w:sz w:val="24"/>
                <w:szCs w:val="24"/>
              </w:rPr>
            </w:pPr>
          </w:p>
        </w:tc>
      </w:tr>
      <w:tr w:rsidR="00A46F0B" w14:paraId="5C974928"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1A0E5E97"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Total Revenue</w:t>
            </w:r>
          </w:p>
        </w:tc>
        <w:tc>
          <w:tcPr>
            <w:tcW w:w="3117" w:type="dxa"/>
            <w:tcBorders>
              <w:top w:val="single" w:sz="4" w:space="0" w:color="auto"/>
              <w:left w:val="single" w:sz="4" w:space="0" w:color="auto"/>
              <w:bottom w:val="single" w:sz="4" w:space="0" w:color="auto"/>
              <w:right w:val="single" w:sz="4" w:space="0" w:color="auto"/>
            </w:tcBorders>
            <w:vAlign w:val="bottom"/>
            <w:hideMark/>
          </w:tcPr>
          <w:p w14:paraId="344F79F5"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£412,500</w:t>
            </w:r>
          </w:p>
        </w:tc>
        <w:tc>
          <w:tcPr>
            <w:tcW w:w="3117" w:type="dxa"/>
            <w:tcBorders>
              <w:top w:val="single" w:sz="4" w:space="0" w:color="auto"/>
              <w:left w:val="single" w:sz="4" w:space="0" w:color="auto"/>
              <w:bottom w:val="single" w:sz="4" w:space="0" w:color="auto"/>
              <w:right w:val="single" w:sz="4" w:space="0" w:color="auto"/>
            </w:tcBorders>
            <w:vAlign w:val="bottom"/>
            <w:hideMark/>
          </w:tcPr>
          <w:p w14:paraId="68068132"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£412,500</w:t>
            </w:r>
          </w:p>
        </w:tc>
      </w:tr>
      <w:tr w:rsidR="00A46F0B" w14:paraId="3DBC49C6"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32DE763F"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Break-even: Average Revenue per Ticket</w:t>
            </w:r>
          </w:p>
        </w:tc>
        <w:tc>
          <w:tcPr>
            <w:tcW w:w="3117" w:type="dxa"/>
            <w:tcBorders>
              <w:top w:val="single" w:sz="4" w:space="0" w:color="auto"/>
              <w:left w:val="single" w:sz="4" w:space="0" w:color="auto"/>
              <w:bottom w:val="single" w:sz="4" w:space="0" w:color="auto"/>
              <w:right w:val="single" w:sz="4" w:space="0" w:color="auto"/>
            </w:tcBorders>
            <w:vAlign w:val="bottom"/>
            <w:hideMark/>
          </w:tcPr>
          <w:p w14:paraId="1B6B2C40"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£302,500 / 11,000 tickets</w:t>
            </w:r>
          </w:p>
        </w:tc>
        <w:tc>
          <w:tcPr>
            <w:tcW w:w="3117" w:type="dxa"/>
            <w:tcBorders>
              <w:top w:val="single" w:sz="4" w:space="0" w:color="auto"/>
              <w:left w:val="single" w:sz="4" w:space="0" w:color="auto"/>
              <w:bottom w:val="single" w:sz="4" w:space="0" w:color="auto"/>
              <w:right w:val="single" w:sz="4" w:space="0" w:color="auto"/>
            </w:tcBorders>
            <w:vAlign w:val="bottom"/>
            <w:hideMark/>
          </w:tcPr>
          <w:p w14:paraId="798D5329"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£27.50</w:t>
            </w:r>
          </w:p>
        </w:tc>
      </w:tr>
      <w:tr w:rsidR="00A46F0B" w14:paraId="63D82969"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7B6710C2"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Break-even: Break-even Point (in tickets)</w:t>
            </w:r>
          </w:p>
        </w:tc>
        <w:tc>
          <w:tcPr>
            <w:tcW w:w="3117" w:type="dxa"/>
            <w:tcBorders>
              <w:top w:val="single" w:sz="4" w:space="0" w:color="auto"/>
              <w:left w:val="single" w:sz="4" w:space="0" w:color="auto"/>
              <w:bottom w:val="single" w:sz="4" w:space="0" w:color="auto"/>
              <w:right w:val="single" w:sz="4" w:space="0" w:color="auto"/>
            </w:tcBorders>
            <w:vAlign w:val="bottom"/>
            <w:hideMark/>
          </w:tcPr>
          <w:p w14:paraId="3BFAEEE5"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£117,000 </w:t>
            </w:r>
            <w:proofErr w:type="gramStart"/>
            <w:r>
              <w:rPr>
                <w:rFonts w:ascii="Arial" w:hAnsi="Arial" w:cs="Arial"/>
                <w:color w:val="000000"/>
                <w:sz w:val="24"/>
                <w:szCs w:val="24"/>
              </w:rPr>
              <w:t>/  £</w:t>
            </w:r>
            <w:proofErr w:type="gramEnd"/>
            <w:r>
              <w:rPr>
                <w:rFonts w:ascii="Arial" w:hAnsi="Arial" w:cs="Arial"/>
                <w:color w:val="000000"/>
                <w:sz w:val="24"/>
                <w:szCs w:val="24"/>
              </w:rPr>
              <w:t>27.50</w:t>
            </w:r>
          </w:p>
        </w:tc>
        <w:tc>
          <w:tcPr>
            <w:tcW w:w="3117" w:type="dxa"/>
            <w:tcBorders>
              <w:top w:val="single" w:sz="4" w:space="0" w:color="auto"/>
              <w:left w:val="single" w:sz="4" w:space="0" w:color="auto"/>
              <w:bottom w:val="single" w:sz="4" w:space="0" w:color="auto"/>
              <w:right w:val="single" w:sz="4" w:space="0" w:color="auto"/>
            </w:tcBorders>
            <w:vAlign w:val="bottom"/>
            <w:hideMark/>
          </w:tcPr>
          <w:p w14:paraId="24AB89F4"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4,255 tickets</w:t>
            </w:r>
          </w:p>
        </w:tc>
      </w:tr>
      <w:tr w:rsidR="00A46F0B" w14:paraId="3AE96A3A"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76B97DD4"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Profit Calculation: Total Revenue</w:t>
            </w:r>
          </w:p>
        </w:tc>
        <w:tc>
          <w:tcPr>
            <w:tcW w:w="3117" w:type="dxa"/>
            <w:tcBorders>
              <w:top w:val="single" w:sz="4" w:space="0" w:color="auto"/>
              <w:left w:val="single" w:sz="4" w:space="0" w:color="auto"/>
              <w:bottom w:val="single" w:sz="4" w:space="0" w:color="auto"/>
              <w:right w:val="single" w:sz="4" w:space="0" w:color="auto"/>
            </w:tcBorders>
            <w:vAlign w:val="bottom"/>
            <w:hideMark/>
          </w:tcPr>
          <w:p w14:paraId="451D224E"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£412,500</w:t>
            </w:r>
          </w:p>
        </w:tc>
        <w:tc>
          <w:tcPr>
            <w:tcW w:w="3117" w:type="dxa"/>
            <w:tcBorders>
              <w:top w:val="single" w:sz="4" w:space="0" w:color="auto"/>
              <w:left w:val="single" w:sz="4" w:space="0" w:color="auto"/>
              <w:bottom w:val="single" w:sz="4" w:space="0" w:color="auto"/>
              <w:right w:val="single" w:sz="4" w:space="0" w:color="auto"/>
            </w:tcBorders>
            <w:vAlign w:val="bottom"/>
            <w:hideMark/>
          </w:tcPr>
          <w:p w14:paraId="09B9E095"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£412,500</w:t>
            </w:r>
          </w:p>
        </w:tc>
      </w:tr>
      <w:tr w:rsidR="00A46F0B" w14:paraId="526EB328"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279D1275"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Profit Calculation: Total Costs</w:t>
            </w:r>
          </w:p>
        </w:tc>
        <w:tc>
          <w:tcPr>
            <w:tcW w:w="3117" w:type="dxa"/>
            <w:tcBorders>
              <w:top w:val="single" w:sz="4" w:space="0" w:color="auto"/>
              <w:left w:val="single" w:sz="4" w:space="0" w:color="auto"/>
              <w:bottom w:val="single" w:sz="4" w:space="0" w:color="auto"/>
              <w:right w:val="single" w:sz="4" w:space="0" w:color="auto"/>
            </w:tcBorders>
            <w:vAlign w:val="bottom"/>
            <w:hideMark/>
          </w:tcPr>
          <w:p w14:paraId="4FD9CEBF"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£135,000</w:t>
            </w:r>
          </w:p>
        </w:tc>
        <w:tc>
          <w:tcPr>
            <w:tcW w:w="3117" w:type="dxa"/>
            <w:tcBorders>
              <w:top w:val="single" w:sz="4" w:space="0" w:color="auto"/>
              <w:left w:val="single" w:sz="4" w:space="0" w:color="auto"/>
              <w:bottom w:val="single" w:sz="4" w:space="0" w:color="auto"/>
              <w:right w:val="single" w:sz="4" w:space="0" w:color="auto"/>
            </w:tcBorders>
            <w:vAlign w:val="bottom"/>
            <w:hideMark/>
          </w:tcPr>
          <w:p w14:paraId="71DD50B9"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£135,000</w:t>
            </w:r>
          </w:p>
        </w:tc>
      </w:tr>
      <w:tr w:rsidR="00A46F0B" w14:paraId="0F747FFB" w14:textId="77777777" w:rsidTr="00A46F0B">
        <w:tc>
          <w:tcPr>
            <w:tcW w:w="3116" w:type="dxa"/>
            <w:tcBorders>
              <w:top w:val="single" w:sz="4" w:space="0" w:color="auto"/>
              <w:left w:val="single" w:sz="4" w:space="0" w:color="auto"/>
              <w:bottom w:val="single" w:sz="4" w:space="0" w:color="auto"/>
              <w:right w:val="single" w:sz="4" w:space="0" w:color="auto"/>
            </w:tcBorders>
            <w:vAlign w:val="bottom"/>
            <w:hideMark/>
          </w:tcPr>
          <w:p w14:paraId="7BDBD95F" w14:textId="77777777" w:rsidR="00A46F0B" w:rsidRDefault="00A46F0B">
            <w:pPr>
              <w:spacing w:line="240" w:lineRule="auto"/>
              <w:jc w:val="both"/>
              <w:rPr>
                <w:rFonts w:ascii="Arial" w:hAnsi="Arial" w:cs="Arial"/>
                <w:b/>
                <w:bCs/>
                <w:sz w:val="24"/>
                <w:szCs w:val="24"/>
              </w:rPr>
            </w:pPr>
            <w:r>
              <w:rPr>
                <w:rFonts w:ascii="Arial" w:hAnsi="Arial" w:cs="Arial"/>
                <w:b/>
                <w:bCs/>
                <w:color w:val="000000"/>
                <w:sz w:val="24"/>
                <w:szCs w:val="24"/>
              </w:rPr>
              <w:t>Profit Calculation: Profit</w:t>
            </w:r>
          </w:p>
        </w:tc>
        <w:tc>
          <w:tcPr>
            <w:tcW w:w="3117" w:type="dxa"/>
            <w:tcBorders>
              <w:top w:val="single" w:sz="4" w:space="0" w:color="auto"/>
              <w:left w:val="single" w:sz="4" w:space="0" w:color="auto"/>
              <w:bottom w:val="single" w:sz="4" w:space="0" w:color="auto"/>
              <w:right w:val="single" w:sz="4" w:space="0" w:color="auto"/>
            </w:tcBorders>
            <w:vAlign w:val="bottom"/>
            <w:hideMark/>
          </w:tcPr>
          <w:p w14:paraId="3C2F1B88"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£277,500</w:t>
            </w:r>
          </w:p>
        </w:tc>
        <w:tc>
          <w:tcPr>
            <w:tcW w:w="3117" w:type="dxa"/>
            <w:tcBorders>
              <w:top w:val="single" w:sz="4" w:space="0" w:color="auto"/>
              <w:left w:val="single" w:sz="4" w:space="0" w:color="auto"/>
              <w:bottom w:val="single" w:sz="4" w:space="0" w:color="auto"/>
              <w:right w:val="single" w:sz="4" w:space="0" w:color="auto"/>
            </w:tcBorders>
            <w:vAlign w:val="bottom"/>
            <w:hideMark/>
          </w:tcPr>
          <w:p w14:paraId="763FFA5C" w14:textId="77777777" w:rsidR="00A46F0B" w:rsidRDefault="00A46F0B">
            <w:pPr>
              <w:spacing w:line="240" w:lineRule="auto"/>
              <w:jc w:val="both"/>
              <w:rPr>
                <w:rFonts w:ascii="Arial" w:hAnsi="Arial" w:cs="Arial"/>
                <w:sz w:val="24"/>
                <w:szCs w:val="24"/>
              </w:rPr>
            </w:pPr>
            <w:r>
              <w:rPr>
                <w:rFonts w:ascii="Arial" w:hAnsi="Arial" w:cs="Arial"/>
                <w:color w:val="000000"/>
                <w:sz w:val="24"/>
                <w:szCs w:val="24"/>
              </w:rPr>
              <w:t xml:space="preserve"> £277,500</w:t>
            </w:r>
          </w:p>
        </w:tc>
      </w:tr>
    </w:tbl>
    <w:p w14:paraId="035E6AAC" w14:textId="77777777" w:rsidR="00A46F0B" w:rsidRDefault="00A46F0B" w:rsidP="00A46F0B">
      <w:pPr>
        <w:spacing w:line="360" w:lineRule="auto"/>
        <w:jc w:val="both"/>
        <w:rPr>
          <w:rFonts w:ascii="Arial" w:hAnsi="Arial" w:cs="Arial"/>
          <w:sz w:val="24"/>
          <w:szCs w:val="24"/>
        </w:rPr>
      </w:pPr>
    </w:p>
    <w:p w14:paraId="582EFB96" w14:textId="77777777" w:rsidR="00A46F0B" w:rsidRDefault="00A46F0B" w:rsidP="00A46F0B">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 xml:space="preserve"> Industry Trends, Issues, and Impacts </w:t>
      </w:r>
    </w:p>
    <w:p w14:paraId="1D767EB0"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In the event industry, rapid technological advancements, sustainability, and inclusivity are transforming the design and experience of events. Mobile applications, data management systems, and online ticketing are becoming essential to event operations, facilitating easy information access and quick registration processes. </w:t>
      </w:r>
      <w:r>
        <w:rPr>
          <w:rFonts w:ascii="Arial" w:hAnsi="Arial" w:cs="Arial"/>
          <w:sz w:val="24"/>
          <w:szCs w:val="24"/>
        </w:rPr>
        <w:lastRenderedPageBreak/>
        <w:t>Research indicates that applications boost attendee engagement by providing real-time updates, interactive maps, and event schedules, which leads to user satisfaction and fosters post-event loyalty (</w:t>
      </w:r>
      <w:proofErr w:type="spellStart"/>
      <w:r>
        <w:rPr>
          <w:rFonts w:ascii="Arial" w:hAnsi="Arial" w:cs="Arial"/>
          <w:sz w:val="24"/>
          <w:szCs w:val="24"/>
        </w:rPr>
        <w:t>Sangkaew</w:t>
      </w:r>
      <w:proofErr w:type="spellEnd"/>
      <w:r>
        <w:rPr>
          <w:rFonts w:ascii="Arial" w:hAnsi="Arial" w:cs="Arial"/>
          <w:sz w:val="24"/>
          <w:szCs w:val="24"/>
        </w:rPr>
        <w:t>, 2019). Moreover, digital ticketing systems reduce paper consumption, complying with sustainable practices while lowering fraud risks through biometric identification and blockchain technology (</w:t>
      </w:r>
      <w:proofErr w:type="spellStart"/>
      <w:r>
        <w:rPr>
          <w:rFonts w:ascii="Arial" w:hAnsi="Arial" w:cs="Arial"/>
          <w:sz w:val="24"/>
          <w:szCs w:val="24"/>
        </w:rPr>
        <w:t>Albshaier</w:t>
      </w:r>
      <w:proofErr w:type="spellEnd"/>
      <w:r>
        <w:rPr>
          <w:rFonts w:ascii="Arial" w:hAnsi="Arial" w:cs="Arial"/>
          <w:sz w:val="24"/>
          <w:szCs w:val="24"/>
        </w:rPr>
        <w:t xml:space="preserve"> et al., 2024).</w:t>
      </w:r>
    </w:p>
    <w:p w14:paraId="65E6ED91"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The recent development of hybrid events, combining in-person and virtual participation, signifies a crucial industry trend. Hybrid models facilitate event accessibility, allowing participation from individuals unable to attend physically, encouraging inclusivity. Studies demonstrate that hybrid and virtual elements lessen environmental impact by lowering travel-related emissions, an essential factor for sustainable event management (</w:t>
      </w:r>
      <w:proofErr w:type="spellStart"/>
      <w:r>
        <w:rPr>
          <w:rFonts w:ascii="Arial" w:hAnsi="Arial" w:cs="Arial"/>
          <w:sz w:val="24"/>
          <w:szCs w:val="24"/>
        </w:rPr>
        <w:t>Kourkouridis</w:t>
      </w:r>
      <w:proofErr w:type="spellEnd"/>
      <w:r>
        <w:rPr>
          <w:rFonts w:ascii="Arial" w:hAnsi="Arial" w:cs="Arial"/>
          <w:sz w:val="24"/>
          <w:szCs w:val="24"/>
        </w:rPr>
        <w:t xml:space="preserve"> et al., 2022).</w:t>
      </w:r>
    </w:p>
    <w:p w14:paraId="6734C664"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Sustainability considers the utilisation of environmentally friendly materials and the implementation of inclusive practices. Research indicates that integrating accessible elements such as ADA-compliant pathways and alternative sensory experiences for individuals with disabilities promotes a more inclusive atmosphere (Bossey, 2020). Furthermore, the inclination towards sustainable materials, especially recyclable decorations and energy-efficient lighting, fits public expectations and builds community cooperation (Qiu et al., 2021).</w:t>
      </w:r>
    </w:p>
    <w:p w14:paraId="6EABC7B0"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When adopting these trends, events strengthen operational efficiency and engagement as they align with essential societal values of sustainability and accessibility, which are vital for future industry resilience and relevance.</w:t>
      </w:r>
    </w:p>
    <w:p w14:paraId="4F189137" w14:textId="77777777" w:rsidR="00A46F0B" w:rsidRDefault="00A46F0B" w:rsidP="00A46F0B">
      <w:pPr>
        <w:spacing w:line="360" w:lineRule="auto"/>
        <w:jc w:val="both"/>
        <w:rPr>
          <w:rFonts w:ascii="Arial" w:hAnsi="Arial" w:cs="Arial"/>
          <w:sz w:val="24"/>
          <w:szCs w:val="24"/>
        </w:rPr>
      </w:pPr>
    </w:p>
    <w:p w14:paraId="7C87C291" w14:textId="77777777" w:rsidR="00A46F0B" w:rsidRDefault="00A46F0B" w:rsidP="00A46F0B">
      <w:pPr>
        <w:pStyle w:val="ListParagraph"/>
        <w:numPr>
          <w:ilvl w:val="0"/>
          <w:numId w:val="1"/>
        </w:numPr>
        <w:spacing w:line="360" w:lineRule="auto"/>
        <w:jc w:val="both"/>
        <w:rPr>
          <w:rFonts w:ascii="Arial" w:hAnsi="Arial" w:cs="Arial"/>
          <w:sz w:val="24"/>
          <w:szCs w:val="24"/>
        </w:rPr>
      </w:pPr>
      <w:r>
        <w:rPr>
          <w:rFonts w:ascii="Arial" w:hAnsi="Arial" w:cs="Arial"/>
          <w:b/>
          <w:bCs/>
          <w:sz w:val="24"/>
          <w:szCs w:val="24"/>
        </w:rPr>
        <w:t xml:space="preserve">Situational and Cultural Considerations </w:t>
      </w:r>
    </w:p>
    <w:p w14:paraId="7F4041D6"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To anticipate external factors, the Festive Family Fun Run needs an advanced approach to situational and cultural considerations, evaluated through a PESTEL analysis.</w:t>
      </w:r>
    </w:p>
    <w:p w14:paraId="5F2AB709"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Political factors are crucial, as compliance with regulations and obtaining licenses from local authorities are required for organising an event in Hyde Park. Compliance guarantees compliance with environmental, safety, and accessibility regulations, conforming to London’s standards for public event management (Kara, 2018). These </w:t>
      </w:r>
      <w:r>
        <w:rPr>
          <w:rFonts w:ascii="Arial" w:hAnsi="Arial" w:cs="Arial"/>
          <w:sz w:val="24"/>
          <w:szCs w:val="24"/>
        </w:rPr>
        <w:lastRenderedPageBreak/>
        <w:t>measures protect attendees while improving public perception of the event's organisational integrity.</w:t>
      </w:r>
    </w:p>
    <w:p w14:paraId="04BCBDB3"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The event's timing during a holiday season improves local businesses by contributing to tourism-related revenue. A study by Torre and Scarborough (2017) underlines that festivals revive local economies, particularly by improving the occupancy of hotels, restaurants, and shops and alleviating some financial difficulties families face during holidays.</w:t>
      </w:r>
    </w:p>
    <w:p w14:paraId="57C61EF1"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Social factors, such as familial involvement and community pride, are essential to the event's success. Such events cultivate an overwhelming feeling of social connection and belonging by facilitating interactions between diverse community groups. Rivera et al. (2008) claim that culturally sensitive programming, honouring local values and traditions, can improve social inclusion and participation and fortify community bonds.</w:t>
      </w:r>
    </w:p>
    <w:p w14:paraId="669DF61D"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The event's design integrates inclusive elements that welcome attendees from diverse backgrounds. Providing bilingual signage, accessible services, and culturally respectful activities encourages diverse groups to feel appreciated. This methodology has been supported by research indicating that culturally inclusive events generate community pride and promote repeat attendance, making these design decisions essential for sustained success (Walters and Insch, 2018).</w:t>
      </w:r>
    </w:p>
    <w:p w14:paraId="54F7AC52" w14:textId="77777777" w:rsidR="00A46F0B" w:rsidRDefault="00A46F0B" w:rsidP="00A46F0B">
      <w:pPr>
        <w:spacing w:line="360" w:lineRule="auto"/>
        <w:jc w:val="both"/>
        <w:rPr>
          <w:rFonts w:ascii="Arial" w:hAnsi="Arial" w:cs="Arial"/>
          <w:b/>
          <w:bCs/>
          <w:sz w:val="24"/>
          <w:szCs w:val="24"/>
        </w:rPr>
      </w:pPr>
      <w:r>
        <w:rPr>
          <w:rFonts w:ascii="Arial" w:hAnsi="Arial" w:cs="Arial"/>
          <w:sz w:val="24"/>
          <w:szCs w:val="24"/>
        </w:rPr>
        <w:t>The Festive Family Fun Run merges community values with regulatory and economic considerations, building a culturally sensitive and contextually aware event strategy that satisfies diverse stakeholder expectations.</w:t>
      </w:r>
      <w:r>
        <w:rPr>
          <w:rFonts w:ascii="Arial" w:hAnsi="Arial" w:cs="Arial"/>
          <w:sz w:val="24"/>
          <w:szCs w:val="24"/>
        </w:rPr>
        <w:br/>
      </w:r>
    </w:p>
    <w:p w14:paraId="3C9AB44F" w14:textId="77777777" w:rsidR="00A46F0B" w:rsidRDefault="00A46F0B" w:rsidP="00A46F0B">
      <w:pPr>
        <w:spacing w:line="360" w:lineRule="auto"/>
        <w:jc w:val="both"/>
        <w:rPr>
          <w:rFonts w:ascii="Arial" w:hAnsi="Arial" w:cs="Arial"/>
          <w:sz w:val="24"/>
          <w:szCs w:val="24"/>
        </w:rPr>
      </w:pPr>
      <w:r>
        <w:rPr>
          <w:rFonts w:ascii="Arial" w:hAnsi="Arial" w:cs="Arial"/>
          <w:b/>
          <w:bCs/>
          <w:sz w:val="24"/>
          <w:szCs w:val="24"/>
        </w:rPr>
        <w:t>Conclusion</w:t>
      </w:r>
    </w:p>
    <w:p w14:paraId="16041178"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 xml:space="preserve">In summary, the Event Cycle within the EMBOK framework provides essential recommendations for managing large-scale events such as the Festive Family Fun Run. By implementing a tiered strategy, event organisers can anticipate difficulties, allocate resources efficiently, and synchronise each phase with broader goals, including ensuring safety, improving community engagement, and achieving financial sustainability. This report reveals how each phase—from initial logistics planning and budgeting to post-event evaluation—contributes to the event's overall success. Furthermore, embracing industry trends in sustainability, inclusivity, and </w:t>
      </w:r>
      <w:r>
        <w:rPr>
          <w:rFonts w:ascii="Arial" w:hAnsi="Arial" w:cs="Arial"/>
          <w:sz w:val="24"/>
          <w:szCs w:val="24"/>
        </w:rPr>
        <w:lastRenderedPageBreak/>
        <w:t>digital engagement allows the event to fulfil modern expectations and cultivate a memorable experience. The Festive Family Fun Run, through strategic planning and execution, provides an enjoyable event, reinforces community values, and fulfils its charitable objectives, establishing a solid basis for future editions.</w:t>
      </w:r>
    </w:p>
    <w:p w14:paraId="351EE91C" w14:textId="77777777" w:rsidR="00A46F0B" w:rsidRDefault="00A46F0B" w:rsidP="00A46F0B">
      <w:pPr>
        <w:spacing w:line="360" w:lineRule="auto"/>
        <w:jc w:val="both"/>
        <w:rPr>
          <w:rFonts w:ascii="Arial" w:hAnsi="Arial" w:cs="Arial"/>
          <w:b/>
          <w:bCs/>
          <w:sz w:val="24"/>
          <w:szCs w:val="24"/>
        </w:rPr>
      </w:pPr>
      <w:r>
        <w:rPr>
          <w:rFonts w:ascii="Arial" w:hAnsi="Arial" w:cs="Arial"/>
          <w:sz w:val="24"/>
          <w:szCs w:val="24"/>
        </w:rPr>
        <w:br/>
      </w:r>
      <w:r>
        <w:rPr>
          <w:rFonts w:ascii="Arial" w:hAnsi="Arial" w:cs="Arial"/>
          <w:b/>
          <w:bCs/>
          <w:sz w:val="24"/>
          <w:szCs w:val="24"/>
        </w:rPr>
        <w:t>Recommendations</w:t>
      </w:r>
    </w:p>
    <w:p w14:paraId="7DE199B4" w14:textId="77777777" w:rsidR="00A46F0B" w:rsidRDefault="00A46F0B" w:rsidP="00A46F0B">
      <w:pPr>
        <w:spacing w:line="360" w:lineRule="auto"/>
        <w:jc w:val="both"/>
        <w:rPr>
          <w:rFonts w:ascii="Arial" w:hAnsi="Arial" w:cs="Arial"/>
          <w:sz w:val="24"/>
          <w:szCs w:val="24"/>
        </w:rPr>
      </w:pPr>
      <w:r>
        <w:rPr>
          <w:rFonts w:ascii="Arial" w:hAnsi="Arial" w:cs="Arial"/>
          <w:sz w:val="24"/>
          <w:szCs w:val="24"/>
        </w:rPr>
        <w:t>To improve attendees' comfort and accessibility, the visibility and accessibility of wayfinding should be increased through multilingual signage and strategically positioned facilities, including restrooms and water stations (Bossey, 2020). Adding rest areas can offer relaxation for families with children, elderly individuals, and people with mobility impairments. These changes are going to reduce attendee confusion, encourage inclusivity, and build a welcoming atmosphere for all guests.</w:t>
      </w:r>
    </w:p>
    <w:p w14:paraId="52D299FB" w14:textId="77777777" w:rsidR="00A46F0B" w:rsidRDefault="00A46F0B" w:rsidP="00A46F0B">
      <w:pPr>
        <w:spacing w:line="360" w:lineRule="auto"/>
        <w:jc w:val="both"/>
        <w:rPr>
          <w:rFonts w:ascii="Arial" w:hAnsi="Arial" w:cs="Arial"/>
          <w:b/>
          <w:bCs/>
          <w:sz w:val="24"/>
          <w:szCs w:val="24"/>
        </w:rPr>
      </w:pPr>
      <w:r>
        <w:rPr>
          <w:rFonts w:ascii="Arial" w:hAnsi="Arial" w:cs="Arial"/>
          <w:sz w:val="24"/>
          <w:szCs w:val="24"/>
        </w:rPr>
        <w:br/>
      </w:r>
    </w:p>
    <w:p w14:paraId="6239AD93" w14:textId="77777777" w:rsidR="00D81229" w:rsidRDefault="00D81229" w:rsidP="00A46F0B">
      <w:pPr>
        <w:spacing w:line="360" w:lineRule="auto"/>
        <w:jc w:val="both"/>
        <w:rPr>
          <w:rFonts w:ascii="Arial" w:hAnsi="Arial" w:cs="Arial"/>
          <w:b/>
          <w:bCs/>
          <w:sz w:val="24"/>
          <w:szCs w:val="24"/>
        </w:rPr>
      </w:pPr>
    </w:p>
    <w:p w14:paraId="6F17C0EE" w14:textId="77777777" w:rsidR="00D81229" w:rsidRDefault="00D81229" w:rsidP="00A46F0B">
      <w:pPr>
        <w:spacing w:line="360" w:lineRule="auto"/>
        <w:jc w:val="both"/>
        <w:rPr>
          <w:rFonts w:ascii="Arial" w:hAnsi="Arial" w:cs="Arial"/>
          <w:b/>
          <w:bCs/>
          <w:sz w:val="24"/>
          <w:szCs w:val="24"/>
        </w:rPr>
      </w:pPr>
    </w:p>
    <w:p w14:paraId="33F4F5DB" w14:textId="77777777" w:rsidR="00D81229" w:rsidRDefault="00D81229" w:rsidP="00A46F0B">
      <w:pPr>
        <w:spacing w:line="360" w:lineRule="auto"/>
        <w:jc w:val="both"/>
        <w:rPr>
          <w:rFonts w:ascii="Arial" w:hAnsi="Arial" w:cs="Arial"/>
          <w:b/>
          <w:bCs/>
          <w:sz w:val="24"/>
          <w:szCs w:val="24"/>
        </w:rPr>
      </w:pPr>
    </w:p>
    <w:p w14:paraId="2F7EAB6C" w14:textId="77777777" w:rsidR="00D81229" w:rsidRDefault="00D81229" w:rsidP="00A46F0B">
      <w:pPr>
        <w:spacing w:line="360" w:lineRule="auto"/>
        <w:jc w:val="both"/>
        <w:rPr>
          <w:rFonts w:ascii="Arial" w:hAnsi="Arial" w:cs="Arial"/>
          <w:b/>
          <w:bCs/>
          <w:sz w:val="24"/>
          <w:szCs w:val="24"/>
        </w:rPr>
      </w:pPr>
    </w:p>
    <w:p w14:paraId="22E82927" w14:textId="77777777" w:rsidR="00D81229" w:rsidRDefault="00D81229" w:rsidP="00A46F0B">
      <w:pPr>
        <w:spacing w:line="360" w:lineRule="auto"/>
        <w:jc w:val="both"/>
        <w:rPr>
          <w:rFonts w:ascii="Arial" w:hAnsi="Arial" w:cs="Arial"/>
          <w:b/>
          <w:bCs/>
          <w:sz w:val="24"/>
          <w:szCs w:val="24"/>
        </w:rPr>
      </w:pPr>
    </w:p>
    <w:p w14:paraId="18E8A668" w14:textId="77777777" w:rsidR="00D81229" w:rsidRDefault="00D81229" w:rsidP="00A46F0B">
      <w:pPr>
        <w:spacing w:line="360" w:lineRule="auto"/>
        <w:jc w:val="both"/>
        <w:rPr>
          <w:rFonts w:ascii="Arial" w:hAnsi="Arial" w:cs="Arial"/>
          <w:b/>
          <w:bCs/>
          <w:sz w:val="24"/>
          <w:szCs w:val="24"/>
        </w:rPr>
      </w:pPr>
    </w:p>
    <w:p w14:paraId="548DB813" w14:textId="77777777" w:rsidR="00D81229" w:rsidRDefault="00D81229" w:rsidP="00A46F0B">
      <w:pPr>
        <w:spacing w:line="360" w:lineRule="auto"/>
        <w:jc w:val="both"/>
        <w:rPr>
          <w:rFonts w:ascii="Arial" w:hAnsi="Arial" w:cs="Arial"/>
          <w:b/>
          <w:bCs/>
          <w:sz w:val="24"/>
          <w:szCs w:val="24"/>
        </w:rPr>
      </w:pPr>
    </w:p>
    <w:p w14:paraId="13B9466B" w14:textId="77777777" w:rsidR="00D81229" w:rsidRDefault="00D81229" w:rsidP="00A46F0B">
      <w:pPr>
        <w:spacing w:line="360" w:lineRule="auto"/>
        <w:jc w:val="both"/>
        <w:rPr>
          <w:rFonts w:ascii="Arial" w:hAnsi="Arial" w:cs="Arial"/>
          <w:b/>
          <w:bCs/>
          <w:sz w:val="24"/>
          <w:szCs w:val="24"/>
        </w:rPr>
      </w:pPr>
    </w:p>
    <w:p w14:paraId="38B21D55" w14:textId="77777777" w:rsidR="00D81229" w:rsidRDefault="00D81229" w:rsidP="00A46F0B">
      <w:pPr>
        <w:spacing w:line="360" w:lineRule="auto"/>
        <w:jc w:val="both"/>
        <w:rPr>
          <w:rFonts w:ascii="Arial" w:hAnsi="Arial" w:cs="Arial"/>
          <w:b/>
          <w:bCs/>
          <w:sz w:val="24"/>
          <w:szCs w:val="24"/>
        </w:rPr>
      </w:pPr>
    </w:p>
    <w:p w14:paraId="62E04B35" w14:textId="77777777" w:rsidR="00D81229" w:rsidRDefault="00D81229" w:rsidP="00A46F0B">
      <w:pPr>
        <w:spacing w:line="360" w:lineRule="auto"/>
        <w:jc w:val="both"/>
        <w:rPr>
          <w:rFonts w:ascii="Arial" w:hAnsi="Arial" w:cs="Arial"/>
          <w:b/>
          <w:bCs/>
          <w:sz w:val="24"/>
          <w:szCs w:val="24"/>
        </w:rPr>
      </w:pPr>
    </w:p>
    <w:p w14:paraId="39E3223B" w14:textId="77777777" w:rsidR="00D81229" w:rsidRDefault="00D81229" w:rsidP="00A46F0B">
      <w:pPr>
        <w:spacing w:line="360" w:lineRule="auto"/>
        <w:jc w:val="both"/>
        <w:rPr>
          <w:rFonts w:ascii="Arial" w:hAnsi="Arial" w:cs="Arial"/>
          <w:b/>
          <w:bCs/>
          <w:sz w:val="24"/>
          <w:szCs w:val="24"/>
        </w:rPr>
      </w:pPr>
    </w:p>
    <w:p w14:paraId="2B80502C" w14:textId="77777777" w:rsidR="00D81229" w:rsidRDefault="00D81229" w:rsidP="00A46F0B">
      <w:pPr>
        <w:spacing w:line="360" w:lineRule="auto"/>
        <w:jc w:val="both"/>
        <w:rPr>
          <w:rFonts w:ascii="Arial" w:hAnsi="Arial" w:cs="Arial"/>
          <w:b/>
          <w:bCs/>
          <w:sz w:val="24"/>
          <w:szCs w:val="24"/>
        </w:rPr>
      </w:pPr>
    </w:p>
    <w:p w14:paraId="652220B9" w14:textId="77777777" w:rsidR="00D81229" w:rsidRDefault="00D81229" w:rsidP="00A46F0B">
      <w:pPr>
        <w:spacing w:line="360" w:lineRule="auto"/>
        <w:jc w:val="both"/>
        <w:rPr>
          <w:rFonts w:ascii="Arial" w:hAnsi="Arial" w:cs="Arial"/>
          <w:b/>
          <w:bCs/>
          <w:sz w:val="24"/>
          <w:szCs w:val="24"/>
        </w:rPr>
      </w:pPr>
    </w:p>
    <w:p w14:paraId="746A1B4E" w14:textId="74907695" w:rsidR="00A46F0B" w:rsidRDefault="00A46F0B" w:rsidP="00A46F0B">
      <w:pPr>
        <w:spacing w:line="360" w:lineRule="auto"/>
        <w:jc w:val="both"/>
        <w:rPr>
          <w:rFonts w:ascii="Arial" w:hAnsi="Arial" w:cs="Arial"/>
          <w:b/>
          <w:bCs/>
          <w:sz w:val="24"/>
          <w:szCs w:val="24"/>
        </w:rPr>
      </w:pPr>
      <w:r>
        <w:rPr>
          <w:rFonts w:ascii="Arial" w:hAnsi="Arial" w:cs="Arial"/>
          <w:b/>
          <w:bCs/>
          <w:sz w:val="24"/>
          <w:szCs w:val="24"/>
        </w:rPr>
        <w:lastRenderedPageBreak/>
        <w:t>Reference List</w:t>
      </w:r>
    </w:p>
    <w:p w14:paraId="25A67979"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lang w:val="de-DE"/>
        </w:rPr>
        <w:t xml:space="preserve">Albshaier, L., Almarri, S. and Hafizur Rahman, M.M., 2024. </w:t>
      </w:r>
      <w:r>
        <w:rPr>
          <w:rFonts w:ascii="Arial" w:hAnsi="Arial" w:cs="Arial"/>
          <w:sz w:val="24"/>
          <w:szCs w:val="24"/>
        </w:rPr>
        <w:t>A review of blockchain’s role in E-Commerce transactions: Open challenges, and future research directions. </w:t>
      </w:r>
      <w:r>
        <w:rPr>
          <w:rFonts w:ascii="Arial" w:hAnsi="Arial" w:cs="Arial"/>
          <w:i/>
          <w:iCs/>
          <w:sz w:val="24"/>
          <w:szCs w:val="24"/>
        </w:rPr>
        <w:t>Computers</w:t>
      </w:r>
      <w:r>
        <w:rPr>
          <w:rFonts w:ascii="Arial" w:hAnsi="Arial" w:cs="Arial"/>
          <w:sz w:val="24"/>
          <w:szCs w:val="24"/>
        </w:rPr>
        <w:t>, </w:t>
      </w:r>
      <w:r>
        <w:rPr>
          <w:rFonts w:ascii="Arial" w:hAnsi="Arial" w:cs="Arial"/>
          <w:i/>
          <w:iCs/>
          <w:sz w:val="24"/>
          <w:szCs w:val="24"/>
        </w:rPr>
        <w:t>13</w:t>
      </w:r>
      <w:r>
        <w:rPr>
          <w:rFonts w:ascii="Arial" w:hAnsi="Arial" w:cs="Arial"/>
          <w:sz w:val="24"/>
          <w:szCs w:val="24"/>
        </w:rPr>
        <w:t xml:space="preserve">(1), p.27. </w:t>
      </w:r>
      <w:hyperlink r:id="rId12" w:history="1">
        <w:r>
          <w:rPr>
            <w:rStyle w:val="Hyperlink"/>
            <w:rFonts w:ascii="Arial" w:hAnsi="Arial" w:cs="Arial"/>
            <w:sz w:val="24"/>
            <w:szCs w:val="24"/>
          </w:rPr>
          <w:t>https://doi.org/10.3390/computers13010027</w:t>
        </w:r>
      </w:hyperlink>
      <w:r>
        <w:rPr>
          <w:rFonts w:ascii="Arial" w:hAnsi="Arial" w:cs="Arial"/>
          <w:sz w:val="24"/>
          <w:szCs w:val="24"/>
        </w:rPr>
        <w:t xml:space="preserve"> </w:t>
      </w:r>
    </w:p>
    <w:p w14:paraId="7E8ECD6D"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Andersson, T., and Lundberg, E., 2013. Commensurability and sustainability: Triple impact assessments of a tourism event. </w:t>
      </w:r>
      <w:r>
        <w:rPr>
          <w:rFonts w:ascii="Arial" w:hAnsi="Arial" w:cs="Arial"/>
          <w:i/>
          <w:iCs/>
          <w:sz w:val="24"/>
          <w:szCs w:val="24"/>
        </w:rPr>
        <w:t>Tourism Management</w:t>
      </w:r>
      <w:r>
        <w:rPr>
          <w:rFonts w:ascii="Arial" w:hAnsi="Arial" w:cs="Arial"/>
          <w:sz w:val="24"/>
          <w:szCs w:val="24"/>
        </w:rPr>
        <w:t xml:space="preserve">, 37, pp. 99-109. </w:t>
      </w:r>
      <w:hyperlink r:id="rId13" w:history="1">
        <w:r>
          <w:rPr>
            <w:rStyle w:val="Hyperlink"/>
            <w:rFonts w:ascii="Arial" w:hAnsi="Arial" w:cs="Arial"/>
            <w:sz w:val="24"/>
            <w:szCs w:val="24"/>
          </w:rPr>
          <w:t>https://doi.org/10.1016/J.TOURMAN.2012.12.015</w:t>
        </w:r>
      </w:hyperlink>
      <w:r>
        <w:rPr>
          <w:rFonts w:ascii="Arial" w:hAnsi="Arial" w:cs="Arial"/>
          <w:sz w:val="24"/>
          <w:szCs w:val="24"/>
        </w:rPr>
        <w:t xml:space="preserve">. </w:t>
      </w:r>
    </w:p>
    <w:p w14:paraId="476BD0D3" w14:textId="77777777" w:rsidR="00A46F0B" w:rsidRDefault="00A46F0B" w:rsidP="00A46F0B">
      <w:pPr>
        <w:pStyle w:val="ListParagraph"/>
        <w:numPr>
          <w:ilvl w:val="0"/>
          <w:numId w:val="10"/>
        </w:numPr>
        <w:spacing w:line="360" w:lineRule="auto"/>
        <w:jc w:val="both"/>
        <w:rPr>
          <w:rFonts w:ascii="Arial" w:hAnsi="Arial" w:cs="Arial"/>
          <w:sz w:val="24"/>
          <w:szCs w:val="24"/>
          <w:lang w:val="en-US"/>
        </w:rPr>
      </w:pPr>
      <w:r>
        <w:rPr>
          <w:rFonts w:ascii="Arial" w:hAnsi="Arial" w:cs="Arial"/>
          <w:sz w:val="24"/>
          <w:szCs w:val="24"/>
          <w:lang w:val="de-DE"/>
        </w:rPr>
        <w:t xml:space="preserve">Bladen, C., Kennell, K., Abson, M., and Wilde N., 2012. </w:t>
      </w:r>
      <w:r>
        <w:rPr>
          <w:rFonts w:ascii="Arial" w:hAnsi="Arial" w:cs="Arial"/>
          <w:sz w:val="24"/>
          <w:szCs w:val="24"/>
          <w:lang w:val="en-US"/>
        </w:rPr>
        <w:t xml:space="preserve">Events Management: An Introduction.  </w:t>
      </w:r>
      <w:hyperlink r:id="rId14" w:history="1">
        <w:r>
          <w:rPr>
            <w:rStyle w:val="Hyperlink"/>
            <w:rFonts w:ascii="Arial" w:hAnsi="Arial" w:cs="Arial"/>
            <w:sz w:val="24"/>
            <w:szCs w:val="24"/>
            <w:lang w:val="en-US"/>
          </w:rPr>
          <w:t>https://librarysearch.uwtsd.ac.uk/permalink/44WHELF_UWTSD/upgrip/alma99100147659902421</w:t>
        </w:r>
      </w:hyperlink>
      <w:r>
        <w:rPr>
          <w:rFonts w:ascii="Arial" w:hAnsi="Arial" w:cs="Arial"/>
          <w:sz w:val="24"/>
          <w:szCs w:val="24"/>
          <w:lang w:val="en-US"/>
        </w:rPr>
        <w:t xml:space="preserve"> </w:t>
      </w:r>
    </w:p>
    <w:p w14:paraId="0E36FCCE"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BOSSEY, A., 2020. Accessibility in all areas? UK live music industry perceptions of current practice and Information and Communication Technology improvements to accessibility for music festival attendees who are deaf or disabled. </w:t>
      </w:r>
      <w:r>
        <w:rPr>
          <w:rFonts w:ascii="Arial" w:hAnsi="Arial" w:cs="Arial"/>
          <w:i/>
          <w:iCs/>
          <w:sz w:val="24"/>
          <w:szCs w:val="24"/>
        </w:rPr>
        <w:t>International Journal of Event and Festival Management, </w:t>
      </w:r>
      <w:r>
        <w:rPr>
          <w:rFonts w:ascii="Arial" w:hAnsi="Arial" w:cs="Arial"/>
          <w:b/>
          <w:bCs/>
          <w:sz w:val="24"/>
          <w:szCs w:val="24"/>
        </w:rPr>
        <w:t>11</w:t>
      </w:r>
      <w:r>
        <w:rPr>
          <w:rFonts w:ascii="Arial" w:hAnsi="Arial" w:cs="Arial"/>
          <w:sz w:val="24"/>
          <w:szCs w:val="24"/>
        </w:rPr>
        <w:t xml:space="preserve">(1), pp. 6-25. </w:t>
      </w:r>
      <w:hyperlink r:id="rId15" w:history="1">
        <w:r>
          <w:rPr>
            <w:rStyle w:val="Hyperlink"/>
            <w:rFonts w:ascii="Arial" w:hAnsi="Arial" w:cs="Arial"/>
            <w:sz w:val="24"/>
            <w:szCs w:val="24"/>
          </w:rPr>
          <w:t>https://www.proquest.com/scholarly-journals/accessibility-all-areas-uk-live-music-industry/docview/2499002592/se-2?accountid=130472</w:t>
        </w:r>
      </w:hyperlink>
      <w:r>
        <w:rPr>
          <w:rFonts w:ascii="Arial" w:hAnsi="Arial" w:cs="Arial"/>
          <w:sz w:val="24"/>
          <w:szCs w:val="24"/>
        </w:rPr>
        <w:t xml:space="preserve"> </w:t>
      </w:r>
    </w:p>
    <w:p w14:paraId="6E8D2F9E"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eastAsia="Times New Roman" w:hAnsi="Arial" w:cs="Arial"/>
          <w:color w:val="3A3A3A"/>
          <w:sz w:val="24"/>
          <w:szCs w:val="24"/>
          <w:lang w:eastAsia="en-GB"/>
          <w14:ligatures w14:val="none"/>
        </w:rPr>
        <w:t>Bowdin, G. A. J. (2011). </w:t>
      </w:r>
      <w:r>
        <w:rPr>
          <w:rFonts w:ascii="Arial" w:eastAsia="Times New Roman" w:hAnsi="Arial" w:cs="Arial"/>
          <w:i/>
          <w:iCs/>
          <w:color w:val="3A3A3A"/>
          <w:sz w:val="24"/>
          <w:szCs w:val="24"/>
          <w:lang w:eastAsia="en-GB"/>
          <w14:ligatures w14:val="none"/>
        </w:rPr>
        <w:t>Events management</w:t>
      </w:r>
      <w:r>
        <w:rPr>
          <w:rFonts w:ascii="Arial" w:eastAsia="Times New Roman" w:hAnsi="Arial" w:cs="Arial"/>
          <w:color w:val="3A3A3A"/>
          <w:sz w:val="24"/>
          <w:szCs w:val="24"/>
          <w:lang w:eastAsia="en-GB"/>
          <w14:ligatures w14:val="none"/>
        </w:rPr>
        <w:t xml:space="preserve"> (3rd ed.). Elsevier Butterworth-Heinemann. </w:t>
      </w:r>
      <w:hyperlink r:id="rId16" w:history="1">
        <w:r>
          <w:rPr>
            <w:rStyle w:val="Hyperlink"/>
            <w:rFonts w:ascii="Arial" w:eastAsia="Times New Roman" w:hAnsi="Arial" w:cs="Arial"/>
            <w:sz w:val="24"/>
            <w:szCs w:val="24"/>
            <w:lang w:eastAsia="en-GB"/>
            <w14:ligatures w14:val="none"/>
          </w:rPr>
          <w:t>https://librarysearch.uwtsd.ac.uk/permalink/44WHELF_UWTSD/tj3s4p/alma99100158759802421</w:t>
        </w:r>
      </w:hyperlink>
      <w:r>
        <w:rPr>
          <w:rFonts w:ascii="Arial" w:eastAsia="Times New Roman" w:hAnsi="Arial" w:cs="Arial"/>
          <w:color w:val="3A3A3A"/>
          <w:sz w:val="24"/>
          <w:szCs w:val="24"/>
          <w:lang w:eastAsia="en-GB"/>
          <w14:ligatures w14:val="none"/>
        </w:rPr>
        <w:t xml:space="preserve">  </w:t>
      </w:r>
    </w:p>
    <w:p w14:paraId="3968B6DC"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Dwyer, L., Jago, L. and Forsyth, P. (2015) 'Economic evaluation of special events: Reconciling economic impact and cost-benefit analysis', </w:t>
      </w:r>
      <w:r>
        <w:rPr>
          <w:rFonts w:ascii="Arial" w:hAnsi="Arial" w:cs="Arial"/>
          <w:i/>
          <w:iCs/>
          <w:sz w:val="24"/>
          <w:szCs w:val="24"/>
        </w:rPr>
        <w:t>Scandinavian Journal of Hospitality and Tourism</w:t>
      </w:r>
      <w:r>
        <w:rPr>
          <w:rFonts w:ascii="Arial" w:hAnsi="Arial" w:cs="Arial"/>
          <w:sz w:val="24"/>
          <w:szCs w:val="24"/>
        </w:rPr>
        <w:t xml:space="preserve">, 16(2), pp. 115–129 </w:t>
      </w:r>
      <w:hyperlink r:id="rId17" w:anchor="d1e205" w:history="1">
        <w:r>
          <w:rPr>
            <w:rStyle w:val="Hyperlink"/>
            <w:rFonts w:ascii="Arial" w:hAnsi="Arial" w:cs="Arial"/>
            <w:sz w:val="24"/>
            <w:szCs w:val="24"/>
          </w:rPr>
          <w:t>https://www-tandfonline-com.ezproxy.uwtsd.ac.uk/doi/full/10.1080/15022250.2015.1116404#d1e205</w:t>
        </w:r>
      </w:hyperlink>
      <w:r>
        <w:rPr>
          <w:rFonts w:ascii="Arial" w:hAnsi="Arial" w:cs="Arial"/>
          <w:sz w:val="24"/>
          <w:szCs w:val="24"/>
        </w:rPr>
        <w:t xml:space="preserve"> </w:t>
      </w:r>
    </w:p>
    <w:p w14:paraId="013BF682" w14:textId="77777777" w:rsidR="00A46F0B" w:rsidRDefault="00A46F0B" w:rsidP="00A46F0B">
      <w:pPr>
        <w:pStyle w:val="ListParagraph"/>
        <w:numPr>
          <w:ilvl w:val="0"/>
          <w:numId w:val="10"/>
        </w:numPr>
        <w:spacing w:line="360" w:lineRule="auto"/>
        <w:jc w:val="both"/>
        <w:rPr>
          <w:rFonts w:ascii="Arial" w:hAnsi="Arial" w:cs="Arial"/>
          <w:sz w:val="24"/>
          <w:szCs w:val="24"/>
        </w:rPr>
      </w:pPr>
      <w:proofErr w:type="spellStart"/>
      <w:r>
        <w:rPr>
          <w:rFonts w:ascii="Arial" w:hAnsi="Arial" w:cs="Arial"/>
          <w:sz w:val="24"/>
          <w:szCs w:val="24"/>
        </w:rPr>
        <w:t>Fasczewski</w:t>
      </w:r>
      <w:proofErr w:type="spellEnd"/>
      <w:r>
        <w:rPr>
          <w:rFonts w:ascii="Arial" w:hAnsi="Arial" w:cs="Arial"/>
          <w:sz w:val="24"/>
          <w:szCs w:val="24"/>
        </w:rPr>
        <w:t>, K., Bramblett, P., Powell, S., Thornton-Brooks, J., and Stevens, N., 2021. Understanding Motivation for Physical Activity Charity Event Participation. </w:t>
      </w:r>
      <w:r>
        <w:rPr>
          <w:rFonts w:ascii="Arial" w:hAnsi="Arial" w:cs="Arial"/>
          <w:i/>
          <w:iCs/>
          <w:sz w:val="24"/>
          <w:szCs w:val="24"/>
        </w:rPr>
        <w:t xml:space="preserve">American Journal of Health </w:t>
      </w:r>
      <w:proofErr w:type="spellStart"/>
      <w:r>
        <w:rPr>
          <w:rFonts w:ascii="Arial" w:hAnsi="Arial" w:cs="Arial"/>
          <w:i/>
          <w:iCs/>
          <w:sz w:val="24"/>
          <w:szCs w:val="24"/>
        </w:rPr>
        <w:t>Behavior</w:t>
      </w:r>
      <w:proofErr w:type="spellEnd"/>
      <w:r>
        <w:rPr>
          <w:rFonts w:ascii="Arial" w:hAnsi="Arial" w:cs="Arial"/>
          <w:sz w:val="24"/>
          <w:szCs w:val="24"/>
        </w:rPr>
        <w:t>, 45 4, pp. 723-</w:t>
      </w:r>
      <w:proofErr w:type="gramStart"/>
      <w:r>
        <w:rPr>
          <w:rFonts w:ascii="Arial" w:hAnsi="Arial" w:cs="Arial"/>
          <w:sz w:val="24"/>
          <w:szCs w:val="24"/>
        </w:rPr>
        <w:t>734 .</w:t>
      </w:r>
      <w:proofErr w:type="gramEnd"/>
      <w:r>
        <w:rPr>
          <w:rFonts w:ascii="Arial" w:hAnsi="Arial" w:cs="Arial"/>
          <w:sz w:val="24"/>
          <w:szCs w:val="24"/>
        </w:rPr>
        <w:t xml:space="preserve"> </w:t>
      </w:r>
      <w:hyperlink r:id="rId18" w:history="1">
        <w:r>
          <w:rPr>
            <w:rStyle w:val="Hyperlink"/>
            <w:rFonts w:ascii="Arial" w:hAnsi="Arial" w:cs="Arial"/>
            <w:sz w:val="24"/>
            <w:szCs w:val="24"/>
          </w:rPr>
          <w:t>https://doi.org/10.5993/AJHB.45.4.11</w:t>
        </w:r>
      </w:hyperlink>
      <w:r>
        <w:rPr>
          <w:rFonts w:ascii="Arial" w:hAnsi="Arial" w:cs="Arial"/>
          <w:sz w:val="24"/>
          <w:szCs w:val="24"/>
        </w:rPr>
        <w:t xml:space="preserve">. </w:t>
      </w:r>
    </w:p>
    <w:p w14:paraId="746C91DF"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lastRenderedPageBreak/>
        <w:t xml:space="preserve">Fechner, D., Filo, K., Reid, S., and Cameron, R., 2022. </w:t>
      </w:r>
      <w:r>
        <w:rPr>
          <w:rFonts w:ascii="Arial" w:hAnsi="Arial" w:cs="Arial"/>
          <w:i/>
          <w:iCs/>
          <w:sz w:val="24"/>
          <w:szCs w:val="24"/>
        </w:rPr>
        <w:t>Charity Sport Event Sponsorship as Value Creation Strategy: An Event Participant Perspective</w:t>
      </w:r>
      <w:r>
        <w:rPr>
          <w:rFonts w:ascii="Arial" w:hAnsi="Arial" w:cs="Arial"/>
          <w:sz w:val="24"/>
          <w:szCs w:val="24"/>
        </w:rPr>
        <w:t xml:space="preserve">. </w:t>
      </w:r>
      <w:hyperlink r:id="rId19" w:history="1">
        <w:r>
          <w:rPr>
            <w:rStyle w:val="Hyperlink"/>
            <w:rFonts w:ascii="Arial" w:hAnsi="Arial" w:cs="Arial"/>
            <w:sz w:val="24"/>
            <w:szCs w:val="24"/>
          </w:rPr>
          <w:t>https://doi.org/10.1123/jsm.2020-0139</w:t>
        </w:r>
      </w:hyperlink>
      <w:r>
        <w:rPr>
          <w:rFonts w:ascii="Arial" w:hAnsi="Arial" w:cs="Arial"/>
          <w:sz w:val="24"/>
          <w:szCs w:val="24"/>
        </w:rPr>
        <w:t xml:space="preserve"> </w:t>
      </w:r>
    </w:p>
    <w:p w14:paraId="0424FE25"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Filo, K., Funk, D., and O’Brien, D., 2009. </w:t>
      </w:r>
      <w:r>
        <w:rPr>
          <w:rFonts w:ascii="Arial" w:hAnsi="Arial" w:cs="Arial"/>
          <w:i/>
          <w:iCs/>
          <w:sz w:val="24"/>
          <w:szCs w:val="24"/>
        </w:rPr>
        <w:t>The Meaning Behind Attachment: Exploring Camaraderie, Cause, and Competency at a Charity Sport Event</w:t>
      </w:r>
      <w:r>
        <w:rPr>
          <w:rFonts w:ascii="Arial" w:hAnsi="Arial" w:cs="Arial"/>
          <w:sz w:val="24"/>
          <w:szCs w:val="24"/>
        </w:rPr>
        <w:t xml:space="preserve">. </w:t>
      </w:r>
      <w:hyperlink r:id="rId20" w:history="1">
        <w:r>
          <w:rPr>
            <w:rStyle w:val="Hyperlink"/>
            <w:rFonts w:ascii="Arial" w:hAnsi="Arial" w:cs="Arial"/>
            <w:sz w:val="24"/>
            <w:szCs w:val="24"/>
          </w:rPr>
          <w:t>https://librarysearch.uwtsd.ac.uk/permalink/44WHELF_UWTSD/igoone/cdi_proquest_miscellaneous_20616086</w:t>
        </w:r>
      </w:hyperlink>
      <w:r>
        <w:rPr>
          <w:rFonts w:ascii="Arial" w:hAnsi="Arial" w:cs="Arial"/>
          <w:sz w:val="24"/>
          <w:szCs w:val="24"/>
        </w:rPr>
        <w:t xml:space="preserve">. </w:t>
      </w:r>
    </w:p>
    <w:p w14:paraId="1A368046"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Kara, E., 2018. A Contemporary Approach </w:t>
      </w:r>
      <w:proofErr w:type="gramStart"/>
      <w:r>
        <w:rPr>
          <w:rFonts w:ascii="Arial" w:hAnsi="Arial" w:cs="Arial"/>
          <w:sz w:val="24"/>
          <w:szCs w:val="24"/>
        </w:rPr>
        <w:t>For</w:t>
      </w:r>
      <w:proofErr w:type="gramEnd"/>
      <w:r>
        <w:rPr>
          <w:rFonts w:ascii="Arial" w:hAnsi="Arial" w:cs="Arial"/>
          <w:sz w:val="24"/>
          <w:szCs w:val="24"/>
        </w:rPr>
        <w:t xml:space="preserve"> Strategic Management in Tourism Sector: PESTEL Analysis on The City </w:t>
      </w:r>
      <w:proofErr w:type="spellStart"/>
      <w:r>
        <w:rPr>
          <w:rFonts w:ascii="Arial" w:hAnsi="Arial" w:cs="Arial"/>
          <w:sz w:val="24"/>
          <w:szCs w:val="24"/>
        </w:rPr>
        <w:t>Muğla</w:t>
      </w:r>
      <w:proofErr w:type="spellEnd"/>
      <w:r>
        <w:rPr>
          <w:rFonts w:ascii="Arial" w:hAnsi="Arial" w:cs="Arial"/>
          <w:sz w:val="24"/>
          <w:szCs w:val="24"/>
        </w:rPr>
        <w:t>, Turkey. </w:t>
      </w:r>
      <w:r>
        <w:rPr>
          <w:rFonts w:ascii="Arial" w:hAnsi="Arial" w:cs="Arial"/>
          <w:i/>
          <w:iCs/>
          <w:sz w:val="24"/>
          <w:szCs w:val="24"/>
        </w:rPr>
        <w:t>Journal of Business Research - Turk</w:t>
      </w:r>
      <w:r>
        <w:rPr>
          <w:rFonts w:ascii="Arial" w:hAnsi="Arial" w:cs="Arial"/>
          <w:sz w:val="24"/>
          <w:szCs w:val="24"/>
        </w:rPr>
        <w:t xml:space="preserve">. </w:t>
      </w:r>
      <w:hyperlink r:id="rId21" w:history="1">
        <w:r>
          <w:rPr>
            <w:rStyle w:val="Hyperlink"/>
            <w:rFonts w:ascii="Arial" w:hAnsi="Arial" w:cs="Arial"/>
            <w:sz w:val="24"/>
            <w:szCs w:val="24"/>
          </w:rPr>
          <w:t>https://doi.org/10.20491/ISARDER.2018.446</w:t>
        </w:r>
      </w:hyperlink>
      <w:r>
        <w:rPr>
          <w:rFonts w:ascii="Arial" w:hAnsi="Arial" w:cs="Arial"/>
          <w:sz w:val="24"/>
          <w:szCs w:val="24"/>
        </w:rPr>
        <w:t xml:space="preserve">. </w:t>
      </w:r>
    </w:p>
    <w:p w14:paraId="37E3C510"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Kotler, P. (2017) Marketing Management. 15th </w:t>
      </w:r>
      <w:proofErr w:type="spellStart"/>
      <w:r>
        <w:rPr>
          <w:rFonts w:ascii="Arial" w:hAnsi="Arial" w:cs="Arial"/>
          <w:sz w:val="24"/>
          <w:szCs w:val="24"/>
        </w:rPr>
        <w:t>edn</w:t>
      </w:r>
      <w:proofErr w:type="spellEnd"/>
      <w:r>
        <w:rPr>
          <w:rFonts w:ascii="Arial" w:hAnsi="Arial" w:cs="Arial"/>
          <w:sz w:val="24"/>
          <w:szCs w:val="24"/>
        </w:rPr>
        <w:t>. Harlow: Pearson Education.</w:t>
      </w:r>
    </w:p>
    <w:p w14:paraId="380BC32A" w14:textId="77777777" w:rsidR="00A46F0B" w:rsidRDefault="00A46F0B" w:rsidP="00A46F0B">
      <w:pPr>
        <w:pStyle w:val="ListParagraph"/>
        <w:numPr>
          <w:ilvl w:val="0"/>
          <w:numId w:val="10"/>
        </w:numPr>
        <w:spacing w:line="360" w:lineRule="auto"/>
        <w:jc w:val="both"/>
        <w:rPr>
          <w:rFonts w:ascii="Arial" w:hAnsi="Arial" w:cs="Arial"/>
          <w:sz w:val="24"/>
          <w:szCs w:val="24"/>
        </w:rPr>
      </w:pPr>
      <w:proofErr w:type="spellStart"/>
      <w:r>
        <w:rPr>
          <w:rFonts w:ascii="Arial" w:hAnsi="Arial" w:cs="Arial"/>
          <w:sz w:val="24"/>
          <w:szCs w:val="24"/>
        </w:rPr>
        <w:t>Kourkouridis</w:t>
      </w:r>
      <w:proofErr w:type="spellEnd"/>
      <w:r>
        <w:rPr>
          <w:rFonts w:ascii="Arial" w:hAnsi="Arial" w:cs="Arial"/>
          <w:sz w:val="24"/>
          <w:szCs w:val="24"/>
        </w:rPr>
        <w:t xml:space="preserve">, D., Frangopoulos, I. and </w:t>
      </w:r>
      <w:proofErr w:type="spellStart"/>
      <w:r>
        <w:rPr>
          <w:rFonts w:ascii="Arial" w:hAnsi="Arial" w:cs="Arial"/>
          <w:sz w:val="24"/>
          <w:szCs w:val="24"/>
        </w:rPr>
        <w:t>Salepaki</w:t>
      </w:r>
      <w:proofErr w:type="spellEnd"/>
      <w:r>
        <w:rPr>
          <w:rFonts w:ascii="Arial" w:hAnsi="Arial" w:cs="Arial"/>
          <w:sz w:val="24"/>
          <w:szCs w:val="24"/>
        </w:rPr>
        <w:t>, A., 2024. POST-PANDEMIC TRADE FAIR DYNAMICS: A LONGITUDINAL STUDY OF EXHIBITORS'VIEWS ON DIGITAL AND HYBRID TRADE FAIRS. </w:t>
      </w:r>
      <w:r>
        <w:rPr>
          <w:rFonts w:ascii="Arial" w:hAnsi="Arial" w:cs="Arial"/>
          <w:i/>
          <w:iCs/>
          <w:sz w:val="24"/>
          <w:szCs w:val="24"/>
        </w:rPr>
        <w:t xml:space="preserve">Geo Journal of Tourism and </w:t>
      </w:r>
      <w:proofErr w:type="spellStart"/>
      <w:r>
        <w:rPr>
          <w:rFonts w:ascii="Arial" w:hAnsi="Arial" w:cs="Arial"/>
          <w:i/>
          <w:iCs/>
          <w:sz w:val="24"/>
          <w:szCs w:val="24"/>
        </w:rPr>
        <w:t>Geosites</w:t>
      </w:r>
      <w:proofErr w:type="spellEnd"/>
      <w:r>
        <w:rPr>
          <w:rFonts w:ascii="Arial" w:hAnsi="Arial" w:cs="Arial"/>
          <w:sz w:val="24"/>
          <w:szCs w:val="24"/>
        </w:rPr>
        <w:t>, </w:t>
      </w:r>
      <w:r>
        <w:rPr>
          <w:rFonts w:ascii="Arial" w:hAnsi="Arial" w:cs="Arial"/>
          <w:i/>
          <w:iCs/>
          <w:sz w:val="24"/>
          <w:szCs w:val="24"/>
        </w:rPr>
        <w:t>55</w:t>
      </w:r>
      <w:r>
        <w:rPr>
          <w:rFonts w:ascii="Arial" w:hAnsi="Arial" w:cs="Arial"/>
          <w:sz w:val="24"/>
          <w:szCs w:val="24"/>
        </w:rPr>
        <w:t xml:space="preserve">(3), pp.1174-1185.  </w:t>
      </w:r>
      <w:hyperlink r:id="rId22" w:history="1">
        <w:r>
          <w:rPr>
            <w:rStyle w:val="Hyperlink"/>
            <w:rFonts w:ascii="Arial" w:hAnsi="Arial" w:cs="Arial"/>
            <w:sz w:val="24"/>
            <w:szCs w:val="24"/>
          </w:rPr>
          <w:t>https://www.researchgate.net/profile/Dimitris-Kourkouridis/publication/383101339_POST-PANDEMIC_TRADE_FAIR_DYNAMICS_A_LONGITUDINAL_STUDY_OF_EXHIBITORS'_VIEWS_ON_DIGITAL_AND_HYBRID_TRADE_FAIRS/links/66bcb003311cbb094938ca16/POST-PANDEMIC-TRADE-FAIR-DYNAMICS-A-LONGITUDINAL-STUDY-OF-EXHIBITORS-VIEWS-ON-DIGITAL-AND-HYBRID-TRADE-FAIRS.pdf</w:t>
        </w:r>
      </w:hyperlink>
      <w:r>
        <w:rPr>
          <w:rFonts w:ascii="Arial" w:hAnsi="Arial" w:cs="Arial"/>
          <w:sz w:val="24"/>
          <w:szCs w:val="24"/>
        </w:rPr>
        <w:t xml:space="preserve"> </w:t>
      </w:r>
    </w:p>
    <w:p w14:paraId="364AFF9F"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Laurell, C. and Björner, E., 2018. Digital festival engagement: On the interplay between festivals, place brands, and social media. </w:t>
      </w:r>
      <w:r>
        <w:rPr>
          <w:rFonts w:ascii="Arial" w:hAnsi="Arial" w:cs="Arial"/>
          <w:i/>
          <w:iCs/>
          <w:sz w:val="24"/>
          <w:szCs w:val="24"/>
        </w:rPr>
        <w:t>Event Management</w:t>
      </w:r>
      <w:r>
        <w:rPr>
          <w:rFonts w:ascii="Arial" w:hAnsi="Arial" w:cs="Arial"/>
          <w:sz w:val="24"/>
          <w:szCs w:val="24"/>
        </w:rPr>
        <w:t>, </w:t>
      </w:r>
      <w:r>
        <w:rPr>
          <w:rFonts w:ascii="Arial" w:hAnsi="Arial" w:cs="Arial"/>
          <w:i/>
          <w:iCs/>
          <w:sz w:val="24"/>
          <w:szCs w:val="24"/>
        </w:rPr>
        <w:t>22</w:t>
      </w:r>
      <w:r>
        <w:rPr>
          <w:rFonts w:ascii="Arial" w:hAnsi="Arial" w:cs="Arial"/>
          <w:sz w:val="24"/>
          <w:szCs w:val="24"/>
        </w:rPr>
        <w:t xml:space="preserve">(4), pp.527-540. </w:t>
      </w:r>
      <w:hyperlink r:id="rId23" w:history="1">
        <w:r>
          <w:rPr>
            <w:rStyle w:val="Hyperlink"/>
            <w:rFonts w:ascii="Arial" w:hAnsi="Arial" w:cs="Arial"/>
            <w:sz w:val="24"/>
            <w:szCs w:val="24"/>
          </w:rPr>
          <w:t>https://doi.org/10.3727/152599518X15300559276930</w:t>
        </w:r>
      </w:hyperlink>
      <w:r>
        <w:rPr>
          <w:rFonts w:ascii="Arial" w:hAnsi="Arial" w:cs="Arial"/>
          <w:sz w:val="24"/>
          <w:szCs w:val="24"/>
        </w:rPr>
        <w:t xml:space="preserve"> </w:t>
      </w:r>
    </w:p>
    <w:p w14:paraId="763D36AC"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Li, L., 2017. Design on Logistics Information Management System for Large Sports Events</w:t>
      </w:r>
      <w:proofErr w:type="gramStart"/>
      <w:r>
        <w:rPr>
          <w:rFonts w:ascii="Arial" w:hAnsi="Arial" w:cs="Arial"/>
          <w:sz w:val="24"/>
          <w:szCs w:val="24"/>
        </w:rPr>
        <w:t>. .</w:t>
      </w:r>
      <w:proofErr w:type="gramEnd"/>
      <w:r>
        <w:rPr>
          <w:rFonts w:ascii="Arial" w:hAnsi="Arial" w:cs="Arial"/>
          <w:sz w:val="24"/>
          <w:szCs w:val="24"/>
        </w:rPr>
        <w:t> </w:t>
      </w:r>
      <w:hyperlink r:id="rId24" w:history="1">
        <w:r>
          <w:rPr>
            <w:rStyle w:val="Hyperlink"/>
            <w:rFonts w:ascii="Arial" w:hAnsi="Arial" w:cs="Arial"/>
            <w:sz w:val="24"/>
            <w:szCs w:val="24"/>
          </w:rPr>
          <w:t>https://webofproceedings.org/proceedings_series/ESSP/ICEMET%202017/ICEMET_1112036.pdf</w:t>
        </w:r>
      </w:hyperlink>
      <w:r>
        <w:rPr>
          <w:rFonts w:ascii="Arial" w:hAnsi="Arial" w:cs="Arial"/>
          <w:sz w:val="24"/>
          <w:szCs w:val="24"/>
        </w:rPr>
        <w:t xml:space="preserve"> </w:t>
      </w:r>
    </w:p>
    <w:p w14:paraId="2567625E"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Mayfield, T., and Crompton, J., 1995. The Status of the Marketing Concept Among Festival Organizers. </w:t>
      </w:r>
      <w:r>
        <w:rPr>
          <w:rFonts w:ascii="Arial" w:hAnsi="Arial" w:cs="Arial"/>
          <w:i/>
          <w:iCs/>
          <w:sz w:val="24"/>
          <w:szCs w:val="24"/>
        </w:rPr>
        <w:t>Journal of Travel Research</w:t>
      </w:r>
      <w:r>
        <w:rPr>
          <w:rFonts w:ascii="Arial" w:hAnsi="Arial" w:cs="Arial"/>
          <w:sz w:val="24"/>
          <w:szCs w:val="24"/>
        </w:rPr>
        <w:t xml:space="preserve">, 33, pp. 14 - 22. </w:t>
      </w:r>
      <w:hyperlink r:id="rId25" w:history="1">
        <w:r>
          <w:rPr>
            <w:rStyle w:val="Hyperlink"/>
            <w:rFonts w:ascii="Arial" w:hAnsi="Arial" w:cs="Arial"/>
            <w:sz w:val="24"/>
            <w:szCs w:val="24"/>
          </w:rPr>
          <w:t>https://doi.org/10.1177/004728759503300403</w:t>
        </w:r>
      </w:hyperlink>
      <w:r>
        <w:rPr>
          <w:rFonts w:ascii="Arial" w:hAnsi="Arial" w:cs="Arial"/>
          <w:sz w:val="24"/>
          <w:szCs w:val="24"/>
        </w:rPr>
        <w:t xml:space="preserve">. </w:t>
      </w:r>
    </w:p>
    <w:p w14:paraId="0A35699F"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lastRenderedPageBreak/>
        <w:t>Pegg, S., and Patterson, I., 2010. Rethinking Music Festivals as a Staged Event: Gaining Insights from Understanding Visitor Motivations and the Experiences They Seek. </w:t>
      </w:r>
      <w:r>
        <w:rPr>
          <w:rFonts w:ascii="Arial" w:hAnsi="Arial" w:cs="Arial"/>
          <w:i/>
          <w:iCs/>
          <w:sz w:val="24"/>
          <w:szCs w:val="24"/>
        </w:rPr>
        <w:t>Journal of Convention &amp; Event Tourism</w:t>
      </w:r>
      <w:r>
        <w:rPr>
          <w:rFonts w:ascii="Arial" w:hAnsi="Arial" w:cs="Arial"/>
          <w:sz w:val="24"/>
          <w:szCs w:val="24"/>
        </w:rPr>
        <w:t xml:space="preserve">, 11, pp. 85 - 99. </w:t>
      </w:r>
      <w:hyperlink r:id="rId26" w:history="1">
        <w:r>
          <w:rPr>
            <w:rStyle w:val="Hyperlink"/>
            <w:rFonts w:ascii="Arial" w:hAnsi="Arial" w:cs="Arial"/>
            <w:sz w:val="24"/>
            <w:szCs w:val="24"/>
          </w:rPr>
          <w:t>https://doi.org/10.1080/15470141003758035</w:t>
        </w:r>
      </w:hyperlink>
      <w:r>
        <w:rPr>
          <w:rFonts w:ascii="Arial" w:hAnsi="Arial" w:cs="Arial"/>
          <w:sz w:val="24"/>
          <w:szCs w:val="24"/>
        </w:rPr>
        <w:t xml:space="preserve">. </w:t>
      </w:r>
    </w:p>
    <w:p w14:paraId="3E21B874"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lang w:val="de-DE"/>
        </w:rPr>
        <w:t xml:space="preserve">Qiu, Y., Wang, H., &amp; Zhang, Q., 2021. </w:t>
      </w:r>
      <w:r>
        <w:rPr>
          <w:rFonts w:ascii="Arial" w:hAnsi="Arial" w:cs="Arial"/>
          <w:sz w:val="24"/>
          <w:szCs w:val="24"/>
        </w:rPr>
        <w:t>Energy-efficient and Sustainable Construction Technologies and Simulation Optimisation Methods. </w:t>
      </w:r>
      <w:r>
        <w:rPr>
          <w:rFonts w:ascii="Arial" w:hAnsi="Arial" w:cs="Arial"/>
          <w:i/>
          <w:iCs/>
          <w:sz w:val="24"/>
          <w:szCs w:val="24"/>
        </w:rPr>
        <w:t>2021 International Conference on E-Commerce and E-Management (ICECEM)</w:t>
      </w:r>
      <w:r>
        <w:rPr>
          <w:rFonts w:ascii="Arial" w:hAnsi="Arial" w:cs="Arial"/>
          <w:sz w:val="24"/>
          <w:szCs w:val="24"/>
        </w:rPr>
        <w:t xml:space="preserve">, pp. 341-351. </w:t>
      </w:r>
      <w:hyperlink r:id="rId27" w:history="1">
        <w:r>
          <w:rPr>
            <w:rStyle w:val="Hyperlink"/>
            <w:rFonts w:ascii="Arial" w:hAnsi="Arial" w:cs="Arial"/>
            <w:sz w:val="24"/>
            <w:szCs w:val="24"/>
          </w:rPr>
          <w:t>https://ieeexplore.ieee.org/document/9637031</w:t>
        </w:r>
      </w:hyperlink>
      <w:r>
        <w:rPr>
          <w:rFonts w:ascii="Arial" w:hAnsi="Arial" w:cs="Arial"/>
          <w:sz w:val="24"/>
          <w:szCs w:val="24"/>
        </w:rPr>
        <w:t xml:space="preserve"> </w:t>
      </w:r>
    </w:p>
    <w:p w14:paraId="2EADFCC1"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Rahmat, N., </w:t>
      </w:r>
      <w:proofErr w:type="spellStart"/>
      <w:r>
        <w:rPr>
          <w:rFonts w:ascii="Arial" w:hAnsi="Arial" w:cs="Arial"/>
          <w:sz w:val="24"/>
          <w:szCs w:val="24"/>
        </w:rPr>
        <w:t>Jusoff</w:t>
      </w:r>
      <w:proofErr w:type="spellEnd"/>
      <w:r>
        <w:rPr>
          <w:rFonts w:ascii="Arial" w:hAnsi="Arial" w:cs="Arial"/>
          <w:sz w:val="24"/>
          <w:szCs w:val="24"/>
        </w:rPr>
        <w:t xml:space="preserve">, K., </w:t>
      </w:r>
      <w:proofErr w:type="spellStart"/>
      <w:r>
        <w:rPr>
          <w:rFonts w:ascii="Arial" w:hAnsi="Arial" w:cs="Arial"/>
          <w:sz w:val="24"/>
          <w:szCs w:val="24"/>
        </w:rPr>
        <w:t>Ngali</w:t>
      </w:r>
      <w:proofErr w:type="spellEnd"/>
      <w:r>
        <w:rPr>
          <w:rFonts w:ascii="Arial" w:hAnsi="Arial" w:cs="Arial"/>
          <w:sz w:val="24"/>
          <w:szCs w:val="24"/>
        </w:rPr>
        <w:t>, N., Ramli, N., Md Zaini, Z.M., Samsudin, A., Abd Ghani, F. and Hamid, M., 2011. Crowd management strategies and safety performance among sports tourism event venue organizers in Kuala Lumpur and Selangor. </w:t>
      </w:r>
      <w:r>
        <w:rPr>
          <w:rFonts w:ascii="Arial" w:hAnsi="Arial" w:cs="Arial"/>
          <w:i/>
          <w:iCs/>
          <w:sz w:val="24"/>
          <w:szCs w:val="24"/>
        </w:rPr>
        <w:t>World Applied Sciences Journal</w:t>
      </w:r>
      <w:r>
        <w:rPr>
          <w:rFonts w:ascii="Arial" w:hAnsi="Arial" w:cs="Arial"/>
          <w:sz w:val="24"/>
          <w:szCs w:val="24"/>
        </w:rPr>
        <w:t>, </w:t>
      </w:r>
      <w:r>
        <w:rPr>
          <w:rFonts w:ascii="Arial" w:hAnsi="Arial" w:cs="Arial"/>
          <w:i/>
          <w:iCs/>
          <w:sz w:val="24"/>
          <w:szCs w:val="24"/>
        </w:rPr>
        <w:t>12</w:t>
      </w:r>
      <w:r>
        <w:rPr>
          <w:rFonts w:ascii="Arial" w:hAnsi="Arial" w:cs="Arial"/>
          <w:sz w:val="24"/>
          <w:szCs w:val="24"/>
        </w:rPr>
        <w:t xml:space="preserve">(12), pp.47-52. </w:t>
      </w:r>
      <w:hyperlink r:id="rId28" w:history="1">
        <w:r>
          <w:rPr>
            <w:rStyle w:val="Hyperlink"/>
            <w:rFonts w:ascii="Arial" w:hAnsi="Arial" w:cs="Arial"/>
            <w:sz w:val="24"/>
            <w:szCs w:val="24"/>
          </w:rPr>
          <w:t>https://www.academia.edu/download/81236961/8.pdf</w:t>
        </w:r>
      </w:hyperlink>
      <w:r>
        <w:rPr>
          <w:rFonts w:ascii="Arial" w:hAnsi="Arial" w:cs="Arial"/>
          <w:sz w:val="24"/>
          <w:szCs w:val="24"/>
        </w:rPr>
        <w:t xml:space="preserve"> </w:t>
      </w:r>
    </w:p>
    <w:p w14:paraId="63C63DF2"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RHONDA, W.M., 1999. Event sponsorship: An exploratory study of small business objectives, practices, and perceptions. </w:t>
      </w:r>
      <w:r>
        <w:rPr>
          <w:rFonts w:ascii="Arial" w:hAnsi="Arial" w:cs="Arial"/>
          <w:i/>
          <w:iCs/>
          <w:sz w:val="24"/>
          <w:szCs w:val="24"/>
        </w:rPr>
        <w:t>Journal of Small Business Management, </w:t>
      </w:r>
      <w:r>
        <w:rPr>
          <w:rFonts w:ascii="Arial" w:hAnsi="Arial" w:cs="Arial"/>
          <w:b/>
          <w:bCs/>
          <w:sz w:val="24"/>
          <w:szCs w:val="24"/>
        </w:rPr>
        <w:t>37</w:t>
      </w:r>
      <w:r>
        <w:rPr>
          <w:rFonts w:ascii="Arial" w:hAnsi="Arial" w:cs="Arial"/>
          <w:sz w:val="24"/>
          <w:szCs w:val="24"/>
        </w:rPr>
        <w:t xml:space="preserve">(3), pp. 25-30. </w:t>
      </w:r>
      <w:hyperlink r:id="rId29" w:history="1">
        <w:r>
          <w:rPr>
            <w:rStyle w:val="Hyperlink"/>
            <w:rFonts w:ascii="Arial" w:hAnsi="Arial" w:cs="Arial"/>
            <w:sz w:val="24"/>
            <w:szCs w:val="24"/>
          </w:rPr>
          <w:t>https://www.proquest.com/scholarly-journals/event-sponsorship-exploratory-study-small/docview/220957144/se-2?accountid=130472</w:t>
        </w:r>
      </w:hyperlink>
      <w:r>
        <w:rPr>
          <w:rFonts w:ascii="Arial" w:hAnsi="Arial" w:cs="Arial"/>
          <w:sz w:val="24"/>
          <w:szCs w:val="24"/>
        </w:rPr>
        <w:t xml:space="preserve"> </w:t>
      </w:r>
    </w:p>
    <w:p w14:paraId="474351D8"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Rivera, M., Hara, T., and Kock, G., 2008. Economic Impact of Cultural Events: The Case of the Zora! Festival. </w:t>
      </w:r>
      <w:r>
        <w:rPr>
          <w:rFonts w:ascii="Arial" w:hAnsi="Arial" w:cs="Arial"/>
          <w:i/>
          <w:iCs/>
          <w:sz w:val="24"/>
          <w:szCs w:val="24"/>
        </w:rPr>
        <w:t>Journal of Heritage Tourism</w:t>
      </w:r>
      <w:r>
        <w:rPr>
          <w:rFonts w:ascii="Arial" w:hAnsi="Arial" w:cs="Arial"/>
          <w:sz w:val="24"/>
          <w:szCs w:val="24"/>
        </w:rPr>
        <w:t xml:space="preserve">, 3, pp. 121 - 137. </w:t>
      </w:r>
      <w:hyperlink r:id="rId30" w:history="1">
        <w:r>
          <w:rPr>
            <w:rStyle w:val="Hyperlink"/>
            <w:rFonts w:ascii="Arial" w:hAnsi="Arial" w:cs="Arial"/>
            <w:sz w:val="24"/>
            <w:szCs w:val="24"/>
          </w:rPr>
          <w:t>https://doi.org/10.1080/17438730802138139</w:t>
        </w:r>
      </w:hyperlink>
      <w:r>
        <w:rPr>
          <w:rFonts w:ascii="Arial" w:hAnsi="Arial" w:cs="Arial"/>
          <w:sz w:val="24"/>
          <w:szCs w:val="24"/>
        </w:rPr>
        <w:t xml:space="preserve">. </w:t>
      </w:r>
    </w:p>
    <w:p w14:paraId="7CA798A4"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Robson, L.M., 2008. </w:t>
      </w:r>
      <w:r>
        <w:rPr>
          <w:rFonts w:ascii="Arial" w:hAnsi="Arial" w:cs="Arial"/>
          <w:i/>
          <w:iCs/>
          <w:sz w:val="24"/>
          <w:szCs w:val="24"/>
        </w:rPr>
        <w:t xml:space="preserve">Risk Management for Meetings and Events, Julia Rutherford Silvers. Butterworth-Heinemann. </w:t>
      </w:r>
      <w:hyperlink r:id="rId31" w:history="1">
        <w:r>
          <w:rPr>
            <w:rStyle w:val="Hyperlink"/>
            <w:rFonts w:ascii="Arial" w:hAnsi="Arial" w:cs="Arial"/>
            <w:i/>
            <w:iCs/>
            <w:sz w:val="24"/>
            <w:szCs w:val="24"/>
          </w:rPr>
          <w:t>https://doi.org/10.1016/j.tourman.2008.03.006</w:t>
        </w:r>
      </w:hyperlink>
      <w:r>
        <w:rPr>
          <w:rFonts w:ascii="Arial" w:hAnsi="Arial" w:cs="Arial"/>
          <w:i/>
          <w:iCs/>
          <w:sz w:val="24"/>
          <w:szCs w:val="24"/>
        </w:rPr>
        <w:t xml:space="preserve"> </w:t>
      </w:r>
    </w:p>
    <w:p w14:paraId="4497CF3A" w14:textId="77777777" w:rsidR="00A46F0B" w:rsidRDefault="00A46F0B" w:rsidP="00A46F0B">
      <w:pPr>
        <w:pStyle w:val="ListParagraph"/>
        <w:numPr>
          <w:ilvl w:val="0"/>
          <w:numId w:val="10"/>
        </w:numPr>
        <w:spacing w:line="360" w:lineRule="auto"/>
        <w:jc w:val="both"/>
        <w:rPr>
          <w:rFonts w:ascii="Arial" w:hAnsi="Arial" w:cs="Arial"/>
          <w:sz w:val="24"/>
          <w:szCs w:val="24"/>
        </w:rPr>
      </w:pPr>
      <w:proofErr w:type="spellStart"/>
      <w:r>
        <w:rPr>
          <w:rFonts w:ascii="Arial" w:hAnsi="Arial" w:cs="Arial"/>
          <w:sz w:val="24"/>
          <w:szCs w:val="24"/>
        </w:rPr>
        <w:t>Sangkaew</w:t>
      </w:r>
      <w:proofErr w:type="spellEnd"/>
      <w:r>
        <w:rPr>
          <w:rFonts w:ascii="Arial" w:hAnsi="Arial" w:cs="Arial"/>
          <w:sz w:val="24"/>
          <w:szCs w:val="24"/>
        </w:rPr>
        <w:t>, P., 2019. An investigation of how the adoption of event mobile applications influences satisfaction and post event behaviours of business event attendees</w:t>
      </w:r>
      <w:proofErr w:type="gramStart"/>
      <w:r>
        <w:rPr>
          <w:rFonts w:ascii="Arial" w:hAnsi="Arial" w:cs="Arial"/>
          <w:sz w:val="24"/>
          <w:szCs w:val="24"/>
        </w:rPr>
        <w:t>. .</w:t>
      </w:r>
      <w:proofErr w:type="gramEnd"/>
      <w:r>
        <w:rPr>
          <w:rFonts w:ascii="Arial" w:hAnsi="Arial" w:cs="Arial"/>
          <w:sz w:val="24"/>
          <w:szCs w:val="24"/>
        </w:rPr>
        <w:t xml:space="preserve"> </w:t>
      </w:r>
      <w:hyperlink r:id="rId32" w:history="1">
        <w:r>
          <w:rPr>
            <w:rStyle w:val="Hyperlink"/>
            <w:rFonts w:ascii="Arial" w:hAnsi="Arial" w:cs="Arial"/>
            <w:sz w:val="24"/>
            <w:szCs w:val="24"/>
          </w:rPr>
          <w:t>https://doi.org/10.15126/THESIS.00852071</w:t>
        </w:r>
      </w:hyperlink>
      <w:r>
        <w:rPr>
          <w:rFonts w:ascii="Arial" w:hAnsi="Arial" w:cs="Arial"/>
          <w:sz w:val="24"/>
          <w:szCs w:val="24"/>
        </w:rPr>
        <w:t xml:space="preserve">. </w:t>
      </w:r>
    </w:p>
    <w:p w14:paraId="0EF5C375"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Sharma, D., </w:t>
      </w:r>
      <w:proofErr w:type="spellStart"/>
      <w:r>
        <w:rPr>
          <w:rFonts w:ascii="Arial" w:hAnsi="Arial" w:cs="Arial"/>
          <w:sz w:val="24"/>
          <w:szCs w:val="24"/>
        </w:rPr>
        <w:t>Bhondekar</w:t>
      </w:r>
      <w:proofErr w:type="spellEnd"/>
      <w:r>
        <w:rPr>
          <w:rFonts w:ascii="Arial" w:hAnsi="Arial" w:cs="Arial"/>
          <w:sz w:val="24"/>
          <w:szCs w:val="24"/>
        </w:rPr>
        <w:t>, A., Shukla, A., &amp; Ghanshyam, C., 2018. A review on technological advancements in crowd management. </w:t>
      </w:r>
      <w:r>
        <w:rPr>
          <w:rFonts w:ascii="Arial" w:hAnsi="Arial" w:cs="Arial"/>
          <w:i/>
          <w:iCs/>
          <w:sz w:val="24"/>
          <w:szCs w:val="24"/>
        </w:rPr>
        <w:t>Journal of Ambient Intelligence and Humanized Computing</w:t>
      </w:r>
      <w:r>
        <w:rPr>
          <w:rFonts w:ascii="Arial" w:hAnsi="Arial" w:cs="Arial"/>
          <w:sz w:val="24"/>
          <w:szCs w:val="24"/>
        </w:rPr>
        <w:t xml:space="preserve">, 9, pp. 485-495. </w:t>
      </w:r>
      <w:hyperlink r:id="rId33" w:history="1">
        <w:r>
          <w:rPr>
            <w:rStyle w:val="Hyperlink"/>
            <w:rFonts w:ascii="Arial" w:hAnsi="Arial" w:cs="Arial"/>
            <w:sz w:val="24"/>
            <w:szCs w:val="24"/>
          </w:rPr>
          <w:t>https://link.springer.com/article/10.1007/s12652-016-0432-x</w:t>
        </w:r>
      </w:hyperlink>
      <w:r>
        <w:rPr>
          <w:rFonts w:ascii="Arial" w:hAnsi="Arial" w:cs="Arial"/>
          <w:sz w:val="24"/>
          <w:szCs w:val="24"/>
        </w:rPr>
        <w:t xml:space="preserve"> </w:t>
      </w:r>
    </w:p>
    <w:p w14:paraId="05581BC0"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Shen, Y., &amp; Liu, J., 2023. Research on Logistics Resources Optimization Allocation Under Emergency Events. </w:t>
      </w:r>
      <w:r>
        <w:rPr>
          <w:rFonts w:ascii="Arial" w:hAnsi="Arial" w:cs="Arial"/>
          <w:i/>
          <w:iCs/>
          <w:sz w:val="24"/>
          <w:szCs w:val="24"/>
        </w:rPr>
        <w:t xml:space="preserve">2023 International Seminar on </w:t>
      </w:r>
      <w:r>
        <w:rPr>
          <w:rFonts w:ascii="Arial" w:hAnsi="Arial" w:cs="Arial"/>
          <w:i/>
          <w:iCs/>
          <w:sz w:val="24"/>
          <w:szCs w:val="24"/>
        </w:rPr>
        <w:lastRenderedPageBreak/>
        <w:t>Computer Science and Engineering Technology (SCSET)</w:t>
      </w:r>
      <w:r>
        <w:rPr>
          <w:rFonts w:ascii="Arial" w:hAnsi="Arial" w:cs="Arial"/>
          <w:sz w:val="24"/>
          <w:szCs w:val="24"/>
        </w:rPr>
        <w:t xml:space="preserve">, pp. 485-489. </w:t>
      </w:r>
      <w:hyperlink r:id="rId34" w:history="1">
        <w:r>
          <w:rPr>
            <w:rStyle w:val="Hyperlink"/>
            <w:rFonts w:ascii="Arial" w:hAnsi="Arial" w:cs="Arial"/>
            <w:sz w:val="24"/>
            <w:szCs w:val="24"/>
          </w:rPr>
          <w:t>https://ieeexplore.ieee.org/document/10266462</w:t>
        </w:r>
      </w:hyperlink>
      <w:r>
        <w:rPr>
          <w:rFonts w:ascii="Arial" w:hAnsi="Arial" w:cs="Arial"/>
          <w:sz w:val="24"/>
          <w:szCs w:val="24"/>
        </w:rPr>
        <w:t xml:space="preserve"> </w:t>
      </w:r>
    </w:p>
    <w:p w14:paraId="202D49BA"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Smith, A., 2017. Animation or denigration? Using urban public spaces as event venues. </w:t>
      </w:r>
      <w:r>
        <w:rPr>
          <w:rFonts w:ascii="Arial" w:hAnsi="Arial" w:cs="Arial"/>
          <w:i/>
          <w:iCs/>
          <w:sz w:val="24"/>
          <w:szCs w:val="24"/>
        </w:rPr>
        <w:t>Event Management</w:t>
      </w:r>
      <w:r>
        <w:rPr>
          <w:rFonts w:ascii="Arial" w:hAnsi="Arial" w:cs="Arial"/>
          <w:sz w:val="24"/>
          <w:szCs w:val="24"/>
        </w:rPr>
        <w:t xml:space="preserve">. </w:t>
      </w:r>
      <w:hyperlink r:id="rId35" w:history="1">
        <w:r>
          <w:rPr>
            <w:rStyle w:val="Hyperlink"/>
            <w:rFonts w:ascii="Arial" w:hAnsi="Arial" w:cs="Arial"/>
            <w:sz w:val="24"/>
            <w:szCs w:val="24"/>
          </w:rPr>
          <w:t>https://www.researchgate.net/publication/321076882_Animation_or_Denigration_Using_Urban_Public_Spaces_as_Event_Venues</w:t>
        </w:r>
      </w:hyperlink>
      <w:r>
        <w:rPr>
          <w:rFonts w:ascii="Arial" w:hAnsi="Arial" w:cs="Arial"/>
          <w:sz w:val="24"/>
          <w:szCs w:val="24"/>
        </w:rPr>
        <w:t xml:space="preserve"> </w:t>
      </w:r>
    </w:p>
    <w:p w14:paraId="04722829"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Stokes, R., 2008. Tourism strategy making: Insights to the events tourism domain. </w:t>
      </w:r>
      <w:r>
        <w:rPr>
          <w:rFonts w:ascii="Arial" w:hAnsi="Arial" w:cs="Arial"/>
          <w:i/>
          <w:iCs/>
          <w:sz w:val="24"/>
          <w:szCs w:val="24"/>
        </w:rPr>
        <w:t>Tourism Management</w:t>
      </w:r>
      <w:r>
        <w:rPr>
          <w:rFonts w:ascii="Arial" w:hAnsi="Arial" w:cs="Arial"/>
          <w:sz w:val="24"/>
          <w:szCs w:val="24"/>
        </w:rPr>
        <w:t xml:space="preserve">, 29, pp. 252-262. </w:t>
      </w:r>
      <w:hyperlink r:id="rId36" w:history="1">
        <w:r>
          <w:rPr>
            <w:rStyle w:val="Hyperlink"/>
            <w:rFonts w:ascii="Arial" w:hAnsi="Arial" w:cs="Arial"/>
            <w:sz w:val="24"/>
            <w:szCs w:val="24"/>
          </w:rPr>
          <w:t>https://doi.org/10.1016/J.TOURMAN.2007.03.014</w:t>
        </w:r>
      </w:hyperlink>
      <w:r>
        <w:rPr>
          <w:rFonts w:ascii="Arial" w:hAnsi="Arial" w:cs="Arial"/>
          <w:sz w:val="24"/>
          <w:szCs w:val="24"/>
        </w:rPr>
        <w:t xml:space="preserve">. </w:t>
      </w:r>
    </w:p>
    <w:p w14:paraId="2A7B5A3A"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Stokes, R., 2008. Tourism strategy making: Insights to the events tourism domain. </w:t>
      </w:r>
      <w:r>
        <w:rPr>
          <w:rFonts w:ascii="Arial" w:hAnsi="Arial" w:cs="Arial"/>
          <w:i/>
          <w:iCs/>
          <w:sz w:val="24"/>
          <w:szCs w:val="24"/>
        </w:rPr>
        <w:t>Tourism Management</w:t>
      </w:r>
      <w:r>
        <w:rPr>
          <w:rFonts w:ascii="Arial" w:hAnsi="Arial" w:cs="Arial"/>
          <w:sz w:val="24"/>
          <w:szCs w:val="24"/>
        </w:rPr>
        <w:t xml:space="preserve">, 29, pp. 252-262. </w:t>
      </w:r>
      <w:hyperlink r:id="rId37" w:history="1">
        <w:r>
          <w:rPr>
            <w:rStyle w:val="Hyperlink"/>
            <w:rFonts w:ascii="Arial" w:hAnsi="Arial" w:cs="Arial"/>
            <w:sz w:val="24"/>
            <w:szCs w:val="24"/>
          </w:rPr>
          <w:t>https://doi.org/10.1016/J.TOURMAN.2007.03.014</w:t>
        </w:r>
      </w:hyperlink>
      <w:r>
        <w:rPr>
          <w:rFonts w:ascii="Arial" w:hAnsi="Arial" w:cs="Arial"/>
          <w:sz w:val="24"/>
          <w:szCs w:val="24"/>
        </w:rPr>
        <w:t xml:space="preserve">. </w:t>
      </w:r>
    </w:p>
    <w:p w14:paraId="594138C9"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Theodorakis, N., </w:t>
      </w:r>
      <w:proofErr w:type="spellStart"/>
      <w:r>
        <w:rPr>
          <w:rFonts w:ascii="Arial" w:hAnsi="Arial" w:cs="Arial"/>
          <w:sz w:val="24"/>
          <w:szCs w:val="24"/>
        </w:rPr>
        <w:t>Kaplanidou</w:t>
      </w:r>
      <w:proofErr w:type="spellEnd"/>
      <w:r>
        <w:rPr>
          <w:rFonts w:ascii="Arial" w:hAnsi="Arial" w:cs="Arial"/>
          <w:sz w:val="24"/>
          <w:szCs w:val="24"/>
        </w:rPr>
        <w:t xml:space="preserve">, K., &amp; </w:t>
      </w:r>
      <w:proofErr w:type="spellStart"/>
      <w:r>
        <w:rPr>
          <w:rFonts w:ascii="Arial" w:hAnsi="Arial" w:cs="Arial"/>
          <w:sz w:val="24"/>
          <w:szCs w:val="24"/>
        </w:rPr>
        <w:t>Karabaxoglou</w:t>
      </w:r>
      <w:proofErr w:type="spellEnd"/>
      <w:r>
        <w:rPr>
          <w:rFonts w:ascii="Arial" w:hAnsi="Arial" w:cs="Arial"/>
          <w:sz w:val="24"/>
          <w:szCs w:val="24"/>
        </w:rPr>
        <w:t>, I., 2015. Effect of Event Service Quality and Satisfaction on Happiness Among Runners of a Recurring Sport Event. </w:t>
      </w:r>
      <w:r>
        <w:rPr>
          <w:rFonts w:ascii="Arial" w:hAnsi="Arial" w:cs="Arial"/>
          <w:i/>
          <w:iCs/>
          <w:sz w:val="24"/>
          <w:szCs w:val="24"/>
        </w:rPr>
        <w:t>Leisure Sciences</w:t>
      </w:r>
      <w:r>
        <w:rPr>
          <w:rFonts w:ascii="Arial" w:hAnsi="Arial" w:cs="Arial"/>
          <w:sz w:val="24"/>
          <w:szCs w:val="24"/>
        </w:rPr>
        <w:t xml:space="preserve">, 37, pp. 107 - 87. </w:t>
      </w:r>
      <w:hyperlink r:id="rId38" w:anchor="d1e201" w:history="1">
        <w:r>
          <w:rPr>
            <w:rStyle w:val="Hyperlink"/>
            <w:rFonts w:ascii="Arial" w:hAnsi="Arial" w:cs="Arial"/>
            <w:sz w:val="24"/>
            <w:szCs w:val="24"/>
          </w:rPr>
          <w:t>https://www.tandfonline.com/doi/full/10.1080/01490400.2014.938846#d1e201</w:t>
        </w:r>
      </w:hyperlink>
      <w:r>
        <w:rPr>
          <w:rFonts w:ascii="Arial" w:hAnsi="Arial" w:cs="Arial"/>
          <w:sz w:val="24"/>
          <w:szCs w:val="24"/>
        </w:rPr>
        <w:t xml:space="preserve"> </w:t>
      </w:r>
    </w:p>
    <w:p w14:paraId="362C6F6E"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Torre, A., and Scarborough, H., 2017. Reconsidering the estimation of the economic impact of cultural tourism. </w:t>
      </w:r>
      <w:r>
        <w:rPr>
          <w:rFonts w:ascii="Arial" w:hAnsi="Arial" w:cs="Arial"/>
          <w:i/>
          <w:iCs/>
          <w:sz w:val="24"/>
          <w:szCs w:val="24"/>
        </w:rPr>
        <w:t>Tourism Management</w:t>
      </w:r>
      <w:r>
        <w:rPr>
          <w:rFonts w:ascii="Arial" w:hAnsi="Arial" w:cs="Arial"/>
          <w:sz w:val="24"/>
          <w:szCs w:val="24"/>
        </w:rPr>
        <w:t xml:space="preserve">, 59, pp. 621-629. </w:t>
      </w:r>
      <w:hyperlink r:id="rId39" w:history="1">
        <w:r>
          <w:rPr>
            <w:rStyle w:val="Hyperlink"/>
            <w:rFonts w:ascii="Arial" w:hAnsi="Arial" w:cs="Arial"/>
            <w:sz w:val="24"/>
            <w:szCs w:val="24"/>
          </w:rPr>
          <w:t>https://doi.org/10.1016/J.TOURMAN.2016.09.018</w:t>
        </w:r>
      </w:hyperlink>
      <w:r>
        <w:rPr>
          <w:rFonts w:ascii="Arial" w:hAnsi="Arial" w:cs="Arial"/>
          <w:sz w:val="24"/>
          <w:szCs w:val="24"/>
        </w:rPr>
        <w:t xml:space="preserve">. </w:t>
      </w:r>
    </w:p>
    <w:p w14:paraId="61BBA4D4"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WALTERS, T. and INSCH, A., 2018. How community event narratives contribute to place branding. </w:t>
      </w:r>
      <w:r>
        <w:rPr>
          <w:rFonts w:ascii="Arial" w:hAnsi="Arial" w:cs="Arial"/>
          <w:i/>
          <w:iCs/>
          <w:sz w:val="24"/>
          <w:szCs w:val="24"/>
        </w:rPr>
        <w:t>Journal of Place Management and Development, </w:t>
      </w:r>
      <w:r>
        <w:rPr>
          <w:rFonts w:ascii="Arial" w:hAnsi="Arial" w:cs="Arial"/>
          <w:b/>
          <w:bCs/>
          <w:sz w:val="24"/>
          <w:szCs w:val="24"/>
        </w:rPr>
        <w:t>11</w:t>
      </w:r>
      <w:r>
        <w:rPr>
          <w:rFonts w:ascii="Arial" w:hAnsi="Arial" w:cs="Arial"/>
          <w:sz w:val="24"/>
          <w:szCs w:val="24"/>
        </w:rPr>
        <w:t xml:space="preserve">(1), pp. 130-144. </w:t>
      </w:r>
      <w:hyperlink r:id="rId40" w:history="1">
        <w:r>
          <w:rPr>
            <w:rStyle w:val="Hyperlink"/>
            <w:rFonts w:ascii="Arial" w:hAnsi="Arial" w:cs="Arial"/>
            <w:sz w:val="24"/>
            <w:szCs w:val="24"/>
          </w:rPr>
          <w:t>https://www.proquest.com/scholarly-journals/how-community-event-narratives-contribute-place/docview/2010846007/se-2?accountid=130472</w:t>
        </w:r>
      </w:hyperlink>
      <w:r>
        <w:rPr>
          <w:rFonts w:ascii="Arial" w:hAnsi="Arial" w:cs="Arial"/>
          <w:sz w:val="24"/>
          <w:szCs w:val="24"/>
        </w:rPr>
        <w:t xml:space="preserve"> </w:t>
      </w:r>
    </w:p>
    <w:p w14:paraId="76AF38FF" w14:textId="77777777" w:rsidR="00A46F0B" w:rsidRDefault="00A46F0B" w:rsidP="00A46F0B">
      <w:pPr>
        <w:pStyle w:val="ListParagraph"/>
        <w:numPr>
          <w:ilvl w:val="0"/>
          <w:numId w:val="10"/>
        </w:numPr>
        <w:spacing w:line="360" w:lineRule="auto"/>
        <w:jc w:val="both"/>
        <w:rPr>
          <w:rFonts w:ascii="Arial" w:hAnsi="Arial" w:cs="Arial"/>
          <w:sz w:val="24"/>
          <w:szCs w:val="24"/>
        </w:rPr>
      </w:pPr>
      <w:r>
        <w:rPr>
          <w:rFonts w:ascii="Arial" w:hAnsi="Arial" w:cs="Arial"/>
          <w:sz w:val="24"/>
          <w:szCs w:val="24"/>
        </w:rPr>
        <w:t xml:space="preserve">Wrathall, J., and </w:t>
      </w:r>
      <w:proofErr w:type="spellStart"/>
      <w:r>
        <w:rPr>
          <w:rFonts w:ascii="Arial" w:hAnsi="Arial" w:cs="Arial"/>
          <w:sz w:val="24"/>
          <w:szCs w:val="24"/>
        </w:rPr>
        <w:t>Steriopoulos</w:t>
      </w:r>
      <w:proofErr w:type="spellEnd"/>
      <w:r>
        <w:rPr>
          <w:rFonts w:ascii="Arial" w:hAnsi="Arial" w:cs="Arial"/>
          <w:sz w:val="24"/>
          <w:szCs w:val="24"/>
        </w:rPr>
        <w:t>, E., 2022. Event marketing and strategy. </w:t>
      </w:r>
      <w:r>
        <w:rPr>
          <w:rFonts w:ascii="Arial" w:hAnsi="Arial" w:cs="Arial"/>
          <w:i/>
          <w:iCs/>
          <w:sz w:val="24"/>
          <w:szCs w:val="24"/>
        </w:rPr>
        <w:t>Reimagining and Reshaping Events</w:t>
      </w:r>
      <w:r>
        <w:rPr>
          <w:rFonts w:ascii="Arial" w:hAnsi="Arial" w:cs="Arial"/>
          <w:sz w:val="24"/>
          <w:szCs w:val="24"/>
        </w:rPr>
        <w:t xml:space="preserve">. </w:t>
      </w:r>
      <w:hyperlink r:id="rId41" w:history="1">
        <w:r>
          <w:rPr>
            <w:rStyle w:val="Hyperlink"/>
            <w:rFonts w:ascii="Arial" w:hAnsi="Arial" w:cs="Arial"/>
            <w:sz w:val="24"/>
            <w:szCs w:val="24"/>
          </w:rPr>
          <w:t>https://doi.org/10.23912/9781911635871-4965</w:t>
        </w:r>
      </w:hyperlink>
      <w:r>
        <w:rPr>
          <w:rFonts w:ascii="Arial" w:hAnsi="Arial" w:cs="Arial"/>
          <w:sz w:val="24"/>
          <w:szCs w:val="24"/>
        </w:rPr>
        <w:t xml:space="preserve">.  </w:t>
      </w:r>
    </w:p>
    <w:p w14:paraId="3B2A82A0" w14:textId="77777777" w:rsidR="00A46F0B" w:rsidRDefault="00A46F0B" w:rsidP="00A46F0B">
      <w:pPr>
        <w:spacing w:line="360" w:lineRule="auto"/>
        <w:jc w:val="both"/>
        <w:rPr>
          <w:rFonts w:ascii="Arial" w:hAnsi="Arial" w:cs="Arial"/>
          <w:sz w:val="24"/>
          <w:szCs w:val="24"/>
        </w:rPr>
      </w:pPr>
    </w:p>
    <w:p w14:paraId="68E214DB" w14:textId="77777777" w:rsidR="00A46F0B" w:rsidRDefault="00A46F0B" w:rsidP="00A46F0B">
      <w:pPr>
        <w:spacing w:line="360" w:lineRule="auto"/>
        <w:jc w:val="both"/>
        <w:rPr>
          <w:rFonts w:ascii="Arial" w:hAnsi="Arial" w:cs="Arial"/>
          <w:sz w:val="24"/>
          <w:szCs w:val="24"/>
        </w:rPr>
      </w:pPr>
    </w:p>
    <w:p w14:paraId="44470281" w14:textId="77777777" w:rsidR="00A46F0B" w:rsidRDefault="00A46F0B" w:rsidP="00A46F0B">
      <w:pPr>
        <w:spacing w:line="360" w:lineRule="auto"/>
        <w:jc w:val="both"/>
        <w:rPr>
          <w:rFonts w:ascii="Arial" w:hAnsi="Arial" w:cs="Arial"/>
          <w:sz w:val="24"/>
          <w:szCs w:val="24"/>
        </w:rPr>
      </w:pPr>
    </w:p>
    <w:p w14:paraId="7337ECBF" w14:textId="77777777" w:rsidR="00A46F0B" w:rsidRDefault="00A46F0B" w:rsidP="00A46F0B">
      <w:pPr>
        <w:spacing w:line="360" w:lineRule="auto"/>
        <w:jc w:val="both"/>
        <w:rPr>
          <w:rFonts w:ascii="Arial" w:hAnsi="Arial" w:cs="Arial"/>
          <w:sz w:val="24"/>
          <w:szCs w:val="24"/>
        </w:rPr>
      </w:pPr>
    </w:p>
    <w:p w14:paraId="43824C14" w14:textId="77777777" w:rsidR="00A46F0B" w:rsidRDefault="00A46F0B" w:rsidP="00A46F0B">
      <w:pPr>
        <w:spacing w:line="360" w:lineRule="auto"/>
        <w:jc w:val="both"/>
        <w:rPr>
          <w:rFonts w:ascii="Arial" w:hAnsi="Arial" w:cs="Arial"/>
          <w:sz w:val="24"/>
          <w:szCs w:val="24"/>
        </w:rPr>
      </w:pPr>
    </w:p>
    <w:p w14:paraId="78AD7C4B" w14:textId="77777777" w:rsidR="00A46F0B" w:rsidRDefault="00A46F0B" w:rsidP="00A46F0B">
      <w:pPr>
        <w:spacing w:line="360" w:lineRule="auto"/>
        <w:jc w:val="both"/>
        <w:rPr>
          <w:rFonts w:ascii="Arial" w:hAnsi="Arial" w:cs="Arial"/>
          <w:sz w:val="24"/>
          <w:szCs w:val="24"/>
        </w:rPr>
      </w:pPr>
    </w:p>
    <w:p w14:paraId="7D41BA6D" w14:textId="77777777" w:rsidR="00060CAE" w:rsidRDefault="00060CAE"/>
    <w:sectPr w:rsidR="00060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35E6F"/>
    <w:multiLevelType w:val="hybridMultilevel"/>
    <w:tmpl w:val="AB241F82"/>
    <w:lvl w:ilvl="0" w:tplc="0409000F">
      <w:start w:val="1"/>
      <w:numFmt w:val="decimal"/>
      <w:lvlText w:val="%1."/>
      <w:lvlJc w:val="left"/>
      <w:pPr>
        <w:ind w:left="990" w:hanging="360"/>
      </w:pPr>
    </w:lvl>
    <w:lvl w:ilvl="1" w:tplc="FFFFFFFF">
      <w:start w:val="1"/>
      <w:numFmt w:val="bullet"/>
      <w:lvlText w:val="o"/>
      <w:lvlJc w:val="left"/>
      <w:pPr>
        <w:ind w:left="1710" w:hanging="360"/>
      </w:pPr>
      <w:rPr>
        <w:rFonts w:ascii="Courier New" w:hAnsi="Courier New" w:cs="Courier New" w:hint="default"/>
      </w:rPr>
    </w:lvl>
    <w:lvl w:ilvl="2" w:tplc="FFFFFFFF">
      <w:start w:val="1"/>
      <w:numFmt w:val="bullet"/>
      <w:lvlText w:val=""/>
      <w:lvlJc w:val="left"/>
      <w:pPr>
        <w:ind w:left="2430" w:hanging="360"/>
      </w:pPr>
      <w:rPr>
        <w:rFonts w:ascii="Wingdings" w:hAnsi="Wingdings" w:hint="default"/>
      </w:rPr>
    </w:lvl>
    <w:lvl w:ilvl="3" w:tplc="FFFFFFFF">
      <w:start w:val="1"/>
      <w:numFmt w:val="bullet"/>
      <w:lvlText w:val=""/>
      <w:lvlJc w:val="left"/>
      <w:pPr>
        <w:ind w:left="3150" w:hanging="360"/>
      </w:pPr>
      <w:rPr>
        <w:rFonts w:ascii="Symbol" w:hAnsi="Symbol" w:hint="default"/>
      </w:rPr>
    </w:lvl>
    <w:lvl w:ilvl="4" w:tplc="FFFFFFFF">
      <w:start w:val="1"/>
      <w:numFmt w:val="bullet"/>
      <w:lvlText w:val="o"/>
      <w:lvlJc w:val="left"/>
      <w:pPr>
        <w:ind w:left="3870" w:hanging="360"/>
      </w:pPr>
      <w:rPr>
        <w:rFonts w:ascii="Courier New" w:hAnsi="Courier New" w:cs="Courier New" w:hint="default"/>
      </w:rPr>
    </w:lvl>
    <w:lvl w:ilvl="5" w:tplc="FFFFFFFF">
      <w:start w:val="1"/>
      <w:numFmt w:val="bullet"/>
      <w:lvlText w:val=""/>
      <w:lvlJc w:val="left"/>
      <w:pPr>
        <w:ind w:left="4590" w:hanging="360"/>
      </w:pPr>
      <w:rPr>
        <w:rFonts w:ascii="Wingdings" w:hAnsi="Wingdings" w:hint="default"/>
      </w:rPr>
    </w:lvl>
    <w:lvl w:ilvl="6" w:tplc="FFFFFFFF">
      <w:start w:val="1"/>
      <w:numFmt w:val="bullet"/>
      <w:lvlText w:val=""/>
      <w:lvlJc w:val="left"/>
      <w:pPr>
        <w:ind w:left="5310" w:hanging="360"/>
      </w:pPr>
      <w:rPr>
        <w:rFonts w:ascii="Symbol" w:hAnsi="Symbol" w:hint="default"/>
      </w:rPr>
    </w:lvl>
    <w:lvl w:ilvl="7" w:tplc="FFFFFFFF">
      <w:start w:val="1"/>
      <w:numFmt w:val="bullet"/>
      <w:lvlText w:val="o"/>
      <w:lvlJc w:val="left"/>
      <w:pPr>
        <w:ind w:left="6030" w:hanging="360"/>
      </w:pPr>
      <w:rPr>
        <w:rFonts w:ascii="Courier New" w:hAnsi="Courier New" w:cs="Courier New" w:hint="default"/>
      </w:rPr>
    </w:lvl>
    <w:lvl w:ilvl="8" w:tplc="FFFFFFFF">
      <w:start w:val="1"/>
      <w:numFmt w:val="bullet"/>
      <w:lvlText w:val=""/>
      <w:lvlJc w:val="left"/>
      <w:pPr>
        <w:ind w:left="6750" w:hanging="360"/>
      </w:pPr>
      <w:rPr>
        <w:rFonts w:ascii="Wingdings" w:hAnsi="Wingdings" w:hint="default"/>
      </w:rPr>
    </w:lvl>
  </w:abstractNum>
  <w:abstractNum w:abstractNumId="1" w15:restartNumberingAfterBreak="0">
    <w:nsid w:val="18D43B16"/>
    <w:multiLevelType w:val="multilevel"/>
    <w:tmpl w:val="DD4A0F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EE0A86"/>
    <w:multiLevelType w:val="multilevel"/>
    <w:tmpl w:val="ED1046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4C10DD7"/>
    <w:multiLevelType w:val="multilevel"/>
    <w:tmpl w:val="364C6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430455"/>
    <w:multiLevelType w:val="hybridMultilevel"/>
    <w:tmpl w:val="74B84B32"/>
    <w:lvl w:ilvl="0" w:tplc="3954B1E2">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E2720E1"/>
    <w:multiLevelType w:val="hybridMultilevel"/>
    <w:tmpl w:val="17C08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DAD5C4C"/>
    <w:multiLevelType w:val="multilevel"/>
    <w:tmpl w:val="53902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75080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523781">
    <w:abstractNumId w:val="3"/>
  </w:num>
  <w:num w:numId="3" w16cid:durableId="1166748887">
    <w:abstractNumId w:val="6"/>
  </w:num>
  <w:num w:numId="4" w16cid:durableId="211884993">
    <w:abstractNumId w:val="0"/>
    <w:lvlOverride w:ilvl="0">
      <w:startOverride w:val="1"/>
    </w:lvlOverride>
    <w:lvlOverride w:ilvl="1"/>
    <w:lvlOverride w:ilvl="2"/>
    <w:lvlOverride w:ilvl="3"/>
    <w:lvlOverride w:ilvl="4"/>
    <w:lvlOverride w:ilvl="5"/>
    <w:lvlOverride w:ilvl="6"/>
    <w:lvlOverride w:ilvl="7"/>
    <w:lvlOverride w:ilvl="8"/>
  </w:num>
  <w:num w:numId="5" w16cid:durableId="42461776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4129289">
    <w:abstractNumId w:val="5"/>
  </w:num>
  <w:num w:numId="7" w16cid:durableId="1707173138">
    <w:abstractNumId w:val="1"/>
  </w:num>
  <w:num w:numId="8" w16cid:durableId="1447232982">
    <w:abstractNumId w:val="3"/>
  </w:num>
  <w:num w:numId="9" w16cid:durableId="1381787531">
    <w:abstractNumId w:val="6"/>
  </w:num>
  <w:num w:numId="10" w16cid:durableId="1369571577">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3B6"/>
    <w:rsid w:val="00060CAE"/>
    <w:rsid w:val="00070533"/>
    <w:rsid w:val="00075C96"/>
    <w:rsid w:val="000B5E89"/>
    <w:rsid w:val="000B79D0"/>
    <w:rsid w:val="000D5B4E"/>
    <w:rsid w:val="00137305"/>
    <w:rsid w:val="00143C70"/>
    <w:rsid w:val="00147182"/>
    <w:rsid w:val="001572DD"/>
    <w:rsid w:val="00157AA5"/>
    <w:rsid w:val="00163F23"/>
    <w:rsid w:val="001D5EE4"/>
    <w:rsid w:val="002238FA"/>
    <w:rsid w:val="002778D7"/>
    <w:rsid w:val="002B6297"/>
    <w:rsid w:val="002F603B"/>
    <w:rsid w:val="003070F4"/>
    <w:rsid w:val="003563CE"/>
    <w:rsid w:val="00383C9E"/>
    <w:rsid w:val="003A37C1"/>
    <w:rsid w:val="003C4E40"/>
    <w:rsid w:val="00415E79"/>
    <w:rsid w:val="00450873"/>
    <w:rsid w:val="004741CD"/>
    <w:rsid w:val="004E44C9"/>
    <w:rsid w:val="00504205"/>
    <w:rsid w:val="00535BEF"/>
    <w:rsid w:val="00557C83"/>
    <w:rsid w:val="00581F25"/>
    <w:rsid w:val="00583539"/>
    <w:rsid w:val="005C01E1"/>
    <w:rsid w:val="00635A9E"/>
    <w:rsid w:val="006373D2"/>
    <w:rsid w:val="00651B3F"/>
    <w:rsid w:val="007635B8"/>
    <w:rsid w:val="007C0738"/>
    <w:rsid w:val="00816168"/>
    <w:rsid w:val="00840DE2"/>
    <w:rsid w:val="0087631C"/>
    <w:rsid w:val="00912C0D"/>
    <w:rsid w:val="009A0B3F"/>
    <w:rsid w:val="00A0692A"/>
    <w:rsid w:val="00A46F0B"/>
    <w:rsid w:val="00A673BF"/>
    <w:rsid w:val="00A743B6"/>
    <w:rsid w:val="00A94E0A"/>
    <w:rsid w:val="00AA26B1"/>
    <w:rsid w:val="00AE6232"/>
    <w:rsid w:val="00B25877"/>
    <w:rsid w:val="00B8291B"/>
    <w:rsid w:val="00B97A9A"/>
    <w:rsid w:val="00BA17E0"/>
    <w:rsid w:val="00BC51B4"/>
    <w:rsid w:val="00C36A64"/>
    <w:rsid w:val="00C83161"/>
    <w:rsid w:val="00CB43A7"/>
    <w:rsid w:val="00CC0B0D"/>
    <w:rsid w:val="00CF7B98"/>
    <w:rsid w:val="00D670A9"/>
    <w:rsid w:val="00D81229"/>
    <w:rsid w:val="00DE4192"/>
    <w:rsid w:val="00E107C1"/>
    <w:rsid w:val="00E77ED7"/>
    <w:rsid w:val="00E81713"/>
    <w:rsid w:val="00E914F4"/>
    <w:rsid w:val="00EA0346"/>
    <w:rsid w:val="00F1298F"/>
    <w:rsid w:val="00FE4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522CF"/>
  <w15:chartTrackingRefBased/>
  <w15:docId w15:val="{8ED5B865-DAC3-4E15-8862-A87652F2C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C96"/>
    <w:pPr>
      <w:spacing w:line="256" w:lineRule="auto"/>
    </w:pPr>
    <w:rPr>
      <w:kern w:val="0"/>
    </w:rPr>
  </w:style>
  <w:style w:type="paragraph" w:styleId="Heading1">
    <w:name w:val="heading 1"/>
    <w:basedOn w:val="Normal"/>
    <w:next w:val="Normal"/>
    <w:link w:val="Heading1Char"/>
    <w:uiPriority w:val="9"/>
    <w:qFormat/>
    <w:rsid w:val="00A74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4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4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4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4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4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4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4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4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4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4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4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4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4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4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4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4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43B6"/>
    <w:rPr>
      <w:rFonts w:eastAsiaTheme="majorEastAsia" w:cstheme="majorBidi"/>
      <w:color w:val="272727" w:themeColor="text1" w:themeTint="D8"/>
    </w:rPr>
  </w:style>
  <w:style w:type="paragraph" w:styleId="Title">
    <w:name w:val="Title"/>
    <w:basedOn w:val="Normal"/>
    <w:next w:val="Normal"/>
    <w:link w:val="TitleChar"/>
    <w:uiPriority w:val="10"/>
    <w:qFormat/>
    <w:rsid w:val="00A74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4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4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4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43B6"/>
    <w:pPr>
      <w:spacing w:before="160"/>
      <w:jc w:val="center"/>
    </w:pPr>
    <w:rPr>
      <w:i/>
      <w:iCs/>
      <w:color w:val="404040" w:themeColor="text1" w:themeTint="BF"/>
    </w:rPr>
  </w:style>
  <w:style w:type="character" w:customStyle="1" w:styleId="QuoteChar">
    <w:name w:val="Quote Char"/>
    <w:basedOn w:val="DefaultParagraphFont"/>
    <w:link w:val="Quote"/>
    <w:uiPriority w:val="29"/>
    <w:rsid w:val="00A743B6"/>
    <w:rPr>
      <w:i/>
      <w:iCs/>
      <w:color w:val="404040" w:themeColor="text1" w:themeTint="BF"/>
    </w:rPr>
  </w:style>
  <w:style w:type="paragraph" w:styleId="ListParagraph">
    <w:name w:val="List Paragraph"/>
    <w:basedOn w:val="Normal"/>
    <w:uiPriority w:val="34"/>
    <w:qFormat/>
    <w:rsid w:val="00A743B6"/>
    <w:pPr>
      <w:ind w:left="720"/>
      <w:contextualSpacing/>
    </w:pPr>
  </w:style>
  <w:style w:type="character" w:styleId="IntenseEmphasis">
    <w:name w:val="Intense Emphasis"/>
    <w:basedOn w:val="DefaultParagraphFont"/>
    <w:uiPriority w:val="21"/>
    <w:qFormat/>
    <w:rsid w:val="00A743B6"/>
    <w:rPr>
      <w:i/>
      <w:iCs/>
      <w:color w:val="0F4761" w:themeColor="accent1" w:themeShade="BF"/>
    </w:rPr>
  </w:style>
  <w:style w:type="paragraph" w:styleId="IntenseQuote">
    <w:name w:val="Intense Quote"/>
    <w:basedOn w:val="Normal"/>
    <w:next w:val="Normal"/>
    <w:link w:val="IntenseQuoteChar"/>
    <w:uiPriority w:val="30"/>
    <w:qFormat/>
    <w:rsid w:val="00A74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43B6"/>
    <w:rPr>
      <w:i/>
      <w:iCs/>
      <w:color w:val="0F4761" w:themeColor="accent1" w:themeShade="BF"/>
    </w:rPr>
  </w:style>
  <w:style w:type="character" w:styleId="IntenseReference">
    <w:name w:val="Intense Reference"/>
    <w:basedOn w:val="DefaultParagraphFont"/>
    <w:uiPriority w:val="32"/>
    <w:qFormat/>
    <w:rsid w:val="00A743B6"/>
    <w:rPr>
      <w:b/>
      <w:bCs/>
      <w:smallCaps/>
      <w:color w:val="0F4761" w:themeColor="accent1" w:themeShade="BF"/>
      <w:spacing w:val="5"/>
    </w:rPr>
  </w:style>
  <w:style w:type="character" w:styleId="Hyperlink">
    <w:name w:val="Hyperlink"/>
    <w:basedOn w:val="DefaultParagraphFont"/>
    <w:uiPriority w:val="99"/>
    <w:unhideWhenUsed/>
    <w:rsid w:val="00075C96"/>
    <w:rPr>
      <w:color w:val="467886" w:themeColor="hyperlink"/>
      <w:u w:val="single"/>
    </w:rPr>
  </w:style>
  <w:style w:type="table" w:styleId="TableGrid">
    <w:name w:val="Table Grid"/>
    <w:basedOn w:val="TableNormal"/>
    <w:uiPriority w:val="39"/>
    <w:rsid w:val="00A46F0B"/>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163F23"/>
    <w:rPr>
      <w:rFonts w:ascii="Times New Roman" w:eastAsia="Times New Roman" w:hAnsi="Times New Roman" w:cs="Times New Roman"/>
      <w:lang w:eastAsia="en-GB"/>
      <w14:ligatures w14:val="none"/>
    </w:rPr>
  </w:style>
  <w:style w:type="paragraph" w:styleId="NoSpacing">
    <w:name w:val="No Spacing"/>
    <w:link w:val="NoSpacingChar"/>
    <w:uiPriority w:val="1"/>
    <w:qFormat/>
    <w:rsid w:val="00163F23"/>
    <w:pPr>
      <w:spacing w:after="0" w:line="240" w:lineRule="auto"/>
    </w:pPr>
    <w:rPr>
      <w:rFonts w:ascii="Times New Roman" w:eastAsia="Times New Roman" w:hAnsi="Times New Roman" w:cs="Times New Roman"/>
      <w:lang w:eastAsia="en-GB"/>
      <w14:ligatures w14:val="none"/>
    </w:rPr>
  </w:style>
  <w:style w:type="character" w:styleId="UnresolvedMention">
    <w:name w:val="Unresolved Mention"/>
    <w:basedOn w:val="DefaultParagraphFont"/>
    <w:uiPriority w:val="99"/>
    <w:semiHidden/>
    <w:unhideWhenUsed/>
    <w:rsid w:val="00637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031285">
      <w:bodyDiv w:val="1"/>
      <w:marLeft w:val="0"/>
      <w:marRight w:val="0"/>
      <w:marTop w:val="0"/>
      <w:marBottom w:val="0"/>
      <w:divBdr>
        <w:top w:val="none" w:sz="0" w:space="0" w:color="auto"/>
        <w:left w:val="none" w:sz="0" w:space="0" w:color="auto"/>
        <w:bottom w:val="none" w:sz="0" w:space="0" w:color="auto"/>
        <w:right w:val="none" w:sz="0" w:space="0" w:color="auto"/>
      </w:divBdr>
    </w:div>
    <w:div w:id="1851526247">
      <w:bodyDiv w:val="1"/>
      <w:marLeft w:val="0"/>
      <w:marRight w:val="0"/>
      <w:marTop w:val="0"/>
      <w:marBottom w:val="0"/>
      <w:divBdr>
        <w:top w:val="none" w:sz="0" w:space="0" w:color="auto"/>
        <w:left w:val="none" w:sz="0" w:space="0" w:color="auto"/>
        <w:bottom w:val="none" w:sz="0" w:space="0" w:color="auto"/>
        <w:right w:val="none" w:sz="0" w:space="0" w:color="auto"/>
      </w:divBdr>
    </w:div>
    <w:div w:id="192375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TOURMAN.2012.12.015" TargetMode="External"/><Relationship Id="rId18" Type="http://schemas.openxmlformats.org/officeDocument/2006/relationships/hyperlink" Target="https://doi.org/10.5993/AJHB.45.4.11" TargetMode="External"/><Relationship Id="rId26" Type="http://schemas.openxmlformats.org/officeDocument/2006/relationships/hyperlink" Target="https://doi.org/10.1080/15470141003758035" TargetMode="External"/><Relationship Id="rId39" Type="http://schemas.openxmlformats.org/officeDocument/2006/relationships/hyperlink" Target="https://doi.org/10.1016/J.TOURMAN.2016.09.018" TargetMode="External"/><Relationship Id="rId21" Type="http://schemas.openxmlformats.org/officeDocument/2006/relationships/hyperlink" Target="https://doi.org/10.20491/ISARDER.2018.446" TargetMode="External"/><Relationship Id="rId34" Type="http://schemas.openxmlformats.org/officeDocument/2006/relationships/hyperlink" Target="https://ieeexplore.ieee.org/document/10266462" TargetMode="External"/><Relationship Id="rId42" Type="http://schemas.openxmlformats.org/officeDocument/2006/relationships/fontTable" Target="fontTable.xml"/><Relationship Id="rId7" Type="http://schemas.openxmlformats.org/officeDocument/2006/relationships/image" Target="media/image2.gif"/><Relationship Id="rId2" Type="http://schemas.openxmlformats.org/officeDocument/2006/relationships/styles" Target="styles.xml"/><Relationship Id="rId16" Type="http://schemas.openxmlformats.org/officeDocument/2006/relationships/hyperlink" Target="https://librarysearch.uwtsd.ac.uk/permalink/44WHELF_UWTSD/tj3s4p/alma99100158759802421" TargetMode="External"/><Relationship Id="rId20" Type="http://schemas.openxmlformats.org/officeDocument/2006/relationships/hyperlink" Target="https://librarysearch.uwtsd.ac.uk/permalink/44WHELF_UWTSD/igoone/cdi_proquest_miscellaneous_20616086" TargetMode="External"/><Relationship Id="rId29" Type="http://schemas.openxmlformats.org/officeDocument/2006/relationships/hyperlink" Target="https://www.proquest.com/scholarly-journals/event-sponsorship-exploratory-study-small/docview/220957144/se-2?accountid=130472" TargetMode="External"/><Relationship Id="rId41" Type="http://schemas.openxmlformats.org/officeDocument/2006/relationships/hyperlink" Target="https://doi.org/10.23912/9781911635871-4965" TargetMode="External"/><Relationship Id="rId1" Type="http://schemas.openxmlformats.org/officeDocument/2006/relationships/numbering" Target="numbering.xml"/><Relationship Id="rId6" Type="http://schemas.openxmlformats.org/officeDocument/2006/relationships/hyperlink" Target="https://www.grammarly.com/" TargetMode="External"/><Relationship Id="rId11" Type="http://schemas.openxmlformats.org/officeDocument/2006/relationships/image" Target="media/image6.png"/><Relationship Id="rId24" Type="http://schemas.openxmlformats.org/officeDocument/2006/relationships/hyperlink" Target="https://webofproceedings.org/proceedings_series/ESSP/ICEMET%202017/ICEMET_1112036.pdf" TargetMode="External"/><Relationship Id="rId32" Type="http://schemas.openxmlformats.org/officeDocument/2006/relationships/hyperlink" Target="https://doi.org/10.15126/THESIS.00852071" TargetMode="External"/><Relationship Id="rId37" Type="http://schemas.openxmlformats.org/officeDocument/2006/relationships/hyperlink" Target="https://doi.org/10.1016/J.TOURMAN.2007.03.014" TargetMode="External"/><Relationship Id="rId40" Type="http://schemas.openxmlformats.org/officeDocument/2006/relationships/hyperlink" Target="https://www.proquest.com/scholarly-journals/how-community-event-narratives-contribute-place/docview/2010846007/se-2?accountid=130472" TargetMode="External"/><Relationship Id="rId5" Type="http://schemas.openxmlformats.org/officeDocument/2006/relationships/image" Target="media/image1.png"/><Relationship Id="rId15" Type="http://schemas.openxmlformats.org/officeDocument/2006/relationships/hyperlink" Target="https://www.proquest.com/scholarly-journals/accessibility-all-areas-uk-live-music-industry/docview/2499002592/se-2?accountid=130472" TargetMode="External"/><Relationship Id="rId23" Type="http://schemas.openxmlformats.org/officeDocument/2006/relationships/hyperlink" Target="https://doi.org/10.3727/152599518X15300559276930" TargetMode="External"/><Relationship Id="rId28" Type="http://schemas.openxmlformats.org/officeDocument/2006/relationships/hyperlink" Target="https://www.academia.edu/download/81236961/8.pdf" TargetMode="External"/><Relationship Id="rId36" Type="http://schemas.openxmlformats.org/officeDocument/2006/relationships/hyperlink" Target="https://doi.org/10.1016/J.TOURMAN.2007.03.014" TargetMode="External"/><Relationship Id="rId10" Type="http://schemas.openxmlformats.org/officeDocument/2006/relationships/image" Target="media/image5.png"/><Relationship Id="rId19" Type="http://schemas.openxmlformats.org/officeDocument/2006/relationships/hyperlink" Target="https://doi.org/10.1123/jsm.2020-0139" TargetMode="External"/><Relationship Id="rId31" Type="http://schemas.openxmlformats.org/officeDocument/2006/relationships/hyperlink" Target="https://doi.org/10.1016/j.tourman.2008.03.006"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librarysearch.uwtsd.ac.uk/permalink/44WHELF_UWTSD/upgrip/alma99100147659902421" TargetMode="External"/><Relationship Id="rId22" Type="http://schemas.openxmlformats.org/officeDocument/2006/relationships/hyperlink" Target="https://www.researchgate.net/profile/Dimitris-Kourkouridis/publication/383101339_POST-PANDEMIC_TRADE_FAIR_DYNAMICS_A_LONGITUDINAL_STUDY_OF_EXHIBITORS'_VIEWS_ON_DIGITAL_AND_HYBRID_TRADE_FAIRS/links/66bcb003311cbb094938ca16/POST-PANDEMIC-TRADE-FAIR-DYNAMICS-A-LONGITUDINAL-STUDY-OF-EXHIBITORS-VIEWS-ON-DIGITAL-AND-HYBRID-TRADE-FAIRS.pdf" TargetMode="External"/><Relationship Id="rId27" Type="http://schemas.openxmlformats.org/officeDocument/2006/relationships/hyperlink" Target="https://ieeexplore.ieee.org/document/9637031" TargetMode="External"/><Relationship Id="rId30" Type="http://schemas.openxmlformats.org/officeDocument/2006/relationships/hyperlink" Target="https://doi.org/10.1080/17438730802138139" TargetMode="External"/><Relationship Id="rId35" Type="http://schemas.openxmlformats.org/officeDocument/2006/relationships/hyperlink" Target="https://www.researchgate.net/publication/321076882_Animation_or_Denigration_Using_Urban_Public_Spaces_as_Event_Venues" TargetMode="External"/><Relationship Id="rId43" Type="http://schemas.openxmlformats.org/officeDocument/2006/relationships/theme" Target="theme/theme1.xml"/><Relationship Id="rId8" Type="http://schemas.openxmlformats.org/officeDocument/2006/relationships/image" Target="media/image3.jpeg"/><Relationship Id="rId3" Type="http://schemas.openxmlformats.org/officeDocument/2006/relationships/settings" Target="settings.xml"/><Relationship Id="rId12" Type="http://schemas.openxmlformats.org/officeDocument/2006/relationships/hyperlink" Target="https://doi.org/10.3390/computers13010027" TargetMode="External"/><Relationship Id="rId17" Type="http://schemas.openxmlformats.org/officeDocument/2006/relationships/hyperlink" Target="https://www-tandfonline-com.ezproxy.uwtsd.ac.uk/doi/full/10.1080/15022250.2015.1116404" TargetMode="External"/><Relationship Id="rId25" Type="http://schemas.openxmlformats.org/officeDocument/2006/relationships/hyperlink" Target="https://doi.org/10.1177/004728759503300403" TargetMode="External"/><Relationship Id="rId33" Type="http://schemas.openxmlformats.org/officeDocument/2006/relationships/hyperlink" Target="https://link.springer.com/article/10.1007/s12652-016-0432-x" TargetMode="External"/><Relationship Id="rId38" Type="http://schemas.openxmlformats.org/officeDocument/2006/relationships/hyperlink" Target="https://www.tandfonline.com/doi/full/10.1080/01490400.2014.9388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21</Pages>
  <Words>4082</Words>
  <Characters>28290</Characters>
  <Application>Microsoft Office Word</Application>
  <DocSecurity>0</DocSecurity>
  <Lines>642</Lines>
  <Paragraphs>217</Paragraphs>
  <ScaleCrop>false</ScaleCrop>
  <Company/>
  <LinksUpToDate>false</LinksUpToDate>
  <CharactersWithSpaces>32155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Lenuta</dc:creator>
  <cp:keywords/>
  <dc:description/>
  <cp:lastModifiedBy>Lavinia Lenuta</cp:lastModifiedBy>
  <cp:revision>62</cp:revision>
  <dcterms:created xsi:type="dcterms:W3CDTF">2024-11-05T17:12:00Z</dcterms:created>
  <dcterms:modified xsi:type="dcterms:W3CDTF">2024-11-08T18:54:00Z</dcterms:modified>
</cp:coreProperties>
</file>