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xmlns:wp14="http://schemas.microsoft.com/office/word/2010/wordml" w:rsidR="00D646D5" w:rsidP="0197B456" w:rsidRDefault="00D646D5" w14:paraId="3ED56CD4" wp14:textId="7EE75297">
      <w:pPr>
        <w:pStyle w:val="Normal"/>
        <w:jc w:val="center"/>
        <w:rPr>
          <w:rFonts w:ascii="Arial" w:hAnsi="Arial"/>
          <w:b w:val="1"/>
          <w:bCs w:val="1"/>
          <w:sz w:val="36"/>
          <w:szCs w:val="36"/>
        </w:rPr>
      </w:pPr>
      <w:bookmarkStart w:name="__RefHeading___Toc82856599" w:id="0"/>
      <w:bookmarkEnd w:id="0"/>
      <w:r w:rsidRPr="0197B456" w:rsidR="00D646D5">
        <w:rPr>
          <w:rFonts w:ascii="Arial" w:hAnsi="Arial"/>
        </w:rPr>
        <w:t xml:space="preserve"> </w:t>
      </w:r>
      <w:r w:rsidRPr="0197B456" w:rsidR="00D646D5">
        <w:rPr>
          <w:rFonts w:ascii="Arial" w:hAnsi="Arial"/>
          <w:b w:val="1"/>
          <w:bCs w:val="1"/>
          <w:sz w:val="36"/>
          <w:szCs w:val="36"/>
        </w:rPr>
        <w:t>Introduction to Physiology</w:t>
      </w:r>
    </w:p>
    <w:p w:rsidR="450A3DA1" w:rsidP="0197B456" w:rsidRDefault="450A3DA1" w14:paraId="43443B26" w14:textId="23240A27">
      <w:pPr>
        <w:pStyle w:val="Normal"/>
        <w:jc w:val="center"/>
        <w:rPr>
          <w:rFonts w:ascii="Arial" w:hAnsi="Arial"/>
          <w:b w:val="1"/>
          <w:bCs w:val="1"/>
          <w:sz w:val="36"/>
          <w:szCs w:val="36"/>
        </w:rPr>
      </w:pPr>
      <w:r w:rsidRPr="0197B456" w:rsidR="450A3DA1">
        <w:rPr>
          <w:rFonts w:ascii="Arial" w:hAnsi="Arial"/>
          <w:b w:val="1"/>
          <w:bCs w:val="1"/>
          <w:sz w:val="36"/>
          <w:szCs w:val="36"/>
        </w:rPr>
        <w:t xml:space="preserve">Marian Lalus </w:t>
      </w:r>
    </w:p>
    <w:p w:rsidR="450A3DA1" w:rsidP="0197B456" w:rsidRDefault="450A3DA1" w14:paraId="78E32C60" w14:textId="086D732D">
      <w:pPr>
        <w:pStyle w:val="Normal"/>
        <w:jc w:val="center"/>
        <w:rPr>
          <w:rFonts w:ascii="Arial" w:hAnsi="Arial"/>
          <w:b w:val="1"/>
          <w:bCs w:val="1"/>
          <w:sz w:val="36"/>
          <w:szCs w:val="36"/>
        </w:rPr>
      </w:pPr>
      <w:r w:rsidRPr="0197B456" w:rsidR="450A3DA1">
        <w:rPr>
          <w:rFonts w:ascii="Arial" w:hAnsi="Arial"/>
          <w:b w:val="1"/>
          <w:bCs w:val="1"/>
          <w:sz w:val="36"/>
          <w:szCs w:val="36"/>
        </w:rPr>
        <w:t>2333060</w:t>
      </w:r>
    </w:p>
    <w:p w:rsidR="450A3DA1" w:rsidP="0197B456" w:rsidRDefault="450A3DA1" w14:paraId="7E656E08" w14:textId="179C1E75">
      <w:pPr>
        <w:pStyle w:val="Normal"/>
        <w:jc w:val="center"/>
        <w:rPr>
          <w:rFonts w:ascii="Arial" w:hAnsi="Arial"/>
          <w:b w:val="1"/>
          <w:bCs w:val="1"/>
          <w:sz w:val="36"/>
          <w:szCs w:val="36"/>
        </w:rPr>
      </w:pPr>
      <w:r w:rsidRPr="0197B456" w:rsidR="450A3DA1">
        <w:rPr>
          <w:rFonts w:ascii="Arial" w:hAnsi="Arial"/>
          <w:b w:val="1"/>
          <w:bCs w:val="1"/>
          <w:sz w:val="36"/>
          <w:szCs w:val="36"/>
        </w:rPr>
        <w:t>10.11.2025</w:t>
      </w:r>
    </w:p>
    <w:p xmlns:wp14="http://schemas.microsoft.com/office/word/2010/wordml" w:rsidR="00D646D5" w:rsidRDefault="00D646D5" w14:paraId="11F99054" wp14:textId="77777777">
      <w:pPr>
        <w:jc w:val="center"/>
        <w:rPr>
          <w:rFonts w:ascii="Arial" w:hAnsi="Arial"/>
          <w:color w:val="auto"/>
          <w:szCs w:val="24"/>
        </w:rPr>
      </w:pPr>
      <w:r>
        <w:rPr>
          <w:rFonts w:ascii="Arial" w:hAnsi="Arial"/>
          <w:szCs w:val="24"/>
        </w:rPr>
        <w:t xml:space="preserve">  </w:t>
      </w:r>
    </w:p>
    <w:p xmlns:wp14="http://schemas.microsoft.com/office/word/2010/wordml" w:rsidR="00D646D5" w:rsidRDefault="00D646D5" w14:paraId="22E0FC93" wp14:textId="77777777">
      <w:pPr>
        <w:pStyle w:val="ContentsHeading"/>
        <w:pageBreakBefore/>
      </w:pPr>
      <w:r>
        <w:rPr>
          <w:rFonts w:ascii="Arial" w:hAnsi="Arial"/>
          <w:color w:val="auto"/>
          <w:sz w:val="24"/>
          <w:szCs w:val="24"/>
        </w:rPr>
        <w:t>Table of Contents</w:t>
      </w:r>
    </w:p>
    <w:p xmlns:wp14="http://schemas.microsoft.com/office/word/2010/wordml" w:rsidR="00D646D5" w:rsidRDefault="00D646D5" w14:paraId="759E9200" wp14:textId="77777777">
      <w:pPr>
        <w:pStyle w:val="TOC1"/>
        <w:rPr>
          <w:rFonts w:ascii="Arial" w:hAnsi="Arial"/>
          <w:szCs w:val="24"/>
          <w:lang w:val="en-GB"/>
        </w:rPr>
      </w:pPr>
      <w:r>
        <w:fldChar w:fldCharType="begin"/>
      </w:r>
      <w:r>
        <w:instrText xml:space="preserve"> TOC \f \o "1-9" \o "1-9" </w:instrText>
      </w:r>
      <w:r>
        <w:fldChar w:fldCharType="separate"/>
      </w:r>
      <w:r>
        <w:rPr>
          <w:rFonts w:ascii="Arial" w:hAnsi="Arial"/>
          <w:szCs w:val="24"/>
          <w:lang w:val="en-GB"/>
        </w:rPr>
        <w:t>Introduction</w:t>
      </w:r>
      <w:r>
        <w:rPr>
          <w:rFonts w:ascii="Arial" w:hAnsi="Arial"/>
          <w:szCs w:val="24"/>
          <w:lang w:val="en-GB"/>
        </w:rPr>
        <w:tab/>
      </w:r>
      <w:hyperlink w:history="1" w:anchor="__RefHeading___Toc200101615">
        <w:r>
          <w:rPr>
            <w:rStyle w:val="IndexLink"/>
            <w:rFonts w:ascii="Arial" w:hAnsi="Arial"/>
            <w:szCs w:val="24"/>
            <w:lang w:val="en-GB"/>
          </w:rPr>
          <w:t>3</w:t>
        </w:r>
      </w:hyperlink>
    </w:p>
    <w:p xmlns:wp14="http://schemas.microsoft.com/office/word/2010/wordml" w:rsidR="00D646D5" w:rsidRDefault="00D646D5" w14:paraId="793F5E3B" wp14:textId="77777777">
      <w:pPr>
        <w:pStyle w:val="TOC1"/>
        <w:rPr>
          <w:rFonts w:ascii="Arial" w:hAnsi="Arial"/>
          <w:szCs w:val="24"/>
          <w:lang w:val="en-GB"/>
        </w:rPr>
      </w:pPr>
      <w:r>
        <w:rPr>
          <w:rFonts w:ascii="Arial" w:hAnsi="Arial"/>
          <w:szCs w:val="24"/>
          <w:lang w:val="en-GB"/>
        </w:rPr>
        <w:t>MAIN BODY</w:t>
      </w:r>
      <w:r>
        <w:rPr>
          <w:rFonts w:ascii="Arial" w:hAnsi="Arial"/>
          <w:szCs w:val="24"/>
          <w:lang w:val="en-GB"/>
        </w:rPr>
        <w:tab/>
      </w:r>
      <w:hyperlink w:history="1" w:anchor="__RefHeading___Toc200101616">
        <w:r>
          <w:rPr>
            <w:rStyle w:val="IndexLink"/>
            <w:rFonts w:ascii="Arial" w:hAnsi="Arial"/>
            <w:szCs w:val="24"/>
            <w:lang w:val="en-GB"/>
          </w:rPr>
          <w:t>3</w:t>
        </w:r>
      </w:hyperlink>
    </w:p>
    <w:p xmlns:wp14="http://schemas.microsoft.com/office/word/2010/wordml" w:rsidR="00D646D5" w:rsidRDefault="00D646D5" w14:paraId="55FB2FE4" wp14:textId="77777777">
      <w:pPr>
        <w:pStyle w:val="TOC1"/>
        <w:rPr>
          <w:rFonts w:ascii="Arial" w:hAnsi="Arial"/>
          <w:szCs w:val="24"/>
          <w:lang w:val="en-GB"/>
        </w:rPr>
      </w:pPr>
      <w:r>
        <w:rPr>
          <w:rFonts w:ascii="Arial" w:hAnsi="Arial"/>
          <w:szCs w:val="24"/>
          <w:lang w:val="en-GB"/>
        </w:rPr>
        <w:t>CONCLUSION</w:t>
      </w:r>
      <w:r>
        <w:rPr>
          <w:rFonts w:ascii="Arial" w:hAnsi="Arial"/>
          <w:szCs w:val="24"/>
          <w:lang w:val="en-GB"/>
        </w:rPr>
        <w:tab/>
      </w:r>
      <w:hyperlink w:history="1" w:anchor="__RefHeading___Toc200101617">
        <w:r>
          <w:rPr>
            <w:rStyle w:val="IndexLink"/>
            <w:rFonts w:ascii="Arial" w:hAnsi="Arial"/>
            <w:szCs w:val="24"/>
            <w:lang w:val="en-GB"/>
          </w:rPr>
          <w:t>3</w:t>
        </w:r>
      </w:hyperlink>
    </w:p>
    <w:p xmlns:wp14="http://schemas.microsoft.com/office/word/2010/wordml" w:rsidR="00D646D5" w:rsidRDefault="00D646D5" w14:paraId="3169A44B" wp14:textId="77777777">
      <w:pPr>
        <w:pStyle w:val="TOC1"/>
      </w:pPr>
      <w:r>
        <w:rPr>
          <w:rFonts w:ascii="Arial" w:hAnsi="Arial"/>
          <w:szCs w:val="24"/>
          <w:lang w:val="en-GB"/>
        </w:rPr>
        <w:t>REFERENCES</w:t>
      </w:r>
      <w:r>
        <w:rPr>
          <w:rFonts w:ascii="Arial" w:hAnsi="Arial"/>
          <w:szCs w:val="24"/>
          <w:lang w:val="en-GB"/>
        </w:rPr>
        <w:tab/>
      </w:r>
      <w:hyperlink w:history="1" w:anchor="__RefHeading___Toc200101618">
        <w:r>
          <w:rPr>
            <w:rStyle w:val="IndexLink"/>
            <w:rFonts w:ascii="Arial" w:hAnsi="Arial"/>
            <w:szCs w:val="24"/>
            <w:lang w:val="en-GB"/>
          </w:rPr>
          <w:t>4</w:t>
        </w:r>
      </w:hyperlink>
    </w:p>
    <w:p xmlns:wp14="http://schemas.microsoft.com/office/word/2010/wordml" w:rsidR="00D646D5" w:rsidRDefault="00D646D5" w14:paraId="5DAB6C7B" wp14:textId="77777777">
      <w:pPr>
        <w:pStyle w:val="TOC1"/>
        <w:rPr>
          <w:rFonts w:ascii="Arial" w:hAnsi="Arial" w:cs="Times New Roman"/>
          <w:color w:val="auto"/>
          <w:szCs w:val="24"/>
        </w:rPr>
      </w:pPr>
      <w:r>
        <w:fldChar w:fldCharType="end"/>
      </w:r>
    </w:p>
    <w:p xmlns:wp14="http://schemas.microsoft.com/office/word/2010/wordml" w:rsidR="00D646D5" w:rsidRDefault="00D646D5" w14:paraId="02EB378F" wp14:textId="77777777">
      <w:pPr>
        <w:rPr>
          <w:rFonts w:ascii="Arial" w:hAnsi="Arial"/>
          <w:color w:val="auto"/>
          <w:szCs w:val="24"/>
        </w:rPr>
      </w:pPr>
    </w:p>
    <w:p xmlns:wp14="http://schemas.microsoft.com/office/word/2010/wordml" w:rsidR="00D646D5" w:rsidRDefault="00D646D5" w14:paraId="6A05A809" wp14:textId="77777777">
      <w:pPr>
        <w:rPr>
          <w:rFonts w:ascii="Arial" w:hAnsi="Arial"/>
          <w:color w:val="auto"/>
          <w:szCs w:val="24"/>
        </w:rPr>
      </w:pPr>
    </w:p>
    <w:p xmlns:wp14="http://schemas.microsoft.com/office/word/2010/wordml" w:rsidR="00D646D5" w:rsidRDefault="00D646D5" w14:paraId="5A39BBE3" wp14:textId="77777777">
      <w:pPr>
        <w:rPr>
          <w:rFonts w:ascii="Arial" w:hAnsi="Arial"/>
          <w:color w:val="auto"/>
          <w:szCs w:val="24"/>
        </w:rPr>
      </w:pPr>
    </w:p>
    <w:p xmlns:wp14="http://schemas.microsoft.com/office/word/2010/wordml" w:rsidR="00D646D5" w:rsidRDefault="00D646D5" w14:paraId="7B7923DB" wp14:textId="77777777">
      <w:pPr>
        <w:pStyle w:val="Heading1"/>
        <w:pageBreakBefore/>
        <w:rPr>
          <w:rFonts w:ascii="Arial" w:hAnsi="Arial"/>
          <w:sz w:val="24"/>
          <w:szCs w:val="24"/>
        </w:rPr>
      </w:pPr>
      <w:r>
        <w:rPr>
          <w:rFonts w:ascii="Arial" w:hAnsi="Arial"/>
          <w:sz w:val="24"/>
          <w:szCs w:val="24"/>
        </w:rPr>
        <w:t xml:space="preserve">Case Study 1: Diabetes </w:t>
      </w:r>
    </w:p>
    <w:p xmlns:wp14="http://schemas.microsoft.com/office/word/2010/wordml" w:rsidR="00D646D5" w:rsidRDefault="00D646D5" w14:paraId="3E7A9F1C" wp14:textId="77777777">
      <w:pPr>
        <w:pStyle w:val="Heading1"/>
        <w:rPr>
          <w:rFonts w:ascii="Arial" w:hAnsi="Arial"/>
          <w:sz w:val="24"/>
          <w:szCs w:val="24"/>
        </w:rPr>
      </w:pPr>
      <w:bookmarkStart w:name="__RefHeading___Toc200101615" w:id="1"/>
      <w:bookmarkEnd w:id="1"/>
      <w:r>
        <w:rPr>
          <w:rFonts w:ascii="Arial" w:hAnsi="Arial"/>
          <w:sz w:val="24"/>
          <w:szCs w:val="24"/>
        </w:rPr>
        <w:t>Introduction</w:t>
      </w:r>
    </w:p>
    <w:p xmlns:wp14="http://schemas.microsoft.com/office/word/2010/wordml" w:rsidR="00D646D5" w:rsidRDefault="00D646D5" w14:paraId="53727180" wp14:textId="77777777">
      <w:pPr>
        <w:rPr>
          <w:rFonts w:ascii="Arial" w:hAnsi="Arial"/>
          <w:szCs w:val="24"/>
        </w:rPr>
      </w:pPr>
      <w:r>
        <w:rPr>
          <w:rFonts w:ascii="Arial" w:hAnsi="Arial"/>
          <w:szCs w:val="24"/>
        </w:rPr>
        <w:t>Diabetes mellitus is a long term condition of metabolism disorder which is manifested by inability to regulate the sugar level in the blood. It is induced either by the poor secretions of insulin or by inappropriate insulin utilizations. The disorder leads to excessive persistent level of glucose in blood which over time, amplifies serious health conditions such as heart diseases, kidney failure, loss of vision and nerve damages. Globally, hundreds of millions of people have been plagued by diabetes becaus</w:t>
      </w:r>
      <w:r>
        <w:rPr>
          <w:rFonts w:ascii="Arial" w:hAnsi="Arial"/>
          <w:szCs w:val="24"/>
        </w:rPr>
        <w:t>e it is one of the most spreading conditions of the twenty-first century. The commonest form of diabetes is Type 2 and is a progressive disease, largely aided by lifestyle habits that can be altered such as poor diet, obesity, physical inactivity and smoking. The genetic predisposition and the old age also contribute to the increased risk. Prevalence of the condition is more in adults though it is currently becoming prevalent in young people as per change of lifestyles and diets. What is necessary in contro</w:t>
      </w:r>
      <w:r>
        <w:rPr>
          <w:rFonts w:ascii="Arial" w:hAnsi="Arial"/>
          <w:szCs w:val="24"/>
        </w:rPr>
        <w:t xml:space="preserve">l is learning more about how the body maintains normal blood glucose levels and the role of life styles in the process (American Diabetes Association, 2022). </w:t>
      </w:r>
    </w:p>
    <w:p xmlns:wp14="http://schemas.microsoft.com/office/word/2010/wordml" w:rsidR="00D646D5" w:rsidRDefault="00D646D5" w14:paraId="0C2508E9" wp14:textId="77777777">
      <w:pPr>
        <w:pStyle w:val="Heading1"/>
        <w:rPr>
          <w:rFonts w:ascii="Arial" w:hAnsi="Arial"/>
          <w:sz w:val="24"/>
          <w:szCs w:val="24"/>
        </w:rPr>
      </w:pPr>
      <w:r>
        <w:rPr>
          <w:rFonts w:ascii="Arial" w:hAnsi="Arial"/>
          <w:sz w:val="24"/>
          <w:szCs w:val="24"/>
        </w:rPr>
        <w:t xml:space="preserve">Maintaining Safe Blood Sugar Levels </w:t>
      </w:r>
    </w:p>
    <w:p xmlns:wp14="http://schemas.microsoft.com/office/word/2010/wordml" w:rsidR="00D646D5" w:rsidRDefault="00D646D5" w14:paraId="6FCA7145" wp14:textId="77777777">
      <w:pPr>
        <w:rPr>
          <w:rFonts w:ascii="Arial" w:hAnsi="Arial"/>
          <w:szCs w:val="24"/>
        </w:rPr>
      </w:pPr>
      <w:r>
        <w:rPr>
          <w:rFonts w:ascii="Arial" w:hAnsi="Arial"/>
          <w:szCs w:val="24"/>
        </w:rPr>
        <w:t xml:space="preserve">The body of glucose depends on a series of hormonal processes by which they manage the amount of glucose within the body and this guarantees the body its homeostasis or the internal balance. Pancreas engages itself in the middle of this regulation and produces two significant hormones, that is, insulin and glucagon (McIntyre and Moses, 2020). </w:t>
      </w:r>
    </w:p>
    <w:p xmlns:wp14="http://schemas.microsoft.com/office/word/2010/wordml" w:rsidR="00D646D5" w:rsidRDefault="00D646D5" w14:paraId="0A8C8F88" wp14:textId="77777777">
      <w:pPr>
        <w:rPr>
          <w:rFonts w:ascii="Arial" w:hAnsi="Arial"/>
          <w:szCs w:val="24"/>
        </w:rPr>
      </w:pPr>
      <w:r>
        <w:rPr>
          <w:rFonts w:ascii="Arial" w:hAnsi="Arial"/>
          <w:szCs w:val="24"/>
        </w:rPr>
        <w:t xml:space="preserve">Food is taken, which decomposes into glucose, and the glucose enters the blood and the blood sugar increases. The pancreas in response to this secret a hormone, insulin, that aids in the absorption of glucose in the body cells particularly to the muscles and adipose tissue. The glucose that is stored in the form of glycogen in the liver and the muscles in the case of glycogen is stored in the liver and muscles to be utilized at a later date. It is also insulin that inhibits the breakdown of the stored fat </w:t>
      </w:r>
      <w:r>
        <w:rPr>
          <w:rFonts w:ascii="Arial" w:hAnsi="Arial"/>
          <w:szCs w:val="24"/>
        </w:rPr>
        <w:t xml:space="preserve">and glycogen and hence the glucose is left to serve as the primary source of energy in the body. </w:t>
      </w:r>
    </w:p>
    <w:p xmlns:wp14="http://schemas.microsoft.com/office/word/2010/wordml" w:rsidR="00D646D5" w:rsidRDefault="00D646D5" w14:paraId="1A72CD95" wp14:textId="77777777">
      <w:pPr>
        <w:rPr>
          <w:rFonts w:ascii="Arial" w:hAnsi="Arial"/>
          <w:szCs w:val="24"/>
        </w:rPr>
      </w:pPr>
      <w:r>
        <w:rPr>
          <w:rFonts w:ascii="Arial" w:hAnsi="Arial"/>
          <w:szCs w:val="24"/>
        </w:rPr>
        <w:t xml:space="preserve">Blood sugar level begins to drop in the fasting period, physical activities or between meals. This leads to the release of the other pancreatic hormone glucagon to make the liver break up glycogen to glucose and release it into the blood stream. This will ensure that the body receives constant source of energy even where there is the low intake of food. Insulin and glucagon interact in a manner that makes sure </w:t>
      </w:r>
      <w:r>
        <w:rPr>
          <w:rFonts w:ascii="Arial" w:hAnsi="Arial"/>
          <w:szCs w:val="24"/>
        </w:rPr>
        <w:t xml:space="preserve">that the quantity of glucose is within a restricted range that is favourable to the normal body functions. </w:t>
      </w:r>
    </w:p>
    <w:p xmlns:wp14="http://schemas.microsoft.com/office/word/2010/wordml" w:rsidR="00D646D5" w:rsidRDefault="00D646D5" w14:paraId="6B70BE3B" wp14:textId="77777777">
      <w:pPr>
        <w:rPr>
          <w:rFonts w:ascii="Arial" w:hAnsi="Arial"/>
          <w:szCs w:val="24"/>
        </w:rPr>
      </w:pPr>
      <w:r>
        <w:rPr>
          <w:rFonts w:ascii="Arial" w:hAnsi="Arial"/>
          <w:szCs w:val="24"/>
        </w:rPr>
        <w:t>There is interference with this fine tuned system in Type 2 diabetes. Insulin resistance among the cells in the body means that the glucose fails to access the cells. The pancreas, in its turn, tries to work harder by releasing more insulin, but with the course of time, this homeostatic mechanism fails, the sugar level in the blood does not decrease. Acute hyperglycaemia leads to the damage of blood v</w:t>
      </w:r>
      <w:r>
        <w:rPr>
          <w:rFonts w:ascii="Arial" w:hAnsi="Arial"/>
          <w:szCs w:val="24"/>
        </w:rPr>
        <w:t>essels and organs and the necessity to manage the body lifestyle and resort to early intervention.</w:t>
      </w:r>
    </w:p>
    <w:p xmlns:wp14="http://schemas.microsoft.com/office/word/2010/wordml" w:rsidR="00D646D5" w:rsidRDefault="00D646D5" w14:paraId="5E9BCBF8" wp14:textId="77777777">
      <w:pPr>
        <w:pStyle w:val="Heading1"/>
        <w:rPr>
          <w:rFonts w:ascii="Arial" w:hAnsi="Arial"/>
          <w:sz w:val="24"/>
          <w:szCs w:val="24"/>
        </w:rPr>
      </w:pPr>
      <w:bookmarkStart w:name="__RefHeading___Toc200101616" w:id="2"/>
      <w:bookmarkEnd w:id="2"/>
      <w:r>
        <w:rPr>
          <w:rFonts w:ascii="Arial" w:hAnsi="Arial"/>
          <w:sz w:val="24"/>
          <w:szCs w:val="24"/>
        </w:rPr>
        <w:t>How Oxygen and Glucose Produce Energy</w:t>
      </w:r>
    </w:p>
    <w:p xmlns:wp14="http://schemas.microsoft.com/office/word/2010/wordml" w:rsidR="00D646D5" w:rsidRDefault="00D646D5" w14:paraId="1DE8C351" wp14:textId="77777777">
      <w:pPr>
        <w:rPr>
          <w:rFonts w:ascii="Arial" w:hAnsi="Arial"/>
          <w:szCs w:val="24"/>
        </w:rPr>
      </w:pPr>
      <w:r>
        <w:rPr>
          <w:rFonts w:ascii="Arial" w:hAnsi="Arial"/>
          <w:szCs w:val="24"/>
        </w:rPr>
        <w:t>A human body is reliant on being constantly supplied with energy that supports majority of operations that are vital to the body such as movement, thinking, digestion and repair of the cells. This energy is acquired through a biochemical process called cellular respiration which converts glucose and oxygen into the production of this energy and is carried out in the mitochondria of the cells. The first one is that it begins with a process of glycolysis that occurs in cytoplasm. In this process, glucose mol</w:t>
      </w:r>
      <w:r>
        <w:rPr>
          <w:rFonts w:ascii="Arial" w:hAnsi="Arial"/>
          <w:szCs w:val="24"/>
        </w:rPr>
        <w:t xml:space="preserve">ecule is assisted to decompose into two molecules of pyruvate that lead to low energy in the form of adenosine triphosphate (ATP) (Kumar et al., 2023). </w:t>
      </w:r>
    </w:p>
    <w:p xmlns:wp14="http://schemas.microsoft.com/office/word/2010/wordml" w:rsidR="00D646D5" w:rsidRDefault="00D646D5" w14:paraId="7B644372" wp14:textId="77777777">
      <w:pPr>
        <w:rPr>
          <w:rFonts w:ascii="Arial" w:hAnsi="Arial"/>
          <w:szCs w:val="24"/>
        </w:rPr>
      </w:pPr>
      <w:r>
        <w:rPr>
          <w:rFonts w:ascii="Arial" w:hAnsi="Arial"/>
          <w:szCs w:val="24"/>
        </w:rPr>
        <w:t>The pyruvate then is transported to the mitochondria where it then gets converted to acetyl-CoA and enters Krebs cycle. This is referred to as Krebs cycle and it does not only release carbon dioxide but also generates high efficiency electron carriers such as NADH or FADH2. These transporters then transfer electrons to electron transport chain that is locat</w:t>
      </w:r>
      <w:r>
        <w:rPr>
          <w:rFonts w:ascii="Arial" w:hAnsi="Arial"/>
          <w:szCs w:val="24"/>
        </w:rPr>
        <w:t xml:space="preserve">ed in inner mitochondrial membrane. Because electrons are passed along this chain this power is released and used in the formation of additional ATP molecules. </w:t>
      </w:r>
    </w:p>
    <w:p xmlns:wp14="http://schemas.microsoft.com/office/word/2010/wordml" w:rsidR="00D646D5" w:rsidRDefault="00D646D5" w14:paraId="30992D68" wp14:textId="77777777">
      <w:pPr>
        <w:rPr>
          <w:rFonts w:ascii="Arial" w:hAnsi="Arial"/>
          <w:szCs w:val="24"/>
        </w:rPr>
      </w:pPr>
      <w:r>
        <w:rPr>
          <w:rFonts w:ascii="Arial" w:hAnsi="Arial"/>
          <w:szCs w:val="24"/>
        </w:rPr>
        <w:t>The final donor of electrons is oxygen and it reacts with the hydrogen ions to give water. In general a single mole of glucose can result in formation of up to thirty-eight molecules of ATP which provides energy needed in all the cellular activities. The body cannot produce enough ATP when it cannot transport enough glucose to the cells as is the ca</w:t>
      </w:r>
      <w:r>
        <w:rPr>
          <w:rFonts w:ascii="Arial" w:hAnsi="Arial"/>
          <w:szCs w:val="24"/>
        </w:rPr>
        <w:t>se in diabetes. The cause of this fatigue, weakness and poor tissue repair is in this deficiency of energy. The realization of the cellular connection of glucose and oxygen will help the patients to appreciate the role of the gradual rise in the level of blood sugar in their overall well being.</w:t>
      </w:r>
    </w:p>
    <w:p xmlns:wp14="http://schemas.microsoft.com/office/word/2010/wordml" w:rsidR="00D646D5" w:rsidRDefault="00D646D5" w14:paraId="0E3EA7CD" wp14:textId="77777777">
      <w:pPr>
        <w:pStyle w:val="Heading1"/>
        <w:rPr>
          <w:rFonts w:ascii="Arial" w:hAnsi="Arial"/>
          <w:sz w:val="24"/>
          <w:szCs w:val="24"/>
        </w:rPr>
      </w:pPr>
      <w:r>
        <w:rPr>
          <w:rFonts w:ascii="Arial" w:hAnsi="Arial"/>
          <w:sz w:val="24"/>
          <w:szCs w:val="24"/>
        </w:rPr>
        <w:t>The Importance of Tracking and Recording Blood Sugar Levels</w:t>
      </w:r>
    </w:p>
    <w:p xmlns:wp14="http://schemas.microsoft.com/office/word/2010/wordml" w:rsidR="00D646D5" w:rsidRDefault="00D646D5" w14:paraId="0AE33ECF" wp14:textId="77777777">
      <w:pPr>
        <w:rPr>
          <w:rFonts w:ascii="Arial" w:hAnsi="Arial"/>
          <w:szCs w:val="24"/>
        </w:rPr>
      </w:pPr>
      <w:r>
        <w:rPr>
          <w:rFonts w:ascii="Arial" w:hAnsi="Arial"/>
          <w:szCs w:val="24"/>
        </w:rPr>
        <w:t xml:space="preserve">The computers are also used in the management of diabetes through recording and monitoring of the levels of sugar present in the blood. It allows one to know the influence of his or her daily life, food, and pills on glucose. By making the identification of trends, variations, it implies that the patients and health workers can make alterations to treatment plans. There is a portable glucose meter that can be used to monitor the blood glucose. </w:t>
      </w:r>
    </w:p>
    <w:p xmlns:wp14="http://schemas.microsoft.com/office/word/2010/wordml" w:rsidR="00D646D5" w:rsidRDefault="00D646D5" w14:paraId="513DA052" wp14:textId="77777777">
      <w:pPr>
        <w:rPr>
          <w:rFonts w:ascii="Arial" w:hAnsi="Arial"/>
          <w:szCs w:val="24"/>
        </w:rPr>
      </w:pPr>
      <w:r>
        <w:rPr>
          <w:rFonts w:ascii="Arial" w:hAnsi="Arial"/>
          <w:szCs w:val="24"/>
        </w:rPr>
        <w:t>It is generally advised that patients must monitor their blood sugar level multiple times a day: Pre-meal, two hours after meals, and before sleeping. The readings can be in the form of a diary or with assistance of mobile applications, which monitor diabetes. A regular check exercise helps in the detection of case of elevated and reduced sugar in the blood which will be corrected eventually by the use of a diet, medication or physical exercise. The newest technology, such as the interface of glucose monit</w:t>
      </w:r>
      <w:r>
        <w:rPr>
          <w:rFonts w:ascii="Arial" w:hAnsi="Arial"/>
          <w:szCs w:val="24"/>
        </w:rPr>
        <w:t xml:space="preserve">ors, activates the current data and messages in alarm, in case the level of glucose is either excessively high or excessively low. </w:t>
      </w:r>
    </w:p>
    <w:p xmlns:wp14="http://schemas.microsoft.com/office/word/2010/wordml" w:rsidR="00D646D5" w:rsidRDefault="00D646D5" w14:paraId="561D00E0" wp14:textId="77777777">
      <w:pPr>
        <w:rPr>
          <w:rFonts w:ascii="Arial" w:hAnsi="Arial"/>
          <w:szCs w:val="24"/>
        </w:rPr>
      </w:pPr>
      <w:r>
        <w:rPr>
          <w:rFonts w:ascii="Arial" w:hAnsi="Arial"/>
          <w:szCs w:val="24"/>
        </w:rPr>
        <w:t>They are sensors of the level of glucose in interstitial fluid just under the skin which transmits the data to an electronic device. This will place the possibility of early intervention and reduce the chances of extreme complications. The glycated haemoglobin (HbA1c) is also a long-term indicator used by healthcare professionals to identify the average amount of sugar in the b</w:t>
      </w:r>
      <w:r>
        <w:rPr>
          <w:rFonts w:ascii="Arial" w:hAnsi="Arial"/>
          <w:szCs w:val="24"/>
        </w:rPr>
        <w:t xml:space="preserve">lood in two to three months. Keep of HbA1c within the HbA1c acceptable ranges would contribute significantly to reducing the risk of bringing about cardiovascular disease, kidney failure and neuropathy among others complexes (Drucker, 2024).  </w:t>
      </w:r>
    </w:p>
    <w:p xmlns:wp14="http://schemas.microsoft.com/office/word/2010/wordml" w:rsidR="00D646D5" w:rsidRDefault="00D646D5" w14:paraId="70A3D680" wp14:textId="77777777">
      <w:pPr>
        <w:rPr>
          <w:rFonts w:ascii="Arial" w:hAnsi="Arial"/>
          <w:szCs w:val="24"/>
        </w:rPr>
      </w:pPr>
      <w:r>
        <w:rPr>
          <w:rFonts w:ascii="Arial" w:hAnsi="Arial"/>
          <w:szCs w:val="24"/>
        </w:rPr>
        <w:t>Frequent observation provides the patients with the control strength of their condition. It promotes accountability and joint decision making amongst patients and the medical staff. The informed lifestyle choices and efficient disease treatment is based on this data t</w:t>
      </w:r>
      <w:r>
        <w:rPr>
          <w:rFonts w:ascii="Arial" w:hAnsi="Arial"/>
          <w:szCs w:val="24"/>
        </w:rPr>
        <w:t xml:space="preserve">hat is gained with the assistance of the frequent monitoring. </w:t>
      </w:r>
    </w:p>
    <w:p xmlns:wp14="http://schemas.microsoft.com/office/word/2010/wordml" w:rsidR="00D646D5" w:rsidRDefault="00D646D5" w14:paraId="549E0EFF" wp14:textId="77777777">
      <w:pPr>
        <w:pStyle w:val="Heading1"/>
        <w:rPr>
          <w:rFonts w:ascii="Arial" w:hAnsi="Arial"/>
          <w:sz w:val="24"/>
          <w:szCs w:val="24"/>
        </w:rPr>
      </w:pPr>
      <w:r>
        <w:rPr>
          <w:rFonts w:ascii="Arial" w:hAnsi="Arial"/>
          <w:sz w:val="24"/>
          <w:szCs w:val="24"/>
        </w:rPr>
        <w:t>Lifestyle Modifications for Effective Diabetes Management</w:t>
      </w:r>
    </w:p>
    <w:p xmlns:wp14="http://schemas.microsoft.com/office/word/2010/wordml" w:rsidR="00D646D5" w:rsidRDefault="00D646D5" w14:paraId="73334BB4" wp14:textId="77777777">
      <w:pPr>
        <w:rPr>
          <w:rFonts w:ascii="Arial" w:hAnsi="Arial"/>
          <w:szCs w:val="24"/>
        </w:rPr>
      </w:pPr>
      <w:r>
        <w:rPr>
          <w:rFonts w:ascii="Arial" w:hAnsi="Arial"/>
          <w:szCs w:val="24"/>
        </w:rPr>
        <w:t>The most notable type of therapy used in the management of Type 2 diabetes is Lifestyle modification which is non-pharmacological in nature. It assists in controlling the level of sugar in the blood, your addiction to drugs is less, and the possibility of complications also reduces.</w:t>
      </w:r>
      <w:r>
        <w:rPr>
          <w:rFonts w:ascii="Arial" w:hAnsi="Arial"/>
          <w:szCs w:val="24"/>
        </w:rPr>
        <w:t xml:space="preserve"> </w:t>
      </w:r>
      <w:r>
        <w:rPr>
          <w:rFonts w:ascii="Arial" w:hAnsi="Arial"/>
          <w:szCs w:val="24"/>
        </w:rPr>
        <w:br/>
      </w:r>
      <w:r>
        <w:rPr>
          <w:rFonts w:ascii="Arial" w:hAnsi="Arial"/>
          <w:szCs w:val="24"/>
        </w:rPr>
        <w:t xml:space="preserve">Diet and Nutrition </w:t>
      </w:r>
    </w:p>
    <w:p xmlns:wp14="http://schemas.microsoft.com/office/word/2010/wordml" w:rsidR="00D646D5" w:rsidRDefault="00D646D5" w14:paraId="03EEB647" wp14:textId="77777777">
      <w:pPr>
        <w:rPr>
          <w:rFonts w:ascii="Arial" w:hAnsi="Arial"/>
          <w:szCs w:val="24"/>
        </w:rPr>
      </w:pPr>
      <w:r>
        <w:rPr>
          <w:rFonts w:ascii="Arial" w:hAnsi="Arial"/>
          <w:szCs w:val="24"/>
        </w:rPr>
        <w:t>It is anchored on a healthy diet and control of diabetes. It is also recommended that people should follow dietary plans that would be high in whole grains, fruits, vegetables, low calorie proteins in addition to healthy fats and lower refined carbohydrates and confectionary foodstuffs. Types of food containing a lot of fibre reduce a rapid degradation of foodstuffs to glucose hence preventing a sudden rise in blood sugar level. Restriction Meals intake is supposed to take a normal cou</w:t>
      </w:r>
      <w:r>
        <w:rPr>
          <w:rFonts w:ascii="Arial" w:hAnsi="Arial"/>
          <w:szCs w:val="24"/>
        </w:rPr>
        <w:t xml:space="preserve">rse during the day to maintain the level of energy consumption in the body and avoid cases of hypoglycaemia. A Mediterranean type of food which is rich in olive oil, fish, nuts and fresh foods has been known to be a better method of managing blood sugar levels and heart diseases in individuals all over the world. The patients should be advised to reduce the amount of saturated fats, avoid sweets drinks, and eat smaller and more frequent meals to maintain a stable metabolism. Overweight people should aim to </w:t>
      </w:r>
      <w:r>
        <w:rPr>
          <w:rFonts w:ascii="Arial" w:hAnsi="Arial"/>
          <w:szCs w:val="24"/>
        </w:rPr>
        <w:t xml:space="preserve">undergo gradual weight reduction of moderate calories reduction to enable them to be more insulin sensitive (Cloete, 2021). </w:t>
      </w:r>
    </w:p>
    <w:p xmlns:wp14="http://schemas.microsoft.com/office/word/2010/wordml" w:rsidR="00D646D5" w:rsidRDefault="00D646D5" w14:paraId="784DBD09" wp14:textId="77777777">
      <w:pPr>
        <w:rPr>
          <w:rFonts w:ascii="Arial" w:hAnsi="Arial"/>
          <w:szCs w:val="24"/>
        </w:rPr>
      </w:pPr>
      <w:r>
        <w:rPr>
          <w:rFonts w:ascii="Arial" w:hAnsi="Arial"/>
          <w:szCs w:val="24"/>
        </w:rPr>
        <w:t xml:space="preserve">Physical Activity </w:t>
      </w:r>
    </w:p>
    <w:p xmlns:wp14="http://schemas.microsoft.com/office/word/2010/wordml" w:rsidR="00D646D5" w:rsidRDefault="00D646D5" w14:paraId="03D099DB" wp14:textId="77777777">
      <w:pPr>
        <w:rPr>
          <w:rFonts w:ascii="Arial" w:hAnsi="Arial"/>
          <w:szCs w:val="24"/>
        </w:rPr>
      </w:pPr>
      <w:r>
        <w:rPr>
          <w:rFonts w:ascii="Arial" w:hAnsi="Arial"/>
          <w:szCs w:val="24"/>
        </w:rPr>
        <w:t>Exercise is the best way of controlling diabetes. Physical activity promotes muscle uptake of glucose in the absence of insulin thus reducing the quantity of blood sugar. Regular exercises also raise the insulin levels, maintain the heart stronger and healthy, and improve the well-being. A combination of aerobic i.e. fast walks, cycling or swimming with resistance i.e. weight lifting or weight on body exercises is the best. Adult Patients It is recommended that adults allocate no less than thirty minutes o</w:t>
      </w:r>
      <w:r>
        <w:rPr>
          <w:rFonts w:ascii="Arial" w:hAnsi="Arial"/>
          <w:szCs w:val="24"/>
        </w:rPr>
        <w:t>f moderate-intensive exercises five days a week. Exercise aids in maintenance of weight among people since it possesses the ability to maintain healthfulness, reduces stress and increases healthy sleep that is essential in continuing with metabolic health. It is recommended that monitoring of the blood sugar level before and after exercise could help prevent hypoglycaemia in patients with particular attention given to the patients using the insulin medication or on glucose-lowering drugs. Eating snack prior</w:t>
      </w:r>
      <w:r>
        <w:rPr>
          <w:rFonts w:ascii="Arial" w:hAnsi="Arial"/>
          <w:szCs w:val="24"/>
        </w:rPr>
        <w:t xml:space="preserve"> to exercise or the use of glucose tablets can also help in checking the sudden variations and upswings and downswings in the level of blood sugar with intense exercise. </w:t>
      </w:r>
    </w:p>
    <w:p xmlns:wp14="http://schemas.microsoft.com/office/word/2010/wordml" w:rsidR="00D646D5" w:rsidRDefault="00D646D5" w14:paraId="5CB349A0" wp14:textId="77777777">
      <w:pPr>
        <w:rPr>
          <w:rFonts w:ascii="Arial" w:hAnsi="Arial"/>
          <w:szCs w:val="24"/>
        </w:rPr>
      </w:pPr>
      <w:r>
        <w:rPr>
          <w:rFonts w:ascii="Arial" w:hAnsi="Arial"/>
          <w:szCs w:val="24"/>
        </w:rPr>
        <w:t xml:space="preserve">Weight Management </w:t>
      </w:r>
    </w:p>
    <w:p xmlns:wp14="http://schemas.microsoft.com/office/word/2010/wordml" w:rsidR="00D646D5" w:rsidRDefault="00D646D5" w14:paraId="60B7BA65" wp14:textId="77777777">
      <w:pPr>
        <w:rPr>
          <w:rFonts w:ascii="Arial" w:hAnsi="Arial"/>
          <w:szCs w:val="24"/>
        </w:rPr>
      </w:pPr>
      <w:r>
        <w:rPr>
          <w:rFonts w:ascii="Arial" w:hAnsi="Arial"/>
          <w:szCs w:val="24"/>
        </w:rPr>
        <w:t>Excessive weight, which is belly or stomach fat has been one of the outstanding factors in the resistance to insulin. The ability to manage blood sugar levels and decrease the number of pills will be attained some level by losing only five percent to ten percent of body weight. Welcomed eating behaviours, physical exercises, and behavioural change make one able to maintain weight loss. It has been demonstrated that professional guidance and self-monitoring contribute to effective weight-management programm</w:t>
      </w:r>
      <w:r>
        <w:rPr>
          <w:rFonts w:ascii="Arial" w:hAnsi="Arial"/>
          <w:szCs w:val="24"/>
        </w:rPr>
        <w:t xml:space="preserve">es such as goal-setting. In some instances, severely obese patients can be medically undergone through an intervention such as a bariatric surgery, which may cause a high level of control to the blood sugar, and in some cases, have the patients cured of Type 2 diabetes diagnosis. </w:t>
      </w:r>
    </w:p>
    <w:p xmlns:wp14="http://schemas.microsoft.com/office/word/2010/wordml" w:rsidR="00D646D5" w:rsidRDefault="00D646D5" w14:paraId="3C1553FA" wp14:textId="77777777">
      <w:pPr>
        <w:rPr>
          <w:rFonts w:ascii="Arial" w:hAnsi="Arial"/>
          <w:szCs w:val="24"/>
        </w:rPr>
      </w:pPr>
      <w:r>
        <w:rPr>
          <w:rFonts w:ascii="Arial" w:hAnsi="Arial"/>
          <w:szCs w:val="24"/>
        </w:rPr>
        <w:t xml:space="preserve">Smoking Cessation </w:t>
      </w:r>
    </w:p>
    <w:p xmlns:wp14="http://schemas.microsoft.com/office/word/2010/wordml" w:rsidR="00D646D5" w:rsidRDefault="00D646D5" w14:paraId="55F23317" wp14:textId="77777777">
      <w:pPr>
        <w:rPr>
          <w:rFonts w:ascii="Arial" w:hAnsi="Arial"/>
          <w:szCs w:val="24"/>
        </w:rPr>
      </w:pPr>
      <w:r>
        <w:rPr>
          <w:rFonts w:ascii="Arial" w:hAnsi="Arial"/>
          <w:szCs w:val="24"/>
        </w:rPr>
        <w:t>Insulin action and direct negative effect on blood circulation are linked to smoking. It is accelerating the development of heart diseases, kidney and other diabetes complications. Quitting smoking results in the improvement of blood circulation to the body tissue, insulin sensitivity, and reduced risk of vascular disease. Examples of measures it can adopt in significantly increase the probability of successful quitting include nicotine replacement therapy, counselling and enrolment on smoking cessation pr</w:t>
      </w:r>
      <w:r>
        <w:rPr>
          <w:rFonts w:ascii="Arial" w:hAnsi="Arial"/>
          <w:szCs w:val="24"/>
        </w:rPr>
        <w:t xml:space="preserve">ogrammes. Medical workers should motivate and support patients through the quit process since such a change can alter the outcome greatly in regards to health outcomes. </w:t>
      </w:r>
    </w:p>
    <w:p xmlns:wp14="http://schemas.microsoft.com/office/word/2010/wordml" w:rsidR="00D646D5" w:rsidRDefault="00D646D5" w14:paraId="732EA19E" wp14:textId="77777777">
      <w:pPr>
        <w:rPr>
          <w:rFonts w:ascii="Arial" w:hAnsi="Arial"/>
          <w:szCs w:val="24"/>
        </w:rPr>
      </w:pPr>
      <w:r>
        <w:rPr>
          <w:rFonts w:ascii="Arial" w:hAnsi="Arial"/>
          <w:szCs w:val="24"/>
        </w:rPr>
        <w:t xml:space="preserve">Stress Management and Sleep </w:t>
      </w:r>
    </w:p>
    <w:p xmlns:wp14="http://schemas.microsoft.com/office/word/2010/wordml" w:rsidR="00D646D5" w:rsidRDefault="00D646D5" w14:paraId="39B4A571" wp14:textId="77777777">
      <w:pPr>
        <w:rPr>
          <w:rFonts w:ascii="Arial" w:hAnsi="Arial"/>
          <w:szCs w:val="24"/>
        </w:rPr>
      </w:pPr>
      <w:r>
        <w:rPr>
          <w:rFonts w:ascii="Arial" w:hAnsi="Arial"/>
          <w:szCs w:val="24"/>
        </w:rPr>
        <w:t>Stress leads to the release of the hormones that increase the amount of blood glucose. Learning stress-management techniques that involve deep breathing, meditation, yoga or mindfulness and emotional balance related to better glycaemic control can help attain emotional balance. Sleep plays a great role as well, as one is expected to sleep between seven and nine hours at a time, each night such sleep deprivation disrupts the hormonal equilibrium and the balance of the appetite leading to excessive eating an</w:t>
      </w:r>
      <w:r>
        <w:rPr>
          <w:rFonts w:ascii="Arial" w:hAnsi="Arial"/>
          <w:szCs w:val="24"/>
        </w:rPr>
        <w:t xml:space="preserve">d lack of normal blood sugar levels (Ogurtsova et al., 2021). </w:t>
      </w:r>
    </w:p>
    <w:p xmlns:wp14="http://schemas.microsoft.com/office/word/2010/wordml" w:rsidR="00D646D5" w:rsidRDefault="00D646D5" w14:paraId="41C8F396" wp14:textId="77777777">
      <w:pPr>
        <w:rPr>
          <w:rFonts w:ascii="Arial" w:hAnsi="Arial"/>
          <w:szCs w:val="24"/>
        </w:rPr>
      </w:pPr>
    </w:p>
    <w:p xmlns:wp14="http://schemas.microsoft.com/office/word/2010/wordml" w:rsidR="00D646D5" w:rsidRDefault="00D646D5" w14:paraId="640B8ED6" wp14:textId="77777777">
      <w:pPr>
        <w:pStyle w:val="Heading1"/>
        <w:rPr>
          <w:rFonts w:ascii="Arial" w:hAnsi="Arial"/>
          <w:sz w:val="24"/>
          <w:szCs w:val="24"/>
        </w:rPr>
      </w:pPr>
      <w:r>
        <w:rPr>
          <w:rFonts w:ascii="Arial" w:hAnsi="Arial"/>
          <w:sz w:val="24"/>
          <w:szCs w:val="24"/>
        </w:rPr>
        <w:t>Patient Education and Empowerment</w:t>
      </w:r>
    </w:p>
    <w:p xmlns:wp14="http://schemas.microsoft.com/office/word/2010/wordml" w:rsidR="00D646D5" w:rsidRDefault="00D646D5" w14:paraId="50171CE4" wp14:textId="77777777">
      <w:pPr>
        <w:rPr>
          <w:rFonts w:ascii="Arial" w:hAnsi="Arial"/>
          <w:szCs w:val="24"/>
        </w:rPr>
      </w:pPr>
      <w:r>
        <w:rPr>
          <w:rFonts w:ascii="Arial" w:hAnsi="Arial"/>
          <w:szCs w:val="24"/>
        </w:rPr>
        <w:t>Education is very crucial in the management of diabetes. Informed patients have better treatment regimes and adherence patterns, as better placed to make informed decisions about their condition. The medical personnel members are supposed to arrange training programmes, which would educate on how to measure blood sugar level, dieting, medication taking, and integrating physical activities in the normal daily routine. Interaction may be enhanced with the help of interactive learning, group and online intera</w:t>
      </w:r>
      <w:r>
        <w:rPr>
          <w:rFonts w:ascii="Arial" w:hAnsi="Arial"/>
          <w:szCs w:val="24"/>
        </w:rPr>
        <w:t xml:space="preserve">ction workshops. The information can be provided and put to use via practice demonstrations, example, demonstrations on how the patients use the glucose meters or read nutrition labels. Empowerment of the patient; that is, making him or her accountable on his or her health promotes self-management. This entails practical goal setting, issuance problems and necessity to have periodic check-ups made to the health practitioners. It is the urge and reinforcement to make healthcare providers feel more confident </w:t>
      </w:r>
      <w:r>
        <w:rPr>
          <w:rFonts w:ascii="Arial" w:hAnsi="Arial"/>
          <w:szCs w:val="24"/>
        </w:rPr>
        <w:t>and motivated. It can be further supported with the help of digital tools such as mobile apps and wearable devices that remind them, gather the data, and offer feedback concerning the progress. The provision of diabetes care will shift towards being reactive rather than being proactive where patients and healthcare teams will work together and collaborate to patient empowerment. Individuals are likely to follow healthy behaviour and achieve long-term outcomes when they see the reasoning behind the lifestyle</w:t>
      </w:r>
      <w:r>
        <w:rPr>
          <w:rFonts w:ascii="Arial" w:hAnsi="Arial"/>
          <w:szCs w:val="24"/>
        </w:rPr>
        <w:t xml:space="preserve"> recommendations, as well as treatment strategies (Hofbauer et al., 2022). </w:t>
      </w:r>
    </w:p>
    <w:p xmlns:wp14="http://schemas.microsoft.com/office/word/2010/wordml" w:rsidR="00D646D5" w:rsidRDefault="00D646D5" w14:paraId="1C542F0C" wp14:textId="77777777">
      <w:pPr>
        <w:pStyle w:val="Heading1"/>
        <w:rPr>
          <w:rFonts w:ascii="Arial" w:hAnsi="Arial"/>
          <w:sz w:val="24"/>
          <w:szCs w:val="24"/>
        </w:rPr>
      </w:pPr>
      <w:r>
        <w:rPr>
          <w:rFonts w:ascii="Arial" w:hAnsi="Arial"/>
          <w:sz w:val="24"/>
          <w:szCs w:val="24"/>
        </w:rPr>
        <w:t>Clinical Implications and Prevention of Complications</w:t>
      </w:r>
    </w:p>
    <w:p xmlns:wp14="http://schemas.microsoft.com/office/word/2010/wordml" w:rsidR="00D646D5" w:rsidRDefault="00D646D5" w14:paraId="144F56B2" wp14:textId="77777777">
      <w:pPr>
        <w:rPr>
          <w:rFonts w:ascii="Arial" w:hAnsi="Arial"/>
          <w:szCs w:val="24"/>
        </w:rPr>
      </w:pPr>
      <w:r>
        <w:rPr>
          <w:rFonts w:ascii="Arial" w:hAnsi="Arial"/>
          <w:szCs w:val="24"/>
        </w:rPr>
        <w:t xml:space="preserve">The process of long-term management of the diabetes is not only focused on controlling the amount of sugar in the blood, but another aspect is the prevention of complications. Constant high blood sugar is harmful to big and small vessels resulting in a variety of health problems. The macro vascular or large-vessel complications include stroke, peripheral vascular disease, and myocardial infarction. In some ways, microvascular or small-vessel complications target the nerves, kidneys, and eyes in which they </w:t>
      </w:r>
      <w:r>
        <w:rPr>
          <w:rFonts w:ascii="Arial" w:hAnsi="Arial"/>
          <w:szCs w:val="24"/>
        </w:rPr>
        <w:t>result in complications, like diabetic retinopathy, nephropathy, and neuropathy. Close regulation of glycaemia reduces the risks of such complications (Lambrinoudaki et al., 2022).</w:t>
      </w:r>
    </w:p>
    <w:p xmlns:wp14="http://schemas.microsoft.com/office/word/2010/wordml" w:rsidR="00D646D5" w:rsidRDefault="00D646D5" w14:paraId="5982921E" wp14:textId="77777777">
      <w:pPr>
        <w:pStyle w:val="Heading1"/>
        <w:rPr>
          <w:rFonts w:ascii="Arial" w:hAnsi="Arial"/>
          <w:sz w:val="24"/>
          <w:szCs w:val="24"/>
        </w:rPr>
      </w:pPr>
      <w:bookmarkStart w:name="__RefHeading___Toc200101617" w:id="3"/>
      <w:bookmarkEnd w:id="3"/>
      <w:r>
        <w:rPr>
          <w:rFonts w:ascii="Arial" w:hAnsi="Arial"/>
          <w:sz w:val="24"/>
          <w:szCs w:val="24"/>
        </w:rPr>
        <w:t>CONCLUSION</w:t>
      </w:r>
    </w:p>
    <w:p xmlns:wp14="http://schemas.microsoft.com/office/word/2010/wordml" w:rsidR="00D646D5" w:rsidRDefault="00D646D5" w14:paraId="068EABF9" wp14:textId="77777777">
      <w:pPr>
        <w:rPr>
          <w:rFonts w:ascii="Arial" w:hAnsi="Arial"/>
          <w:szCs w:val="24"/>
        </w:rPr>
      </w:pPr>
      <w:r>
        <w:rPr>
          <w:rFonts w:ascii="Arial" w:hAnsi="Arial"/>
          <w:szCs w:val="24"/>
        </w:rPr>
        <w:t>Diabetes is a life long disease that takes lifelong attention, which is through education and control of lifestyle. The understanding of the physiological events of glucose control provides the patients with an idea of why certain behaviours and treatment are necessary. The cooperation of insulin and glucagon is aimed to stabilize the sugar level in the blood, the glucose and oxygen become the source of life. The measurements and measurements of the concentration of glucose in the blood will provide a help</w:t>
      </w:r>
      <w:r>
        <w:rPr>
          <w:rFonts w:ascii="Arial" w:hAnsi="Arial"/>
          <w:szCs w:val="24"/>
        </w:rPr>
        <w:t>ful insight into how diet, drugs and physical activity alter health. Lifestyle change, which is expressed in balanced diets, frequent physical exercises, healthy weights of the body, and smoking are the most effective interventions in management of diabetes and prevention of complications. Patient empowerment and education is also essential, because individuals are supposed to have the capacity of being directly implicated in the treatment of their own illnesses. With the appropriate assistance, learning, a</w:t>
      </w:r>
      <w:r>
        <w:rPr>
          <w:rFonts w:ascii="Arial" w:hAnsi="Arial"/>
          <w:szCs w:val="24"/>
        </w:rPr>
        <w:t xml:space="preserve">nd discipline, the diabetes sufferers might be able to live full and gratifying life and significantly fade the burden of the global menace disease. The management of diabetes has been best dealt with using holism which combined medical care, lifestyle changes and emotional support (Zhang et al., 2022). </w:t>
      </w:r>
    </w:p>
    <w:p xmlns:wp14="http://schemas.microsoft.com/office/word/2010/wordml" w:rsidR="00D646D5" w:rsidRDefault="00D646D5" w14:paraId="56462395" wp14:textId="77777777">
      <w:pPr>
        <w:pStyle w:val="Heading1"/>
        <w:pageBreakBefore/>
        <w:rPr>
          <w:rFonts w:ascii="Arial" w:hAnsi="Arial"/>
          <w:color w:val="auto"/>
          <w:sz w:val="24"/>
          <w:szCs w:val="24"/>
          <w:u w:val="single"/>
        </w:rPr>
      </w:pPr>
      <w:bookmarkStart w:name="__RefHeading___Toc200101618" w:id="4"/>
      <w:r>
        <w:rPr>
          <w:rFonts w:ascii="Arial" w:hAnsi="Arial"/>
          <w:sz w:val="24"/>
          <w:szCs w:val="24"/>
        </w:rPr>
        <w:t>REFERENCES</w:t>
      </w:r>
      <w:bookmarkEnd w:id="4"/>
      <w:r>
        <w:rPr>
          <w:rFonts w:ascii="Arial" w:hAnsi="Arial"/>
          <w:sz w:val="24"/>
          <w:szCs w:val="24"/>
        </w:rPr>
        <w:t xml:space="preserve"> </w:t>
      </w:r>
    </w:p>
    <w:p xmlns:wp14="http://schemas.microsoft.com/office/word/2010/wordml" w:rsidR="00D646D5" w:rsidRDefault="00D646D5" w14:paraId="6746BE41" wp14:textId="77777777">
      <w:pPr>
        <w:rPr>
          <w:rFonts w:ascii="Arial" w:hAnsi="Arial"/>
          <w:color w:val="auto"/>
          <w:szCs w:val="24"/>
          <w:shd w:val="clear" w:color="auto" w:fill="FFFFFF"/>
        </w:rPr>
      </w:pPr>
      <w:r>
        <w:rPr>
          <w:rFonts w:ascii="Arial" w:hAnsi="Arial"/>
          <w:color w:val="auto"/>
          <w:szCs w:val="24"/>
          <w:u w:val="single"/>
        </w:rPr>
        <w:t>Books and Journals</w:t>
      </w:r>
    </w:p>
    <w:p xmlns:wp14="http://schemas.microsoft.com/office/word/2010/wordml" w:rsidR="00D646D5" w:rsidRDefault="00D646D5" w14:paraId="7EE9B63D" wp14:textId="77777777">
      <w:pPr>
        <w:pStyle w:val="BodyText"/>
        <w:spacing w:line="100" w:lineRule="atLeast"/>
        <w:ind w:left="720" w:hanging="720"/>
        <w:rPr>
          <w:rFonts w:ascii="Arial" w:hAnsi="Arial"/>
        </w:rPr>
      </w:pPr>
      <w:r>
        <w:rPr>
          <w:rFonts w:ascii="Arial" w:hAnsi="Arial"/>
          <w:color w:val="auto"/>
          <w:szCs w:val="24"/>
          <w:shd w:val="clear" w:color="auto" w:fill="FFFFFF"/>
        </w:rPr>
        <w:t xml:space="preserve">American Diabetes Association (2022). Introduction: Standards of medical care in diabetes—2022. </w:t>
      </w:r>
      <w:r>
        <w:rPr>
          <w:rFonts w:ascii="Arial" w:hAnsi="Arial"/>
          <w:i/>
          <w:color w:val="auto"/>
          <w:szCs w:val="24"/>
          <w:shd w:val="clear" w:color="auto" w:fill="FFFFFF"/>
        </w:rPr>
        <w:t>Diabetes Care</w:t>
      </w:r>
      <w:r>
        <w:rPr>
          <w:rFonts w:ascii="Arial" w:hAnsi="Arial"/>
          <w:color w:val="auto"/>
          <w:szCs w:val="24"/>
          <w:shd w:val="clear" w:color="auto" w:fill="FFFFFF"/>
        </w:rPr>
        <w:t>, [online] 45(Supplement_1), pp.S1–S2. doi:</w:t>
      </w:r>
      <w:hyperlink w:history="1" r:id="rId7">
        <w:r>
          <w:rPr>
            <w:rStyle w:val="Hyperlink"/>
            <w:rFonts w:ascii="Arial" w:hAnsi="Arial"/>
            <w:color w:val="auto"/>
            <w:szCs w:val="24"/>
            <w:shd w:val="clear" w:color="auto" w:fill="FFFFFF"/>
          </w:rPr>
          <w:t>https://doi.org/10.2337/dc22-sint</w:t>
        </w:r>
      </w:hyperlink>
      <w:r>
        <w:rPr>
          <w:rFonts w:ascii="Arial" w:hAnsi="Arial"/>
          <w:color w:val="auto"/>
          <w:szCs w:val="24"/>
          <w:shd w:val="clear" w:color="auto" w:fill="FFFFFF"/>
        </w:rPr>
        <w:t xml:space="preserve">. </w:t>
      </w:r>
    </w:p>
    <w:p xmlns:wp14="http://schemas.microsoft.com/office/word/2010/wordml" w:rsidR="00D646D5" w:rsidRDefault="00D646D5" w14:paraId="20007A57" wp14:textId="77777777">
      <w:pPr>
        <w:pStyle w:val="BodyText"/>
        <w:spacing w:line="100" w:lineRule="atLeast"/>
        <w:rPr>
          <w:rFonts w:ascii="Arial" w:hAnsi="Arial"/>
        </w:rPr>
      </w:pPr>
      <w:r>
        <w:rPr>
          <w:rFonts w:ascii="Arial" w:hAnsi="Arial"/>
        </w:rPr>
        <w:t xml:space="preserve">Cloete, L. (2021). Diabetes mellitus: an overview of the types, symptoms, complications and management. </w:t>
      </w:r>
      <w:r>
        <w:rPr>
          <w:rFonts w:ascii="Arial" w:hAnsi="Arial"/>
          <w:i/>
        </w:rPr>
        <w:t>Nursing Standard</w:t>
      </w:r>
      <w:r>
        <w:rPr>
          <w:rFonts w:ascii="Arial" w:hAnsi="Arial"/>
        </w:rPr>
        <w:t>, [online] 37(1), pp.61–66. doi:</w:t>
      </w:r>
      <w:hyperlink w:history="1" r:id="rId8">
        <w:r>
          <w:rPr>
            <w:rStyle w:val="Hyperlink"/>
            <w:rFonts w:ascii="Arial" w:hAnsi="Arial"/>
          </w:rPr>
          <w:t>https://doi.org/10.7748/ns.2021.e11709</w:t>
        </w:r>
      </w:hyperlink>
      <w:r>
        <w:rPr>
          <w:rFonts w:ascii="Arial" w:hAnsi="Arial"/>
        </w:rPr>
        <w:t xml:space="preserve">. </w:t>
      </w:r>
    </w:p>
    <w:p xmlns:wp14="http://schemas.microsoft.com/office/word/2010/wordml" w:rsidR="00D646D5" w:rsidRDefault="00D646D5" w14:paraId="3AA619EE" wp14:textId="77777777">
      <w:pPr>
        <w:pStyle w:val="BodyText"/>
        <w:spacing w:line="100" w:lineRule="atLeast"/>
        <w:rPr>
          <w:rFonts w:ascii="Arial" w:hAnsi="Arial"/>
        </w:rPr>
      </w:pPr>
      <w:r>
        <w:rPr>
          <w:rFonts w:ascii="Arial" w:hAnsi="Arial"/>
        </w:rPr>
        <w:t xml:space="preserve">Drucker, D.J. (2024). Efficacy and Safety of GLP-1 Medicines for Type 2 Diabetes and Obesity. </w:t>
      </w:r>
      <w:r>
        <w:rPr>
          <w:rFonts w:ascii="Arial" w:hAnsi="Arial"/>
          <w:i/>
        </w:rPr>
        <w:t>Diabetes care</w:t>
      </w:r>
      <w:r>
        <w:rPr>
          <w:rFonts w:ascii="Arial" w:hAnsi="Arial"/>
        </w:rPr>
        <w:t>, [online] 47(11). doi:</w:t>
      </w:r>
      <w:hyperlink w:history="1" r:id="rId9">
        <w:r>
          <w:rPr>
            <w:rStyle w:val="Hyperlink"/>
            <w:rFonts w:ascii="Arial" w:hAnsi="Arial"/>
          </w:rPr>
          <w:t>https://doi.org/10.2337/dci24-0003</w:t>
        </w:r>
      </w:hyperlink>
      <w:r>
        <w:rPr>
          <w:rFonts w:ascii="Arial" w:hAnsi="Arial"/>
        </w:rPr>
        <w:t xml:space="preserve"> .</w:t>
      </w:r>
    </w:p>
    <w:p xmlns:wp14="http://schemas.microsoft.com/office/word/2010/wordml" w:rsidR="00D646D5" w:rsidRDefault="00D646D5" w14:paraId="2B3EB63D" wp14:textId="77777777">
      <w:pPr>
        <w:pStyle w:val="BodyText"/>
        <w:spacing w:line="100" w:lineRule="atLeast"/>
        <w:rPr>
          <w:rFonts w:ascii="Arial" w:hAnsi="Arial"/>
        </w:rPr>
      </w:pPr>
      <w:r>
        <w:rPr>
          <w:rFonts w:ascii="Arial" w:hAnsi="Arial"/>
        </w:rPr>
        <w:t xml:space="preserve">Hofbauer, L.C., Busse, B., Eastell, R., Ferrari, S., Frost, M., Müller, R., Burden, A.M., Rivadeneira, F., Napoli, N. and Rauner, M. (2022). Bone fragility in diabetes: novel concepts and clinical implications. </w:t>
      </w:r>
      <w:r>
        <w:rPr>
          <w:rFonts w:ascii="Arial" w:hAnsi="Arial"/>
          <w:i/>
        </w:rPr>
        <w:t>The Lancet Diabetes &amp; Endocrinology</w:t>
      </w:r>
      <w:r>
        <w:rPr>
          <w:rFonts w:ascii="Arial" w:hAnsi="Arial"/>
        </w:rPr>
        <w:t>, 10(3), pp.207–220. doi:</w:t>
      </w:r>
      <w:hyperlink w:history="1" r:id="rId10">
        <w:r>
          <w:rPr>
            <w:rStyle w:val="Hyperlink"/>
            <w:rFonts w:ascii="Arial" w:hAnsi="Arial"/>
          </w:rPr>
          <w:t>https://doi.org/10.1016/s2213-8587(21)00347-8</w:t>
        </w:r>
      </w:hyperlink>
      <w:r>
        <w:rPr>
          <w:rFonts w:ascii="Arial" w:hAnsi="Arial"/>
        </w:rPr>
        <w:t xml:space="preserve">. </w:t>
      </w:r>
    </w:p>
    <w:p xmlns:wp14="http://schemas.microsoft.com/office/word/2010/wordml" w:rsidR="00D646D5" w:rsidRDefault="00D646D5" w14:paraId="560265E5" wp14:textId="77777777">
      <w:pPr>
        <w:pStyle w:val="BodyText"/>
        <w:spacing w:line="100" w:lineRule="atLeast"/>
        <w:rPr>
          <w:rFonts w:ascii="Arial" w:hAnsi="Arial"/>
        </w:rPr>
      </w:pPr>
      <w:r>
        <w:rPr>
          <w:rFonts w:ascii="Arial" w:hAnsi="Arial"/>
        </w:rPr>
        <w:t xml:space="preserve">Kumar, A., Gangwar, R., Abrar Ahmad Zargar, Kumar, R. and Sharma, A. (2023). Prevalence of diabetes in India: A review of IDF Diabetes Atlas 10th edition. </w:t>
      </w:r>
      <w:r>
        <w:rPr>
          <w:rFonts w:ascii="Arial" w:hAnsi="Arial"/>
          <w:i/>
        </w:rPr>
        <w:t>Current Diabetes Reviews</w:t>
      </w:r>
      <w:r>
        <w:rPr>
          <w:rFonts w:ascii="Arial" w:hAnsi="Arial"/>
        </w:rPr>
        <w:t>, 19(10.2174/1573399819666230413094200). doi:</w:t>
      </w:r>
      <w:hyperlink w:history="1" r:id="rId11">
        <w:r>
          <w:rPr>
            <w:rStyle w:val="Hyperlink"/>
            <w:rFonts w:ascii="Arial" w:hAnsi="Arial"/>
          </w:rPr>
          <w:t>https://doi.org/10.2174/1573399819666230413094200</w:t>
        </w:r>
      </w:hyperlink>
      <w:r>
        <w:rPr>
          <w:rFonts w:ascii="Arial" w:hAnsi="Arial"/>
        </w:rPr>
        <w:t xml:space="preserve">. </w:t>
      </w:r>
    </w:p>
    <w:p xmlns:wp14="http://schemas.microsoft.com/office/word/2010/wordml" w:rsidR="00D646D5" w:rsidRDefault="00D646D5" w14:paraId="10B6CD31" wp14:textId="77777777">
      <w:pPr>
        <w:pStyle w:val="BodyText"/>
        <w:spacing w:line="100" w:lineRule="atLeast"/>
        <w:rPr>
          <w:rFonts w:ascii="Arial" w:hAnsi="Arial"/>
        </w:rPr>
      </w:pPr>
      <w:r>
        <w:rPr>
          <w:rFonts w:ascii="Arial" w:hAnsi="Arial"/>
        </w:rPr>
        <w:t xml:space="preserve">Lambrinoudaki, I., Paschou, S.A., Armeni, E. and Goulis, D.G. (2022). The interplay between diabetes mellitus and menopause: clinical implications. </w:t>
      </w:r>
      <w:r>
        <w:rPr>
          <w:rFonts w:ascii="Arial" w:hAnsi="Arial"/>
          <w:i/>
        </w:rPr>
        <w:t>Nature Reviews Endocrinology</w:t>
      </w:r>
      <w:r>
        <w:rPr>
          <w:rFonts w:ascii="Arial" w:hAnsi="Arial"/>
        </w:rPr>
        <w:t>, 18. doi:</w:t>
      </w:r>
      <w:hyperlink w:history="1" r:id="rId12">
        <w:r>
          <w:rPr>
            <w:rStyle w:val="Hyperlink"/>
            <w:rFonts w:ascii="Arial" w:hAnsi="Arial"/>
          </w:rPr>
          <w:t>https://doi.org/10.1038/s41574-022-00708-0</w:t>
        </w:r>
      </w:hyperlink>
      <w:r>
        <w:rPr>
          <w:rFonts w:ascii="Arial" w:hAnsi="Arial"/>
        </w:rPr>
        <w:t xml:space="preserve">. </w:t>
      </w:r>
    </w:p>
    <w:p xmlns:wp14="http://schemas.microsoft.com/office/word/2010/wordml" w:rsidR="00D646D5" w:rsidRDefault="00D646D5" w14:paraId="4933E6D0" wp14:textId="77777777">
      <w:pPr>
        <w:pStyle w:val="BodyText"/>
        <w:spacing w:line="100" w:lineRule="atLeast"/>
        <w:rPr>
          <w:rFonts w:ascii="Arial" w:hAnsi="Arial"/>
        </w:rPr>
      </w:pPr>
      <w:r>
        <w:rPr>
          <w:rFonts w:ascii="Arial" w:hAnsi="Arial"/>
        </w:rPr>
        <w:t xml:space="preserve">McIntyre, H.D. and Moses, R.G. (2020). Response to Comment on McIntyre and Moses The Diagnosis and Management of Gestational Diabetes Mellitus in the Context of the COVID-19 Pandemic. Diabetes Care 2020;43:1433–1434. </w:t>
      </w:r>
      <w:r>
        <w:rPr>
          <w:rFonts w:ascii="Arial" w:hAnsi="Arial"/>
          <w:i/>
        </w:rPr>
        <w:t>Diabetes Care</w:t>
      </w:r>
      <w:r>
        <w:rPr>
          <w:rFonts w:ascii="Arial" w:hAnsi="Arial"/>
        </w:rPr>
        <w:t>, 43(11), pp.e193–e193. doi:</w:t>
      </w:r>
      <w:hyperlink w:history="1" r:id="rId13">
        <w:r>
          <w:rPr>
            <w:rStyle w:val="Hyperlink"/>
            <w:rFonts w:ascii="Arial" w:hAnsi="Arial"/>
          </w:rPr>
          <w:t>https://doi.org/10.2337/dci20-0043</w:t>
        </w:r>
      </w:hyperlink>
      <w:r>
        <w:rPr>
          <w:rFonts w:ascii="Arial" w:hAnsi="Arial"/>
        </w:rPr>
        <w:t xml:space="preserve">. </w:t>
      </w:r>
    </w:p>
    <w:p xmlns:wp14="http://schemas.microsoft.com/office/word/2010/wordml" w:rsidR="00D646D5" w:rsidRDefault="00D646D5" w14:paraId="42540CCF" wp14:textId="77777777">
      <w:pPr>
        <w:pStyle w:val="BodyText"/>
        <w:spacing w:line="100" w:lineRule="atLeast"/>
        <w:rPr>
          <w:rFonts w:ascii="Arial" w:hAnsi="Arial"/>
        </w:rPr>
      </w:pPr>
      <w:r>
        <w:rPr>
          <w:rFonts w:ascii="Arial" w:hAnsi="Arial"/>
        </w:rPr>
        <w:t xml:space="preserve">Ogurtsova, K., Guariguata, L., Barengo, N.C., Lopez-Doriga Ruiz, P., Sacre, J.W., Karuranga, S., Sun, H., Boyko, E.J. and Magliano, D.J. (2021). IDF Diabetes Atlas: Global Estimates of Undiagnosed Diabetes in Adults for 2021. </w:t>
      </w:r>
      <w:r>
        <w:rPr>
          <w:rFonts w:ascii="Arial" w:hAnsi="Arial"/>
          <w:i/>
        </w:rPr>
        <w:t>Diabetes Research and Clinical Practice</w:t>
      </w:r>
      <w:r>
        <w:rPr>
          <w:rFonts w:ascii="Arial" w:hAnsi="Arial"/>
        </w:rPr>
        <w:t xml:space="preserve">, 183, p.109118. </w:t>
      </w:r>
    </w:p>
    <w:p xmlns:wp14="http://schemas.microsoft.com/office/word/2010/wordml" w:rsidR="00D646D5" w:rsidRDefault="00D646D5" w14:paraId="7573F006" wp14:textId="77777777">
      <w:pPr>
        <w:pStyle w:val="BodyText"/>
        <w:spacing w:line="100" w:lineRule="atLeast"/>
        <w:rPr>
          <w:rFonts w:ascii="Arial" w:hAnsi="Arial"/>
          <w:color w:val="auto"/>
          <w:szCs w:val="24"/>
          <w:shd w:val="clear" w:color="auto" w:fill="FFFFFF"/>
        </w:rPr>
      </w:pPr>
      <w:r>
        <w:rPr>
          <w:rFonts w:ascii="Arial" w:hAnsi="Arial"/>
        </w:rPr>
        <w:t xml:space="preserve">Zhang, R.M., Persson, F., McGill, J.B. and Rossing, P. (2022). Clinical implications and guidelines for CKD in type 2 diabetes. </w:t>
      </w:r>
      <w:r>
        <w:rPr>
          <w:rFonts w:ascii="Arial" w:hAnsi="Arial"/>
          <w:i/>
        </w:rPr>
        <w:t>Nephrology Dialysis Transplantation</w:t>
      </w:r>
      <w:r>
        <w:rPr>
          <w:rFonts w:ascii="Arial" w:hAnsi="Arial"/>
        </w:rPr>
        <w:t>, [online] 38(3), pp.542–550. doi:</w:t>
      </w:r>
      <w:hyperlink w:history="1" r:id="rId14">
        <w:r>
          <w:rPr>
            <w:rStyle w:val="Hyperlink"/>
            <w:rFonts w:ascii="Arial" w:hAnsi="Arial"/>
          </w:rPr>
          <w:t>https://doi.org/10.1093/ndt/gfac285</w:t>
        </w:r>
      </w:hyperlink>
      <w:r>
        <w:rPr>
          <w:rFonts w:ascii="Arial" w:hAnsi="Arial"/>
        </w:rPr>
        <w:t xml:space="preserve">. </w:t>
      </w:r>
    </w:p>
    <w:p xmlns:wp14="http://schemas.microsoft.com/office/word/2010/wordml" w:rsidR="00D646D5" w:rsidRDefault="00D646D5" w14:paraId="72A3D3EC" wp14:textId="77777777">
      <w:pPr>
        <w:spacing w:line="240" w:lineRule="auto"/>
        <w:ind w:left="720" w:hanging="720"/>
        <w:rPr>
          <w:rFonts w:ascii="Arial" w:hAnsi="Arial"/>
          <w:color w:val="auto"/>
          <w:szCs w:val="24"/>
          <w:shd w:val="clear" w:color="auto" w:fill="FFFFFF"/>
        </w:rPr>
      </w:pPr>
    </w:p>
    <w:p xmlns:wp14="http://schemas.microsoft.com/office/word/2010/wordml" w:rsidR="00D646D5" w:rsidRDefault="00D646D5" w14:paraId="0D0B940D" wp14:textId="77777777">
      <w:pPr>
        <w:spacing w:line="240" w:lineRule="auto"/>
        <w:ind w:left="720" w:hanging="720"/>
        <w:rPr>
          <w:rFonts w:ascii="Arial" w:hAnsi="Arial"/>
          <w:color w:val="auto"/>
          <w:szCs w:val="24"/>
          <w:shd w:val="clear" w:color="auto" w:fill="FFFFFF"/>
        </w:rPr>
      </w:pPr>
    </w:p>
    <w:p xmlns:wp14="http://schemas.microsoft.com/office/word/2010/wordml" w:rsidR="00D646D5" w:rsidRDefault="00D646D5" w14:paraId="0E27B00A" wp14:textId="77777777">
      <w:pPr>
        <w:spacing w:line="240" w:lineRule="auto"/>
        <w:ind w:left="720" w:hanging="720"/>
        <w:rPr>
          <w:rFonts w:ascii="Arial" w:hAnsi="Arial"/>
          <w:color w:val="auto"/>
          <w:szCs w:val="24"/>
          <w:shd w:val="clear" w:color="auto" w:fill="FFFFFF"/>
        </w:rPr>
      </w:pPr>
    </w:p>
    <w:p xmlns:wp14="http://schemas.microsoft.com/office/word/2010/wordml" w:rsidR="00D646D5" w:rsidRDefault="00D646D5" w14:paraId="60061E4C" wp14:textId="77777777">
      <w:pPr>
        <w:spacing w:line="240" w:lineRule="auto"/>
        <w:ind w:left="720" w:hanging="720"/>
        <w:rPr>
          <w:rFonts w:ascii="Arial" w:hAnsi="Arial"/>
          <w:color w:val="auto"/>
          <w:szCs w:val="24"/>
          <w:shd w:val="clear" w:color="auto" w:fill="FFFFFF"/>
        </w:rPr>
      </w:pPr>
    </w:p>
    <w:p xmlns:wp14="http://schemas.microsoft.com/office/word/2010/wordml" w:rsidR="00D646D5" w:rsidRDefault="00D646D5" w14:paraId="44EAFD9C" wp14:textId="77777777">
      <w:pPr>
        <w:spacing w:line="240" w:lineRule="auto"/>
        <w:ind w:left="720" w:hanging="720"/>
        <w:rPr>
          <w:rFonts w:ascii="Arial" w:hAnsi="Arial"/>
          <w:color w:val="auto"/>
          <w:szCs w:val="24"/>
          <w:shd w:val="clear" w:color="auto" w:fill="FFFFFF"/>
        </w:rPr>
      </w:pPr>
    </w:p>
    <w:p xmlns:wp14="http://schemas.microsoft.com/office/word/2010/wordml" w:rsidR="00D646D5" w:rsidRDefault="00D646D5" w14:paraId="4B94D5A5" wp14:textId="77777777">
      <w:pPr>
        <w:spacing w:line="240" w:lineRule="auto"/>
        <w:ind w:left="720" w:hanging="720"/>
        <w:rPr>
          <w:rFonts w:ascii="Arial" w:hAnsi="Arial"/>
          <w:color w:val="auto"/>
          <w:szCs w:val="24"/>
          <w:u w:val="single"/>
          <w:shd w:val="clear" w:color="auto" w:fill="FFFFFF"/>
        </w:rPr>
      </w:pPr>
    </w:p>
    <w:p xmlns:wp14="http://schemas.microsoft.com/office/word/2010/wordml" w:rsidR="00D646D5" w:rsidRDefault="00D646D5" w14:paraId="3DEEC669" wp14:textId="77777777">
      <w:pPr>
        <w:spacing w:line="240" w:lineRule="auto"/>
        <w:ind w:left="720" w:hanging="720"/>
        <w:rPr>
          <w:rFonts w:ascii="Arial" w:hAnsi="Arial"/>
          <w:color w:val="auto"/>
          <w:szCs w:val="24"/>
          <w:shd w:val="clear" w:color="auto" w:fill="FFFFFF"/>
        </w:rPr>
      </w:pPr>
    </w:p>
    <w:p xmlns:wp14="http://schemas.microsoft.com/office/word/2010/wordml" w:rsidR="00D646D5" w:rsidRDefault="00D646D5" w14:paraId="3656B9AB" wp14:textId="77777777">
      <w:pPr>
        <w:rPr>
          <w:rFonts w:ascii="Arial" w:hAnsi="Arial"/>
          <w:szCs w:val="24"/>
        </w:rPr>
      </w:pPr>
    </w:p>
    <w:p xmlns:wp14="http://schemas.microsoft.com/office/word/2010/wordml" w:rsidR="00D646D5" w:rsidRDefault="00D646D5" w14:paraId="45FB0818" wp14:textId="77777777">
      <w:pPr>
        <w:spacing w:line="240" w:lineRule="auto"/>
        <w:ind w:left="720" w:hanging="720"/>
        <w:rPr>
          <w:rFonts w:ascii="Arial" w:hAnsi="Arial"/>
          <w:color w:val="auto"/>
          <w:szCs w:val="24"/>
          <w:shd w:val="clear" w:color="auto" w:fill="FFFFFF"/>
        </w:rPr>
      </w:pPr>
      <w:r>
        <w:rPr>
          <w:rFonts w:ascii="Arial" w:hAnsi="Arial"/>
          <w:color w:val="auto"/>
          <w:szCs w:val="24"/>
          <w:shd w:val="clear" w:color="auto" w:fill="FFFFFF"/>
        </w:rPr>
        <w:tab/>
      </w:r>
    </w:p>
    <w:p xmlns:wp14="http://schemas.microsoft.com/office/word/2010/wordml" w:rsidR="00D646D5" w:rsidRDefault="00D646D5" w14:paraId="049F31CB" wp14:textId="77777777">
      <w:pPr>
        <w:spacing w:line="240" w:lineRule="auto"/>
        <w:ind w:left="720" w:hanging="720"/>
        <w:rPr>
          <w:rFonts w:ascii="Arial" w:hAnsi="Arial"/>
          <w:color w:val="auto"/>
          <w:szCs w:val="24"/>
          <w:shd w:val="clear" w:color="auto" w:fill="FFFFFF"/>
        </w:rPr>
      </w:pPr>
    </w:p>
    <w:p xmlns:wp14="http://schemas.microsoft.com/office/word/2010/wordml" w:rsidR="00D646D5" w:rsidRDefault="00D646D5" w14:paraId="53128261" wp14:textId="77777777">
      <w:pPr>
        <w:spacing w:line="240" w:lineRule="auto"/>
        <w:ind w:left="720" w:hanging="720"/>
        <w:rPr>
          <w:rFonts w:ascii="Arial" w:hAnsi="Arial"/>
          <w:szCs w:val="24"/>
          <w:lang w:val="en-IN"/>
        </w:rPr>
      </w:pPr>
    </w:p>
    <w:p xmlns:wp14="http://schemas.microsoft.com/office/word/2010/wordml" w:rsidR="00D646D5" w:rsidRDefault="00D646D5" w14:paraId="62486C05" wp14:textId="77777777">
      <w:pPr>
        <w:spacing w:line="240" w:lineRule="auto"/>
        <w:ind w:left="720" w:hanging="720"/>
        <w:rPr>
          <w:rFonts w:ascii="Arial" w:hAnsi="Arial"/>
          <w:szCs w:val="24"/>
        </w:rPr>
      </w:pPr>
    </w:p>
    <w:p xmlns:wp14="http://schemas.microsoft.com/office/word/2010/wordml" w:rsidR="00D646D5" w:rsidRDefault="00D646D5" w14:paraId="4101652C" wp14:textId="77777777">
      <w:pPr>
        <w:rPr>
          <w:rFonts w:ascii="Arial" w:hAnsi="Arial"/>
          <w:szCs w:val="24"/>
          <w:lang w:val="en-IN"/>
        </w:rPr>
      </w:pPr>
    </w:p>
    <w:p xmlns:wp14="http://schemas.microsoft.com/office/word/2010/wordml" w:rsidR="00D646D5" w:rsidRDefault="00D646D5" w14:paraId="4B99056E" wp14:textId="77777777">
      <w:pPr>
        <w:rPr>
          <w:rFonts w:ascii="Arial" w:hAnsi="Arial"/>
          <w:szCs w:val="24"/>
        </w:rPr>
      </w:pPr>
    </w:p>
    <w:p xmlns:wp14="http://schemas.microsoft.com/office/word/2010/wordml" w:rsidR="00D646D5" w:rsidRDefault="00D646D5" w14:paraId="1299C43A" wp14:textId="77777777">
      <w:pPr>
        <w:rPr>
          <w:rFonts w:ascii="Arial" w:hAnsi="Arial"/>
          <w:szCs w:val="24"/>
        </w:rPr>
      </w:pPr>
    </w:p>
    <w:p xmlns:wp14="http://schemas.microsoft.com/office/word/2010/wordml" w:rsidR="00D646D5" w:rsidRDefault="00D646D5" w14:paraId="4DDBEF00" wp14:textId="77777777">
      <w:pPr>
        <w:rPr>
          <w:rFonts w:ascii="Arial" w:hAnsi="Arial"/>
          <w:szCs w:val="24"/>
          <w:lang w:val="en-IN"/>
        </w:rPr>
      </w:pPr>
    </w:p>
    <w:p xmlns:wp14="http://schemas.microsoft.com/office/word/2010/wordml" w:rsidR="00D646D5" w:rsidRDefault="00D646D5" w14:paraId="3461D779" wp14:textId="77777777">
      <w:pPr>
        <w:rPr>
          <w:rFonts w:ascii="Arial" w:hAnsi="Arial"/>
          <w:szCs w:val="24"/>
        </w:rPr>
      </w:pPr>
    </w:p>
    <w:p xmlns:wp14="http://schemas.microsoft.com/office/word/2010/wordml" w:rsidR="00D646D5" w:rsidRDefault="00D646D5" w14:paraId="3CF2D8B6" wp14:textId="77777777">
      <w:pPr>
        <w:rPr>
          <w:rFonts w:ascii="Arial" w:hAnsi="Arial"/>
          <w:b/>
          <w:bCs/>
          <w:szCs w:val="24"/>
        </w:rPr>
      </w:pPr>
    </w:p>
    <w:p xmlns:wp14="http://schemas.microsoft.com/office/word/2010/wordml" w:rsidR="00D646D5" w:rsidRDefault="00D646D5" w14:paraId="0FB78278" wp14:textId="77777777">
      <w:pPr>
        <w:spacing w:line="240" w:lineRule="auto"/>
        <w:ind w:left="720" w:hanging="720"/>
        <w:rPr>
          <w:rFonts w:ascii="Arial" w:hAnsi="Arial"/>
          <w:color w:val="auto"/>
          <w:szCs w:val="24"/>
          <w:shd w:val="clear" w:color="auto" w:fill="FFFFFF"/>
        </w:rPr>
      </w:pPr>
    </w:p>
    <w:p xmlns:wp14="http://schemas.microsoft.com/office/word/2010/wordml" w:rsidR="00D646D5" w:rsidRDefault="00D646D5" w14:paraId="1FC39945" wp14:textId="77777777">
      <w:pPr>
        <w:spacing w:line="240" w:lineRule="auto"/>
        <w:ind w:left="720" w:hanging="720"/>
        <w:rPr>
          <w:rFonts w:ascii="Arial" w:hAnsi="Arial"/>
          <w:color w:val="auto"/>
          <w:szCs w:val="24"/>
          <w:shd w:val="clear" w:color="auto" w:fill="FFFFFF"/>
        </w:rPr>
      </w:pPr>
    </w:p>
    <w:p xmlns:wp14="http://schemas.microsoft.com/office/word/2010/wordml" w:rsidR="00D646D5" w:rsidRDefault="00D646D5" w14:paraId="0562CB0E" wp14:textId="77777777">
      <w:pPr>
        <w:rPr>
          <w:rFonts w:ascii="Arial" w:hAnsi="Arial"/>
          <w:szCs w:val="24"/>
        </w:rPr>
      </w:pPr>
    </w:p>
    <w:p xmlns:wp14="http://schemas.microsoft.com/office/word/2010/wordml" w:rsidR="00D646D5" w:rsidRDefault="00D646D5" w14:paraId="34CE0A41" wp14:textId="77777777"/>
    <w:sectPr w:rsidR="00D646D5">
      <w:footerReference w:type="default" r:id="rId15"/>
      <w:pgSz w:w="12240" w:h="15840" w:orient="portrait"/>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D646D5" w:rsidRDefault="00D646D5" w14:paraId="62EBF3C5" wp14:textId="77777777">
      <w:pPr>
        <w:spacing w:line="240" w:lineRule="auto"/>
      </w:pPr>
      <w:r>
        <w:separator/>
      </w:r>
    </w:p>
  </w:endnote>
  <w:endnote w:type="continuationSeparator" w:id="0">
    <w:p xmlns:wp14="http://schemas.microsoft.com/office/word/2010/wordml" w:rsidR="00D646D5" w:rsidRDefault="00D646D5" w14:paraId="6D98A12B"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Yu Gothic"/>
    <w:charset w:val="8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charset w:val="80"/>
    <w:family w:val="roman"/>
    <w:pitch w:val="variable"/>
  </w:font>
  <w:font w:name="DejaVu Sans Mono">
    <w:charset w:val="80"/>
    <w:family w:val="modern"/>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D646D5" w:rsidRDefault="00D646D5" w14:paraId="05723246" wp14:textId="77777777">
    <w:pPr>
      <w:pStyle w:val="Footer"/>
      <w:jc w:val="center"/>
    </w:pPr>
    <w:r>
      <w:fldChar w:fldCharType="begin"/>
    </w:r>
    <w:r>
      <w:instrText xml:space="preserve"> PAGE </w:instrText>
    </w:r>
    <w:r>
      <w:fldChar w:fldCharType="separate"/>
    </w:r>
    <w:r>
      <w:t>11</w:t>
    </w:r>
    <w:r>
      <w:fldChar w:fldCharType="end"/>
    </w:r>
  </w:p>
  <w:p xmlns:wp14="http://schemas.microsoft.com/office/word/2010/wordml" w:rsidR="00D646D5" w:rsidRDefault="00D646D5" w14:paraId="110FFD37"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D646D5" w:rsidRDefault="00D646D5" w14:paraId="2946DB82" wp14:textId="77777777">
      <w:pPr>
        <w:spacing w:line="240" w:lineRule="auto"/>
      </w:pPr>
      <w:r>
        <w:separator/>
      </w:r>
    </w:p>
  </w:footnote>
  <w:footnote w:type="continuationSeparator" w:id="0">
    <w:p xmlns:wp14="http://schemas.microsoft.com/office/word/2010/wordml" w:rsidR="00D646D5" w:rsidRDefault="00D646D5" w14:paraId="5997CC1D"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eastAsia="Droid Sans"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778329924">
    <w:abstractNumId w:val="0"/>
  </w:num>
  <w:num w:numId="2" w16cid:durableId="22545448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normal"/>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B7C"/>
    <w:rsid w:val="00CB1B7C"/>
    <w:rsid w:val="00D646D5"/>
    <w:rsid w:val="0197B456"/>
    <w:rsid w:val="450A3DA1"/>
    <w:rsid w:val="48D2C61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AAE5B4C"/>
  <w15:chartTrackingRefBased/>
  <w15:docId w15:val="{D0C8AD3B-9711-42B8-96A9-2E296EF068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eastAsia="Droid Sans" w:cs="OpenSymbol"/>
      <w:sz w:val="28"/>
      <w:szCs w:val="24"/>
      <w:lang w:val="en-GB"/>
    </w:rPr>
  </w:style>
  <w:style w:type="character" w:styleId="WW8Num2z1" w:customStyle="1">
    <w:name w:val="WW8Num2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lang w:val="en-GB"/>
    </w:rPr>
  </w:style>
  <w:style w:type="character" w:styleId="WW8Num3z1" w:customStyle="1">
    <w:name w:val="WW8Num3z1"/>
    <w:rPr>
      <w:rFonts w:ascii="OpenSymbol" w:hAnsi="OpenSymbol" w:cs="OpenSymbol"/>
    </w:rPr>
  </w:style>
  <w:style w:type="character" w:styleId="WW8Num3z2" w:customStyle="1">
    <w:name w:val="WW8Num3z2"/>
    <w:rPr>
      <w:rFonts w:hint="default" w:ascii="Wingdings" w:hAnsi="Wingdings" w:cs="Wingdings"/>
    </w:rPr>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0" w:customStyle="1">
    <w:name w:val="WW8Num4z0"/>
    <w:rPr>
      <w:rFonts w:cs="Times New Roman"/>
      <w:lang w:val="en-GB"/>
    </w:rPr>
  </w:style>
  <w:style w:type="character" w:styleId="WW8Num4z1" w:customStyle="1">
    <w:name w:val="WW8Num4z1"/>
  </w:style>
  <w:style w:type="character" w:styleId="WW8Num4z2" w:customStyle="1">
    <w:name w:val="WW8Num4z2"/>
  </w:style>
  <w:style w:type="character" w:styleId="WW8Num5z0" w:customStyle="1">
    <w:name w:val="WW8Num5z0"/>
    <w:rPr>
      <w:rFonts w:ascii="Symbol" w:hAnsi="Symbol" w:cs="OpenSymbol"/>
    </w:rPr>
  </w:style>
  <w:style w:type="character" w:styleId="WW8Num5z1" w:customStyle="1">
    <w:name w:val="WW8Num5z1"/>
    <w:rPr>
      <w:rFonts w:ascii="OpenSymbol" w:hAnsi="OpenSymbol" w:cs="OpenSymbol"/>
    </w:rPr>
  </w:style>
  <w:style w:type="character" w:styleId="WW8Num5z2" w:customStyle="1">
    <w:name w:val="WW8Num5z2"/>
    <w:rPr>
      <w:rFonts w:hint="default" w:ascii="Wingdings" w:hAnsi="Wingdings" w:cs="Wingdings"/>
    </w:rPr>
  </w:style>
  <w:style w:type="character" w:styleId="WW8Num5z3" w:customStyle="1">
    <w:name w:val="WW8Num5z3"/>
  </w:style>
  <w:style w:type="character" w:styleId="WW8Num5z4" w:customStyle="1">
    <w:name w:val="WW8Num5z4"/>
  </w:style>
  <w:style w:type="character" w:styleId="WW8Num5z5" w:customStyle="1">
    <w:name w:val="WW8Num5z5"/>
  </w:style>
  <w:style w:type="character" w:styleId="WW8Num5z6" w:customStyle="1">
    <w:name w:val="WW8Num5z6"/>
  </w:style>
  <w:style w:type="character" w:styleId="WW8Num5z7" w:customStyle="1">
    <w:name w:val="WW8Num5z7"/>
  </w:style>
  <w:style w:type="character" w:styleId="WW8Num5z8" w:customStyle="1">
    <w:name w:val="WW8Num5z8"/>
  </w:style>
  <w:style w:type="character" w:styleId="WW8Num6z0" w:customStyle="1">
    <w:name w:val="WW8Num6z0"/>
    <w:rPr>
      <w:rFonts w:ascii="Symbol" w:hAnsi="Symbol" w:eastAsia="Droid Sans" w:cs="OpenSymbol"/>
      <w:szCs w:val="24"/>
    </w:rPr>
  </w:style>
  <w:style w:type="character" w:styleId="WW8Num6z1" w:customStyle="1">
    <w:name w:val="WW8Num6z1"/>
    <w:rPr>
      <w:rFonts w:ascii="OpenSymbol" w:hAnsi="OpenSymbol" w:cs="OpenSymbol"/>
    </w:rPr>
  </w:style>
  <w:style w:type="character" w:styleId="WW8Num6z2" w:customStyle="1">
    <w:name w:val="WW8Num6z2"/>
    <w:rPr>
      <w:rFonts w:hint="default" w:ascii="Wingdings" w:hAnsi="Wingdings" w:cs="Wingdings"/>
    </w:rPr>
  </w:style>
  <w:style w:type="character" w:styleId="WW8Num7z0" w:customStyle="1">
    <w:name w:val="WW8Num7z0"/>
    <w:rPr>
      <w:rFonts w:ascii="Symbol" w:hAnsi="Symbol" w:cs="OpenSymbol"/>
      <w:color w:val="ED7D31"/>
    </w:rPr>
  </w:style>
  <w:style w:type="character" w:styleId="WW8Num7z1" w:customStyle="1">
    <w:name w:val="WW8Num7z1"/>
    <w:rPr>
      <w:rFonts w:ascii="OpenSymbol" w:hAnsi="OpenSymbol" w:cs="OpenSymbol"/>
    </w:rPr>
  </w:style>
  <w:style w:type="character" w:styleId="WW8Num7z2" w:customStyle="1">
    <w:name w:val="WW8Num7z2"/>
  </w:style>
  <w:style w:type="character" w:styleId="WW8Num8z0" w:customStyle="1">
    <w:name w:val="WW8Num8z0"/>
    <w:rPr>
      <w:rFonts w:ascii="Symbol" w:hAnsi="Symbol" w:cs="OpenSymbol"/>
      <w:caps w:val="0"/>
      <w:smallCaps w:val="0"/>
      <w:color w:val="ED7D31"/>
      <w:spacing w:val="0"/>
      <w:sz w:val="24"/>
    </w:rPr>
  </w:style>
  <w:style w:type="character" w:styleId="WW8Num8z1" w:customStyle="1">
    <w:name w:val="WW8Num8z1"/>
    <w:rPr>
      <w:rFonts w:ascii="OpenSymbol" w:hAnsi="OpenSymbol" w:cs="OpenSymbol"/>
    </w:rPr>
  </w:style>
  <w:style w:type="character" w:styleId="WW8Num8z2" w:customStyle="1">
    <w:name w:val="WW8Num8z2"/>
    <w:rPr>
      <w:rFonts w:hint="default" w:ascii="Wingdings" w:hAnsi="Wingdings" w:cs="Wingdings"/>
    </w:rPr>
  </w:style>
  <w:style w:type="character" w:styleId="WW8Num9z0" w:customStyle="1">
    <w:name w:val="WW8Num9z0"/>
    <w:rPr>
      <w:rFonts w:ascii="Symbol" w:hAnsi="Symbol" w:eastAsia="Droid Sans" w:cs="OpenSymbol"/>
      <w:color w:val="ED7D31"/>
      <w:szCs w:val="24"/>
    </w:rPr>
  </w:style>
  <w:style w:type="character" w:styleId="WW8Num9z1" w:customStyle="1">
    <w:name w:val="WW8Num9z1"/>
    <w:rPr>
      <w:rFonts w:ascii="OpenSymbol" w:hAnsi="OpenSymbol" w:cs="OpenSymbol"/>
    </w:rPr>
  </w:style>
  <w:style w:type="character" w:styleId="WW8Num9z2" w:customStyle="1">
    <w:name w:val="WW8Num9z2"/>
    <w:rPr>
      <w:rFonts w:hint="default" w:ascii="Wingdings" w:hAnsi="Wingdings" w:cs="Wingdings"/>
    </w:rPr>
  </w:style>
  <w:style w:type="character" w:styleId="WW8Num10z0" w:customStyle="1">
    <w:name w:val="WW8Num10z0"/>
    <w:rPr>
      <w:rFonts w:hint="default" w:ascii="Symbol" w:hAnsi="Symbol" w:cs="Symbol"/>
    </w:rPr>
  </w:style>
  <w:style w:type="character" w:styleId="WW8Num10z1" w:customStyle="1">
    <w:name w:val="WW8Num10z1"/>
    <w:rPr>
      <w:rFonts w:hint="default" w:ascii="Courier New" w:hAnsi="Courier New" w:cs="Courier New"/>
    </w:rPr>
  </w:style>
  <w:style w:type="character" w:styleId="WW8Num10z2" w:customStyle="1">
    <w:name w:val="WW8Num10z2"/>
    <w:rPr>
      <w:rFonts w:hint="default" w:ascii="Wingdings" w:hAnsi="Wingdings" w:cs="Wingdings"/>
    </w:rPr>
  </w:style>
  <w:style w:type="character" w:styleId="WW8Num11z0" w:customStyle="1">
    <w:name w:val="WW8Num11z0"/>
    <w:rPr>
      <w:rFonts w:hint="default" w:ascii="Symbol" w:hAnsi="Symbol" w:cs="Symbol"/>
    </w:rPr>
  </w:style>
  <w:style w:type="character" w:styleId="WW8Num11z1" w:customStyle="1">
    <w:name w:val="WW8Num11z1"/>
    <w:rPr>
      <w:rFonts w:hint="default" w:ascii="Courier New" w:hAnsi="Courier New" w:cs="Courier New"/>
    </w:rPr>
  </w:style>
  <w:style w:type="character" w:styleId="WW8Num11z2" w:customStyle="1">
    <w:name w:val="WW8Num11z2"/>
    <w:rPr>
      <w:rFonts w:hint="default" w:ascii="Wingdings" w:hAnsi="Wingdings" w:cs="Wingdings"/>
    </w:rPr>
  </w:style>
  <w:style w:type="character" w:styleId="WW8Num12z0" w:customStyle="1">
    <w:name w:val="WW8Num12z0"/>
    <w:rPr>
      <w:rFonts w:hint="default" w:ascii="Symbol" w:hAnsi="Symbol" w:cs="Symbol"/>
    </w:rPr>
  </w:style>
  <w:style w:type="character" w:styleId="WW8Num12z1" w:customStyle="1">
    <w:name w:val="WW8Num12z1"/>
    <w:rPr>
      <w:rFonts w:hint="default" w:ascii="Courier New" w:hAnsi="Courier New" w:cs="Courier New"/>
    </w:rPr>
  </w:style>
  <w:style w:type="character" w:styleId="WW8Num12z2" w:customStyle="1">
    <w:name w:val="WW8Num12z2"/>
    <w:rPr>
      <w:rFonts w:hint="default" w:ascii="Wingdings" w:hAnsi="Wingdings" w:cs="Wingdings"/>
    </w:rPr>
  </w:style>
  <w:style w:type="character" w:styleId="WW8Num13z0" w:customStyle="1">
    <w:name w:val="WW8Num13z0"/>
  </w:style>
  <w:style w:type="character" w:styleId="WW8Num13z1" w:customStyle="1">
    <w:name w:val="WW8Num13z1"/>
  </w:style>
  <w:style w:type="character" w:styleId="WW8Num13z2" w:customStyle="1">
    <w:name w:val="WW8Num13z2"/>
  </w:style>
  <w:style w:type="character" w:styleId="WW8Num13z3" w:customStyle="1">
    <w:name w:val="WW8Num13z3"/>
  </w:style>
  <w:style w:type="character" w:styleId="WW8Num13z4" w:customStyle="1">
    <w:name w:val="WW8Num13z4"/>
  </w:style>
  <w:style w:type="character" w:styleId="WW8Num13z5" w:customStyle="1">
    <w:name w:val="WW8Num13z5"/>
  </w:style>
  <w:style w:type="character" w:styleId="WW8Num13z6" w:customStyle="1">
    <w:name w:val="WW8Num13z6"/>
  </w:style>
  <w:style w:type="character" w:styleId="WW8Num13z7" w:customStyle="1">
    <w:name w:val="WW8Num13z7"/>
  </w:style>
  <w:style w:type="character" w:styleId="WW8Num13z8" w:customStyle="1">
    <w:name w:val="WW8Num13z8"/>
  </w:style>
  <w:style w:type="character" w:styleId="WW8Num14z0" w:customStyle="1">
    <w:name w:val="WW8Num14z0"/>
    <w:rPr>
      <w:rFonts w:hint="default" w:ascii="Symbol" w:hAnsi="Symbol" w:cs="Symbol"/>
    </w:rPr>
  </w:style>
  <w:style w:type="character" w:styleId="WW8Num14z1" w:customStyle="1">
    <w:name w:val="WW8Num14z1"/>
    <w:rPr>
      <w:rFonts w:hint="default" w:ascii="Courier New" w:hAnsi="Courier New" w:cs="Courier New"/>
    </w:rPr>
  </w:style>
  <w:style w:type="character" w:styleId="WW8Num14z2" w:customStyle="1">
    <w:name w:val="WW8Num14z2"/>
    <w:rPr>
      <w:rFonts w:hint="default" w:ascii="Wingdings" w:hAnsi="Wingdings" w:cs="Wingdings"/>
    </w:rPr>
  </w:style>
  <w:style w:type="character" w:styleId="WW8Num15z0" w:customStyle="1">
    <w:name w:val="WW8Num15z0"/>
    <w:rPr>
      <w:rFonts w:hint="default" w:ascii="Symbol" w:hAnsi="Symbol" w:cs="Symbol"/>
    </w:rPr>
  </w:style>
  <w:style w:type="character" w:styleId="WW8Num15z1" w:customStyle="1">
    <w:name w:val="WW8Num15z1"/>
    <w:rPr>
      <w:rFonts w:hint="default" w:ascii="Courier New" w:hAnsi="Courier New" w:cs="Courier New"/>
    </w:rPr>
  </w:style>
  <w:style w:type="character" w:styleId="WW8Num15z2" w:customStyle="1">
    <w:name w:val="WW8Num15z2"/>
    <w:rPr>
      <w:rFonts w:hint="default" w:ascii="Wingdings" w:hAnsi="Wingdings" w:cs="Wingdings"/>
    </w:rPr>
  </w:style>
  <w:style w:type="character" w:styleId="WW8Num16z0" w:customStyle="1">
    <w:name w:val="WW8Num16z0"/>
    <w:rPr>
      <w:rFonts w:hint="default" w:ascii="Symbol" w:hAnsi="Symbol" w:cs="Symbol"/>
    </w:rPr>
  </w:style>
  <w:style w:type="character" w:styleId="WW8Num16z1" w:customStyle="1">
    <w:name w:val="WW8Num16z1"/>
    <w:rPr>
      <w:rFonts w:hint="default" w:ascii="Courier New" w:hAnsi="Courier New" w:cs="Courier New"/>
    </w:rPr>
  </w:style>
  <w:style w:type="character" w:styleId="WW8Num16z2" w:customStyle="1">
    <w:name w:val="WW8Num16z2"/>
    <w:rPr>
      <w:rFonts w:hint="default" w:ascii="Wingdings" w:hAnsi="Wingdings" w:cs="Wingdings"/>
    </w:rPr>
  </w:style>
  <w:style w:type="character" w:styleId="WW8Num17z0" w:customStyle="1">
    <w:name w:val="WW8Num17z0"/>
    <w:rPr>
      <w:rFonts w:hint="default" w:ascii="Symbol" w:hAnsi="Symbol" w:cs="Symbol"/>
    </w:rPr>
  </w:style>
  <w:style w:type="character" w:styleId="WW8Num17z1" w:customStyle="1">
    <w:name w:val="WW8Num17z1"/>
    <w:rPr>
      <w:rFonts w:hint="default" w:ascii="Courier New" w:hAnsi="Courier New" w:cs="Courier New"/>
    </w:rPr>
  </w:style>
  <w:style w:type="character" w:styleId="WW8Num17z2" w:customStyle="1">
    <w:name w:val="WW8Num17z2"/>
    <w:rPr>
      <w:rFonts w:hint="default" w:ascii="Wingdings" w:hAnsi="Wingdings" w:cs="Wingdings"/>
    </w:rPr>
  </w:style>
  <w:style w:type="character" w:styleId="WW8Num18z0" w:customStyle="1">
    <w:name w:val="WW8Num18z0"/>
    <w:rPr>
      <w:rFonts w:hint="default" w:ascii="Symbol" w:hAnsi="Symbol" w:cs="Symbol"/>
    </w:rPr>
  </w:style>
  <w:style w:type="character" w:styleId="WW8Num18z1" w:customStyle="1">
    <w:name w:val="WW8Num18z1"/>
    <w:rPr>
      <w:rFonts w:hint="default" w:ascii="Courier New" w:hAnsi="Courier New" w:cs="Courier New"/>
    </w:rPr>
  </w:style>
  <w:style w:type="character" w:styleId="WW8Num18z2" w:customStyle="1">
    <w:name w:val="WW8Num18z2"/>
    <w:rPr>
      <w:rFonts w:hint="default" w:ascii="Wingdings" w:hAnsi="Wingdings" w:cs="Wingdings"/>
    </w:rPr>
  </w:style>
  <w:style w:type="character" w:styleId="WW8Num19z0" w:customStyle="1">
    <w:name w:val="WW8Num19z0"/>
  </w:style>
  <w:style w:type="character" w:styleId="WW8Num19z1" w:customStyle="1">
    <w:name w:val="WW8Num19z1"/>
  </w:style>
  <w:style w:type="character" w:styleId="WW8Num19z2" w:customStyle="1">
    <w:name w:val="WW8Num19z2"/>
  </w:style>
  <w:style w:type="character" w:styleId="WW8Num19z3" w:customStyle="1">
    <w:name w:val="WW8Num19z3"/>
  </w:style>
  <w:style w:type="character" w:styleId="WW8Num19z4" w:customStyle="1">
    <w:name w:val="WW8Num19z4"/>
  </w:style>
  <w:style w:type="character" w:styleId="WW8Num19z5" w:customStyle="1">
    <w:name w:val="WW8Num19z5"/>
  </w:style>
  <w:style w:type="character" w:styleId="WW8Num19z6" w:customStyle="1">
    <w:name w:val="WW8Num19z6"/>
  </w:style>
  <w:style w:type="character" w:styleId="WW8Num19z7" w:customStyle="1">
    <w:name w:val="WW8Num19z7"/>
  </w:style>
  <w:style w:type="character" w:styleId="WW8Num19z8" w:customStyle="1">
    <w:name w:val="WW8Num19z8"/>
  </w:style>
  <w:style w:type="character" w:styleId="WW8Num20z0" w:customStyle="1">
    <w:name w:val="WW8Num20z0"/>
    <w:rPr>
      <w:rFonts w:hint="default" w:ascii="Symbol" w:hAnsi="Symbol" w:cs="Symbol"/>
    </w:rPr>
  </w:style>
  <w:style w:type="character" w:styleId="WW8Num20z1" w:customStyle="1">
    <w:name w:val="WW8Num20z1"/>
    <w:rPr>
      <w:rFonts w:hint="default" w:ascii="Courier New" w:hAnsi="Courier New" w:cs="Courier New"/>
    </w:rPr>
  </w:style>
  <w:style w:type="character" w:styleId="WW8Num20z2" w:customStyle="1">
    <w:name w:val="WW8Num20z2"/>
    <w:rPr>
      <w:rFonts w:hint="default" w:ascii="Wingdings" w:hAnsi="Wingdings" w:cs="Wingdings"/>
    </w:rPr>
  </w:style>
  <w:style w:type="character" w:styleId="WW8Num21z0" w:customStyle="1">
    <w:name w:val="WW8Num21z0"/>
    <w:rPr>
      <w:rFonts w:hint="default" w:ascii="Symbol" w:hAnsi="Symbol" w:cs="Symbol"/>
    </w:rPr>
  </w:style>
  <w:style w:type="character" w:styleId="WW8Num21z1" w:customStyle="1">
    <w:name w:val="WW8Num21z1"/>
    <w:rPr>
      <w:rFonts w:hint="default" w:ascii="Courier New" w:hAnsi="Courier New" w:cs="Courier New"/>
    </w:rPr>
  </w:style>
  <w:style w:type="character" w:styleId="WW8Num21z2" w:customStyle="1">
    <w:name w:val="WW8Num21z2"/>
    <w:rPr>
      <w:rFonts w:hint="default" w:ascii="Wingdings" w:hAnsi="Wingdings" w:cs="Wingdings"/>
    </w:rPr>
  </w:style>
  <w:style w:type="character" w:styleId="WW8Num22z0" w:customStyle="1">
    <w:name w:val="WW8Num22z0"/>
    <w:rPr>
      <w:rFonts w:hint="default" w:ascii="Arial" w:hAnsi="Arial" w:cs="Arial"/>
    </w:rPr>
  </w:style>
  <w:style w:type="character" w:styleId="WW8Num23z0" w:customStyle="1">
    <w:name w:val="WW8Num23z0"/>
    <w:rPr>
      <w:rFonts w:hint="default"/>
    </w:rPr>
  </w:style>
  <w:style w:type="character" w:styleId="WW8Num23z1" w:customStyle="1">
    <w:name w:val="WW8Num23z1"/>
  </w:style>
  <w:style w:type="character" w:styleId="WW8Num23z2" w:customStyle="1">
    <w:name w:val="WW8Num23z2"/>
  </w:style>
  <w:style w:type="character" w:styleId="WW8Num23z3" w:customStyle="1">
    <w:name w:val="WW8Num23z3"/>
  </w:style>
  <w:style w:type="character" w:styleId="WW8Num23z4" w:customStyle="1">
    <w:name w:val="WW8Num23z4"/>
  </w:style>
  <w:style w:type="character" w:styleId="WW8Num23z5" w:customStyle="1">
    <w:name w:val="WW8Num23z5"/>
  </w:style>
  <w:style w:type="character" w:styleId="WW8Num23z6" w:customStyle="1">
    <w:name w:val="WW8Num23z6"/>
  </w:style>
  <w:style w:type="character" w:styleId="WW8Num23z7" w:customStyle="1">
    <w:name w:val="WW8Num23z7"/>
  </w:style>
  <w:style w:type="character" w:styleId="WW8Num23z8" w:customStyle="1">
    <w:name w:val="WW8Num23z8"/>
  </w:style>
  <w:style w:type="character" w:styleId="WW8Num24z0" w:customStyle="1">
    <w:name w:val="WW8Num24z0"/>
    <w:rPr>
      <w:rFonts w:hint="default" w:ascii="Symbol" w:hAnsi="Symbol" w:cs="Symbol"/>
    </w:rPr>
  </w:style>
  <w:style w:type="character" w:styleId="WW8Num24z1" w:customStyle="1">
    <w:name w:val="WW8Num24z1"/>
    <w:rPr>
      <w:rFonts w:hint="default" w:ascii="Courier New" w:hAnsi="Courier New" w:cs="Courier New"/>
    </w:rPr>
  </w:style>
  <w:style w:type="character" w:styleId="WW8Num24z2" w:customStyle="1">
    <w:name w:val="WW8Num24z2"/>
    <w:rPr>
      <w:rFonts w:hint="default" w:ascii="Wingdings" w:hAnsi="Wingdings" w:cs="Wingdings"/>
    </w:rPr>
  </w:style>
  <w:style w:type="character" w:styleId="WW8Num25z0" w:customStyle="1">
    <w:name w:val="WW8Num25z0"/>
    <w:rPr>
      <w:rFonts w:hint="default" w:ascii="Symbol" w:hAnsi="Symbol" w:cs="Symbol"/>
    </w:rPr>
  </w:style>
  <w:style w:type="character" w:styleId="WW8Num25z1" w:customStyle="1">
    <w:name w:val="WW8Num25z1"/>
    <w:rPr>
      <w:rFonts w:hint="default" w:ascii="Courier New" w:hAnsi="Courier New" w:cs="Courier New"/>
    </w:rPr>
  </w:style>
  <w:style w:type="character" w:styleId="WW8Num25z2" w:customStyle="1">
    <w:name w:val="WW8Num25z2"/>
    <w:rPr>
      <w:rFonts w:hint="default" w:ascii="Wingdings" w:hAnsi="Wingdings" w:cs="Wingdings"/>
    </w:rPr>
  </w:style>
  <w:style w:type="character" w:styleId="WW8Num26z0" w:customStyle="1">
    <w:name w:val="WW8Num26z0"/>
    <w:rPr>
      <w:rFonts w:hint="default" w:ascii="Symbol" w:hAnsi="Symbol" w:cs="Symbol"/>
    </w:rPr>
  </w:style>
  <w:style w:type="character" w:styleId="WW8Num26z1" w:customStyle="1">
    <w:name w:val="WW8Num26z1"/>
    <w:rPr>
      <w:rFonts w:hint="default" w:ascii="Courier New" w:hAnsi="Courier New" w:cs="Courier New"/>
    </w:rPr>
  </w:style>
  <w:style w:type="character" w:styleId="WW8Num26z2" w:customStyle="1">
    <w:name w:val="WW8Num26z2"/>
    <w:rPr>
      <w:rFonts w:hint="default" w:ascii="Wingdings" w:hAnsi="Wingdings" w:cs="Wingdings"/>
    </w:rPr>
  </w:style>
  <w:style w:type="character" w:styleId="WW8Num27z0" w:customStyle="1">
    <w:name w:val="WW8Num27z0"/>
    <w:rPr>
      <w:rFonts w:hint="default" w:ascii="Symbol" w:hAnsi="Symbol" w:cs="Symbol"/>
    </w:rPr>
  </w:style>
  <w:style w:type="character" w:styleId="WW8Num27z1" w:customStyle="1">
    <w:name w:val="WW8Num27z1"/>
    <w:rPr>
      <w:rFonts w:hint="default" w:ascii="Courier New" w:hAnsi="Courier New" w:cs="Courier New"/>
    </w:rPr>
  </w:style>
  <w:style w:type="character" w:styleId="WW8Num27z2" w:customStyle="1">
    <w:name w:val="WW8Num27z2"/>
    <w:rPr>
      <w:rFonts w:hint="default" w:ascii="Wingdings" w:hAnsi="Wingdings" w:cs="Wingdings"/>
    </w:rPr>
  </w:style>
  <w:style w:type="character" w:styleId="WW8Num28z0" w:customStyle="1">
    <w:name w:val="WW8Num28z0"/>
    <w:rPr>
      <w:rFonts w:hint="default" w:ascii="Symbol" w:hAnsi="Symbol" w:cs="Symbol"/>
    </w:rPr>
  </w:style>
  <w:style w:type="character" w:styleId="WW8Num28z1" w:customStyle="1">
    <w:name w:val="WW8Num28z1"/>
    <w:rPr>
      <w:rFonts w:hint="default" w:ascii="Courier New" w:hAnsi="Courier New" w:cs="Courier New"/>
    </w:rPr>
  </w:style>
  <w:style w:type="character" w:styleId="WW8Num28z2" w:customStyle="1">
    <w:name w:val="WW8Num28z2"/>
    <w:rPr>
      <w:rFonts w:hint="default" w:ascii="Wingdings" w:hAnsi="Wingdings" w:cs="Wingdings"/>
    </w:rPr>
  </w:style>
  <w:style w:type="character" w:styleId="WW8Num29z0" w:customStyle="1">
    <w:name w:val="WW8Num29z0"/>
    <w:rPr>
      <w:rFonts w:hint="default" w:ascii="Symbol" w:hAnsi="Symbol" w:cs="Symbol"/>
      <w:sz w:val="20"/>
    </w:rPr>
  </w:style>
  <w:style w:type="character" w:styleId="WW8Num29z1" w:customStyle="1">
    <w:name w:val="WW8Num29z1"/>
    <w:rPr>
      <w:rFonts w:hint="default" w:ascii="Courier New" w:hAnsi="Courier New" w:cs="Courier New"/>
      <w:sz w:val="20"/>
    </w:rPr>
  </w:style>
  <w:style w:type="character" w:styleId="WW8Num29z2" w:customStyle="1">
    <w:name w:val="WW8Num29z2"/>
    <w:rPr>
      <w:rFonts w:hint="default" w:ascii="Wingdings" w:hAnsi="Wingdings" w:cs="Wingdings"/>
      <w:sz w:val="20"/>
    </w:rPr>
  </w:style>
  <w:style w:type="character" w:styleId="DefaultParagraphFont1" w:customStyle="1">
    <w:name w:val="Default Paragraph Font1"/>
  </w:style>
  <w:style w:type="character" w:styleId="WW-DefaultParagraphFont" w:customStyle="1">
    <w:name w:val="WW-Default Paragraph Font"/>
  </w:style>
  <w:style w:type="character" w:styleId="WW-DefaultParagraphFont1" w:customStyle="1">
    <w:name w:val="WW-Default Paragraph Font1"/>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DefaultParagraphFont11" w:customStyle="1">
    <w:name w:val="WW-Default Paragraph Font11"/>
  </w:style>
  <w:style w:type="character" w:styleId="WW-DefaultParagraphFont111" w:customStyle="1">
    <w:name w:val="WW-Default Paragraph Font111"/>
  </w:style>
  <w:style w:type="character" w:styleId="WW-DefaultParagraphFont1111" w:customStyle="1">
    <w:name w:val="WW-Default Paragraph Font1111"/>
  </w:style>
  <w:style w:type="character" w:styleId="HeaderChar" w:customStyle="1">
    <w:name w:val="Header Char"/>
    <w:basedOn w:val="WW-DefaultParagraphFont1111"/>
  </w:style>
  <w:style w:type="character" w:styleId="FooterChar" w:customStyle="1">
    <w:name w:val="Footer Char"/>
    <w:basedOn w:val="WW-DefaultParagraphFont111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rPr>
      <w:color w:val="000080"/>
      <w:u w:val="single"/>
      <w:lang/>
    </w:rPr>
  </w:style>
  <w:style w:type="character" w:styleId="CommentReference1" w:customStyle="1">
    <w:name w:val="Comment Reference1"/>
    <w:rPr>
      <w:sz w:val="16"/>
      <w:szCs w:val="16"/>
    </w:rPr>
  </w:style>
  <w:style w:type="character" w:styleId="WW8Num7z3" w:customStyle="1">
    <w:name w:val="WW8Num7z3"/>
  </w:style>
  <w:style w:type="character" w:styleId="WW8Num7z4" w:customStyle="1">
    <w:name w:val="WW8Num7z4"/>
  </w:style>
  <w:style w:type="character" w:styleId="WW8Num7z5" w:customStyle="1">
    <w:name w:val="WW8Num7z5"/>
  </w:style>
  <w:style w:type="character" w:styleId="WW8Num7z6" w:customStyle="1">
    <w:name w:val="WW8Num7z6"/>
  </w:style>
  <w:style w:type="character" w:styleId="WW8Num7z7" w:customStyle="1">
    <w:name w:val="WW8Num7z7"/>
  </w:style>
  <w:style w:type="character" w:styleId="WW8Num7z8" w:customStyle="1">
    <w:name w:val="WW8Num7z8"/>
  </w:style>
  <w:style w:type="character" w:styleId="NumberingSymbols" w:customStyle="1">
    <w:name w:val="Numbering Symbols"/>
  </w:style>
  <w:style w:type="character" w:styleId="Strong">
    <w:name w:val="Strong"/>
    <w:qFormat/>
    <w:rPr>
      <w:b/>
      <w:bCs/>
    </w:rPr>
  </w:style>
  <w:style w:type="character" w:styleId="FootnoteCharacters" w:customStyle="1">
    <w:name w:val="Footnote Characters"/>
  </w:style>
  <w:style w:type="character" w:styleId="FootnoteReference1" w:customStyle="1">
    <w:name w:val="Footnote Reference1"/>
    <w:rPr>
      <w:vertAlign w:val="superscript"/>
    </w:rPr>
  </w:style>
  <w:style w:type="character" w:styleId="EndnoteCharacters" w:customStyle="1">
    <w:name w:val="Endnote Characters"/>
    <w:rPr>
      <w:vertAlign w:val="superscript"/>
    </w:rPr>
  </w:style>
  <w:style w:type="character" w:styleId="WW-EndnoteCharacters" w:customStyle="1">
    <w:name w:val="WW-Endnote Characters"/>
  </w:style>
  <w:style w:type="character" w:styleId="IndexLink" w:customStyle="1">
    <w:name w:val="Index Link"/>
  </w:style>
  <w:style w:type="character" w:styleId="TitleChar" w:customStyle="1">
    <w:name w:val="Title Char"/>
    <w:rPr>
      <w:rFonts w:ascii="Cambria" w:hAnsi="Cambria" w:eastAsia="Times New Roman" w:cs="Times New Roman"/>
      <w:b/>
      <w:bCs/>
      <w:color w:val="000000"/>
      <w:kern w:val="1"/>
      <w:sz w:val="32"/>
      <w:szCs w:val="32"/>
      <w:lang w:val="en-GB"/>
    </w:rPr>
  </w:style>
  <w:style w:type="character" w:styleId="Emphasis">
    <w:name w:val="Emphasis"/>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1" w:customStyle="1">
    <w:name w:val="Caption1"/>
    <w:basedOn w:val="Normal"/>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eastAsia="hi-IN" w:bidi="hi-IN"/>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PreformattedText" w:customStyle="1">
    <w:name w:val="Preformatted Text"/>
    <w:basedOn w:val="Normal"/>
    <w:rPr>
      <w:rFonts w:ascii="DejaVu Sans Mono" w:hAnsi="DejaVu Sans Mono" w:eastAsia="Droid Sans" w:cs="DejaVu Sans Mono"/>
      <w:sz w:val="20"/>
      <w:szCs w:val="20"/>
    </w:rPr>
  </w:style>
  <w:style w:type="paragraph" w:styleId="ListParagraph">
    <w:name w:val="List Paragraph"/>
    <w:basedOn w:val="Normal"/>
    <w:qFormat/>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hAnsi="Cambria" w:eastAsia="Times New Roman"/>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pPr>
      <w:spacing w:line="100" w:lineRule="atLeast"/>
    </w:pPr>
    <w:rPr>
      <w:szCs w:val="24"/>
    </w:rPr>
  </w:style>
  <w:style w:type="paragraph" w:styleId="Heading10" w:customStyle="1">
    <w:name w:val="Heading 10"/>
    <w:basedOn w:val="Heading"/>
    <w:next w:val="BodyText"/>
    <w:pPr>
      <w:numPr>
        <w:numId w:val="2"/>
      </w:numPr>
    </w:pPr>
    <w:rPr>
      <w:b/>
      <w:bCs/>
      <w:sz w:val="21"/>
      <w:szCs w:val="21"/>
    </w:rPr>
  </w:style>
  <w:style w:type="paragraph" w:styleId="WW-Default" w:customStyle="1">
    <w:name w:val="WW-Default"/>
    <w:pPr>
      <w:suppressAutoHyphens/>
      <w:autoSpaceDE w:val="0"/>
    </w:pPr>
    <w:rPr>
      <w:rFonts w:ascii="Arial" w:hAnsi="Arial" w:cs="Arial"/>
      <w:color w:val="000000"/>
      <w:sz w:val="24"/>
      <w:szCs w:val="24"/>
      <w:lang w:val="en-IN" w:eastAsia="ar-SA"/>
    </w:rPr>
  </w:style>
  <w:style w:type="paragraph" w:styleId="TableofFigures1" w:customStyle="1">
    <w:name w:val="Table of Figures1"/>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hyperlink" Target="https://doi.org/10.7748/ns.2021.e11709" TargetMode="External" Id="rId8" /><Relationship Type="http://schemas.openxmlformats.org/officeDocument/2006/relationships/hyperlink" Target="https://doi.org/10.2337/dci20-0043" TargetMode="External" Id="rId13" /><Relationship Type="http://schemas.openxmlformats.org/officeDocument/2006/relationships/settings" Target="settings.xml" Id="rId3" /><Relationship Type="http://schemas.openxmlformats.org/officeDocument/2006/relationships/hyperlink" Target="https://doi.org/10.2337/dc22-sint" TargetMode="External" Id="rId7" /><Relationship Type="http://schemas.openxmlformats.org/officeDocument/2006/relationships/hyperlink" Target="https://doi.org/10.1038/s41574-022-00708-0"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2174/1573399819666230413094200" TargetMode="External"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hyperlink" Target="https://doi.org/10.1016/s2213-8587(21)00347-8" TargetMode="External" Id="rId10" /><Relationship Type="http://schemas.openxmlformats.org/officeDocument/2006/relationships/webSettings" Target="webSettings.xml" Id="rId4" /><Relationship Type="http://schemas.openxmlformats.org/officeDocument/2006/relationships/hyperlink" Target="https://doi.org/10.2337/dci24-0003" TargetMode="External" Id="rId9" /><Relationship Type="http://schemas.openxmlformats.org/officeDocument/2006/relationships/hyperlink" Target="https://doi.org/10.1093/ndt/gfac285"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c:creator>
  <keywords/>
  <lastModifiedBy>Marian Lalus (2333060)</lastModifiedBy>
  <revision>2</revision>
  <lastPrinted>1601-01-01T00:00:00.0000000Z</lastPrinted>
  <dcterms:created xsi:type="dcterms:W3CDTF">2025-11-10T13:09:00.0000000Z</dcterms:created>
  <dcterms:modified xsi:type="dcterms:W3CDTF">2025-11-10T13:11:28.5404516Z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H4sIAAAAAAAEAKtWcslP9kxRslIyNDa2MDEyNbcwNTM0BXKMLJV0lIJTi4sz8/NACsxqAbKCQ3wsAAAA</vt:lpwstr>
  </property>
  <property fmtid="{D5CDD505-2E9C-101B-9397-08002B2CF9AE}" pid="3" name="__Grammarly_42____i">
    <vt:lpwstr>H4sIAAAAAAAEAKtWckksSQxILCpxzi/NK1GyMqwFAAEhoTITAAAA</vt:lpwstr>
  </property>
</Properties>
</file>