
<file path=[Content_Types].xml><?xml version="1.0" encoding="utf-8"?>
<Types xmlns="http://schemas.openxmlformats.org/package/2006/content-types">
  <Default Extension="emf" ContentType="image/x-emf"/>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5AE4555" w14:textId="77777777" w:rsidR="00C5669E" w:rsidRPr="00A930CB" w:rsidRDefault="00C5669E" w:rsidP="00C5669E">
      <w:pPr>
        <w:spacing w:after="165" w:line="360" w:lineRule="auto"/>
        <w:rPr>
          <w:rFonts w:ascii="Tahoma" w:hAnsi="Tahoma" w:cs="Tahoma"/>
          <w:color w:val="000000"/>
          <w:sz w:val="40"/>
          <w:szCs w:val="40"/>
        </w:rPr>
      </w:pPr>
      <w:r>
        <w:rPr>
          <w:b/>
          <w:noProof/>
          <w:lang w:eastAsia="en-GB"/>
        </w:rPr>
        <w:drawing>
          <wp:inline distT="0" distB="0" distL="0" distR="0" wp14:anchorId="3728632A" wp14:editId="23710F10">
            <wp:extent cx="2209800" cy="742950"/>
            <wp:effectExtent l="19050" t="0" r="0" b="0"/>
            <wp:docPr id="1" name="Picture 1" descr="Description: :::::::Desktop:In progress desktop:TRINITY SAINT DAVID:logo:TSD_logo201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escription: :::::::Desktop:In progress desktop:TRINITY SAINT DAVID:logo:TSD_logo2010.jpg"/>
                    <pic:cNvPicPr>
                      <a:picLocks noChangeAspect="1" noChangeArrowheads="1"/>
                    </pic:cNvPicPr>
                  </pic:nvPicPr>
                  <pic:blipFill>
                    <a:blip r:embed="rId6" cstate="print"/>
                    <a:srcRect/>
                    <a:stretch>
                      <a:fillRect/>
                    </a:stretch>
                  </pic:blipFill>
                  <pic:spPr bwMode="auto">
                    <a:xfrm>
                      <a:off x="0" y="0"/>
                      <a:ext cx="2209800" cy="742950"/>
                    </a:xfrm>
                    <a:prstGeom prst="rect">
                      <a:avLst/>
                    </a:prstGeom>
                    <a:noFill/>
                    <a:ln w="9525">
                      <a:noFill/>
                      <a:miter lim="800000"/>
                      <a:headEnd/>
                      <a:tailEnd/>
                    </a:ln>
                  </pic:spPr>
                </pic:pic>
              </a:graphicData>
            </a:graphic>
          </wp:inline>
        </w:drawing>
      </w:r>
    </w:p>
    <w:p w14:paraId="79A69429" w14:textId="77777777" w:rsidR="00C5669E" w:rsidRPr="00C5669E" w:rsidRDefault="00C5669E" w:rsidP="00C5669E">
      <w:pPr>
        <w:spacing w:after="165" w:line="360" w:lineRule="auto"/>
        <w:jc w:val="center"/>
        <w:rPr>
          <w:rFonts w:ascii="Tahoma" w:hAnsi="Tahoma" w:cs="Tahoma"/>
          <w:color w:val="000000"/>
          <w:sz w:val="32"/>
          <w:szCs w:val="32"/>
        </w:rPr>
      </w:pPr>
      <w:r w:rsidRPr="00C5669E">
        <w:rPr>
          <w:rFonts w:ascii="Tahoma" w:hAnsi="Tahoma" w:cs="Tahoma"/>
          <w:color w:val="000000"/>
          <w:sz w:val="32"/>
          <w:szCs w:val="32"/>
        </w:rPr>
        <w:t>Skills for the Workplace</w:t>
      </w:r>
      <w:r w:rsidRPr="00C5669E">
        <w:rPr>
          <w:rFonts w:ascii="Tahoma" w:hAnsi="Tahoma" w:cs="Tahoma"/>
          <w:color w:val="000000"/>
          <w:sz w:val="32"/>
          <w:szCs w:val="32"/>
        </w:rPr>
        <w:br/>
        <w:t xml:space="preserve">Module Assignment Submission </w:t>
      </w:r>
      <w:r w:rsidRPr="00C5669E">
        <w:rPr>
          <w:rFonts w:ascii="Tahoma" w:hAnsi="Tahoma" w:cs="Tahoma"/>
          <w:color w:val="000000"/>
          <w:sz w:val="32"/>
          <w:szCs w:val="32"/>
        </w:rPr>
        <w:br/>
      </w:r>
    </w:p>
    <w:tbl>
      <w:tblPr>
        <w:tblW w:w="949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3438"/>
        <w:gridCol w:w="6055"/>
      </w:tblGrid>
      <w:tr w:rsidR="00C5669E" w:rsidRPr="00C5669E" w14:paraId="69535D24" w14:textId="77777777" w:rsidTr="00CC661B">
        <w:tc>
          <w:tcPr>
            <w:tcW w:w="3438" w:type="dxa"/>
            <w:shd w:val="clear" w:color="auto" w:fill="D9D9D9"/>
          </w:tcPr>
          <w:p w14:paraId="068ED146" w14:textId="77777777" w:rsidR="00C5669E" w:rsidRPr="00C5669E" w:rsidRDefault="00C5669E" w:rsidP="00CC661B">
            <w:pPr>
              <w:spacing w:before="120" w:after="120" w:line="360" w:lineRule="auto"/>
              <w:rPr>
                <w:rFonts w:ascii="Tahoma" w:hAnsi="Tahoma" w:cs="Tahoma"/>
                <w:sz w:val="28"/>
                <w:szCs w:val="28"/>
              </w:rPr>
            </w:pPr>
            <w:r w:rsidRPr="00C5669E">
              <w:rPr>
                <w:rFonts w:ascii="Tahoma" w:hAnsi="Tahoma" w:cs="Tahoma"/>
                <w:sz w:val="28"/>
                <w:szCs w:val="28"/>
              </w:rPr>
              <w:t>Student Name:</w:t>
            </w:r>
          </w:p>
        </w:tc>
        <w:tc>
          <w:tcPr>
            <w:tcW w:w="6055" w:type="dxa"/>
          </w:tcPr>
          <w:p w14:paraId="2FFF1EF5" w14:textId="48D25AE4" w:rsidR="00C5669E" w:rsidRPr="00C5669E" w:rsidRDefault="00C33AD6" w:rsidP="00CC661B">
            <w:pPr>
              <w:spacing w:before="120" w:after="120" w:line="360" w:lineRule="auto"/>
              <w:rPr>
                <w:rFonts w:ascii="Tahoma" w:hAnsi="Tahoma" w:cs="Tahoma"/>
                <w:sz w:val="28"/>
                <w:szCs w:val="28"/>
              </w:rPr>
            </w:pPr>
            <w:r>
              <w:rPr>
                <w:rFonts w:ascii="Tahoma" w:hAnsi="Tahoma" w:cs="Tahoma"/>
                <w:sz w:val="28"/>
                <w:szCs w:val="28"/>
              </w:rPr>
              <w:t>Shanice Taylor</w:t>
            </w:r>
          </w:p>
        </w:tc>
      </w:tr>
      <w:tr w:rsidR="00C5669E" w:rsidRPr="00C5669E" w14:paraId="426FD845" w14:textId="77777777" w:rsidTr="00CC661B">
        <w:tc>
          <w:tcPr>
            <w:tcW w:w="3438" w:type="dxa"/>
            <w:shd w:val="clear" w:color="auto" w:fill="D9D9D9"/>
          </w:tcPr>
          <w:p w14:paraId="3E291A80" w14:textId="77777777" w:rsidR="00C5669E" w:rsidRPr="00C5669E" w:rsidRDefault="00C5669E" w:rsidP="00CC661B">
            <w:pPr>
              <w:spacing w:before="120" w:after="120" w:line="360" w:lineRule="auto"/>
              <w:rPr>
                <w:rFonts w:ascii="Tahoma" w:hAnsi="Tahoma" w:cs="Tahoma"/>
                <w:sz w:val="28"/>
                <w:szCs w:val="28"/>
              </w:rPr>
            </w:pPr>
            <w:r w:rsidRPr="00C5669E">
              <w:rPr>
                <w:rFonts w:ascii="Tahoma" w:hAnsi="Tahoma" w:cs="Tahoma"/>
                <w:sz w:val="28"/>
                <w:szCs w:val="28"/>
              </w:rPr>
              <w:t>Student Number:</w:t>
            </w:r>
          </w:p>
        </w:tc>
        <w:tc>
          <w:tcPr>
            <w:tcW w:w="6055" w:type="dxa"/>
          </w:tcPr>
          <w:p w14:paraId="49EA73F8" w14:textId="7B222461" w:rsidR="00C5669E" w:rsidRPr="00C5669E" w:rsidRDefault="00C33AD6" w:rsidP="00CC661B">
            <w:pPr>
              <w:spacing w:before="120" w:after="120" w:line="360" w:lineRule="auto"/>
              <w:rPr>
                <w:rFonts w:ascii="Tahoma" w:hAnsi="Tahoma" w:cs="Tahoma"/>
                <w:sz w:val="28"/>
                <w:szCs w:val="28"/>
              </w:rPr>
            </w:pPr>
            <w:r>
              <w:rPr>
                <w:rFonts w:ascii="Tahoma" w:hAnsi="Tahoma" w:cs="Tahoma"/>
                <w:sz w:val="28"/>
                <w:szCs w:val="28"/>
              </w:rPr>
              <w:t>2017374</w:t>
            </w:r>
          </w:p>
        </w:tc>
      </w:tr>
      <w:tr w:rsidR="00C5669E" w:rsidRPr="00C5669E" w14:paraId="3AF3AE5C" w14:textId="77777777" w:rsidTr="00CC661B">
        <w:tc>
          <w:tcPr>
            <w:tcW w:w="3438" w:type="dxa"/>
            <w:shd w:val="clear" w:color="auto" w:fill="D9D9D9"/>
          </w:tcPr>
          <w:p w14:paraId="57C8AD7A" w14:textId="77777777" w:rsidR="00C5669E" w:rsidRPr="00C5669E" w:rsidRDefault="00C5669E" w:rsidP="00CC661B">
            <w:pPr>
              <w:spacing w:before="120" w:after="120" w:line="360" w:lineRule="auto"/>
              <w:rPr>
                <w:rFonts w:ascii="Tahoma" w:hAnsi="Tahoma" w:cs="Tahoma"/>
                <w:sz w:val="28"/>
                <w:szCs w:val="28"/>
              </w:rPr>
            </w:pPr>
            <w:r w:rsidRPr="00C5669E">
              <w:rPr>
                <w:rFonts w:ascii="Tahoma" w:hAnsi="Tahoma" w:cs="Tahoma"/>
                <w:sz w:val="28"/>
                <w:szCs w:val="28"/>
              </w:rPr>
              <w:t>Module No:</w:t>
            </w:r>
          </w:p>
        </w:tc>
        <w:tc>
          <w:tcPr>
            <w:tcW w:w="6055" w:type="dxa"/>
          </w:tcPr>
          <w:p w14:paraId="48B3F610" w14:textId="2B2D1887" w:rsidR="00C5669E" w:rsidRPr="00C5669E" w:rsidRDefault="00C5669E" w:rsidP="00CC661B">
            <w:pPr>
              <w:spacing w:before="120" w:after="120" w:line="360" w:lineRule="auto"/>
              <w:rPr>
                <w:rFonts w:ascii="Tahoma" w:hAnsi="Tahoma" w:cs="Tahoma"/>
                <w:color w:val="FF0000"/>
                <w:sz w:val="28"/>
                <w:szCs w:val="28"/>
              </w:rPr>
            </w:pPr>
            <w:r w:rsidRPr="00C5669E">
              <w:rPr>
                <w:rFonts w:ascii="Tahoma" w:hAnsi="Tahoma" w:cs="Tahoma"/>
                <w:color w:val="FF0000"/>
                <w:sz w:val="28"/>
                <w:szCs w:val="28"/>
              </w:rPr>
              <w:t>BMSK4002</w:t>
            </w:r>
          </w:p>
        </w:tc>
      </w:tr>
      <w:tr w:rsidR="00C5669E" w:rsidRPr="00C5669E" w14:paraId="7438A513" w14:textId="77777777" w:rsidTr="00CC661B">
        <w:trPr>
          <w:trHeight w:val="413"/>
        </w:trPr>
        <w:tc>
          <w:tcPr>
            <w:tcW w:w="3438" w:type="dxa"/>
            <w:shd w:val="clear" w:color="auto" w:fill="D9D9D9"/>
          </w:tcPr>
          <w:p w14:paraId="3174E480" w14:textId="77777777" w:rsidR="00C5669E" w:rsidRPr="00C5669E" w:rsidRDefault="00C5669E" w:rsidP="00CC661B">
            <w:pPr>
              <w:spacing w:before="120" w:after="120" w:line="360" w:lineRule="auto"/>
              <w:rPr>
                <w:rFonts w:ascii="Tahoma" w:hAnsi="Tahoma" w:cs="Tahoma"/>
                <w:sz w:val="28"/>
                <w:szCs w:val="28"/>
              </w:rPr>
            </w:pPr>
            <w:r w:rsidRPr="00C5669E">
              <w:rPr>
                <w:rFonts w:ascii="Tahoma" w:hAnsi="Tahoma" w:cs="Tahoma"/>
                <w:sz w:val="28"/>
                <w:szCs w:val="28"/>
              </w:rPr>
              <w:t>Module Title:</w:t>
            </w:r>
          </w:p>
        </w:tc>
        <w:tc>
          <w:tcPr>
            <w:tcW w:w="6055" w:type="dxa"/>
          </w:tcPr>
          <w:p w14:paraId="7545AE3C" w14:textId="4786FB8A" w:rsidR="00C5669E" w:rsidRPr="00C5669E" w:rsidRDefault="00C5669E" w:rsidP="00CC661B">
            <w:pPr>
              <w:spacing w:before="120" w:after="120" w:line="360" w:lineRule="auto"/>
              <w:rPr>
                <w:rFonts w:ascii="Tahoma" w:hAnsi="Tahoma" w:cs="Tahoma"/>
                <w:color w:val="FF0000"/>
                <w:sz w:val="28"/>
                <w:szCs w:val="28"/>
              </w:rPr>
            </w:pPr>
            <w:r w:rsidRPr="00C5669E">
              <w:rPr>
                <w:rFonts w:ascii="Tahoma" w:hAnsi="Tahoma" w:cs="Tahoma"/>
                <w:color w:val="FF0000"/>
                <w:sz w:val="28"/>
                <w:szCs w:val="28"/>
              </w:rPr>
              <w:t xml:space="preserve">Effective Team </w:t>
            </w:r>
            <w:r w:rsidR="00832F8B">
              <w:rPr>
                <w:rFonts w:ascii="Tahoma" w:hAnsi="Tahoma" w:cs="Tahoma"/>
                <w:color w:val="FF0000"/>
                <w:sz w:val="28"/>
                <w:szCs w:val="28"/>
              </w:rPr>
              <w:t>W</w:t>
            </w:r>
            <w:r w:rsidRPr="00C5669E">
              <w:rPr>
                <w:rFonts w:ascii="Tahoma" w:hAnsi="Tahoma" w:cs="Tahoma"/>
                <w:color w:val="FF0000"/>
                <w:sz w:val="28"/>
                <w:szCs w:val="28"/>
              </w:rPr>
              <w:t xml:space="preserve">orking and Communication </w:t>
            </w:r>
          </w:p>
          <w:p w14:paraId="6C6EDD9C" w14:textId="7FE452B4" w:rsidR="00C5669E" w:rsidRPr="00C5669E" w:rsidRDefault="00C5669E" w:rsidP="00CC661B">
            <w:pPr>
              <w:spacing w:before="120" w:after="120" w:line="360" w:lineRule="auto"/>
              <w:rPr>
                <w:rFonts w:ascii="Tahoma" w:hAnsi="Tahoma" w:cs="Tahoma"/>
                <w:color w:val="FF0000"/>
                <w:sz w:val="28"/>
                <w:szCs w:val="28"/>
              </w:rPr>
            </w:pPr>
            <w:r w:rsidRPr="00C5669E">
              <w:rPr>
                <w:rFonts w:ascii="Tahoma" w:hAnsi="Tahoma" w:cs="Tahoma"/>
                <w:color w:val="FF0000"/>
                <w:sz w:val="28"/>
                <w:szCs w:val="28"/>
              </w:rPr>
              <w:t>Part 2</w:t>
            </w:r>
          </w:p>
        </w:tc>
      </w:tr>
    </w:tbl>
    <w:p w14:paraId="3C21D066" w14:textId="77777777" w:rsidR="00C5669E" w:rsidRPr="00A930CB" w:rsidRDefault="00C5669E" w:rsidP="00C5669E">
      <w:pPr>
        <w:spacing w:before="120" w:after="120" w:line="360" w:lineRule="auto"/>
        <w:rPr>
          <w:rFonts w:ascii="Calibri" w:hAnsi="Calibri"/>
          <w:color w:val="FF0000"/>
          <w:sz w:val="24"/>
          <w:szCs w:val="24"/>
        </w:rPr>
      </w:pPr>
    </w:p>
    <w:p w14:paraId="7844B4B0" w14:textId="77777777" w:rsidR="00C5669E" w:rsidRPr="00A930CB" w:rsidRDefault="00C5669E" w:rsidP="00C5669E">
      <w:pPr>
        <w:spacing w:before="120" w:after="120" w:line="360" w:lineRule="auto"/>
        <w:rPr>
          <w:rFonts w:ascii="Tahoma" w:hAnsi="Tahoma" w:cs="Tahoma"/>
          <w:b/>
          <w:color w:val="000000"/>
          <w:sz w:val="24"/>
          <w:szCs w:val="24"/>
        </w:rPr>
      </w:pPr>
      <w:r w:rsidRPr="00A930CB">
        <w:rPr>
          <w:rFonts w:ascii="Tahoma" w:hAnsi="Tahoma" w:cs="Tahoma"/>
          <w:b/>
          <w:color w:val="000000"/>
          <w:sz w:val="24"/>
          <w:szCs w:val="24"/>
        </w:rPr>
        <w:t>Statement of Confirmation of Authenticity</w:t>
      </w:r>
    </w:p>
    <w:p w14:paraId="7ED4C9C2" w14:textId="77777777" w:rsidR="00C5669E" w:rsidRPr="00A930CB" w:rsidRDefault="00C5669E" w:rsidP="00C5669E">
      <w:pPr>
        <w:spacing w:before="120" w:after="120" w:line="360" w:lineRule="auto"/>
        <w:rPr>
          <w:rFonts w:ascii="Tahoma" w:hAnsi="Tahoma" w:cs="Tahoma"/>
          <w:color w:val="000000"/>
          <w:sz w:val="24"/>
          <w:szCs w:val="24"/>
        </w:rPr>
      </w:pPr>
      <w:r w:rsidRPr="00A930CB">
        <w:rPr>
          <w:rFonts w:ascii="Tahoma" w:hAnsi="Tahoma" w:cs="Tahoma"/>
          <w:color w:val="000000"/>
          <w:sz w:val="24"/>
          <w:szCs w:val="24"/>
        </w:rPr>
        <w:t>By the act of making this submission, the student declares that this is the work of the student named above. The work has not, in whole or in part, been knowingly presented elsewhere for assessment, or where assessment has been built on a previous assessment, this has been identified. Where materials have been used from other sources it has been properly acknowledged. If this statement is untrue, the student acknowledges that an assessment offence has been committed.</w:t>
      </w:r>
    </w:p>
    <w:p w14:paraId="444D0133" w14:textId="77777777" w:rsidR="00C5669E" w:rsidRDefault="00C5669E" w:rsidP="00C5669E">
      <w:pPr>
        <w:spacing w:before="120" w:after="120" w:line="360" w:lineRule="auto"/>
        <w:rPr>
          <w:rFonts w:ascii="Tahoma" w:hAnsi="Tahoma" w:cs="Tahoma"/>
          <w:color w:val="000000"/>
          <w:sz w:val="24"/>
          <w:szCs w:val="24"/>
        </w:rPr>
      </w:pPr>
      <w:r w:rsidRPr="00A930CB">
        <w:rPr>
          <w:rFonts w:ascii="Tahoma" w:hAnsi="Tahoma" w:cs="Tahoma"/>
          <w:color w:val="000000"/>
          <w:sz w:val="24"/>
          <w:szCs w:val="24"/>
        </w:rPr>
        <w:t>Attention is drawn to the plagiarism and unfair practice policies of both the University and of ILM.</w:t>
      </w:r>
    </w:p>
    <w:p w14:paraId="13B8BC72" w14:textId="77777777" w:rsidR="00C5669E" w:rsidRDefault="00C5669E">
      <w:pPr>
        <w:rPr>
          <w:rFonts w:ascii="Tahoma" w:hAnsi="Tahoma" w:cs="Tahoma"/>
          <w:color w:val="000000"/>
          <w:sz w:val="24"/>
          <w:szCs w:val="24"/>
        </w:rPr>
      </w:pPr>
      <w:r>
        <w:rPr>
          <w:rFonts w:ascii="Tahoma" w:hAnsi="Tahoma" w:cs="Tahoma"/>
          <w:color w:val="000000"/>
          <w:sz w:val="24"/>
          <w:szCs w:val="24"/>
        </w:rPr>
        <w:br w:type="page"/>
      </w:r>
    </w:p>
    <w:p w14:paraId="3B239951" w14:textId="77777777" w:rsidR="00764D41" w:rsidRDefault="00764D41" w:rsidP="00C5669E">
      <w:pPr>
        <w:rPr>
          <w:rFonts w:ascii="Tahoma" w:hAnsi="Tahoma" w:cs="Tahoma"/>
          <w:color w:val="000000"/>
          <w:sz w:val="24"/>
          <w:szCs w:val="24"/>
        </w:rPr>
      </w:pPr>
    </w:p>
    <w:p w14:paraId="0481C4D2" w14:textId="77777777" w:rsidR="00764D41" w:rsidRDefault="00764D41" w:rsidP="00C5669E">
      <w:pPr>
        <w:rPr>
          <w:rFonts w:ascii="Tahoma" w:hAnsi="Tahoma" w:cs="Tahoma"/>
          <w:color w:val="000000"/>
          <w:sz w:val="24"/>
          <w:szCs w:val="24"/>
        </w:rPr>
      </w:pPr>
    </w:p>
    <w:sdt>
      <w:sdtPr>
        <w:rPr>
          <w:rFonts w:asciiTheme="minorHAnsi" w:eastAsiaTheme="minorHAnsi" w:hAnsiTheme="minorHAnsi" w:cstheme="minorBidi"/>
          <w:color w:val="auto"/>
          <w:sz w:val="22"/>
          <w:szCs w:val="22"/>
          <w:lang w:val="en-GB"/>
        </w:rPr>
        <w:id w:val="-753212759"/>
        <w:docPartObj>
          <w:docPartGallery w:val="Table of Contents"/>
          <w:docPartUnique/>
        </w:docPartObj>
      </w:sdtPr>
      <w:sdtEndPr>
        <w:rPr>
          <w:b/>
          <w:bCs/>
          <w:noProof/>
        </w:rPr>
      </w:sdtEndPr>
      <w:sdtContent>
        <w:p w14:paraId="55E5D6CA" w14:textId="1B60BF09" w:rsidR="00B25F25" w:rsidRDefault="00B25F25">
          <w:pPr>
            <w:pStyle w:val="TOCHeading"/>
          </w:pPr>
          <w:r>
            <w:t>Table of Contents</w:t>
          </w:r>
        </w:p>
        <w:p w14:paraId="5F602FA0" w14:textId="60A5B356" w:rsidR="00764706" w:rsidRPr="00764706" w:rsidRDefault="00B25F25">
          <w:pPr>
            <w:pStyle w:val="TOC1"/>
            <w:tabs>
              <w:tab w:val="right" w:leader="dot" w:pos="9016"/>
            </w:tabs>
            <w:rPr>
              <w:rFonts w:ascii="Arial" w:eastAsiaTheme="minorEastAsia" w:hAnsi="Arial" w:cs="Arial"/>
              <w:noProof/>
              <w:sz w:val="24"/>
              <w:szCs w:val="24"/>
              <w:lang w:eastAsia="en-GB"/>
            </w:rPr>
          </w:pPr>
          <w:r>
            <w:fldChar w:fldCharType="begin"/>
          </w:r>
          <w:r>
            <w:instrText xml:space="preserve"> TOC \o "1-3" \h \z \u </w:instrText>
          </w:r>
          <w:r>
            <w:fldChar w:fldCharType="separate"/>
          </w:r>
          <w:hyperlink w:anchor="_Toc9181643" w:history="1">
            <w:r w:rsidR="00764706" w:rsidRPr="00764706">
              <w:rPr>
                <w:rStyle w:val="Hyperlink"/>
                <w:rFonts w:ascii="Arial" w:hAnsi="Arial" w:cs="Arial"/>
                <w:noProof/>
                <w:sz w:val="24"/>
                <w:szCs w:val="24"/>
              </w:rPr>
              <w:t>Part 2 Communication</w:t>
            </w:r>
            <w:r w:rsidR="00764706" w:rsidRPr="00764706">
              <w:rPr>
                <w:rFonts w:ascii="Arial" w:hAnsi="Arial" w:cs="Arial"/>
                <w:noProof/>
                <w:webHidden/>
                <w:sz w:val="24"/>
                <w:szCs w:val="24"/>
              </w:rPr>
              <w:tab/>
            </w:r>
            <w:r w:rsidR="00764706" w:rsidRPr="00764706">
              <w:rPr>
                <w:rFonts w:ascii="Arial" w:hAnsi="Arial" w:cs="Arial"/>
                <w:noProof/>
                <w:webHidden/>
                <w:sz w:val="24"/>
                <w:szCs w:val="24"/>
              </w:rPr>
              <w:fldChar w:fldCharType="begin"/>
            </w:r>
            <w:r w:rsidR="00764706" w:rsidRPr="00764706">
              <w:rPr>
                <w:rFonts w:ascii="Arial" w:hAnsi="Arial" w:cs="Arial"/>
                <w:noProof/>
                <w:webHidden/>
                <w:sz w:val="24"/>
                <w:szCs w:val="24"/>
              </w:rPr>
              <w:instrText xml:space="preserve"> PAGEREF _Toc9181643 \h </w:instrText>
            </w:r>
            <w:r w:rsidR="00764706" w:rsidRPr="00764706">
              <w:rPr>
                <w:rFonts w:ascii="Arial" w:hAnsi="Arial" w:cs="Arial"/>
                <w:noProof/>
                <w:webHidden/>
                <w:sz w:val="24"/>
                <w:szCs w:val="24"/>
              </w:rPr>
            </w:r>
            <w:r w:rsidR="00764706" w:rsidRPr="00764706">
              <w:rPr>
                <w:rFonts w:ascii="Arial" w:hAnsi="Arial" w:cs="Arial"/>
                <w:noProof/>
                <w:webHidden/>
                <w:sz w:val="24"/>
                <w:szCs w:val="24"/>
              </w:rPr>
              <w:fldChar w:fldCharType="separate"/>
            </w:r>
            <w:r w:rsidR="00764706" w:rsidRPr="00764706">
              <w:rPr>
                <w:rFonts w:ascii="Arial" w:hAnsi="Arial" w:cs="Arial"/>
                <w:noProof/>
                <w:webHidden/>
                <w:sz w:val="24"/>
                <w:szCs w:val="24"/>
              </w:rPr>
              <w:t>3</w:t>
            </w:r>
            <w:r w:rsidR="00764706" w:rsidRPr="00764706">
              <w:rPr>
                <w:rFonts w:ascii="Arial" w:hAnsi="Arial" w:cs="Arial"/>
                <w:noProof/>
                <w:webHidden/>
                <w:sz w:val="24"/>
                <w:szCs w:val="24"/>
              </w:rPr>
              <w:fldChar w:fldCharType="end"/>
            </w:r>
          </w:hyperlink>
        </w:p>
        <w:p w14:paraId="080FE877" w14:textId="460FB76C" w:rsidR="00764706" w:rsidRPr="00764706" w:rsidRDefault="00651602">
          <w:pPr>
            <w:pStyle w:val="TOC1"/>
            <w:tabs>
              <w:tab w:val="right" w:leader="dot" w:pos="9016"/>
            </w:tabs>
            <w:rPr>
              <w:rFonts w:ascii="Arial" w:eastAsiaTheme="minorEastAsia" w:hAnsi="Arial" w:cs="Arial"/>
              <w:noProof/>
              <w:sz w:val="24"/>
              <w:szCs w:val="24"/>
              <w:lang w:eastAsia="en-GB"/>
            </w:rPr>
          </w:pPr>
          <w:hyperlink w:anchor="_Toc9181644" w:history="1">
            <w:r w:rsidR="00764706" w:rsidRPr="00764706">
              <w:rPr>
                <w:rStyle w:val="Hyperlink"/>
                <w:rFonts w:ascii="Arial" w:hAnsi="Arial" w:cs="Arial"/>
                <w:noProof/>
                <w:sz w:val="24"/>
                <w:szCs w:val="24"/>
              </w:rPr>
              <w:t>1.0</w:t>
            </w:r>
            <w:r w:rsidR="00764706" w:rsidRPr="00764706">
              <w:rPr>
                <w:rFonts w:ascii="Arial" w:hAnsi="Arial" w:cs="Arial"/>
                <w:noProof/>
                <w:webHidden/>
                <w:sz w:val="24"/>
                <w:szCs w:val="24"/>
              </w:rPr>
              <w:tab/>
            </w:r>
            <w:r w:rsidR="00764706" w:rsidRPr="00764706">
              <w:rPr>
                <w:rFonts w:ascii="Arial" w:hAnsi="Arial" w:cs="Arial"/>
                <w:noProof/>
                <w:webHidden/>
                <w:sz w:val="24"/>
                <w:szCs w:val="24"/>
              </w:rPr>
              <w:fldChar w:fldCharType="begin"/>
            </w:r>
            <w:r w:rsidR="00764706" w:rsidRPr="00764706">
              <w:rPr>
                <w:rFonts w:ascii="Arial" w:hAnsi="Arial" w:cs="Arial"/>
                <w:noProof/>
                <w:webHidden/>
                <w:sz w:val="24"/>
                <w:szCs w:val="24"/>
              </w:rPr>
              <w:instrText xml:space="preserve"> PAGEREF _Toc9181644 \h </w:instrText>
            </w:r>
            <w:r w:rsidR="00764706" w:rsidRPr="00764706">
              <w:rPr>
                <w:rFonts w:ascii="Arial" w:hAnsi="Arial" w:cs="Arial"/>
                <w:noProof/>
                <w:webHidden/>
                <w:sz w:val="24"/>
                <w:szCs w:val="24"/>
              </w:rPr>
            </w:r>
            <w:r w:rsidR="00764706" w:rsidRPr="00764706">
              <w:rPr>
                <w:rFonts w:ascii="Arial" w:hAnsi="Arial" w:cs="Arial"/>
                <w:noProof/>
                <w:webHidden/>
                <w:sz w:val="24"/>
                <w:szCs w:val="24"/>
              </w:rPr>
              <w:fldChar w:fldCharType="separate"/>
            </w:r>
            <w:r w:rsidR="00764706" w:rsidRPr="00764706">
              <w:rPr>
                <w:rFonts w:ascii="Arial" w:hAnsi="Arial" w:cs="Arial"/>
                <w:noProof/>
                <w:webHidden/>
                <w:sz w:val="24"/>
                <w:szCs w:val="24"/>
              </w:rPr>
              <w:t>3</w:t>
            </w:r>
            <w:r w:rsidR="00764706" w:rsidRPr="00764706">
              <w:rPr>
                <w:rFonts w:ascii="Arial" w:hAnsi="Arial" w:cs="Arial"/>
                <w:noProof/>
                <w:webHidden/>
                <w:sz w:val="24"/>
                <w:szCs w:val="24"/>
              </w:rPr>
              <w:fldChar w:fldCharType="end"/>
            </w:r>
          </w:hyperlink>
        </w:p>
        <w:p w14:paraId="2A9E859F" w14:textId="1C1496FB" w:rsidR="00764706" w:rsidRPr="00764706" w:rsidRDefault="00651602">
          <w:pPr>
            <w:pStyle w:val="TOC1"/>
            <w:tabs>
              <w:tab w:val="right" w:leader="dot" w:pos="9016"/>
            </w:tabs>
            <w:rPr>
              <w:rFonts w:ascii="Arial" w:eastAsiaTheme="minorEastAsia" w:hAnsi="Arial" w:cs="Arial"/>
              <w:noProof/>
              <w:sz w:val="24"/>
              <w:szCs w:val="24"/>
              <w:lang w:eastAsia="en-GB"/>
            </w:rPr>
          </w:pPr>
          <w:hyperlink w:anchor="_Toc9181646" w:history="1">
            <w:r w:rsidR="00764706" w:rsidRPr="00764706">
              <w:rPr>
                <w:rStyle w:val="Hyperlink"/>
                <w:rFonts w:ascii="Arial" w:hAnsi="Arial" w:cs="Arial"/>
                <w:noProof/>
                <w:sz w:val="24"/>
                <w:szCs w:val="24"/>
              </w:rPr>
              <w:t>2.0</w:t>
            </w:r>
            <w:r w:rsidR="00764706" w:rsidRPr="00764706">
              <w:rPr>
                <w:rFonts w:ascii="Arial" w:hAnsi="Arial" w:cs="Arial"/>
                <w:noProof/>
                <w:webHidden/>
                <w:sz w:val="24"/>
                <w:szCs w:val="24"/>
              </w:rPr>
              <w:tab/>
            </w:r>
            <w:r w:rsidR="00C97CA5">
              <w:rPr>
                <w:rFonts w:ascii="Arial" w:hAnsi="Arial" w:cs="Arial"/>
                <w:noProof/>
                <w:webHidden/>
                <w:sz w:val="24"/>
                <w:szCs w:val="24"/>
              </w:rPr>
              <w:t>6</w:t>
            </w:r>
          </w:hyperlink>
        </w:p>
        <w:p w14:paraId="1E78FA7B" w14:textId="1EBEC95A" w:rsidR="00764706" w:rsidRPr="00764706" w:rsidRDefault="00651602">
          <w:pPr>
            <w:pStyle w:val="TOC2"/>
            <w:tabs>
              <w:tab w:val="right" w:leader="dot" w:pos="9016"/>
            </w:tabs>
            <w:rPr>
              <w:rFonts w:ascii="Arial" w:eastAsiaTheme="minorEastAsia" w:hAnsi="Arial" w:cs="Arial"/>
              <w:noProof/>
              <w:sz w:val="24"/>
              <w:szCs w:val="24"/>
              <w:lang w:eastAsia="en-GB"/>
            </w:rPr>
          </w:pPr>
          <w:hyperlink w:anchor="_Toc9181647" w:history="1">
            <w:r w:rsidR="00764706" w:rsidRPr="00764706">
              <w:rPr>
                <w:rStyle w:val="Hyperlink"/>
                <w:rFonts w:ascii="Arial" w:hAnsi="Arial" w:cs="Arial"/>
                <w:noProof/>
                <w:sz w:val="24"/>
                <w:szCs w:val="24"/>
              </w:rPr>
              <w:t>Assessing Own Communication Skills</w:t>
            </w:r>
            <w:r w:rsidR="00764706" w:rsidRPr="00764706">
              <w:rPr>
                <w:rFonts w:ascii="Arial" w:hAnsi="Arial" w:cs="Arial"/>
                <w:noProof/>
                <w:webHidden/>
                <w:sz w:val="24"/>
                <w:szCs w:val="24"/>
              </w:rPr>
              <w:tab/>
            </w:r>
            <w:r w:rsidR="00C97CA5">
              <w:rPr>
                <w:rFonts w:ascii="Arial" w:hAnsi="Arial" w:cs="Arial"/>
                <w:noProof/>
                <w:webHidden/>
                <w:sz w:val="24"/>
                <w:szCs w:val="24"/>
              </w:rPr>
              <w:t>6</w:t>
            </w:r>
          </w:hyperlink>
        </w:p>
        <w:p w14:paraId="222E12BB" w14:textId="4D7738AE" w:rsidR="00764706" w:rsidRPr="00764706" w:rsidRDefault="00651602">
          <w:pPr>
            <w:pStyle w:val="TOC2"/>
            <w:tabs>
              <w:tab w:val="right" w:leader="dot" w:pos="9016"/>
            </w:tabs>
            <w:rPr>
              <w:rFonts w:ascii="Arial" w:eastAsiaTheme="minorEastAsia" w:hAnsi="Arial" w:cs="Arial"/>
              <w:noProof/>
              <w:sz w:val="24"/>
              <w:szCs w:val="24"/>
              <w:lang w:eastAsia="en-GB"/>
            </w:rPr>
          </w:pPr>
          <w:hyperlink w:anchor="_Toc9181648" w:history="1">
            <w:r w:rsidR="00764706" w:rsidRPr="00764706">
              <w:rPr>
                <w:rStyle w:val="Hyperlink"/>
                <w:rFonts w:ascii="Arial" w:hAnsi="Arial" w:cs="Arial"/>
                <w:noProof/>
                <w:sz w:val="24"/>
                <w:szCs w:val="24"/>
              </w:rPr>
              <w:t>Gap Analysis</w:t>
            </w:r>
            <w:r w:rsidR="00764706" w:rsidRPr="00764706">
              <w:rPr>
                <w:rFonts w:ascii="Arial" w:hAnsi="Arial" w:cs="Arial"/>
                <w:noProof/>
                <w:webHidden/>
                <w:sz w:val="24"/>
                <w:szCs w:val="24"/>
              </w:rPr>
              <w:tab/>
            </w:r>
            <w:r w:rsidR="00C97CA5">
              <w:rPr>
                <w:rFonts w:ascii="Arial" w:hAnsi="Arial" w:cs="Arial"/>
                <w:noProof/>
                <w:webHidden/>
                <w:sz w:val="24"/>
                <w:szCs w:val="24"/>
              </w:rPr>
              <w:t>7</w:t>
            </w:r>
          </w:hyperlink>
        </w:p>
        <w:p w14:paraId="5C9165CD" w14:textId="256E7FF0" w:rsidR="00764706" w:rsidRPr="00764706" w:rsidRDefault="00651602">
          <w:pPr>
            <w:pStyle w:val="TOC2"/>
            <w:tabs>
              <w:tab w:val="right" w:leader="dot" w:pos="9016"/>
            </w:tabs>
            <w:rPr>
              <w:rFonts w:ascii="Arial" w:eastAsiaTheme="minorEastAsia" w:hAnsi="Arial" w:cs="Arial"/>
              <w:noProof/>
              <w:sz w:val="24"/>
              <w:szCs w:val="24"/>
              <w:lang w:eastAsia="en-GB"/>
            </w:rPr>
          </w:pPr>
          <w:hyperlink w:anchor="_Toc9181649" w:history="1">
            <w:r w:rsidR="00764706" w:rsidRPr="00764706">
              <w:rPr>
                <w:rStyle w:val="Hyperlink"/>
                <w:rFonts w:ascii="Arial" w:hAnsi="Arial" w:cs="Arial"/>
                <w:noProof/>
                <w:sz w:val="24"/>
                <w:szCs w:val="24"/>
              </w:rPr>
              <w:t>PDP</w:t>
            </w:r>
            <w:r w:rsidR="00764706" w:rsidRPr="00764706">
              <w:rPr>
                <w:rFonts w:ascii="Arial" w:hAnsi="Arial" w:cs="Arial"/>
                <w:noProof/>
                <w:webHidden/>
                <w:sz w:val="24"/>
                <w:szCs w:val="24"/>
              </w:rPr>
              <w:tab/>
            </w:r>
            <w:r>
              <w:rPr>
                <w:rFonts w:ascii="Arial" w:hAnsi="Arial" w:cs="Arial"/>
                <w:noProof/>
                <w:webHidden/>
                <w:sz w:val="24"/>
                <w:szCs w:val="24"/>
              </w:rPr>
              <w:t>7</w:t>
            </w:r>
          </w:hyperlink>
        </w:p>
        <w:p w14:paraId="50FB4975" w14:textId="0ADAFD53" w:rsidR="00764706" w:rsidRPr="00764706" w:rsidRDefault="00651602">
          <w:pPr>
            <w:pStyle w:val="TOC1"/>
            <w:tabs>
              <w:tab w:val="right" w:leader="dot" w:pos="9016"/>
            </w:tabs>
            <w:rPr>
              <w:rFonts w:ascii="Arial" w:eastAsiaTheme="minorEastAsia" w:hAnsi="Arial" w:cs="Arial"/>
              <w:noProof/>
              <w:sz w:val="24"/>
              <w:szCs w:val="24"/>
              <w:lang w:eastAsia="en-GB"/>
            </w:rPr>
          </w:pPr>
          <w:hyperlink w:anchor="_Toc9181650" w:history="1">
            <w:r w:rsidR="00764706" w:rsidRPr="00764706">
              <w:rPr>
                <w:rStyle w:val="Hyperlink"/>
                <w:rFonts w:ascii="Arial" w:hAnsi="Arial" w:cs="Arial"/>
                <w:noProof/>
                <w:sz w:val="24"/>
                <w:szCs w:val="24"/>
              </w:rPr>
              <w:t>References</w:t>
            </w:r>
            <w:r w:rsidR="00764706" w:rsidRPr="00764706">
              <w:rPr>
                <w:rFonts w:ascii="Arial" w:hAnsi="Arial" w:cs="Arial"/>
                <w:noProof/>
                <w:webHidden/>
                <w:sz w:val="24"/>
                <w:szCs w:val="24"/>
              </w:rPr>
              <w:tab/>
            </w:r>
            <w:r>
              <w:rPr>
                <w:rFonts w:ascii="Arial" w:hAnsi="Arial" w:cs="Arial"/>
                <w:noProof/>
                <w:webHidden/>
                <w:sz w:val="24"/>
                <w:szCs w:val="24"/>
              </w:rPr>
              <w:t>8</w:t>
            </w:r>
          </w:hyperlink>
        </w:p>
        <w:p w14:paraId="6D6DF340" w14:textId="7A7115D9" w:rsidR="00B25F25" w:rsidRDefault="00B25F25">
          <w:r>
            <w:rPr>
              <w:b/>
              <w:bCs/>
              <w:noProof/>
            </w:rPr>
            <w:fldChar w:fldCharType="end"/>
          </w:r>
        </w:p>
      </w:sdtContent>
    </w:sdt>
    <w:p w14:paraId="5933E6C1" w14:textId="5FBD841A" w:rsidR="00C5669E" w:rsidRDefault="00C5669E" w:rsidP="00C5669E">
      <w:pPr>
        <w:rPr>
          <w:rFonts w:ascii="Tahoma" w:hAnsi="Tahoma" w:cs="Tahoma"/>
          <w:color w:val="000000"/>
          <w:sz w:val="24"/>
          <w:szCs w:val="24"/>
        </w:rPr>
      </w:pPr>
      <w:r>
        <w:rPr>
          <w:rFonts w:ascii="Tahoma" w:hAnsi="Tahoma" w:cs="Tahoma"/>
          <w:color w:val="000000"/>
          <w:sz w:val="24"/>
          <w:szCs w:val="24"/>
        </w:rPr>
        <w:br w:type="page"/>
      </w:r>
    </w:p>
    <w:p w14:paraId="03B0D8BA" w14:textId="7264DC00" w:rsidR="00C5669E" w:rsidRPr="00C5669E" w:rsidRDefault="00436E31" w:rsidP="00651602">
      <w:pPr>
        <w:pStyle w:val="Heading1"/>
      </w:pPr>
      <w:bookmarkStart w:id="0" w:name="_Toc9181643"/>
      <w:r w:rsidRPr="00436E31">
        <w:lastRenderedPageBreak/>
        <w:t>Part 2 Communication</w:t>
      </w:r>
      <w:bookmarkEnd w:id="0"/>
    </w:p>
    <w:p w14:paraId="7BF6A055" w14:textId="542E5133" w:rsidR="00436E31" w:rsidRDefault="00296780" w:rsidP="00764706">
      <w:pPr>
        <w:pStyle w:val="Heading1"/>
      </w:pPr>
      <w:bookmarkStart w:id="1" w:name="_Toc9181644"/>
      <w:r>
        <w:t>1.0</w:t>
      </w:r>
      <w:bookmarkEnd w:id="1"/>
    </w:p>
    <w:p w14:paraId="747A966C" w14:textId="244FBC1A" w:rsidR="005A5B63" w:rsidRDefault="00EE4802">
      <w:pPr>
        <w:rPr>
          <w:rFonts w:asciiTheme="majorHAnsi" w:eastAsiaTheme="majorEastAsia" w:hAnsiTheme="majorHAnsi" w:cstheme="majorBidi"/>
          <w:color w:val="2F5496" w:themeColor="accent1" w:themeShade="BF"/>
          <w:sz w:val="26"/>
          <w:szCs w:val="26"/>
        </w:rPr>
      </w:pPr>
      <w:r>
        <w:rPr>
          <w:rFonts w:asciiTheme="majorHAnsi" w:eastAsiaTheme="majorEastAsia" w:hAnsiTheme="majorHAnsi" w:cstheme="majorBidi"/>
          <w:color w:val="2F5496" w:themeColor="accent1" w:themeShade="BF"/>
          <w:sz w:val="26"/>
          <w:szCs w:val="26"/>
        </w:rPr>
        <w:t>Introduction</w:t>
      </w:r>
    </w:p>
    <w:p w14:paraId="796AD498" w14:textId="1B8A0940" w:rsidR="00EE4802" w:rsidRDefault="00EE4802">
      <w:pPr>
        <w:rPr>
          <w:lang w:val="en-US"/>
        </w:rPr>
      </w:pPr>
      <w:r>
        <w:rPr>
          <w:lang w:val="en-US"/>
        </w:rPr>
        <w:t>Communication always requires three elements: the source, the message and the destination (</w:t>
      </w:r>
      <w:proofErr w:type="spellStart"/>
      <w:r>
        <w:rPr>
          <w:lang w:val="en-US"/>
        </w:rPr>
        <w:t>Oyero</w:t>
      </w:r>
      <w:proofErr w:type="spellEnd"/>
      <w:r>
        <w:rPr>
          <w:lang w:val="en-US"/>
        </w:rPr>
        <w:t xml:space="preserve">, 2007, p. 17). I will delve into this theory, by looking at 3 communicative models: Shannon-Weaver, </w:t>
      </w:r>
      <w:proofErr w:type="spellStart"/>
      <w:r>
        <w:rPr>
          <w:lang w:val="en-US"/>
        </w:rPr>
        <w:t>Berlo</w:t>
      </w:r>
      <w:proofErr w:type="spellEnd"/>
      <w:r>
        <w:rPr>
          <w:lang w:val="en-US"/>
        </w:rPr>
        <w:t xml:space="preserve"> and Schramm. I will evaluate each model and see how well it can be applied to social situations. </w:t>
      </w:r>
    </w:p>
    <w:p w14:paraId="199194C0" w14:textId="60B6F22C" w:rsidR="00EE4802" w:rsidRPr="00EE4802" w:rsidRDefault="00EE4802">
      <w:pPr>
        <w:rPr>
          <w:rFonts w:eastAsiaTheme="majorEastAsia" w:cstheme="minorHAnsi"/>
        </w:rPr>
      </w:pPr>
      <w:r>
        <w:rPr>
          <w:lang w:val="en-US"/>
        </w:rPr>
        <w:t>I will th</w:t>
      </w:r>
      <w:r w:rsidR="00832F22">
        <w:rPr>
          <w:lang w:val="en-US"/>
        </w:rPr>
        <w:t xml:space="preserve">en evaluate my own communicational skills, via peers comments on my presentation. This will give me an insight into how effective communication is. </w:t>
      </w:r>
    </w:p>
    <w:p w14:paraId="6F130BCE" w14:textId="0FDD25BC" w:rsidR="007A3530" w:rsidRDefault="00AB4965">
      <w:pPr>
        <w:rPr>
          <w:rFonts w:asciiTheme="majorHAnsi" w:eastAsiaTheme="majorEastAsia" w:hAnsiTheme="majorHAnsi" w:cstheme="majorBidi"/>
          <w:color w:val="2F5496" w:themeColor="accent1" w:themeShade="BF"/>
          <w:sz w:val="26"/>
          <w:szCs w:val="26"/>
        </w:rPr>
      </w:pPr>
      <w:r>
        <w:rPr>
          <w:rFonts w:asciiTheme="majorHAnsi" w:eastAsiaTheme="majorEastAsia" w:hAnsiTheme="majorHAnsi" w:cstheme="majorBidi"/>
          <w:color w:val="2F5496" w:themeColor="accent1" w:themeShade="BF"/>
          <w:sz w:val="26"/>
          <w:szCs w:val="26"/>
        </w:rPr>
        <w:t xml:space="preserve">Verbal and Non- Verbal </w:t>
      </w:r>
      <w:r w:rsidR="00EE4802">
        <w:rPr>
          <w:rFonts w:asciiTheme="majorHAnsi" w:eastAsiaTheme="majorEastAsia" w:hAnsiTheme="majorHAnsi" w:cstheme="majorBidi"/>
          <w:color w:val="2F5496" w:themeColor="accent1" w:themeShade="BF"/>
          <w:sz w:val="26"/>
          <w:szCs w:val="26"/>
        </w:rPr>
        <w:t>Communication</w:t>
      </w:r>
    </w:p>
    <w:p w14:paraId="2A39C299" w14:textId="6FE2B674" w:rsidR="00E739AC" w:rsidRDefault="007A3530">
      <w:pPr>
        <w:rPr>
          <w:rFonts w:eastAsiaTheme="majorEastAsia" w:cstheme="minorHAnsi"/>
        </w:rPr>
      </w:pPr>
      <w:r>
        <w:rPr>
          <w:rFonts w:eastAsiaTheme="majorEastAsia" w:cstheme="minorHAnsi"/>
        </w:rPr>
        <w:t xml:space="preserve">Communication is the method of exchanging information through voice, paper or gestures. It is integral to human behaviour. </w:t>
      </w:r>
      <w:r w:rsidR="00E739AC">
        <w:rPr>
          <w:lang w:val="en-US"/>
        </w:rPr>
        <w:t>Communication is the glue that keeps the world together (Al-</w:t>
      </w:r>
      <w:proofErr w:type="spellStart"/>
      <w:r w:rsidR="00E739AC">
        <w:rPr>
          <w:lang w:val="en-US"/>
        </w:rPr>
        <w:t>Fedaghi</w:t>
      </w:r>
      <w:proofErr w:type="spellEnd"/>
      <w:r w:rsidR="00E739AC">
        <w:rPr>
          <w:lang w:val="en-US"/>
        </w:rPr>
        <w:t>, 2012, p. 1). It makes up a huge part of our work and private lives.</w:t>
      </w:r>
      <w:r w:rsidR="007C72E8">
        <w:rPr>
          <w:lang w:val="en-US"/>
        </w:rPr>
        <w:t xml:space="preserve"> </w:t>
      </w:r>
    </w:p>
    <w:p w14:paraId="61D0C772" w14:textId="33D27383" w:rsidR="007A3530" w:rsidRDefault="00E739AC">
      <w:pPr>
        <w:rPr>
          <w:rFonts w:eastAsiaTheme="majorEastAsia" w:cstheme="minorHAnsi"/>
        </w:rPr>
      </w:pPr>
      <w:r>
        <w:rPr>
          <w:rFonts w:eastAsiaTheme="majorEastAsia" w:cstheme="minorHAnsi"/>
        </w:rPr>
        <w:t>We now live in an age where we do not just have non-verbal or verbal communication. We also have virtual communication.</w:t>
      </w:r>
      <w:r w:rsidR="003E2448">
        <w:rPr>
          <w:rFonts w:eastAsiaTheme="majorEastAsia" w:cstheme="minorHAnsi"/>
        </w:rPr>
        <w:t xml:space="preserve"> This global communication revolution has led to many communication barriers. </w:t>
      </w:r>
      <w:r w:rsidR="00830A2D">
        <w:rPr>
          <w:rFonts w:eastAsiaTheme="majorEastAsia" w:cstheme="minorHAnsi"/>
        </w:rPr>
        <w:t xml:space="preserve">We can no longer “see” people. </w:t>
      </w:r>
      <w:r w:rsidR="00BB58B4">
        <w:rPr>
          <w:rFonts w:eastAsiaTheme="majorEastAsia" w:cstheme="minorHAnsi"/>
        </w:rPr>
        <w:t xml:space="preserve">Communication is now through screens. Whether it be via email, text message or social media. Communication has altered drastically. </w:t>
      </w:r>
      <w:r w:rsidR="00830A2D">
        <w:rPr>
          <w:rFonts w:eastAsiaTheme="majorEastAsia" w:cstheme="minorHAnsi"/>
        </w:rPr>
        <w:t>Th</w:t>
      </w:r>
      <w:r w:rsidR="00BB58B4">
        <w:rPr>
          <w:rFonts w:eastAsiaTheme="majorEastAsia" w:cstheme="minorHAnsi"/>
        </w:rPr>
        <w:t xml:space="preserve">is change now </w:t>
      </w:r>
      <w:r w:rsidR="00830A2D">
        <w:rPr>
          <w:rFonts w:eastAsiaTheme="majorEastAsia" w:cstheme="minorHAnsi"/>
        </w:rPr>
        <w:t xml:space="preserve">removes gestures as a form of communication. </w:t>
      </w:r>
      <w:r w:rsidR="003E2448">
        <w:rPr>
          <w:rFonts w:eastAsiaTheme="majorEastAsia" w:cstheme="minorHAnsi"/>
        </w:rPr>
        <w:t>The famous 7-38-55 rule suggests that the most effective communicators have mastered the art of “gestures.” 55% of communication is non-verbal.</w:t>
      </w:r>
      <w:r w:rsidR="00B42524">
        <w:rPr>
          <w:rFonts w:eastAsiaTheme="majorEastAsia" w:cstheme="minorHAnsi"/>
        </w:rPr>
        <w:t xml:space="preserve"> This renowned rule has been previously used to show the importance of non-verbal communication.</w:t>
      </w:r>
      <w:r w:rsidR="003E2448">
        <w:rPr>
          <w:rFonts w:eastAsiaTheme="majorEastAsia" w:cstheme="minorHAnsi"/>
        </w:rPr>
        <w:t xml:space="preserve"> </w:t>
      </w:r>
      <w:r w:rsidR="00B42524">
        <w:rPr>
          <w:rFonts w:eastAsiaTheme="majorEastAsia" w:cstheme="minorHAnsi"/>
        </w:rPr>
        <w:t>M</w:t>
      </w:r>
      <w:r w:rsidR="00830A2D">
        <w:rPr>
          <w:rFonts w:eastAsiaTheme="majorEastAsia" w:cstheme="minorHAnsi"/>
        </w:rPr>
        <w:t>any theorists believe that n</w:t>
      </w:r>
      <w:r w:rsidR="003E2448">
        <w:rPr>
          <w:rFonts w:eastAsiaTheme="majorEastAsia" w:cstheme="minorHAnsi"/>
        </w:rPr>
        <w:t xml:space="preserve">on-verbal communication has transformed the study of human behaviours (Argyle, 2010, </w:t>
      </w:r>
      <w:proofErr w:type="spellStart"/>
      <w:r w:rsidR="003E2448">
        <w:rPr>
          <w:rFonts w:eastAsiaTheme="majorEastAsia" w:cstheme="minorHAnsi"/>
        </w:rPr>
        <w:t>pg</w:t>
      </w:r>
      <w:proofErr w:type="spellEnd"/>
      <w:r w:rsidR="003E2448">
        <w:rPr>
          <w:rFonts w:eastAsiaTheme="majorEastAsia" w:cstheme="minorHAnsi"/>
        </w:rPr>
        <w:t xml:space="preserve"> 243). </w:t>
      </w:r>
      <w:r w:rsidR="00830A2D">
        <w:rPr>
          <w:rFonts w:eastAsiaTheme="majorEastAsia" w:cstheme="minorHAnsi"/>
        </w:rPr>
        <w:t xml:space="preserve">Non-verbal communication is still an exchange of information and serves as much importance as verbal communication (Hinde, 1972, p. 200). </w:t>
      </w:r>
    </w:p>
    <w:p w14:paraId="1AEE3557" w14:textId="1775B30C" w:rsidR="00CC33DA" w:rsidRPr="00651602" w:rsidRDefault="00E739AC" w:rsidP="00436E31">
      <w:pPr>
        <w:rPr>
          <w:rFonts w:cstheme="minorHAnsi"/>
        </w:rPr>
      </w:pPr>
      <w:r>
        <w:rPr>
          <w:rFonts w:eastAsiaTheme="majorEastAsia" w:cstheme="minorHAnsi"/>
        </w:rPr>
        <w:t xml:space="preserve">To effectively communicate, one must understand context. </w:t>
      </w:r>
      <w:r>
        <w:rPr>
          <w:rFonts w:cstheme="minorHAnsi"/>
        </w:rPr>
        <w:t>Different jargon must be used based upon the audience (</w:t>
      </w:r>
      <w:proofErr w:type="spellStart"/>
      <w:r>
        <w:rPr>
          <w:rFonts w:cstheme="minorHAnsi"/>
        </w:rPr>
        <w:t>Aakhus</w:t>
      </w:r>
      <w:proofErr w:type="spellEnd"/>
      <w:r>
        <w:rPr>
          <w:rFonts w:cstheme="minorHAnsi"/>
        </w:rPr>
        <w:t xml:space="preserve">, 2007, p. 112). Using language that the audience will know, will help one convey their </w:t>
      </w:r>
      <w:r w:rsidR="00B42524">
        <w:rPr>
          <w:rFonts w:cstheme="minorHAnsi"/>
        </w:rPr>
        <w:t xml:space="preserve">points </w:t>
      </w:r>
      <w:r>
        <w:rPr>
          <w:rFonts w:cstheme="minorHAnsi"/>
        </w:rPr>
        <w:t xml:space="preserve">effectively. A group of children will not comprehend the studies of Karl Marx. Much like a group of adults will not be interested in a conversation about Peppa Pig. Knowing your audience is key to successful communication. Schramm alludes to this in his studies. He discusses how a non-science person could not understand Einstein, or a non-sports person would not enjoy soccer (Schramm, 1955, p. 360). </w:t>
      </w:r>
      <w:r w:rsidR="007C72E8">
        <w:rPr>
          <w:rFonts w:cstheme="minorHAnsi"/>
        </w:rPr>
        <w:t>For</w:t>
      </w:r>
      <w:r>
        <w:rPr>
          <w:rFonts w:cstheme="minorHAnsi"/>
        </w:rPr>
        <w:t xml:space="preserve"> the message to be decoded, the sources need to have a mutual understanding. A sense of “commonness,” as Schramm notes (Schramm, 1955, p. 357). </w:t>
      </w:r>
    </w:p>
    <w:p w14:paraId="5314622D" w14:textId="77777777" w:rsidR="00CC33DA" w:rsidRPr="00651602" w:rsidRDefault="00CC33DA" w:rsidP="00436E31">
      <w:pPr>
        <w:rPr>
          <w:rFonts w:asciiTheme="majorHAnsi" w:hAnsiTheme="majorHAnsi" w:cstheme="majorHAnsi"/>
          <w:color w:val="2F5496" w:themeColor="accent1" w:themeShade="BF"/>
          <w:sz w:val="2"/>
          <w:szCs w:val="2"/>
        </w:rPr>
      </w:pPr>
    </w:p>
    <w:p w14:paraId="0E5D264D" w14:textId="35957B23" w:rsidR="00651602" w:rsidRDefault="007C72E8" w:rsidP="00436E31">
      <w:pPr>
        <w:rPr>
          <w:rFonts w:asciiTheme="majorHAnsi" w:hAnsiTheme="majorHAnsi" w:cstheme="majorHAnsi"/>
          <w:color w:val="2F5496" w:themeColor="accent1" w:themeShade="BF"/>
          <w:sz w:val="26"/>
          <w:szCs w:val="26"/>
        </w:rPr>
      </w:pPr>
      <w:r>
        <w:rPr>
          <w:rFonts w:asciiTheme="majorHAnsi" w:hAnsiTheme="majorHAnsi" w:cstheme="majorHAnsi"/>
          <w:color w:val="2F5496" w:themeColor="accent1" w:themeShade="BF"/>
          <w:sz w:val="26"/>
          <w:szCs w:val="26"/>
        </w:rPr>
        <w:t>Shannon-Weaver Mathematical Model, 1949</w:t>
      </w:r>
    </w:p>
    <w:p w14:paraId="61B968F0" w14:textId="2DC40798" w:rsidR="00832F8B" w:rsidRPr="00651602" w:rsidRDefault="00651602" w:rsidP="00436E31">
      <w:pPr>
        <w:rPr>
          <w:rFonts w:asciiTheme="majorHAnsi" w:hAnsiTheme="majorHAnsi" w:cstheme="majorHAnsi"/>
          <w:color w:val="2F5496" w:themeColor="accent1" w:themeShade="BF"/>
          <w:sz w:val="26"/>
          <w:szCs w:val="26"/>
        </w:rPr>
      </w:pPr>
      <w:r>
        <w:rPr>
          <w:noProof/>
        </w:rPr>
        <w:drawing>
          <wp:anchor distT="0" distB="0" distL="114300" distR="114300" simplePos="0" relativeHeight="251660288" behindDoc="0" locked="0" layoutInCell="1" allowOverlap="1" wp14:anchorId="63A4DBDA" wp14:editId="6E715091">
            <wp:simplePos x="0" y="0"/>
            <wp:positionH relativeFrom="column">
              <wp:posOffset>104775</wp:posOffset>
            </wp:positionH>
            <wp:positionV relativeFrom="paragraph">
              <wp:posOffset>370205</wp:posOffset>
            </wp:positionV>
            <wp:extent cx="5419725" cy="1238250"/>
            <wp:effectExtent l="0" t="0" r="9525" b="0"/>
            <wp:wrapSquare wrapText="bothSides"/>
            <wp:docPr id="5" name="Picture 5" descr="Shannon and Weaver Model of Communicatio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Shannon and Weaver Model of Communication"/>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5419725" cy="1238250"/>
                    </a:xfrm>
                    <a:prstGeom prst="rect">
                      <a:avLst/>
                    </a:prstGeom>
                    <a:noFill/>
                    <a:ln>
                      <a:noFill/>
                    </a:ln>
                  </pic:spPr>
                </pic:pic>
              </a:graphicData>
            </a:graphic>
            <wp14:sizeRelH relativeFrom="margin">
              <wp14:pctWidth>0</wp14:pctWidth>
            </wp14:sizeRelH>
            <wp14:sizeRelV relativeFrom="margin">
              <wp14:pctHeight>0</wp14:pctHeight>
            </wp14:sizeRelV>
          </wp:anchor>
        </w:drawing>
      </w:r>
      <w:r>
        <w:rPr>
          <w:rFonts w:cstheme="minorHAnsi"/>
        </w:rPr>
        <w:t>Shannon and Weaver sought to find how effective communication is. To do this, they created a model, as seen below (Shannon and Weaver, 1949):</w:t>
      </w:r>
    </w:p>
    <w:p w14:paraId="6D8B2FC7" w14:textId="6EC3B86F" w:rsidR="00AB4965" w:rsidRDefault="007C72E8" w:rsidP="00436E31">
      <w:r>
        <w:lastRenderedPageBreak/>
        <w:t xml:space="preserve">The model </w:t>
      </w:r>
      <w:r w:rsidR="00197248">
        <w:t>shows how communication</w:t>
      </w:r>
      <w:r>
        <w:t xml:space="preserve"> is transmitted. Shannon and Weaver’s model was created to look at how communication was in wartime</w:t>
      </w:r>
      <w:r w:rsidR="000753A3">
        <w:t xml:space="preserve"> (Shannon, 1948)</w:t>
      </w:r>
      <w:r>
        <w:t>. The message, therefore, was through a technological channel, like telephone and telegraph. The sender then converts the message into codes</w:t>
      </w:r>
      <w:r w:rsidR="000753A3">
        <w:t xml:space="preserve">. Once the receiver decodes this information, they can then understand what the purpose of the message is. They can relay their feedback to the sender, for this process to then restart. </w:t>
      </w:r>
      <w:r w:rsidR="00AB4965">
        <w:t>This model is recognised as “the mother of all models,” signifying its importance (</w:t>
      </w:r>
      <w:proofErr w:type="spellStart"/>
      <w:r w:rsidR="00AB4965">
        <w:t>Hollnagel</w:t>
      </w:r>
      <w:proofErr w:type="spellEnd"/>
      <w:r w:rsidR="00AB4965">
        <w:t xml:space="preserve"> &amp; Woods, 2005, p. 2821).</w:t>
      </w:r>
    </w:p>
    <w:p w14:paraId="3D6DC9B8" w14:textId="61673C10" w:rsidR="000C70F6" w:rsidRPr="000C70F6" w:rsidRDefault="00197248" w:rsidP="00436E31">
      <w:r>
        <w:t xml:space="preserve">Many theorists criticise Shannon-Weaver’s model. </w:t>
      </w:r>
      <w:r w:rsidR="000C70F6">
        <w:t xml:space="preserve">Sperber and Wilson main criticism is that it is very basic and old (1986, p. 5). According to </w:t>
      </w:r>
      <w:proofErr w:type="spellStart"/>
      <w:r w:rsidR="000C70F6">
        <w:t>Foulger</w:t>
      </w:r>
      <w:proofErr w:type="spellEnd"/>
      <w:r w:rsidR="000C70F6">
        <w:t>, the model implies that communication is one dimensional (</w:t>
      </w:r>
      <w:proofErr w:type="spellStart"/>
      <w:r w:rsidR="000C70F6">
        <w:t>Foulger</w:t>
      </w:r>
      <w:proofErr w:type="spellEnd"/>
      <w:r w:rsidR="000C70F6">
        <w:t>, 2004). In the real world, communication is very complex. By using telegraphs and telephones as a basis for their model removes the importance of social interactions face-to-face (</w:t>
      </w:r>
      <w:proofErr w:type="spellStart"/>
      <w:r w:rsidR="000C70F6">
        <w:t>Foulger</w:t>
      </w:r>
      <w:proofErr w:type="spellEnd"/>
      <w:r w:rsidR="000C70F6">
        <w:t xml:space="preserve">, 2004). Similarly, there is no context to the communication being transmitted. Flensburg argues that you must know something about the type of </w:t>
      </w:r>
      <w:r w:rsidR="000C70F6">
        <w:rPr>
          <w:i/>
          <w:iCs/>
        </w:rPr>
        <w:t xml:space="preserve">data </w:t>
      </w:r>
      <w:r w:rsidR="000C70F6">
        <w:t>being transferred to use the model in everyday situations (Flensburg, 2009). A conversation between a husband and wife, would be very different between a manager and employee. Context is key to communication. Shannon and Weaver do not</w:t>
      </w:r>
      <w:r w:rsidR="00407300">
        <w:t xml:space="preserve"> investigate </w:t>
      </w:r>
      <w:r w:rsidR="000C70F6">
        <w:t xml:space="preserve">the different scenarios </w:t>
      </w:r>
      <w:r w:rsidR="00AB4965">
        <w:t>that could affect communication.</w:t>
      </w:r>
    </w:p>
    <w:p w14:paraId="1570DEB7" w14:textId="77777777" w:rsidR="00BB58B4" w:rsidRDefault="00AB4965" w:rsidP="00436E31">
      <w:r>
        <w:t>T</w:t>
      </w:r>
      <w:r w:rsidR="00407300">
        <w:t>heorists have applauded Weaver’s ideas. Shannon initially created the model without the feedback element. Weaver introduced this later, which is what makes this model so widely accepted</w:t>
      </w:r>
      <w:r>
        <w:t xml:space="preserve"> (Bowman &amp; </w:t>
      </w:r>
      <w:proofErr w:type="spellStart"/>
      <w:r>
        <w:t>Targowski</w:t>
      </w:r>
      <w:proofErr w:type="spellEnd"/>
      <w:r>
        <w:t>, 1987, p. 21).</w:t>
      </w:r>
      <w:r w:rsidR="00407300">
        <w:t xml:space="preserve"> Theorists find that it has the best understanding of communication</w:t>
      </w:r>
      <w:r w:rsidR="00BB58B4">
        <w:t xml:space="preserve">, </w:t>
      </w:r>
      <w:r w:rsidR="00407300">
        <w:t xml:space="preserve">even if it is one dimensional. </w:t>
      </w:r>
    </w:p>
    <w:p w14:paraId="3F6E7F0E" w14:textId="76BBF8D2" w:rsidR="000C70F6" w:rsidRDefault="000C70F6" w:rsidP="00436E31">
      <w:r>
        <w:t xml:space="preserve">Sperber and Wilson have praised the model for its use of technological advances. </w:t>
      </w:r>
      <w:r w:rsidR="00EE4802">
        <w:t>It looks at the flow of information through a medium (Al-</w:t>
      </w:r>
      <w:proofErr w:type="spellStart"/>
      <w:r w:rsidR="00EE4802">
        <w:t>Fedaghi</w:t>
      </w:r>
      <w:proofErr w:type="spellEnd"/>
      <w:r w:rsidR="00EE4802">
        <w:t xml:space="preserve">, 2012, p. 1). </w:t>
      </w:r>
      <w:r>
        <w:t>In the modern world, virtual communication is used much more than verbal. Shannon-Weaver’s model is a foundation for theorists in the 21</w:t>
      </w:r>
      <w:r w:rsidRPr="000C70F6">
        <w:rPr>
          <w:vertAlign w:val="superscript"/>
        </w:rPr>
        <w:t>st</w:t>
      </w:r>
      <w:r>
        <w:t xml:space="preserve"> century to look at how impactful virtual communication is.</w:t>
      </w:r>
      <w:r w:rsidR="00407300">
        <w:t xml:space="preserve"> </w:t>
      </w:r>
      <w:r w:rsidR="00EE4802">
        <w:t xml:space="preserve">Virtual communication will “increase humankind’s ability to overcome communicative constraints,” (Alberts </w:t>
      </w:r>
      <w:r w:rsidR="00EE4802">
        <w:rPr>
          <w:i/>
          <w:iCs/>
        </w:rPr>
        <w:t xml:space="preserve">et al, </w:t>
      </w:r>
      <w:r w:rsidR="00EE4802">
        <w:t xml:space="preserve">1997). </w:t>
      </w:r>
    </w:p>
    <w:p w14:paraId="3D2CB2BD" w14:textId="3C020B71" w:rsidR="00407300" w:rsidRDefault="00407300" w:rsidP="00436E31">
      <w:r>
        <w:t xml:space="preserve">Moreover, Shannon-Weaver’s model is very basic and does eliminate some key features, such as context. However, being so basic makes its application much easier. </w:t>
      </w:r>
    </w:p>
    <w:p w14:paraId="76378CFE" w14:textId="77777777" w:rsidR="00197248" w:rsidRPr="00483A40" w:rsidRDefault="00197248" w:rsidP="00436E31"/>
    <w:p w14:paraId="5D4D6FA4" w14:textId="7773FD24" w:rsidR="00407300" w:rsidRDefault="00407300" w:rsidP="00436E31">
      <w:pPr>
        <w:rPr>
          <w:rFonts w:asciiTheme="majorHAnsi" w:hAnsiTheme="majorHAnsi" w:cstheme="majorHAnsi"/>
          <w:color w:val="2F5496" w:themeColor="accent1" w:themeShade="BF"/>
          <w:sz w:val="26"/>
          <w:szCs w:val="26"/>
        </w:rPr>
      </w:pPr>
      <w:proofErr w:type="spellStart"/>
      <w:r>
        <w:rPr>
          <w:rFonts w:asciiTheme="majorHAnsi" w:hAnsiTheme="majorHAnsi" w:cstheme="majorHAnsi"/>
          <w:color w:val="2F5496" w:themeColor="accent1" w:themeShade="BF"/>
          <w:sz w:val="26"/>
          <w:szCs w:val="26"/>
        </w:rPr>
        <w:t>Berlo’s</w:t>
      </w:r>
      <w:proofErr w:type="spellEnd"/>
      <w:r>
        <w:rPr>
          <w:rFonts w:asciiTheme="majorHAnsi" w:hAnsiTheme="majorHAnsi" w:cstheme="majorHAnsi"/>
          <w:color w:val="2F5496" w:themeColor="accent1" w:themeShade="BF"/>
          <w:sz w:val="26"/>
          <w:szCs w:val="26"/>
        </w:rPr>
        <w:t xml:space="preserve"> Model of Communication</w:t>
      </w:r>
    </w:p>
    <w:p w14:paraId="1FA4A0B8" w14:textId="56BD503F" w:rsidR="00141580" w:rsidRDefault="00407300" w:rsidP="00436E31">
      <w:pPr>
        <w:rPr>
          <w:rFonts w:cstheme="minorHAnsi"/>
        </w:rPr>
      </w:pPr>
      <w:proofErr w:type="spellStart"/>
      <w:r>
        <w:rPr>
          <w:rFonts w:cstheme="minorHAnsi"/>
        </w:rPr>
        <w:t>Berlo’s</w:t>
      </w:r>
      <w:proofErr w:type="spellEnd"/>
      <w:r>
        <w:rPr>
          <w:rFonts w:cstheme="minorHAnsi"/>
        </w:rPr>
        <w:t xml:space="preserve"> model of communication is widely known as “SMCR,” (</w:t>
      </w:r>
      <w:proofErr w:type="spellStart"/>
      <w:r>
        <w:rPr>
          <w:rFonts w:cstheme="minorHAnsi"/>
        </w:rPr>
        <w:t>Berlo</w:t>
      </w:r>
      <w:proofErr w:type="spellEnd"/>
      <w:r>
        <w:rPr>
          <w:rFonts w:cstheme="minorHAnsi"/>
        </w:rPr>
        <w:t xml:space="preserve">, 1960, p. 2). This stands for source, message, channel and receiver. </w:t>
      </w:r>
      <w:proofErr w:type="spellStart"/>
      <w:r>
        <w:rPr>
          <w:rFonts w:cstheme="minorHAnsi"/>
        </w:rPr>
        <w:t>Berlo</w:t>
      </w:r>
      <w:proofErr w:type="spellEnd"/>
      <w:r w:rsidR="00141580">
        <w:rPr>
          <w:rFonts w:cstheme="minorHAnsi"/>
        </w:rPr>
        <w:t xml:space="preserve"> looked more at the effects of communication and what factors could impact it</w:t>
      </w:r>
      <w:r>
        <w:rPr>
          <w:rFonts w:cstheme="minorHAnsi"/>
        </w:rPr>
        <w:t xml:space="preserve">. </w:t>
      </w:r>
      <w:r w:rsidR="00141580">
        <w:rPr>
          <w:rFonts w:cstheme="minorHAnsi"/>
        </w:rPr>
        <w:t xml:space="preserve">The source and receiver could be affected by their communication skills, attitudes, culture etc. The message could be hindered by a lack of content. The channel may be influenced by the 5 senses. Narula </w:t>
      </w:r>
      <w:r w:rsidR="00D92CC3">
        <w:rPr>
          <w:rFonts w:cstheme="minorHAnsi"/>
        </w:rPr>
        <w:t>applauds</w:t>
      </w:r>
      <w:r w:rsidR="00141580">
        <w:rPr>
          <w:rFonts w:cstheme="minorHAnsi"/>
        </w:rPr>
        <w:t xml:space="preserve"> </w:t>
      </w:r>
      <w:proofErr w:type="spellStart"/>
      <w:r w:rsidR="00141580">
        <w:rPr>
          <w:rFonts w:cstheme="minorHAnsi"/>
        </w:rPr>
        <w:t>Berlo’s</w:t>
      </w:r>
      <w:proofErr w:type="spellEnd"/>
      <w:r w:rsidR="00141580">
        <w:rPr>
          <w:rFonts w:cstheme="minorHAnsi"/>
        </w:rPr>
        <w:t xml:space="preserve"> use of context. She argues that it was the first model to discuss context in relation to communication (Narula, 2006, p. 31). </w:t>
      </w:r>
    </w:p>
    <w:p w14:paraId="3F9D632C" w14:textId="55E2E0CE" w:rsidR="00141580" w:rsidRDefault="00141580" w:rsidP="00436E31">
      <w:pPr>
        <w:rPr>
          <w:rFonts w:cstheme="minorHAnsi"/>
        </w:rPr>
      </w:pPr>
      <w:r>
        <w:rPr>
          <w:rFonts w:cstheme="minorHAnsi"/>
        </w:rPr>
        <w:t xml:space="preserve">According to </w:t>
      </w:r>
      <w:proofErr w:type="spellStart"/>
      <w:r>
        <w:rPr>
          <w:rFonts w:cstheme="minorHAnsi"/>
        </w:rPr>
        <w:t>Berlo</w:t>
      </w:r>
      <w:proofErr w:type="spellEnd"/>
      <w:r>
        <w:rPr>
          <w:rFonts w:cstheme="minorHAnsi"/>
        </w:rPr>
        <w:t>, people can only communicate if the factors are in adequate proportion and understood by both the source and receiver (</w:t>
      </w:r>
      <w:proofErr w:type="spellStart"/>
      <w:r>
        <w:rPr>
          <w:rFonts w:cstheme="minorHAnsi"/>
        </w:rPr>
        <w:t>Berlo</w:t>
      </w:r>
      <w:proofErr w:type="spellEnd"/>
      <w:r>
        <w:rPr>
          <w:rFonts w:cstheme="minorHAnsi"/>
        </w:rPr>
        <w:t xml:space="preserve">, 1960, p. 7). Again, alluding to Schramm’s idea of “commonness.” The source and receiver must have common ground to effectively communicate. For instance, if you have a shy manager with an overpowering employee, the relationships dynamics will not match societies norm. Therefore, any further communication will not be effective. </w:t>
      </w:r>
      <w:r w:rsidR="00D92CC3">
        <w:rPr>
          <w:rFonts w:cstheme="minorHAnsi"/>
        </w:rPr>
        <w:t xml:space="preserve">Eliminating physical distances isn’t likely to increase any sense of communication if there is no “commonness,” (Chong </w:t>
      </w:r>
      <w:r w:rsidR="00D92CC3">
        <w:rPr>
          <w:rFonts w:cstheme="minorHAnsi"/>
          <w:i/>
          <w:iCs/>
        </w:rPr>
        <w:t xml:space="preserve">et al, </w:t>
      </w:r>
      <w:r w:rsidR="00D92CC3">
        <w:rPr>
          <w:rFonts w:cstheme="minorHAnsi"/>
        </w:rPr>
        <w:t xml:space="preserve">2012, p. 205). </w:t>
      </w:r>
      <w:r w:rsidR="00197248">
        <w:rPr>
          <w:rFonts w:cstheme="minorHAnsi"/>
        </w:rPr>
        <w:t xml:space="preserve">Therefore, </w:t>
      </w:r>
      <w:r>
        <w:rPr>
          <w:rFonts w:cstheme="minorHAnsi"/>
        </w:rPr>
        <w:t xml:space="preserve">it is so important to have a team that is balanced. A team that </w:t>
      </w:r>
      <w:r>
        <w:rPr>
          <w:rFonts w:cstheme="minorHAnsi"/>
        </w:rPr>
        <w:lastRenderedPageBreak/>
        <w:t xml:space="preserve">has similarities will have a foundation to build upon, compared to teams that are complete opposites. </w:t>
      </w:r>
    </w:p>
    <w:p w14:paraId="22C0B15F" w14:textId="5136E958" w:rsidR="00141580" w:rsidRDefault="00141580" w:rsidP="00436E31">
      <w:pPr>
        <w:rPr>
          <w:rFonts w:cstheme="minorHAnsi"/>
        </w:rPr>
      </w:pPr>
      <w:r>
        <w:rPr>
          <w:rFonts w:cstheme="minorHAnsi"/>
        </w:rPr>
        <w:t xml:space="preserve">However, </w:t>
      </w:r>
      <w:proofErr w:type="spellStart"/>
      <w:r>
        <w:rPr>
          <w:rFonts w:cstheme="minorHAnsi"/>
        </w:rPr>
        <w:t>Berlo’s</w:t>
      </w:r>
      <w:proofErr w:type="spellEnd"/>
      <w:r>
        <w:rPr>
          <w:rFonts w:cstheme="minorHAnsi"/>
        </w:rPr>
        <w:t xml:space="preserve"> model only looks at communication from source to receiver. Communication needs a two-way exchange of information to be effective (Narula, 2006, p. 14). </w:t>
      </w:r>
      <w:r w:rsidR="00D92CC3">
        <w:rPr>
          <w:rFonts w:cstheme="minorHAnsi"/>
        </w:rPr>
        <w:t xml:space="preserve">This makes </w:t>
      </w:r>
      <w:proofErr w:type="spellStart"/>
      <w:r w:rsidR="00D92CC3">
        <w:rPr>
          <w:rFonts w:cstheme="minorHAnsi"/>
        </w:rPr>
        <w:t>Berlo’s</w:t>
      </w:r>
      <w:proofErr w:type="spellEnd"/>
      <w:r w:rsidR="00D92CC3">
        <w:rPr>
          <w:rFonts w:cstheme="minorHAnsi"/>
        </w:rPr>
        <w:t xml:space="preserve"> model much too simplistic to apply to any situation. All communications have two-way exchanges. Removing the “feedback,” part of communication hinders </w:t>
      </w:r>
      <w:proofErr w:type="spellStart"/>
      <w:r w:rsidR="00D92CC3">
        <w:rPr>
          <w:rFonts w:cstheme="minorHAnsi"/>
        </w:rPr>
        <w:t>Berlo’s</w:t>
      </w:r>
      <w:proofErr w:type="spellEnd"/>
      <w:r w:rsidR="00D92CC3">
        <w:rPr>
          <w:rFonts w:cstheme="minorHAnsi"/>
        </w:rPr>
        <w:t xml:space="preserve"> model, making it ineffective. </w:t>
      </w:r>
    </w:p>
    <w:p w14:paraId="134FFFBC" w14:textId="473BD7A8" w:rsidR="00EE4802" w:rsidRDefault="00EE4802" w:rsidP="00436E31">
      <w:pPr>
        <w:rPr>
          <w:rFonts w:asciiTheme="majorHAnsi" w:hAnsiTheme="majorHAnsi" w:cstheme="majorHAnsi"/>
          <w:color w:val="2F5496" w:themeColor="accent1" w:themeShade="BF"/>
          <w:sz w:val="26"/>
          <w:szCs w:val="26"/>
        </w:rPr>
      </w:pPr>
      <w:r>
        <w:rPr>
          <w:rFonts w:asciiTheme="majorHAnsi" w:hAnsiTheme="majorHAnsi" w:cstheme="majorHAnsi"/>
          <w:color w:val="2F5496" w:themeColor="accent1" w:themeShade="BF"/>
          <w:sz w:val="26"/>
          <w:szCs w:val="26"/>
        </w:rPr>
        <w:t>Schramm’s Model of Communication (1954)</w:t>
      </w:r>
    </w:p>
    <w:p w14:paraId="5DCD1189" w14:textId="5D3A63CA" w:rsidR="00EE4802" w:rsidRDefault="00EE4802" w:rsidP="00436E31">
      <w:pPr>
        <w:rPr>
          <w:rFonts w:cstheme="minorHAnsi"/>
        </w:rPr>
      </w:pPr>
      <w:r>
        <w:rPr>
          <w:rFonts w:cstheme="minorHAnsi"/>
        </w:rPr>
        <w:t>Schramm’s model has 4 stages: message, decoder, receiver, interpreter. This model views communication as a process that takes place between the sender and receiver (Schramm, 1955, p. 357).</w:t>
      </w:r>
      <w:r w:rsidR="00832F22">
        <w:rPr>
          <w:rFonts w:cstheme="minorHAnsi"/>
        </w:rPr>
        <w:t xml:space="preserve"> Schramm believes that the two sources experiences must overlap for communication to take place. Communication is otherwise very difficult (Schramm, 1955, p. 357). The receiver must be able to understand the sender (Schramm, 1955, p. 359). The receiver cannot decode or interpret what the sender has said without context and understanding.</w:t>
      </w:r>
    </w:p>
    <w:p w14:paraId="4ADD252F" w14:textId="4C76D2EA" w:rsidR="00832F22" w:rsidRDefault="00832F22" w:rsidP="00436E31">
      <w:pPr>
        <w:rPr>
          <w:rFonts w:cstheme="minorHAnsi"/>
        </w:rPr>
      </w:pPr>
      <w:r>
        <w:rPr>
          <w:rFonts w:cstheme="minorHAnsi"/>
        </w:rPr>
        <w:t xml:space="preserve">Much like </w:t>
      </w:r>
      <w:proofErr w:type="spellStart"/>
      <w:r>
        <w:rPr>
          <w:rFonts w:cstheme="minorHAnsi"/>
        </w:rPr>
        <w:t>Berlo</w:t>
      </w:r>
      <w:proofErr w:type="spellEnd"/>
      <w:r>
        <w:rPr>
          <w:rFonts w:cstheme="minorHAnsi"/>
        </w:rPr>
        <w:t xml:space="preserve">, Schramm believes that context is the most important part of communication (Schramm, 1955, p. 357). He discusses how somebody calling the fire brigade, a boy professing his love and a lecturer are all methods of communication, but it is the context that makes it relative to the study (Schramm, 1955, p. 358). </w:t>
      </w:r>
    </w:p>
    <w:p w14:paraId="05862843" w14:textId="4E0F99D7" w:rsidR="00832F22" w:rsidRDefault="00832F22" w:rsidP="00436E31">
      <w:pPr>
        <w:rPr>
          <w:rFonts w:cstheme="minorHAnsi"/>
        </w:rPr>
      </w:pPr>
      <w:r>
        <w:rPr>
          <w:rFonts w:cstheme="minorHAnsi"/>
        </w:rPr>
        <w:t xml:space="preserve">Schramm’s model is a circle of communication, rather than linear. This is a strength of his work. Communication is a “endless,” </w:t>
      </w:r>
      <w:r w:rsidR="00197248">
        <w:rPr>
          <w:rFonts w:cstheme="minorHAnsi"/>
        </w:rPr>
        <w:t xml:space="preserve">and not linear, like </w:t>
      </w:r>
      <w:proofErr w:type="spellStart"/>
      <w:r w:rsidR="00197248">
        <w:rPr>
          <w:rFonts w:cstheme="minorHAnsi"/>
        </w:rPr>
        <w:t>Berlo’s</w:t>
      </w:r>
      <w:proofErr w:type="spellEnd"/>
      <w:r w:rsidR="00197248">
        <w:rPr>
          <w:rFonts w:cstheme="minorHAnsi"/>
        </w:rPr>
        <w:t xml:space="preserve"> model </w:t>
      </w:r>
      <w:r>
        <w:rPr>
          <w:rFonts w:cstheme="minorHAnsi"/>
        </w:rPr>
        <w:t xml:space="preserve">(Schramm, </w:t>
      </w:r>
      <w:r w:rsidR="00483A40">
        <w:rPr>
          <w:rFonts w:cstheme="minorHAnsi"/>
        </w:rPr>
        <w:t xml:space="preserve">1955, </w:t>
      </w:r>
      <w:r>
        <w:rPr>
          <w:rFonts w:cstheme="minorHAnsi"/>
        </w:rPr>
        <w:t>pg. 372</w:t>
      </w:r>
      <w:r w:rsidR="00483A40">
        <w:rPr>
          <w:rFonts w:cstheme="minorHAnsi"/>
        </w:rPr>
        <w:t xml:space="preserve">). </w:t>
      </w:r>
    </w:p>
    <w:p w14:paraId="7B8DB3E6" w14:textId="26348AA3" w:rsidR="00832F22" w:rsidRDefault="00832F22" w:rsidP="00436E31">
      <w:pPr>
        <w:rPr>
          <w:rFonts w:cstheme="minorHAnsi"/>
        </w:rPr>
      </w:pPr>
      <w:r>
        <w:rPr>
          <w:rFonts w:cstheme="minorHAnsi"/>
        </w:rPr>
        <w:t xml:space="preserve">A limitation is how basic his study is. Although it incorporates context and two-way exchanges, it does not </w:t>
      </w:r>
      <w:r w:rsidR="00483A40">
        <w:rPr>
          <w:rFonts w:cstheme="minorHAnsi"/>
        </w:rPr>
        <w:t>recognise that communication can be unequal (</w:t>
      </w:r>
      <w:proofErr w:type="spellStart"/>
      <w:r w:rsidR="00483A40">
        <w:rPr>
          <w:rFonts w:cstheme="minorHAnsi"/>
        </w:rPr>
        <w:t>Mcquail</w:t>
      </w:r>
      <w:proofErr w:type="spellEnd"/>
      <w:r w:rsidR="00483A40">
        <w:rPr>
          <w:rFonts w:cstheme="minorHAnsi"/>
        </w:rPr>
        <w:t xml:space="preserve"> &amp; </w:t>
      </w:r>
      <w:proofErr w:type="spellStart"/>
      <w:r w:rsidR="00483A40">
        <w:rPr>
          <w:rFonts w:cstheme="minorHAnsi"/>
        </w:rPr>
        <w:t>Windhall</w:t>
      </w:r>
      <w:proofErr w:type="spellEnd"/>
      <w:r w:rsidR="00483A40">
        <w:rPr>
          <w:rFonts w:cstheme="minorHAnsi"/>
        </w:rPr>
        <w:t>, 2015, p. 20). In the workplace, there are many situations that involve authoritative figures talking with listeners trying to interpret the message. This model does not tend to work in situations where power balances exist (</w:t>
      </w:r>
      <w:proofErr w:type="spellStart"/>
      <w:r w:rsidR="00483A40">
        <w:rPr>
          <w:rFonts w:cstheme="minorHAnsi"/>
        </w:rPr>
        <w:t>Mcquai</w:t>
      </w:r>
      <w:proofErr w:type="spellEnd"/>
      <w:r w:rsidR="00483A40">
        <w:rPr>
          <w:rFonts w:cstheme="minorHAnsi"/>
        </w:rPr>
        <w:t xml:space="preserve"> &amp; </w:t>
      </w:r>
      <w:proofErr w:type="spellStart"/>
      <w:r w:rsidR="00483A40">
        <w:rPr>
          <w:rFonts w:cstheme="minorHAnsi"/>
        </w:rPr>
        <w:t>Windhall</w:t>
      </w:r>
      <w:proofErr w:type="spellEnd"/>
      <w:r w:rsidR="00483A40">
        <w:rPr>
          <w:rFonts w:cstheme="minorHAnsi"/>
        </w:rPr>
        <w:t xml:space="preserve">, 2015, p. 20). This is due to its simplicity. Employees would not usually give feedback to their managers as it would be inappropriate. </w:t>
      </w:r>
    </w:p>
    <w:p w14:paraId="289D066A" w14:textId="57699D54" w:rsidR="00832F8B" w:rsidRDefault="00483A40" w:rsidP="00436E31">
      <w:pPr>
        <w:rPr>
          <w:rFonts w:cstheme="minorHAnsi"/>
        </w:rPr>
      </w:pPr>
      <w:r>
        <w:rPr>
          <w:rFonts w:cstheme="minorHAnsi"/>
        </w:rPr>
        <w:t>Schramm’s model is the first of its kind. It looks at context is much more detail and analyses the importance of understanding between the source and receiver. Nevertheless, its contextual additions ignore unequal communication, especially in the workplace.</w:t>
      </w:r>
    </w:p>
    <w:p w14:paraId="6E81213F" w14:textId="3E5515AB" w:rsidR="00197248" w:rsidRDefault="00BB58B4" w:rsidP="00436E31">
      <w:pPr>
        <w:rPr>
          <w:rFonts w:asciiTheme="majorHAnsi" w:hAnsiTheme="majorHAnsi" w:cstheme="majorHAnsi"/>
          <w:color w:val="2F5496" w:themeColor="accent1" w:themeShade="BF"/>
          <w:sz w:val="26"/>
          <w:szCs w:val="26"/>
        </w:rPr>
      </w:pPr>
      <w:r>
        <w:rPr>
          <w:rFonts w:asciiTheme="majorHAnsi" w:hAnsiTheme="majorHAnsi" w:cstheme="majorHAnsi"/>
          <w:color w:val="2F5496" w:themeColor="accent1" w:themeShade="BF"/>
          <w:sz w:val="26"/>
          <w:szCs w:val="26"/>
        </w:rPr>
        <w:t>My workplace</w:t>
      </w:r>
    </w:p>
    <w:p w14:paraId="1522D91C" w14:textId="4D42103A" w:rsidR="00121766" w:rsidRDefault="00197248" w:rsidP="00436E31">
      <w:pPr>
        <w:rPr>
          <w:rFonts w:cstheme="minorHAnsi"/>
        </w:rPr>
      </w:pPr>
      <w:r>
        <w:rPr>
          <w:rFonts w:cstheme="minorHAnsi"/>
        </w:rPr>
        <w:t xml:space="preserve">Working in an office increases verbal communication. There is communication between colleagues, agents and customers and managers and employees. Verbal communication </w:t>
      </w:r>
      <w:r w:rsidR="00121766">
        <w:rPr>
          <w:rFonts w:cstheme="minorHAnsi"/>
        </w:rPr>
        <w:t>is the foundation of an effective team and allows each team to progress and grow</w:t>
      </w:r>
      <w:r w:rsidR="00651602">
        <w:rPr>
          <w:rFonts w:cstheme="minorHAnsi"/>
        </w:rPr>
        <w:t xml:space="preserve"> (Lewin, 1947, p. 22). </w:t>
      </w:r>
      <w:r w:rsidR="00121766">
        <w:rPr>
          <w:rFonts w:cstheme="minorHAnsi"/>
        </w:rPr>
        <w:t xml:space="preserve"> </w:t>
      </w:r>
    </w:p>
    <w:p w14:paraId="0517A56A" w14:textId="50073A0E" w:rsidR="00197248" w:rsidRDefault="00197248" w:rsidP="00436E31">
      <w:pPr>
        <w:rPr>
          <w:rFonts w:cstheme="minorHAnsi"/>
        </w:rPr>
      </w:pPr>
      <w:r>
        <w:rPr>
          <w:rFonts w:cstheme="minorHAnsi"/>
        </w:rPr>
        <w:t xml:space="preserve">In my workplace, Schramm’s model is used most effectively. The jargon used between myself and colleagues, differs with customers. My colleagues and I are all trained and use complex terms to describe things that the customers would not be able to decode. Schramm’s model allows us to shift and change our idiolects dependent upon the receiver. I would not use acronyms with customers, as they would not be able to decode them. When speaking with customers, I try and match their language so that we can both decode the conversation and effectively communicate. </w:t>
      </w:r>
    </w:p>
    <w:p w14:paraId="404AFF88" w14:textId="76E55AC3" w:rsidR="00CC33DA" w:rsidRDefault="00CC33DA" w:rsidP="00436E31">
      <w:pPr>
        <w:rPr>
          <w:rFonts w:cstheme="minorHAnsi"/>
        </w:rPr>
      </w:pPr>
      <w:r>
        <w:rPr>
          <w:rFonts w:cstheme="minorHAnsi"/>
        </w:rPr>
        <w:t xml:space="preserve">We also incorporate Shannon-Weaver’s model, through telephones. Our telephones act as the “channel.” Telephones allow you to have conversations when you are both not present. However, technical issues can cause the decoding of messages to fail. Similarly, you cannot see your receiver </w:t>
      </w:r>
      <w:r>
        <w:rPr>
          <w:rFonts w:cstheme="minorHAnsi"/>
        </w:rPr>
        <w:lastRenderedPageBreak/>
        <w:t xml:space="preserve">so are not aware of how they may respond to your message. It is always important to remain professional when using a “channel.” Your message needs to be decoded correctly. </w:t>
      </w:r>
    </w:p>
    <w:p w14:paraId="414C33A5" w14:textId="57D7E0DA" w:rsidR="00CC33DA" w:rsidRDefault="00CC33DA" w:rsidP="00CC33DA">
      <w:r>
        <w:t xml:space="preserve">I have regular meetings with my manager, where they give me feedback on how well I have performed the month previous. Feedback is valuable to an individual and cannot be ignored (Ashford &amp; Cummings, 1983, p. 370). It is the most important process and tells us how our messages are being conveyed (Schramm, 1955, p. 362). Therefore, managers who regularly feedback to their employees have more successful teams. Humans like to know how they can improve. In the workplace, development is key to success. If one is not as self-aware, feedback would be crucial for their development. By receiving feedback, I can know how I can grow. </w:t>
      </w:r>
    </w:p>
    <w:p w14:paraId="54A14141" w14:textId="78E86A93" w:rsidR="00CC33DA" w:rsidRPr="00483A40" w:rsidRDefault="00121766" w:rsidP="00436E31">
      <w:pPr>
        <w:rPr>
          <w:rFonts w:cstheme="minorHAnsi"/>
        </w:rPr>
      </w:pPr>
      <w:r>
        <w:rPr>
          <w:rFonts w:cstheme="minorHAnsi"/>
        </w:rPr>
        <w:t xml:space="preserve">Being in such turbulent times throughout 2020, offices </w:t>
      </w:r>
      <w:r w:rsidR="00CC33DA">
        <w:rPr>
          <w:rFonts w:cstheme="minorHAnsi"/>
        </w:rPr>
        <w:t>resorted</w:t>
      </w:r>
      <w:r>
        <w:rPr>
          <w:rFonts w:cstheme="minorHAnsi"/>
        </w:rPr>
        <w:t xml:space="preserve"> to using different methods to communicate. One of these used in my workplace is Microsoft Teams. Teams has the ability for colleagues to communicate verbally, as well as through written messages. It is an effective means of communication</w:t>
      </w:r>
      <w:r w:rsidR="00B2178E">
        <w:rPr>
          <w:rFonts w:cstheme="minorHAnsi"/>
        </w:rPr>
        <w:t xml:space="preserve"> </w:t>
      </w:r>
      <w:r>
        <w:rPr>
          <w:rFonts w:cstheme="minorHAnsi"/>
        </w:rPr>
        <w:t>but does ha</w:t>
      </w:r>
      <w:r w:rsidR="00B2178E">
        <w:rPr>
          <w:rFonts w:cstheme="minorHAnsi"/>
        </w:rPr>
        <w:t>ve its limitations. Messages can be misconstrued through any type of written communication</w:t>
      </w:r>
      <w:r w:rsidR="00CC33DA">
        <w:rPr>
          <w:rFonts w:cstheme="minorHAnsi"/>
        </w:rPr>
        <w:t>, such as emails and messages.</w:t>
      </w:r>
      <w:r w:rsidR="00B2178E">
        <w:rPr>
          <w:rFonts w:cstheme="minorHAnsi"/>
        </w:rPr>
        <w:t xml:space="preserve"> Teams does have the ability to video call, where you can exert verbal communication. </w:t>
      </w:r>
      <w:r w:rsidR="00BA4828">
        <w:rPr>
          <w:rFonts w:cstheme="minorHAnsi"/>
        </w:rPr>
        <w:t>Through a camera, however,</w:t>
      </w:r>
      <w:r w:rsidR="00CC33DA">
        <w:rPr>
          <w:rFonts w:cstheme="minorHAnsi"/>
        </w:rPr>
        <w:t xml:space="preserve"> you</w:t>
      </w:r>
      <w:r w:rsidR="00BA4828">
        <w:rPr>
          <w:rFonts w:cstheme="minorHAnsi"/>
        </w:rPr>
        <w:t xml:space="preserve"> remove numerous key </w:t>
      </w:r>
      <w:r w:rsidR="002E46C0">
        <w:rPr>
          <w:rFonts w:cstheme="minorHAnsi"/>
        </w:rPr>
        <w:t xml:space="preserve">parts of </w:t>
      </w:r>
      <w:r w:rsidR="00CC33DA">
        <w:rPr>
          <w:rFonts w:cstheme="minorHAnsi"/>
        </w:rPr>
        <w:t xml:space="preserve">communication, </w:t>
      </w:r>
      <w:r w:rsidR="002E46C0">
        <w:rPr>
          <w:rFonts w:cstheme="minorHAnsi"/>
        </w:rPr>
        <w:t xml:space="preserve">such as, gestures, clothing, context. </w:t>
      </w:r>
      <w:r w:rsidR="00A64D17">
        <w:rPr>
          <w:rFonts w:cstheme="minorHAnsi"/>
        </w:rPr>
        <w:t>Teams is very effective, despite its limitations. It allows us to speak with one another, when we are not present in the office</w:t>
      </w:r>
      <w:r w:rsidR="00CC33DA">
        <w:rPr>
          <w:rFonts w:cstheme="minorHAnsi"/>
        </w:rPr>
        <w:t>.</w:t>
      </w:r>
    </w:p>
    <w:p w14:paraId="0249017B" w14:textId="074D8650" w:rsidR="00003524" w:rsidRPr="00003524" w:rsidRDefault="00F7654E" w:rsidP="00CC33DA">
      <w:pPr>
        <w:pStyle w:val="Heading1"/>
      </w:pPr>
      <w:bookmarkStart w:id="2" w:name="_Toc9181646"/>
      <w:r>
        <w:t>2.0</w:t>
      </w:r>
      <w:bookmarkEnd w:id="2"/>
      <w:r>
        <w:t xml:space="preserve"> </w:t>
      </w:r>
    </w:p>
    <w:p w14:paraId="72215588" w14:textId="00CF4D4C" w:rsidR="00F7654E" w:rsidRPr="00436E31" w:rsidRDefault="00F7654E" w:rsidP="00003524">
      <w:pPr>
        <w:pStyle w:val="Heading2"/>
      </w:pPr>
      <w:bookmarkStart w:id="3" w:name="_Toc9181647"/>
      <w:r>
        <w:t>Assessing Own Communication Skills</w:t>
      </w:r>
      <w:bookmarkEnd w:id="3"/>
      <w:r>
        <w:t xml:space="preserve"> </w:t>
      </w:r>
    </w:p>
    <w:p w14:paraId="0F102600" w14:textId="1858A51C" w:rsidR="00C00631" w:rsidRDefault="00C00631" w:rsidP="00003524">
      <w:pPr>
        <w:jc w:val="both"/>
        <w:rPr>
          <w:rFonts w:cstheme="minorHAnsi"/>
          <w:bCs/>
          <w:sz w:val="24"/>
          <w:szCs w:val="24"/>
        </w:rPr>
      </w:pPr>
    </w:p>
    <w:p w14:paraId="59BAF1DE" w14:textId="32FCC73F" w:rsidR="00B42524" w:rsidRDefault="008B1FEE" w:rsidP="00003524">
      <w:pPr>
        <w:jc w:val="both"/>
        <w:rPr>
          <w:rFonts w:cstheme="minorHAnsi"/>
          <w:bCs/>
        </w:rPr>
      </w:pPr>
      <w:r>
        <w:rPr>
          <w:rFonts w:cstheme="minorHAnsi"/>
          <w:bCs/>
        </w:rPr>
        <w:t xml:space="preserve">Communication differs from context to context. Speaking with friends and family, </w:t>
      </w:r>
      <w:r w:rsidR="00CC33DA">
        <w:rPr>
          <w:rFonts w:cstheme="minorHAnsi"/>
          <w:bCs/>
        </w:rPr>
        <w:t>one’s</w:t>
      </w:r>
      <w:r>
        <w:rPr>
          <w:rFonts w:cstheme="minorHAnsi"/>
          <w:bCs/>
        </w:rPr>
        <w:t xml:space="preserve"> communication skills would be very different compared to presenting a presentation. To have an effective presentation, one must retain eye contact, be clear and loud, </w:t>
      </w:r>
      <w:r w:rsidR="00CC33DA">
        <w:rPr>
          <w:rFonts w:cstheme="minorHAnsi"/>
          <w:bCs/>
        </w:rPr>
        <w:t>concise,</w:t>
      </w:r>
      <w:r>
        <w:rPr>
          <w:rFonts w:cstheme="minorHAnsi"/>
          <w:bCs/>
        </w:rPr>
        <w:t xml:space="preserve"> and confident. I presented to an audience and asked them to feedback on my verbal and written communication. </w:t>
      </w:r>
      <w:r w:rsidR="00CC33DA">
        <w:rPr>
          <w:rFonts w:cstheme="minorHAnsi"/>
          <w:bCs/>
        </w:rPr>
        <w:t>Most</w:t>
      </w:r>
      <w:r>
        <w:rPr>
          <w:rFonts w:cstheme="minorHAnsi"/>
          <w:bCs/>
        </w:rPr>
        <w:t xml:space="preserve"> people thought that I was clear and loud, very informative and concise. This would be as strength if I was a manager. You must be able to relay information quickly during presentations to ensure that your audience understand your ideas. Managers must be clear and loud so that their audiences, whether it be board members, fellow managers or employees can understand them. </w:t>
      </w:r>
      <w:r w:rsidR="00B42524">
        <w:rPr>
          <w:rFonts w:cstheme="minorHAnsi"/>
          <w:bCs/>
        </w:rPr>
        <w:t xml:space="preserve">Most of my feedback was positive, with many stating I held eye contact throughout. My body language was very positive. This is key when in a managerial role. You must retain your </w:t>
      </w:r>
      <w:r w:rsidR="00CC33DA">
        <w:rPr>
          <w:rFonts w:cstheme="minorHAnsi"/>
          <w:bCs/>
        </w:rPr>
        <w:t>audience’s</w:t>
      </w:r>
      <w:r w:rsidR="00B42524">
        <w:rPr>
          <w:rFonts w:cstheme="minorHAnsi"/>
          <w:bCs/>
        </w:rPr>
        <w:t xml:space="preserve"> attention through gestures, such as eye contact. This will entice the audience and make them feel like you are directly </w:t>
      </w:r>
      <w:r w:rsidR="00CC33DA">
        <w:rPr>
          <w:rFonts w:cstheme="minorHAnsi"/>
          <w:bCs/>
        </w:rPr>
        <w:t>speaking</w:t>
      </w:r>
      <w:r w:rsidR="00B42524">
        <w:rPr>
          <w:rFonts w:cstheme="minorHAnsi"/>
          <w:bCs/>
        </w:rPr>
        <w:t xml:space="preserve"> to them. </w:t>
      </w:r>
    </w:p>
    <w:p w14:paraId="474F2CD3" w14:textId="4CA14A8B" w:rsidR="008B1FEE" w:rsidRDefault="00B42524" w:rsidP="00003524">
      <w:pPr>
        <w:jc w:val="both"/>
        <w:rPr>
          <w:rFonts w:cstheme="minorHAnsi"/>
          <w:bCs/>
        </w:rPr>
      </w:pPr>
      <w:r>
        <w:rPr>
          <w:rFonts w:cstheme="minorHAnsi"/>
          <w:bCs/>
        </w:rPr>
        <w:t xml:space="preserve">My PowerPoint was very easy to read. There wasn’t too much writing on each slide. I tried to incorporate a picture on every slide to make it more eye catching, which my audience seemed to enjoy. Too much writing can be off putting. Images are much easier to process and will retain an audience’s engagement. However, some participants did state that my PowerPoint was very dark and hard to read. It is important to have a PowerPoint that is engaging in colour, whilst also accessible to all. Managers must note that not everybody will be aesthetically pleased by the same colours and must choose neutral colours to meet everyone’s needs. In a managerial role, I would most likely use a white background so that my audience can easily read my slides. However, I do think that my background was very engaging. </w:t>
      </w:r>
    </w:p>
    <w:p w14:paraId="41548350" w14:textId="1FD9667A" w:rsidR="003C7CF3" w:rsidRPr="00B42524" w:rsidRDefault="008B1FEE" w:rsidP="00003524">
      <w:pPr>
        <w:jc w:val="both"/>
        <w:rPr>
          <w:rFonts w:cstheme="minorHAnsi"/>
          <w:bCs/>
        </w:rPr>
      </w:pPr>
      <w:r>
        <w:rPr>
          <w:rFonts w:cstheme="minorHAnsi"/>
          <w:bCs/>
        </w:rPr>
        <w:t xml:space="preserve">However, my audience did notice my lack of confidence. Throughout my presentation I was continuously apologising when stumbling over my words. In my feedback, my audience stated that </w:t>
      </w:r>
      <w:r>
        <w:rPr>
          <w:rFonts w:cstheme="minorHAnsi"/>
          <w:bCs/>
        </w:rPr>
        <w:lastRenderedPageBreak/>
        <w:t xml:space="preserve">this </w:t>
      </w:r>
      <w:r w:rsidR="00B42524">
        <w:rPr>
          <w:rFonts w:cstheme="minorHAnsi"/>
          <w:bCs/>
        </w:rPr>
        <w:t xml:space="preserve">decreased my professionalism. As a manager apologising will make me seem inferior to my audience. I must remain confident to ensure that my authority is still upheld whilst presenting. </w:t>
      </w:r>
    </w:p>
    <w:p w14:paraId="071CD2A1" w14:textId="77C90D7A" w:rsidR="003C7CF3" w:rsidRDefault="003C7CF3" w:rsidP="00003524">
      <w:pPr>
        <w:jc w:val="both"/>
        <w:rPr>
          <w:rFonts w:cstheme="minorHAnsi"/>
          <w:b/>
          <w:sz w:val="24"/>
          <w:szCs w:val="24"/>
        </w:rPr>
      </w:pPr>
    </w:p>
    <w:p w14:paraId="4AA92D17" w14:textId="6B77A255" w:rsidR="0052104E" w:rsidRPr="0052104E" w:rsidRDefault="0052104E" w:rsidP="00651602">
      <w:pPr>
        <w:pStyle w:val="Heading2"/>
      </w:pPr>
      <w:bookmarkStart w:id="4" w:name="_Toc9181648"/>
      <w:r>
        <w:t>Gap Analysis</w:t>
      </w:r>
      <w:bookmarkEnd w:id="4"/>
    </w:p>
    <w:p w14:paraId="7716FADA" w14:textId="7AE64B6D" w:rsidR="003C7CF3" w:rsidRDefault="00C97CA5" w:rsidP="00003524">
      <w:pPr>
        <w:jc w:val="both"/>
        <w:rPr>
          <w:rFonts w:cstheme="minorHAnsi"/>
          <w:b/>
          <w:sz w:val="24"/>
          <w:szCs w:val="24"/>
        </w:rPr>
      </w:pPr>
      <w:r w:rsidRPr="00C97CA5">
        <w:drawing>
          <wp:inline distT="0" distB="0" distL="0" distR="0" wp14:anchorId="53D43BF2" wp14:editId="06DD3DC0">
            <wp:extent cx="5960110" cy="3617931"/>
            <wp:effectExtent l="0" t="0" r="0" b="1905"/>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5962029" cy="3619096"/>
                    </a:xfrm>
                    <a:prstGeom prst="rect">
                      <a:avLst/>
                    </a:prstGeom>
                    <a:noFill/>
                    <a:ln>
                      <a:noFill/>
                    </a:ln>
                  </pic:spPr>
                </pic:pic>
              </a:graphicData>
            </a:graphic>
          </wp:inline>
        </w:drawing>
      </w:r>
    </w:p>
    <w:p w14:paraId="6C641848" w14:textId="630CB4F6" w:rsidR="00651602" w:rsidRDefault="00651602" w:rsidP="00651602">
      <w:pPr>
        <w:pStyle w:val="Heading2"/>
      </w:pPr>
      <w:r w:rsidRPr="00C93B82">
        <w:drawing>
          <wp:anchor distT="0" distB="0" distL="114300" distR="114300" simplePos="0" relativeHeight="251661312" behindDoc="0" locked="0" layoutInCell="1" allowOverlap="1" wp14:anchorId="427E46ED" wp14:editId="3081811D">
            <wp:simplePos x="0" y="0"/>
            <wp:positionH relativeFrom="margin">
              <wp:align>right</wp:align>
            </wp:positionH>
            <wp:positionV relativeFrom="paragraph">
              <wp:posOffset>523875</wp:posOffset>
            </wp:positionV>
            <wp:extent cx="5724525" cy="3467100"/>
            <wp:effectExtent l="0" t="0" r="9525" b="0"/>
            <wp:wrapSquare wrapText="bothSides"/>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rotWithShape="1">
                    <a:blip r:embed="rId9" cstate="print">
                      <a:extLst>
                        <a:ext uri="{28A0092B-C50C-407E-A947-70E740481C1C}">
                          <a14:useLocalDpi xmlns:a14="http://schemas.microsoft.com/office/drawing/2010/main" val="0"/>
                        </a:ext>
                      </a:extLst>
                    </a:blip>
                    <a:srcRect b="6683"/>
                    <a:stretch/>
                  </pic:blipFill>
                  <pic:spPr bwMode="auto">
                    <a:xfrm>
                      <a:off x="0" y="0"/>
                      <a:ext cx="5724525" cy="3467100"/>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Pr="00651602">
        <w:t xml:space="preserve"> </w:t>
      </w:r>
      <w:r>
        <w:t>PDP</w:t>
      </w:r>
    </w:p>
    <w:p w14:paraId="1A059E94" w14:textId="77777777" w:rsidR="00832F8B" w:rsidRDefault="00832F8B" w:rsidP="00003524">
      <w:pPr>
        <w:jc w:val="both"/>
        <w:rPr>
          <w:rFonts w:cstheme="minorHAnsi"/>
          <w:b/>
          <w:sz w:val="24"/>
          <w:szCs w:val="24"/>
        </w:rPr>
      </w:pPr>
    </w:p>
    <w:p w14:paraId="585590E0" w14:textId="3CA2CF57" w:rsidR="00B25F25" w:rsidRPr="00C97CA5" w:rsidRDefault="00B25F25" w:rsidP="00C97CA5">
      <w:pPr>
        <w:pStyle w:val="Heading1"/>
      </w:pPr>
      <w:bookmarkStart w:id="5" w:name="_Toc9181650"/>
      <w:r>
        <w:lastRenderedPageBreak/>
        <w:t>References</w:t>
      </w:r>
      <w:bookmarkEnd w:id="5"/>
      <w:r>
        <w:t xml:space="preserve"> </w:t>
      </w:r>
    </w:p>
    <w:p w14:paraId="624B2AAE" w14:textId="77777777" w:rsidR="00C97CA5" w:rsidRDefault="00C97CA5" w:rsidP="00C97CA5">
      <w:pPr>
        <w:rPr>
          <w:i/>
          <w:iCs/>
        </w:rPr>
      </w:pPr>
      <w:proofErr w:type="spellStart"/>
      <w:r>
        <w:t>Aakhus</w:t>
      </w:r>
      <w:proofErr w:type="spellEnd"/>
      <w:r>
        <w:t xml:space="preserve">, M., (2017) ‘Communication as Design,’ </w:t>
      </w:r>
      <w:r>
        <w:rPr>
          <w:i/>
          <w:iCs/>
        </w:rPr>
        <w:t xml:space="preserve">Journal for Communication Monographs, Volume 74, Issue 1 </w:t>
      </w:r>
    </w:p>
    <w:p w14:paraId="498842BC" w14:textId="77777777" w:rsidR="00C97CA5" w:rsidRDefault="00C97CA5" w:rsidP="00C97CA5">
      <w:r>
        <w:t xml:space="preserve">Alberts, D. S., Papp, D. S. and Kemp, W. T. III (1997) </w:t>
      </w:r>
      <w:r w:rsidRPr="00210874">
        <w:rPr>
          <w:i/>
          <w:iCs/>
        </w:rPr>
        <w:t>The Technologies of the Information Revolution</w:t>
      </w:r>
      <w:r>
        <w:t xml:space="preserve">, In D. S. Alberts and D. S. Papp (Eds), </w:t>
      </w:r>
      <w:r w:rsidRPr="00210874">
        <w:rPr>
          <w:i/>
          <w:iCs/>
        </w:rPr>
        <w:t>The Information Age: An Anthology on Its Impact and Consequences</w:t>
      </w:r>
      <w:r>
        <w:t>, CCRP Publication Series.</w:t>
      </w:r>
    </w:p>
    <w:p w14:paraId="3E3E3251" w14:textId="77777777" w:rsidR="00C97CA5" w:rsidRDefault="00C97CA5" w:rsidP="00C97CA5">
      <w:r>
        <w:t>Al-</w:t>
      </w:r>
      <w:proofErr w:type="spellStart"/>
      <w:r>
        <w:t>Fedaghi</w:t>
      </w:r>
      <w:proofErr w:type="spellEnd"/>
      <w:r>
        <w:t xml:space="preserve">, S. (2012) </w:t>
      </w:r>
      <w:r>
        <w:rPr>
          <w:i/>
          <w:iCs/>
        </w:rPr>
        <w:t xml:space="preserve">A Conceptual Foundation for the Shannon-Weaver Model of Communication, </w:t>
      </w:r>
      <w:r>
        <w:t>Kuwait University: Computer Engineering Department</w:t>
      </w:r>
    </w:p>
    <w:p w14:paraId="6CAE50B5" w14:textId="77777777" w:rsidR="00C97CA5" w:rsidRDefault="00C97CA5" w:rsidP="00C97CA5">
      <w:pPr>
        <w:rPr>
          <w:i/>
          <w:iCs/>
        </w:rPr>
      </w:pPr>
      <w:r>
        <w:t xml:space="preserve">Argyle, M., (2010) </w:t>
      </w:r>
      <w:r w:rsidRPr="00B7449A">
        <w:rPr>
          <w:i/>
          <w:iCs/>
        </w:rPr>
        <w:t>Non-verbal Communication and Language</w:t>
      </w:r>
      <w:r>
        <w:rPr>
          <w:i/>
          <w:iCs/>
        </w:rPr>
        <w:t xml:space="preserve">, </w:t>
      </w:r>
      <w:r>
        <w:t>Cambridge: Cambridge University Press</w:t>
      </w:r>
      <w:r>
        <w:rPr>
          <w:i/>
          <w:iCs/>
        </w:rPr>
        <w:t xml:space="preserve"> </w:t>
      </w:r>
    </w:p>
    <w:p w14:paraId="3BF6D489" w14:textId="77777777" w:rsidR="00C97CA5" w:rsidRDefault="00C97CA5" w:rsidP="00C97CA5">
      <w:pPr>
        <w:rPr>
          <w:i/>
          <w:iCs/>
        </w:rPr>
      </w:pPr>
      <w:r>
        <w:t xml:space="preserve">Ashford, S.J., &amp; Cummings. L.L., (1983) ‘Organisational Behaviour and Human Performance,’ </w:t>
      </w:r>
      <w:r>
        <w:rPr>
          <w:i/>
          <w:iCs/>
        </w:rPr>
        <w:t>The International Journal of Management, Volume 31, Issue 3</w:t>
      </w:r>
    </w:p>
    <w:p w14:paraId="5B58F66A" w14:textId="77777777" w:rsidR="00C97CA5" w:rsidRDefault="00C97CA5" w:rsidP="00C97CA5">
      <w:proofErr w:type="spellStart"/>
      <w:r>
        <w:t>Berlo</w:t>
      </w:r>
      <w:proofErr w:type="spellEnd"/>
      <w:r>
        <w:t>, D.K. (1960). The Process of Communication: An Introduction to Theory and Practice. New York: Holt, Rinehart and Winston.</w:t>
      </w:r>
    </w:p>
    <w:p w14:paraId="16017D10" w14:textId="77777777" w:rsidR="00C97CA5" w:rsidRDefault="00C97CA5" w:rsidP="00C97CA5">
      <w:r>
        <w:t xml:space="preserve">Bowman, J.P., &amp; </w:t>
      </w:r>
      <w:proofErr w:type="spellStart"/>
      <w:r>
        <w:t>Targwoski</w:t>
      </w:r>
      <w:proofErr w:type="spellEnd"/>
      <w:r>
        <w:t>, A.S., (1987) ‘</w:t>
      </w:r>
      <w:r w:rsidRPr="00210874">
        <w:t>Modelling the Communication Process: The Map is not the territory</w:t>
      </w:r>
      <w:r>
        <w:t xml:space="preserve">,’ </w:t>
      </w:r>
      <w:r w:rsidRPr="00210874">
        <w:rPr>
          <w:i/>
          <w:iCs/>
        </w:rPr>
        <w:t>International Journal of Business Communications</w:t>
      </w:r>
      <w:r>
        <w:rPr>
          <w:i/>
          <w:iCs/>
        </w:rPr>
        <w:t xml:space="preserve">, </w:t>
      </w:r>
      <w:r>
        <w:t xml:space="preserve">Vol 24, Issue 4 </w:t>
      </w:r>
    </w:p>
    <w:p w14:paraId="54C41E64" w14:textId="71F83CEA" w:rsidR="00C97CA5" w:rsidRPr="00C97CA5" w:rsidRDefault="00C97CA5" w:rsidP="00C97CA5">
      <w:r>
        <w:t>Deutsch, K. W., &amp; Singer, D. J (2011) ‘</w:t>
      </w:r>
      <w:r w:rsidRPr="00182589">
        <w:t>Multipolar Power Systems and International Relations</w:t>
      </w:r>
      <w:r>
        <w:t xml:space="preserve">,’ </w:t>
      </w:r>
      <w:r w:rsidRPr="00182589">
        <w:rPr>
          <w:i/>
          <w:iCs/>
        </w:rPr>
        <w:t>Journal of International Relations, Vol 71, Issue 2</w:t>
      </w:r>
    </w:p>
    <w:p w14:paraId="0F7ED33C" w14:textId="77777777" w:rsidR="00C97CA5" w:rsidRDefault="00C97CA5" w:rsidP="00C97CA5">
      <w:r>
        <w:t xml:space="preserve">Flensburg, P., (2009) ‘An enhanced communication model’, </w:t>
      </w:r>
      <w:r w:rsidRPr="00210874">
        <w:rPr>
          <w:i/>
          <w:iCs/>
        </w:rPr>
        <w:t>International Journal of Digital Accounting Research</w:t>
      </w:r>
      <w:r>
        <w:t>, Vol. 9, pp. 31-43, ISSN: 1577-8517</w:t>
      </w:r>
    </w:p>
    <w:p w14:paraId="1D87901A" w14:textId="77777777" w:rsidR="00C97CA5" w:rsidRDefault="00C97CA5" w:rsidP="00C97CA5">
      <w:proofErr w:type="spellStart"/>
      <w:r>
        <w:t>Foulger</w:t>
      </w:r>
      <w:proofErr w:type="spellEnd"/>
      <w:r>
        <w:t xml:space="preserve">, D., (2004) </w:t>
      </w:r>
      <w:r w:rsidRPr="00210874">
        <w:rPr>
          <w:i/>
          <w:iCs/>
        </w:rPr>
        <w:t>Models of the Communication Process</w:t>
      </w:r>
      <w:r>
        <w:t>, New York: CUNY</w:t>
      </w:r>
    </w:p>
    <w:p w14:paraId="1FBBB122" w14:textId="77777777" w:rsidR="00C97CA5" w:rsidRDefault="00C97CA5" w:rsidP="00C97CA5">
      <w:r>
        <w:t xml:space="preserve">Hinde, R.A., (1972) </w:t>
      </w:r>
      <w:r>
        <w:rPr>
          <w:i/>
          <w:iCs/>
        </w:rPr>
        <w:t xml:space="preserve">Non-Verbal Communication, </w:t>
      </w:r>
      <w:r>
        <w:t>Cambridge: Cambridge University Press</w:t>
      </w:r>
    </w:p>
    <w:p w14:paraId="4CAA3730" w14:textId="77777777" w:rsidR="00C97CA5" w:rsidRDefault="00C97CA5" w:rsidP="00C97CA5">
      <w:pPr>
        <w:rPr>
          <w:i/>
          <w:iCs/>
        </w:rPr>
      </w:pPr>
      <w:proofErr w:type="spellStart"/>
      <w:r>
        <w:t>Klunder</w:t>
      </w:r>
      <w:proofErr w:type="spellEnd"/>
      <w:r>
        <w:t xml:space="preserve">, J., &amp; Schneider, K., &amp; </w:t>
      </w:r>
      <w:proofErr w:type="spellStart"/>
      <w:r>
        <w:t>Kortum</w:t>
      </w:r>
      <w:proofErr w:type="spellEnd"/>
      <w:r>
        <w:t xml:space="preserve">, F., &amp; </w:t>
      </w:r>
      <w:proofErr w:type="spellStart"/>
      <w:r>
        <w:t>Straube</w:t>
      </w:r>
      <w:proofErr w:type="spellEnd"/>
      <w:r>
        <w:t xml:space="preserve">, J., &amp; </w:t>
      </w:r>
      <w:proofErr w:type="spellStart"/>
      <w:r>
        <w:t>Handke</w:t>
      </w:r>
      <w:proofErr w:type="spellEnd"/>
      <w:r>
        <w:t xml:space="preserve">, L., &amp; </w:t>
      </w:r>
      <w:proofErr w:type="spellStart"/>
      <w:r>
        <w:t>Kauffeld</w:t>
      </w:r>
      <w:proofErr w:type="spellEnd"/>
      <w:r>
        <w:t xml:space="preserve">, S., (2016) ‘Communication in Teams – An expression of social conflicts,’ </w:t>
      </w:r>
      <w:r>
        <w:rPr>
          <w:i/>
          <w:iCs/>
        </w:rPr>
        <w:t xml:space="preserve"> International Conference on Human-Centred Development, Vol 9856</w:t>
      </w:r>
    </w:p>
    <w:p w14:paraId="47241F26" w14:textId="77777777" w:rsidR="00C97CA5" w:rsidRDefault="00C97CA5" w:rsidP="00C97CA5">
      <w:proofErr w:type="spellStart"/>
      <w:r>
        <w:t>McQuail</w:t>
      </w:r>
      <w:proofErr w:type="spellEnd"/>
      <w:r>
        <w:t xml:space="preserve">, D., (2015) </w:t>
      </w:r>
      <w:r>
        <w:rPr>
          <w:i/>
          <w:iCs/>
        </w:rPr>
        <w:t xml:space="preserve">Mass Communication Theory, </w:t>
      </w:r>
      <w:r>
        <w:t>London: SAGE Publications</w:t>
      </w:r>
      <w:r w:rsidRPr="00C97CA5">
        <w:t xml:space="preserve"> </w:t>
      </w:r>
    </w:p>
    <w:p w14:paraId="78695510" w14:textId="7795C143" w:rsidR="00C97CA5" w:rsidRDefault="00C97CA5" w:rsidP="00C97CA5">
      <w:r>
        <w:t xml:space="preserve">Morgan, P. (2017) </w:t>
      </w:r>
      <w:r>
        <w:rPr>
          <w:i/>
          <w:iCs/>
        </w:rPr>
        <w:t xml:space="preserve">The Business Student’s Guide to Study and Employability, </w:t>
      </w:r>
      <w:r>
        <w:t xml:space="preserve">London: Sage Publications Ltd. </w:t>
      </w:r>
    </w:p>
    <w:p w14:paraId="701CD522" w14:textId="77777777" w:rsidR="00C97CA5" w:rsidRDefault="00C97CA5" w:rsidP="00C97CA5">
      <w:r>
        <w:t xml:space="preserve">Narula, U., (2006) </w:t>
      </w:r>
      <w:r>
        <w:rPr>
          <w:i/>
          <w:iCs/>
        </w:rPr>
        <w:t>Communication Models</w:t>
      </w:r>
      <w:r>
        <w:t>, New Delhi: Atlantic Publishers</w:t>
      </w:r>
    </w:p>
    <w:p w14:paraId="5706C5BA" w14:textId="77777777" w:rsidR="00C97CA5" w:rsidRDefault="00C97CA5" w:rsidP="00C97CA5">
      <w:pPr>
        <w:rPr>
          <w:i/>
          <w:iCs/>
        </w:rPr>
      </w:pPr>
      <w:proofErr w:type="spellStart"/>
      <w:r>
        <w:t>Oyero</w:t>
      </w:r>
      <w:proofErr w:type="spellEnd"/>
      <w:r>
        <w:t>, O. S., (2007) ‘</w:t>
      </w:r>
      <w:r w:rsidRPr="005270C0">
        <w:t>Mass Communication,</w:t>
      </w:r>
      <w:r>
        <w:t>’</w:t>
      </w:r>
      <w:r w:rsidRPr="005270C0">
        <w:rPr>
          <w:i/>
          <w:iCs/>
        </w:rPr>
        <w:t xml:space="preserve"> International Journal for Communication, Volume 6</w:t>
      </w:r>
    </w:p>
    <w:p w14:paraId="10DE646A" w14:textId="77777777" w:rsidR="00C97CA5" w:rsidRDefault="00C97CA5" w:rsidP="00C97CA5">
      <w:r>
        <w:t xml:space="preserve">Schramm, W., (1955) </w:t>
      </w:r>
      <w:r>
        <w:rPr>
          <w:i/>
          <w:iCs/>
        </w:rPr>
        <w:t xml:space="preserve">The Process and Effects of Mass Communication, </w:t>
      </w:r>
      <w:r>
        <w:t>Urbana: University of Illinois Press</w:t>
      </w:r>
    </w:p>
    <w:p w14:paraId="09D660E2" w14:textId="73F53F90" w:rsidR="00BD4916" w:rsidRDefault="00C97CA5" w:rsidP="00C00631">
      <w:pPr>
        <w:rPr>
          <w:i/>
          <w:iCs/>
        </w:rPr>
      </w:pPr>
      <w:r>
        <w:t xml:space="preserve">Shannon, C., (1948) ‘A Mathematical Theory of Communication,’ </w:t>
      </w:r>
      <w:r>
        <w:rPr>
          <w:i/>
          <w:iCs/>
        </w:rPr>
        <w:t>Bell System Technical Journal, Volume 27</w:t>
      </w:r>
    </w:p>
    <w:p w14:paraId="34339605" w14:textId="77777777" w:rsidR="00651602" w:rsidRPr="00651602" w:rsidRDefault="00651602" w:rsidP="00651602">
      <w:r w:rsidRPr="00651602">
        <w:rPr>
          <w:lang w:val="en-US"/>
        </w:rPr>
        <w:t xml:space="preserve">Lewin, K., (1947) </w:t>
      </w:r>
      <w:r w:rsidRPr="00651602">
        <w:rPr>
          <w:i/>
          <w:iCs/>
          <w:lang w:val="en-US"/>
        </w:rPr>
        <w:t>Frontiers in Group Dynamics</w:t>
      </w:r>
      <w:r w:rsidRPr="00651602">
        <w:rPr>
          <w:lang w:val="en-US"/>
        </w:rPr>
        <w:t>, Idaho: SAGE Publications</w:t>
      </w:r>
    </w:p>
    <w:p w14:paraId="229468E8" w14:textId="77777777" w:rsidR="00651602" w:rsidRPr="00C97CA5" w:rsidRDefault="00651602" w:rsidP="00C00631"/>
    <w:sectPr w:rsidR="00651602" w:rsidRPr="00C97CA5">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3173E94"/>
    <w:multiLevelType w:val="hybridMultilevel"/>
    <w:tmpl w:val="6FCAFD90"/>
    <w:lvl w:ilvl="0" w:tplc="D568B746">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62731B2C"/>
    <w:multiLevelType w:val="hybridMultilevel"/>
    <w:tmpl w:val="F086FA94"/>
    <w:lvl w:ilvl="0" w:tplc="0524830C">
      <w:start w:val="1"/>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yMDI3NTe0tDAxMTe3NDRR0lEKTi0uzszPAykwqgUAxG2plSwAAAA="/>
  </w:docVars>
  <w:rsids>
    <w:rsidRoot w:val="00436E31"/>
    <w:rsid w:val="00003524"/>
    <w:rsid w:val="000624AC"/>
    <w:rsid w:val="00073440"/>
    <w:rsid w:val="000753A3"/>
    <w:rsid w:val="000C70F6"/>
    <w:rsid w:val="00121766"/>
    <w:rsid w:val="00141580"/>
    <w:rsid w:val="0017039F"/>
    <w:rsid w:val="00197248"/>
    <w:rsid w:val="001E1C66"/>
    <w:rsid w:val="001E3208"/>
    <w:rsid w:val="002356DB"/>
    <w:rsid w:val="00296780"/>
    <w:rsid w:val="002A3294"/>
    <w:rsid w:val="002E46C0"/>
    <w:rsid w:val="002E5068"/>
    <w:rsid w:val="002E6A75"/>
    <w:rsid w:val="0035082C"/>
    <w:rsid w:val="00377741"/>
    <w:rsid w:val="003A3CD0"/>
    <w:rsid w:val="003B5137"/>
    <w:rsid w:val="003C7CF3"/>
    <w:rsid w:val="003E2448"/>
    <w:rsid w:val="003E784B"/>
    <w:rsid w:val="00407300"/>
    <w:rsid w:val="00436E31"/>
    <w:rsid w:val="00456B23"/>
    <w:rsid w:val="00483A40"/>
    <w:rsid w:val="00496ADD"/>
    <w:rsid w:val="004C7B28"/>
    <w:rsid w:val="004D194F"/>
    <w:rsid w:val="0052104E"/>
    <w:rsid w:val="005A5B63"/>
    <w:rsid w:val="005E285C"/>
    <w:rsid w:val="00623A05"/>
    <w:rsid w:val="00651602"/>
    <w:rsid w:val="006A0A61"/>
    <w:rsid w:val="00764706"/>
    <w:rsid w:val="00764D41"/>
    <w:rsid w:val="0077107D"/>
    <w:rsid w:val="007A3530"/>
    <w:rsid w:val="007C72E8"/>
    <w:rsid w:val="00830A2D"/>
    <w:rsid w:val="00832F22"/>
    <w:rsid w:val="00832F8B"/>
    <w:rsid w:val="00874EBD"/>
    <w:rsid w:val="008B1FEE"/>
    <w:rsid w:val="008E1C9D"/>
    <w:rsid w:val="008F682E"/>
    <w:rsid w:val="00936399"/>
    <w:rsid w:val="009B295A"/>
    <w:rsid w:val="00A312E9"/>
    <w:rsid w:val="00A64D17"/>
    <w:rsid w:val="00A835A4"/>
    <w:rsid w:val="00A91DDD"/>
    <w:rsid w:val="00AB4965"/>
    <w:rsid w:val="00B2178E"/>
    <w:rsid w:val="00B25F25"/>
    <w:rsid w:val="00B42524"/>
    <w:rsid w:val="00B82B40"/>
    <w:rsid w:val="00BA4828"/>
    <w:rsid w:val="00BB58B4"/>
    <w:rsid w:val="00BD4916"/>
    <w:rsid w:val="00C00631"/>
    <w:rsid w:val="00C0127D"/>
    <w:rsid w:val="00C17169"/>
    <w:rsid w:val="00C33AD6"/>
    <w:rsid w:val="00C5669E"/>
    <w:rsid w:val="00C93B82"/>
    <w:rsid w:val="00C97CA5"/>
    <w:rsid w:val="00CB3C00"/>
    <w:rsid w:val="00CC33DA"/>
    <w:rsid w:val="00D92CC3"/>
    <w:rsid w:val="00DC4659"/>
    <w:rsid w:val="00E23F4C"/>
    <w:rsid w:val="00E739AC"/>
    <w:rsid w:val="00ED47EC"/>
    <w:rsid w:val="00EE4802"/>
    <w:rsid w:val="00F04A31"/>
    <w:rsid w:val="00F7654E"/>
    <w:rsid w:val="00F970CE"/>
    <w:rsid w:val="00FA6F3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9D7D407"/>
  <w15:chartTrackingRefBased/>
  <w15:docId w15:val="{DCA9F652-9EA3-45FA-9EF1-8A4FADAA457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C5669E"/>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C5669E"/>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5669E"/>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C5669E"/>
    <w:rPr>
      <w:rFonts w:asciiTheme="majorHAnsi" w:eastAsiaTheme="majorEastAsia" w:hAnsiTheme="majorHAnsi" w:cstheme="majorBidi"/>
      <w:color w:val="2F5496" w:themeColor="accent1" w:themeShade="BF"/>
      <w:sz w:val="26"/>
      <w:szCs w:val="26"/>
    </w:rPr>
  </w:style>
  <w:style w:type="paragraph" w:styleId="TOCHeading">
    <w:name w:val="TOC Heading"/>
    <w:basedOn w:val="Heading1"/>
    <w:next w:val="Normal"/>
    <w:uiPriority w:val="39"/>
    <w:unhideWhenUsed/>
    <w:qFormat/>
    <w:rsid w:val="00B25F25"/>
    <w:pPr>
      <w:outlineLvl w:val="9"/>
    </w:pPr>
    <w:rPr>
      <w:lang w:val="en-US"/>
    </w:rPr>
  </w:style>
  <w:style w:type="paragraph" w:styleId="TOC1">
    <w:name w:val="toc 1"/>
    <w:basedOn w:val="Normal"/>
    <w:next w:val="Normal"/>
    <w:autoRedefine/>
    <w:uiPriority w:val="39"/>
    <w:unhideWhenUsed/>
    <w:rsid w:val="00B25F25"/>
    <w:pPr>
      <w:spacing w:after="100"/>
    </w:pPr>
  </w:style>
  <w:style w:type="paragraph" w:styleId="TOC2">
    <w:name w:val="toc 2"/>
    <w:basedOn w:val="Normal"/>
    <w:next w:val="Normal"/>
    <w:autoRedefine/>
    <w:uiPriority w:val="39"/>
    <w:unhideWhenUsed/>
    <w:rsid w:val="00B25F25"/>
    <w:pPr>
      <w:spacing w:after="100"/>
      <w:ind w:left="220"/>
    </w:pPr>
  </w:style>
  <w:style w:type="character" w:styleId="Hyperlink">
    <w:name w:val="Hyperlink"/>
    <w:basedOn w:val="DefaultParagraphFont"/>
    <w:uiPriority w:val="99"/>
    <w:unhideWhenUsed/>
    <w:rsid w:val="00B25F25"/>
    <w:rPr>
      <w:color w:val="0563C1" w:themeColor="hyperlink"/>
      <w:u w:val="single"/>
    </w:rPr>
  </w:style>
  <w:style w:type="table" w:styleId="GridTable4">
    <w:name w:val="Grid Table 4"/>
    <w:basedOn w:val="TableNormal"/>
    <w:uiPriority w:val="49"/>
    <w:rsid w:val="0052104E"/>
    <w:pPr>
      <w:spacing w:after="0" w:line="240" w:lineRule="auto"/>
    </w:pPr>
    <w:tblPr>
      <w:tblStyleRowBandSize w:val="1"/>
      <w:tblStyleColBandSize w:val="1"/>
      <w:tblBorders>
        <w:top w:val="single" w:sz="4" w:space="0" w:color="666666" w:themeColor="text1" w:themeTint="99"/>
        <w:left w:val="single" w:sz="4" w:space="0" w:color="666666" w:themeColor="text1" w:themeTint="99"/>
        <w:bottom w:val="single" w:sz="4" w:space="0" w:color="666666" w:themeColor="text1" w:themeTint="99"/>
        <w:right w:val="single" w:sz="4" w:space="0" w:color="666666" w:themeColor="text1" w:themeTint="99"/>
        <w:insideH w:val="single" w:sz="4" w:space="0" w:color="666666" w:themeColor="text1" w:themeTint="99"/>
        <w:insideV w:val="single" w:sz="4" w:space="0" w:color="666666" w:themeColor="text1" w:themeTint="99"/>
      </w:tblBorders>
    </w:tblPr>
    <w:tblStylePr w:type="firstRow">
      <w:rPr>
        <w:b/>
        <w:bCs/>
        <w:color w:val="FFFFFF" w:themeColor="background1"/>
      </w:rPr>
      <w:tblPr/>
      <w:tcPr>
        <w:tcBorders>
          <w:top w:val="single" w:sz="4" w:space="0" w:color="000000" w:themeColor="text1"/>
          <w:left w:val="single" w:sz="4" w:space="0" w:color="000000" w:themeColor="text1"/>
          <w:bottom w:val="single" w:sz="4" w:space="0" w:color="000000" w:themeColor="text1"/>
          <w:right w:val="single" w:sz="4" w:space="0" w:color="000000" w:themeColor="text1"/>
          <w:insideH w:val="nil"/>
          <w:insideV w:val="nil"/>
        </w:tcBorders>
        <w:shd w:val="clear" w:color="auto" w:fill="000000" w:themeFill="text1"/>
      </w:tcPr>
    </w:tblStylePr>
    <w:tblStylePr w:type="lastRow">
      <w:rPr>
        <w:b/>
        <w:bCs/>
      </w:rPr>
      <w:tblPr/>
      <w:tcPr>
        <w:tcBorders>
          <w:top w:val="double" w:sz="4" w:space="0" w:color="000000" w:themeColor="text1"/>
        </w:tcBorders>
      </w:tc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paragraph" w:styleId="ListParagraph">
    <w:name w:val="List Paragraph"/>
    <w:basedOn w:val="Normal"/>
    <w:uiPriority w:val="34"/>
    <w:qFormat/>
    <w:rsid w:val="002E6A75"/>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79043727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emf"/><Relationship Id="rId3" Type="http://schemas.openxmlformats.org/officeDocument/2006/relationships/styles" Target="styles.xml"/><Relationship Id="rId7" Type="http://schemas.openxmlformats.org/officeDocument/2006/relationships/image" Target="media/image2.jpeg"/><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jpeg"/><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image" Target="media/image4.em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F3B9D4C-4D54-4683-8FBE-E049B8157F2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163</TotalTime>
  <Pages>8</Pages>
  <Words>2589</Words>
  <Characters>14762</Characters>
  <Application>Microsoft Office Word</Application>
  <DocSecurity>0</DocSecurity>
  <Lines>123</Lines>
  <Paragraphs>34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17317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Steven Pattin</dc:creator>
  <cp:keywords/>
  <dc:description/>
  <cp:lastModifiedBy>Shanice Elizabeth Taylor (2017374)</cp:lastModifiedBy>
  <cp:revision>10</cp:revision>
  <dcterms:created xsi:type="dcterms:W3CDTF">2021-05-29T12:19:00Z</dcterms:created>
  <dcterms:modified xsi:type="dcterms:W3CDTF">2021-05-30T11:14:00Z</dcterms:modified>
</cp:coreProperties>
</file>