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BD0A4" w14:textId="6417F231" w:rsidR="002F2596" w:rsidRDefault="000B6241">
      <w:pPr>
        <w:rPr>
          <w:b/>
          <w:bCs/>
        </w:rPr>
      </w:pPr>
      <w:r>
        <w:rPr>
          <w:noProof/>
        </w:rPr>
        <w:drawing>
          <wp:anchor distT="0" distB="0" distL="114300" distR="114300" simplePos="0" relativeHeight="251658240" behindDoc="0" locked="0" layoutInCell="1" allowOverlap="1" wp14:anchorId="75A23DB2" wp14:editId="6C25C2FB">
            <wp:simplePos x="0" y="0"/>
            <wp:positionH relativeFrom="column">
              <wp:posOffset>0</wp:posOffset>
            </wp:positionH>
            <wp:positionV relativeFrom="paragraph">
              <wp:posOffset>-992505</wp:posOffset>
            </wp:positionV>
            <wp:extent cx="6071235" cy="3346450"/>
            <wp:effectExtent l="0" t="0" r="0" b="6350"/>
            <wp:wrapTopAndBottom/>
            <wp:docPr id="88797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73045" name=""/>
                    <pic:cNvPicPr/>
                  </pic:nvPicPr>
                  <pic:blipFill>
                    <a:blip r:embed="rId7"/>
                    <a:stretch>
                      <a:fillRect/>
                    </a:stretch>
                  </pic:blipFill>
                  <pic:spPr>
                    <a:xfrm>
                      <a:off x="0" y="0"/>
                      <a:ext cx="6071235" cy="3346450"/>
                    </a:xfrm>
                    <a:prstGeom prst="rect">
                      <a:avLst/>
                    </a:prstGeom>
                  </pic:spPr>
                </pic:pic>
              </a:graphicData>
            </a:graphic>
            <wp14:sizeRelH relativeFrom="margin">
              <wp14:pctWidth>0</wp14:pctWidth>
            </wp14:sizeRelH>
            <wp14:sizeRelV relativeFrom="margin">
              <wp14:pctHeight>0</wp14:pctHeight>
            </wp14:sizeRelV>
          </wp:anchor>
        </w:drawing>
      </w:r>
    </w:p>
    <w:p w14:paraId="1F53A6C8" w14:textId="77777777" w:rsidR="002F2596" w:rsidRDefault="002F2596">
      <w:pPr>
        <w:rPr>
          <w:b/>
          <w:bCs/>
        </w:rPr>
      </w:pPr>
    </w:p>
    <w:p w14:paraId="3B3601E1" w14:textId="702DA2E6" w:rsidR="00EA0440" w:rsidRPr="00167FA3" w:rsidRDefault="00EA0440" w:rsidP="00167FA3">
      <w:pPr>
        <w:spacing w:line="360" w:lineRule="auto"/>
        <w:rPr>
          <w:rFonts w:ascii="Arial" w:hAnsi="Arial" w:cs="Arial"/>
          <w:b/>
          <w:bCs/>
          <w:sz w:val="32"/>
          <w:szCs w:val="32"/>
        </w:rPr>
      </w:pPr>
      <w:r w:rsidRPr="00167FA3">
        <w:rPr>
          <w:rFonts w:ascii="Arial" w:hAnsi="Arial" w:cs="Arial"/>
          <w:b/>
          <w:bCs/>
          <w:sz w:val="32"/>
          <w:szCs w:val="32"/>
        </w:rPr>
        <w:t xml:space="preserve">Name: </w:t>
      </w:r>
      <w:r w:rsidRPr="00167FA3">
        <w:rPr>
          <w:rFonts w:ascii="Arial" w:hAnsi="Arial" w:cs="Arial"/>
          <w:sz w:val="32"/>
          <w:szCs w:val="32"/>
        </w:rPr>
        <w:t>Shamaila Sakhawat</w:t>
      </w:r>
      <w:r w:rsidRPr="00167FA3">
        <w:rPr>
          <w:rFonts w:ascii="Arial" w:hAnsi="Arial" w:cs="Arial"/>
          <w:b/>
          <w:bCs/>
          <w:sz w:val="32"/>
          <w:szCs w:val="32"/>
        </w:rPr>
        <w:t xml:space="preserve"> </w:t>
      </w:r>
    </w:p>
    <w:p w14:paraId="2918D5E1" w14:textId="44E92948" w:rsidR="00EA0440" w:rsidRPr="00167FA3" w:rsidRDefault="00EA0440" w:rsidP="00167FA3">
      <w:pPr>
        <w:spacing w:line="360" w:lineRule="auto"/>
        <w:rPr>
          <w:rFonts w:ascii="Arial" w:hAnsi="Arial" w:cs="Arial"/>
          <w:sz w:val="32"/>
          <w:szCs w:val="32"/>
        </w:rPr>
      </w:pPr>
      <w:r w:rsidRPr="00167FA3">
        <w:rPr>
          <w:rFonts w:ascii="Arial" w:hAnsi="Arial" w:cs="Arial"/>
          <w:b/>
          <w:bCs/>
          <w:sz w:val="32"/>
          <w:szCs w:val="32"/>
        </w:rPr>
        <w:t>Student ID :</w:t>
      </w:r>
      <w:r w:rsidRPr="00167FA3">
        <w:rPr>
          <w:rFonts w:ascii="Arial" w:hAnsi="Arial" w:cs="Arial"/>
          <w:sz w:val="32"/>
          <w:szCs w:val="32"/>
        </w:rPr>
        <w:t>2309140</w:t>
      </w:r>
    </w:p>
    <w:p w14:paraId="4CAFF505" w14:textId="130A90A2" w:rsidR="00EA0440" w:rsidRPr="0013443D" w:rsidRDefault="002F48E7" w:rsidP="00167FA3">
      <w:pPr>
        <w:spacing w:line="360" w:lineRule="auto"/>
        <w:rPr>
          <w:rFonts w:ascii="Arial" w:hAnsi="Arial" w:cs="Arial"/>
          <w:sz w:val="32"/>
          <w:szCs w:val="32"/>
        </w:rPr>
      </w:pPr>
      <w:r w:rsidRPr="00167FA3">
        <w:rPr>
          <w:rFonts w:ascii="Arial" w:hAnsi="Arial" w:cs="Arial"/>
          <w:b/>
          <w:bCs/>
          <w:sz w:val="32"/>
          <w:szCs w:val="32"/>
        </w:rPr>
        <w:t>Lecturer:</w:t>
      </w:r>
      <w:r w:rsidR="00652961">
        <w:rPr>
          <w:rFonts w:ascii="Arial" w:hAnsi="Arial" w:cs="Arial"/>
          <w:b/>
          <w:bCs/>
          <w:sz w:val="32"/>
          <w:szCs w:val="32"/>
        </w:rPr>
        <w:t xml:space="preserve"> </w:t>
      </w:r>
      <w:r w:rsidR="00EB46EA" w:rsidRPr="0013443D">
        <w:rPr>
          <w:rFonts w:ascii="Arial" w:hAnsi="Arial" w:cs="Arial"/>
          <w:sz w:val="32"/>
          <w:szCs w:val="32"/>
        </w:rPr>
        <w:t>Jo</w:t>
      </w:r>
      <w:r w:rsidR="008F2B61" w:rsidRPr="0013443D">
        <w:rPr>
          <w:rFonts w:ascii="Arial" w:hAnsi="Arial" w:cs="Arial"/>
          <w:sz w:val="32"/>
          <w:szCs w:val="32"/>
        </w:rPr>
        <w:t>anne Davies</w:t>
      </w:r>
    </w:p>
    <w:p w14:paraId="672C4933" w14:textId="40436DCA" w:rsidR="002F48E7" w:rsidRPr="00167FA3" w:rsidRDefault="002F48E7" w:rsidP="00167FA3">
      <w:pPr>
        <w:spacing w:line="360" w:lineRule="auto"/>
        <w:rPr>
          <w:rFonts w:ascii="Arial" w:hAnsi="Arial" w:cs="Arial"/>
          <w:b/>
          <w:bCs/>
          <w:sz w:val="32"/>
          <w:szCs w:val="32"/>
        </w:rPr>
      </w:pPr>
      <w:r w:rsidRPr="00167FA3">
        <w:rPr>
          <w:rFonts w:ascii="Arial" w:hAnsi="Arial" w:cs="Arial"/>
          <w:b/>
          <w:bCs/>
          <w:sz w:val="32"/>
          <w:szCs w:val="32"/>
        </w:rPr>
        <w:t>Module:</w:t>
      </w:r>
      <w:r w:rsidR="00036643" w:rsidRPr="00167FA3">
        <w:rPr>
          <w:rFonts w:ascii="Arial" w:hAnsi="Arial" w:cs="Arial"/>
          <w:b/>
          <w:bCs/>
          <w:sz w:val="32"/>
          <w:szCs w:val="32"/>
        </w:rPr>
        <w:t xml:space="preserve"> </w:t>
      </w:r>
      <w:r w:rsidR="00CB4B6D" w:rsidRPr="00167FA3">
        <w:rPr>
          <w:rFonts w:ascii="Arial" w:hAnsi="Arial" w:cs="Arial"/>
          <w:sz w:val="32"/>
          <w:szCs w:val="32"/>
        </w:rPr>
        <w:t>Ind</w:t>
      </w:r>
      <w:r w:rsidR="00371B29" w:rsidRPr="00167FA3">
        <w:rPr>
          <w:rFonts w:ascii="Arial" w:hAnsi="Arial" w:cs="Arial"/>
          <w:sz w:val="32"/>
          <w:szCs w:val="32"/>
        </w:rPr>
        <w:t>ependent Project</w:t>
      </w:r>
    </w:p>
    <w:p w14:paraId="19A31640" w14:textId="5107019F" w:rsidR="002F48E7" w:rsidRPr="00167FA3" w:rsidRDefault="002F48E7" w:rsidP="00167FA3">
      <w:pPr>
        <w:spacing w:line="360" w:lineRule="auto"/>
        <w:rPr>
          <w:rFonts w:ascii="Arial" w:hAnsi="Arial" w:cs="Arial"/>
          <w:b/>
          <w:bCs/>
          <w:sz w:val="32"/>
          <w:szCs w:val="32"/>
        </w:rPr>
      </w:pPr>
      <w:r w:rsidRPr="00167FA3">
        <w:rPr>
          <w:rFonts w:ascii="Arial" w:hAnsi="Arial" w:cs="Arial"/>
          <w:b/>
          <w:bCs/>
          <w:sz w:val="32"/>
          <w:szCs w:val="32"/>
        </w:rPr>
        <w:t>Module Code:</w:t>
      </w:r>
      <w:r w:rsidR="00371B29" w:rsidRPr="00167FA3">
        <w:rPr>
          <w:rFonts w:ascii="Arial" w:hAnsi="Arial" w:cs="Arial"/>
          <w:b/>
          <w:bCs/>
          <w:sz w:val="32"/>
          <w:szCs w:val="32"/>
        </w:rPr>
        <w:t xml:space="preserve"> </w:t>
      </w:r>
      <w:r w:rsidR="00371B29" w:rsidRPr="00167FA3">
        <w:rPr>
          <w:rFonts w:ascii="Arial" w:hAnsi="Arial" w:cs="Arial"/>
          <w:sz w:val="32"/>
          <w:szCs w:val="32"/>
        </w:rPr>
        <w:t>BMHP</w:t>
      </w:r>
      <w:r w:rsidR="005F1FBC" w:rsidRPr="00167FA3">
        <w:rPr>
          <w:rFonts w:ascii="Arial" w:hAnsi="Arial" w:cs="Arial"/>
          <w:sz w:val="32"/>
          <w:szCs w:val="32"/>
        </w:rPr>
        <w:t>6020</w:t>
      </w:r>
    </w:p>
    <w:p w14:paraId="73D55C0A" w14:textId="5D325A48" w:rsidR="002F48E7" w:rsidRPr="00167FA3" w:rsidRDefault="002F48E7" w:rsidP="00167FA3">
      <w:pPr>
        <w:spacing w:line="360" w:lineRule="auto"/>
        <w:rPr>
          <w:rFonts w:ascii="Arial" w:hAnsi="Arial" w:cs="Arial"/>
          <w:sz w:val="32"/>
          <w:szCs w:val="32"/>
        </w:rPr>
      </w:pPr>
      <w:r w:rsidRPr="00167FA3">
        <w:rPr>
          <w:rFonts w:ascii="Arial" w:hAnsi="Arial" w:cs="Arial"/>
          <w:b/>
          <w:bCs/>
          <w:sz w:val="32"/>
          <w:szCs w:val="32"/>
        </w:rPr>
        <w:t>Assignment Title:</w:t>
      </w:r>
      <w:r w:rsidR="00BA7685" w:rsidRPr="00167FA3">
        <w:rPr>
          <w:rFonts w:ascii="Arial" w:hAnsi="Arial" w:cs="Arial"/>
          <w:b/>
          <w:bCs/>
          <w:sz w:val="32"/>
          <w:szCs w:val="32"/>
        </w:rPr>
        <w:t xml:space="preserve"> </w:t>
      </w:r>
      <w:bookmarkStart w:id="0" w:name="_Int_871dVCeT"/>
      <w:r w:rsidR="00D33C69" w:rsidRPr="00167FA3">
        <w:rPr>
          <w:rFonts w:ascii="Arial" w:hAnsi="Arial" w:cs="Arial"/>
          <w:sz w:val="32"/>
          <w:szCs w:val="32"/>
        </w:rPr>
        <w:t>Comp</w:t>
      </w:r>
      <w:r w:rsidR="000A7293" w:rsidRPr="00167FA3">
        <w:rPr>
          <w:rFonts w:ascii="Arial" w:hAnsi="Arial" w:cs="Arial"/>
          <w:sz w:val="32"/>
          <w:szCs w:val="32"/>
        </w:rPr>
        <w:t>onent</w:t>
      </w:r>
      <w:bookmarkEnd w:id="0"/>
      <w:r w:rsidR="009479F2" w:rsidRPr="00167FA3">
        <w:rPr>
          <w:rFonts w:ascii="Arial" w:hAnsi="Arial" w:cs="Arial"/>
          <w:sz w:val="32"/>
          <w:szCs w:val="32"/>
        </w:rPr>
        <w:t xml:space="preserve"> 1: </w:t>
      </w:r>
      <w:r w:rsidR="00863B45" w:rsidRPr="00167FA3">
        <w:rPr>
          <w:rFonts w:ascii="Arial" w:hAnsi="Arial" w:cs="Arial"/>
          <w:sz w:val="32"/>
          <w:szCs w:val="32"/>
        </w:rPr>
        <w:t>Port</w:t>
      </w:r>
      <w:r w:rsidR="00B34167" w:rsidRPr="00167FA3">
        <w:rPr>
          <w:rFonts w:ascii="Arial" w:hAnsi="Arial" w:cs="Arial"/>
          <w:sz w:val="32"/>
          <w:szCs w:val="32"/>
        </w:rPr>
        <w:t>folio</w:t>
      </w:r>
      <w:r w:rsidR="009F4E1D" w:rsidRPr="00167FA3">
        <w:rPr>
          <w:rFonts w:ascii="Arial" w:hAnsi="Arial" w:cs="Arial"/>
          <w:sz w:val="32"/>
          <w:szCs w:val="32"/>
        </w:rPr>
        <w:t xml:space="preserve"> (</w:t>
      </w:r>
      <w:r w:rsidR="006B447D" w:rsidRPr="00167FA3">
        <w:rPr>
          <w:rFonts w:ascii="Arial" w:hAnsi="Arial" w:cs="Arial"/>
          <w:sz w:val="32"/>
          <w:szCs w:val="32"/>
        </w:rPr>
        <w:t>Including 3 elem</w:t>
      </w:r>
      <w:r w:rsidR="00A4340A" w:rsidRPr="00167FA3">
        <w:rPr>
          <w:rFonts w:ascii="Arial" w:hAnsi="Arial" w:cs="Arial"/>
          <w:sz w:val="32"/>
          <w:szCs w:val="32"/>
        </w:rPr>
        <w:t>ents)</w:t>
      </w:r>
    </w:p>
    <w:p w14:paraId="62D1A7F4" w14:textId="77777777" w:rsidR="00CE0458" w:rsidRPr="00167FA3" w:rsidRDefault="00CE0458" w:rsidP="00167FA3">
      <w:pPr>
        <w:spacing w:line="360" w:lineRule="auto"/>
        <w:rPr>
          <w:rFonts w:ascii="Arial" w:hAnsi="Arial" w:cs="Arial"/>
          <w:b/>
          <w:bCs/>
          <w:sz w:val="32"/>
          <w:szCs w:val="32"/>
        </w:rPr>
      </w:pPr>
    </w:p>
    <w:p w14:paraId="4BE38844" w14:textId="77777777" w:rsidR="00CE0458" w:rsidRPr="00167FA3" w:rsidRDefault="00CE0458" w:rsidP="00167FA3">
      <w:pPr>
        <w:spacing w:line="360" w:lineRule="auto"/>
        <w:rPr>
          <w:rFonts w:ascii="Arial" w:hAnsi="Arial" w:cs="Arial"/>
          <w:b/>
          <w:bCs/>
          <w:sz w:val="32"/>
          <w:szCs w:val="32"/>
        </w:rPr>
      </w:pPr>
    </w:p>
    <w:p w14:paraId="67E48656" w14:textId="77777777" w:rsidR="00CE0458" w:rsidRDefault="00CE0458">
      <w:pPr>
        <w:rPr>
          <w:b/>
          <w:bCs/>
        </w:rPr>
      </w:pPr>
    </w:p>
    <w:p w14:paraId="26F0569E" w14:textId="77777777" w:rsidR="00056149" w:rsidRDefault="00056149">
      <w:pPr>
        <w:rPr>
          <w:b/>
          <w:bCs/>
        </w:rPr>
      </w:pPr>
    </w:p>
    <w:p w14:paraId="769826A5" w14:textId="230FB092" w:rsidR="003F4B71" w:rsidRPr="00056149" w:rsidRDefault="00A75ADE" w:rsidP="00056149">
      <w:pPr>
        <w:spacing w:line="360" w:lineRule="auto"/>
        <w:jc w:val="both"/>
        <w:rPr>
          <w:rFonts w:ascii="Aptos" w:eastAsia="Arial Unicode MS" w:hAnsi="Aptos" w:cs="Arial"/>
          <w:b/>
          <w:sz w:val="56"/>
          <w:szCs w:val="56"/>
          <w:lang w:eastAsia="zh-CN"/>
        </w:rPr>
      </w:pPr>
      <w:r>
        <w:rPr>
          <w:rFonts w:ascii="Aptos" w:eastAsia="Arial Unicode MS" w:hAnsi="Aptos" w:cs="Arial"/>
          <w:b/>
          <w:sz w:val="56"/>
          <w:szCs w:val="56"/>
          <w:lang w:eastAsia="zh-CN"/>
        </w:rPr>
        <w:t>Title:</w:t>
      </w:r>
    </w:p>
    <w:p w14:paraId="460F8140" w14:textId="77777777" w:rsidR="003F4B71" w:rsidRPr="002E3819" w:rsidRDefault="003F4B71" w:rsidP="003C1863">
      <w:pPr>
        <w:pStyle w:val="Title"/>
        <w:rPr>
          <w:lang w:eastAsia="zh-CN"/>
        </w:rPr>
      </w:pPr>
      <w:r w:rsidRPr="002E3819">
        <w:rPr>
          <w:lang w:eastAsia="zh-CN"/>
        </w:rPr>
        <w:t>My project title: An Exploration of the Physiological Mechanisms and Long-Term Health Impacts of Type 2 Diabetes Mellitus in Older Adults Living in Birmingham</w:t>
      </w:r>
    </w:p>
    <w:p w14:paraId="5BDE5116" w14:textId="77777777" w:rsidR="003F4B71" w:rsidRPr="002E3819" w:rsidRDefault="003F4B71" w:rsidP="003C1863">
      <w:pPr>
        <w:pStyle w:val="Title"/>
        <w:rPr>
          <w:rFonts w:ascii="Aptos" w:eastAsia="Times New Roman" w:hAnsi="Aptos" w:cs="Times New Roman"/>
          <w:lang w:eastAsia="zh-CN"/>
        </w:rPr>
      </w:pPr>
    </w:p>
    <w:p w14:paraId="7AD994DA" w14:textId="77777777" w:rsidR="003F4B71" w:rsidRPr="003F4B71" w:rsidRDefault="003F4B71" w:rsidP="003F4B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ptos" w:eastAsia="Times New Roman" w:hAnsi="Aptos" w:cs="Times New Roman"/>
          <w:sz w:val="20"/>
          <w:szCs w:val="20"/>
          <w:lang w:eastAsia="zh-CN"/>
        </w:rPr>
      </w:pPr>
    </w:p>
    <w:p w14:paraId="40FCF094" w14:textId="77777777" w:rsidR="00CE0458" w:rsidRDefault="00CE0458">
      <w:pPr>
        <w:rPr>
          <w:b/>
          <w:bCs/>
        </w:rPr>
      </w:pPr>
    </w:p>
    <w:p w14:paraId="7D14CDF6" w14:textId="77777777" w:rsidR="00CE0458" w:rsidRDefault="00CE0458">
      <w:pPr>
        <w:rPr>
          <w:b/>
          <w:bCs/>
        </w:rPr>
      </w:pPr>
    </w:p>
    <w:p w14:paraId="253AB370" w14:textId="77777777" w:rsidR="00F713A2" w:rsidRDefault="00F713A2">
      <w:pPr>
        <w:rPr>
          <w:b/>
          <w:bCs/>
        </w:rPr>
      </w:pPr>
    </w:p>
    <w:p w14:paraId="7482BE84" w14:textId="77777777" w:rsidR="00F713A2" w:rsidRDefault="00F713A2">
      <w:pPr>
        <w:rPr>
          <w:b/>
          <w:bCs/>
        </w:rPr>
      </w:pPr>
    </w:p>
    <w:p w14:paraId="135FAB53" w14:textId="77777777" w:rsidR="00F713A2" w:rsidRDefault="00F713A2">
      <w:pPr>
        <w:rPr>
          <w:b/>
          <w:bCs/>
        </w:rPr>
      </w:pPr>
    </w:p>
    <w:p w14:paraId="19C99831" w14:textId="77777777" w:rsidR="00F713A2" w:rsidRDefault="00F713A2">
      <w:pPr>
        <w:rPr>
          <w:b/>
          <w:bCs/>
        </w:rPr>
      </w:pPr>
    </w:p>
    <w:p w14:paraId="67622DE3" w14:textId="77777777" w:rsidR="00F713A2" w:rsidRDefault="00F713A2">
      <w:pPr>
        <w:rPr>
          <w:b/>
          <w:bCs/>
        </w:rPr>
      </w:pPr>
    </w:p>
    <w:p w14:paraId="2B5B91C2" w14:textId="77777777" w:rsidR="00F713A2" w:rsidRDefault="00F713A2">
      <w:pPr>
        <w:rPr>
          <w:b/>
          <w:bCs/>
        </w:rPr>
      </w:pPr>
    </w:p>
    <w:p w14:paraId="043F81C5" w14:textId="77777777" w:rsidR="00F713A2" w:rsidRDefault="00F713A2">
      <w:pPr>
        <w:rPr>
          <w:b/>
          <w:bCs/>
        </w:rPr>
      </w:pPr>
    </w:p>
    <w:p w14:paraId="32EF0CF3" w14:textId="77777777" w:rsidR="00F713A2" w:rsidRDefault="00F713A2">
      <w:pPr>
        <w:rPr>
          <w:b/>
          <w:bCs/>
        </w:rPr>
      </w:pPr>
    </w:p>
    <w:p w14:paraId="35B8DD51" w14:textId="77777777" w:rsidR="00F713A2" w:rsidRDefault="00F713A2">
      <w:pPr>
        <w:rPr>
          <w:b/>
          <w:bCs/>
        </w:rPr>
      </w:pPr>
    </w:p>
    <w:p w14:paraId="35ED6608" w14:textId="77777777" w:rsidR="00F713A2" w:rsidRDefault="00F713A2">
      <w:pPr>
        <w:rPr>
          <w:b/>
          <w:bCs/>
        </w:rPr>
      </w:pPr>
    </w:p>
    <w:p w14:paraId="3743CB27" w14:textId="77777777" w:rsidR="00F713A2" w:rsidRDefault="00F713A2">
      <w:pPr>
        <w:rPr>
          <w:b/>
          <w:bCs/>
        </w:rPr>
      </w:pPr>
    </w:p>
    <w:p w14:paraId="27E7E9EA" w14:textId="77777777" w:rsidR="00F713A2" w:rsidRDefault="00F713A2">
      <w:pPr>
        <w:rPr>
          <w:b/>
          <w:bCs/>
        </w:rPr>
      </w:pPr>
    </w:p>
    <w:p w14:paraId="0947BB52" w14:textId="77777777" w:rsidR="00056149" w:rsidRDefault="00056149">
      <w:pPr>
        <w:rPr>
          <w:b/>
          <w:bCs/>
        </w:rPr>
      </w:pPr>
    </w:p>
    <w:p w14:paraId="6D41D10D" w14:textId="77777777" w:rsidR="00056149" w:rsidRDefault="00056149">
      <w:pPr>
        <w:rPr>
          <w:b/>
          <w:bCs/>
        </w:rPr>
      </w:pPr>
    </w:p>
    <w:p w14:paraId="0E2D9D54" w14:textId="77777777" w:rsidR="00151579" w:rsidRPr="00151579" w:rsidRDefault="00151579" w:rsidP="00151579">
      <w:pPr>
        <w:widowControl w:val="0"/>
        <w:autoSpaceDE w:val="0"/>
        <w:autoSpaceDN w:val="0"/>
        <w:spacing w:after="0" w:line="360" w:lineRule="auto"/>
        <w:outlineLvl w:val="0"/>
        <w:rPr>
          <w:rFonts w:ascii="Aptos" w:eastAsia="Calibri Light" w:hAnsi="Aptos" w:cs="Calibri Light"/>
          <w:kern w:val="0"/>
          <w:sz w:val="32"/>
          <w:szCs w:val="32"/>
          <w:lang w:bidi="en-GB"/>
          <w14:ligatures w14:val="none"/>
        </w:rPr>
      </w:pPr>
      <w:r w:rsidRPr="007D48C9">
        <w:rPr>
          <w:rStyle w:val="Heading1Char"/>
        </w:rPr>
        <w:t>CHAPTER 1: Introduction</w:t>
      </w:r>
      <w:r w:rsidRPr="00151579">
        <w:rPr>
          <w:rFonts w:ascii="Aptos" w:eastAsia="Calibri Light" w:hAnsi="Aptos" w:cs="Calibri Light"/>
          <w:b/>
          <w:kern w:val="0"/>
          <w:sz w:val="32"/>
          <w:szCs w:val="32"/>
          <w:lang w:bidi="en-GB"/>
          <w14:ligatures w14:val="none"/>
        </w:rPr>
        <w:t xml:space="preserve"> (1,000 words approx.)</w:t>
      </w:r>
    </w:p>
    <w:p w14:paraId="06F953E5" w14:textId="77777777" w:rsidR="00151579" w:rsidRPr="00151579" w:rsidRDefault="00151579" w:rsidP="00151579">
      <w:pPr>
        <w:widowControl w:val="0"/>
        <w:autoSpaceDE w:val="0"/>
        <w:autoSpaceDN w:val="0"/>
        <w:spacing w:after="0" w:line="360" w:lineRule="auto"/>
        <w:rPr>
          <w:rFonts w:ascii="Aptos" w:eastAsia="Calibri Light" w:hAnsi="Aptos" w:cs="Calibri Light"/>
          <w:kern w:val="0"/>
          <w:sz w:val="22"/>
          <w:szCs w:val="22"/>
          <w:lang w:bidi="en-GB"/>
          <w14:ligatures w14:val="none"/>
        </w:rPr>
      </w:pPr>
    </w:p>
    <w:p w14:paraId="11177DAD" w14:textId="54E90078" w:rsidR="00151579" w:rsidRDefault="00151579" w:rsidP="007D48C9">
      <w:pPr>
        <w:pStyle w:val="Heading1"/>
        <w:rPr>
          <w:rFonts w:ascii="Arial" w:eastAsia="Times New Roman" w:hAnsi="Arial"/>
          <w:sz w:val="22"/>
          <w:szCs w:val="22"/>
          <w:lang w:eastAsia="zh-CN"/>
        </w:rPr>
      </w:pPr>
      <w:r w:rsidRPr="00151579">
        <w:rPr>
          <w:rFonts w:eastAsia="Times New Roman"/>
          <w:lang w:eastAsia="zh-CN"/>
        </w:rPr>
        <w:t xml:space="preserve">1.1 Introduction </w:t>
      </w:r>
    </w:p>
    <w:p w14:paraId="71A34853" w14:textId="15268B47" w:rsidR="00F53C04" w:rsidRPr="00D02D87" w:rsidRDefault="00F53C04" w:rsidP="00D02D87">
      <w:pPr>
        <w:pStyle w:val="p1"/>
        <w:spacing w:line="360" w:lineRule="auto"/>
        <w:divId w:val="358700412"/>
        <w:rPr>
          <w:rFonts w:ascii="Arial" w:hAnsi="Arial" w:cs="Arial"/>
          <w:sz w:val="22"/>
          <w:szCs w:val="22"/>
        </w:rPr>
      </w:pPr>
      <w:r w:rsidRPr="00D02D87">
        <w:rPr>
          <w:rStyle w:val="s1"/>
          <w:rFonts w:ascii="Arial" w:hAnsi="Arial" w:cs="Arial"/>
          <w:sz w:val="22"/>
          <w:szCs w:val="22"/>
        </w:rPr>
        <w:t xml:space="preserve">Type 2 Diabetes Mellitus (T2DM) is a chronic and progressive metabolic disorder characterised by persistent hyperglycaemia resulting from insulin resistance and the gradual dysfunction of pancreatic </w:t>
      </w:r>
      <w:r w:rsidR="00804BC9" w:rsidRPr="00D02D87">
        <w:rPr>
          <w:rStyle w:val="s1"/>
          <w:rFonts w:ascii="Arial" w:hAnsi="Arial" w:cs="Arial"/>
          <w:sz w:val="22"/>
          <w:szCs w:val="22"/>
        </w:rPr>
        <w:t>B</w:t>
      </w:r>
      <w:r w:rsidRPr="00D02D87">
        <w:rPr>
          <w:rStyle w:val="s1"/>
          <w:rFonts w:ascii="Arial" w:hAnsi="Arial" w:cs="Arial"/>
          <w:sz w:val="22"/>
          <w:szCs w:val="22"/>
        </w:rPr>
        <w:t xml:space="preserve">-cells responsible for insulin secretion (Saini, 2010; </w:t>
      </w:r>
      <w:r w:rsidR="00B945FE" w:rsidRPr="00D02D87">
        <w:rPr>
          <w:rStyle w:val="s1"/>
          <w:rFonts w:ascii="Arial" w:hAnsi="Arial" w:cs="Arial"/>
          <w:sz w:val="22"/>
          <w:szCs w:val="22"/>
        </w:rPr>
        <w:t>Achilli</w:t>
      </w:r>
      <w:r w:rsidRPr="00D02D87">
        <w:rPr>
          <w:rStyle w:val="s1"/>
          <w:rFonts w:ascii="Arial" w:hAnsi="Arial" w:cs="Arial"/>
          <w:sz w:val="22"/>
          <w:szCs w:val="22"/>
        </w:rPr>
        <w:t xml:space="preserve">, </w:t>
      </w:r>
      <w:r w:rsidR="002E3702" w:rsidRPr="00D02D87">
        <w:rPr>
          <w:rStyle w:val="s1"/>
          <w:rFonts w:ascii="Arial" w:hAnsi="Arial" w:cs="Arial"/>
          <w:sz w:val="22"/>
          <w:szCs w:val="22"/>
        </w:rPr>
        <w:t>Deng,</w:t>
      </w:r>
      <w:r w:rsidRPr="00D02D87">
        <w:rPr>
          <w:rStyle w:val="s1"/>
          <w:rFonts w:ascii="Arial" w:hAnsi="Arial" w:cs="Arial"/>
          <w:sz w:val="22"/>
          <w:szCs w:val="22"/>
        </w:rPr>
        <w:t xml:space="preserve"> and Liu, 2025). The condition accounts for </w:t>
      </w:r>
      <w:r w:rsidR="008D2AFA" w:rsidRPr="00D02D87">
        <w:rPr>
          <w:rStyle w:val="s1"/>
          <w:rFonts w:ascii="Arial" w:hAnsi="Arial" w:cs="Arial"/>
          <w:sz w:val="22"/>
          <w:szCs w:val="22"/>
        </w:rPr>
        <w:t>90</w:t>
      </w:r>
      <w:r w:rsidRPr="00D02D87">
        <w:rPr>
          <w:rStyle w:val="s1"/>
          <w:rFonts w:ascii="Arial" w:hAnsi="Arial" w:cs="Arial"/>
          <w:sz w:val="22"/>
          <w:szCs w:val="22"/>
        </w:rPr>
        <w:t xml:space="preserve">–95% of all diabetes cases globally and </w:t>
      </w:r>
      <w:bookmarkStart w:id="1" w:name="_Int_SYDkLqPg"/>
      <w:r w:rsidRPr="00D02D87">
        <w:rPr>
          <w:rStyle w:val="s1"/>
          <w:rFonts w:ascii="Arial" w:hAnsi="Arial" w:cs="Arial"/>
          <w:sz w:val="22"/>
          <w:szCs w:val="22"/>
        </w:rPr>
        <w:t>is widely recognised</w:t>
      </w:r>
      <w:bookmarkEnd w:id="1"/>
      <w:r w:rsidRPr="00D02D87">
        <w:rPr>
          <w:rStyle w:val="s1"/>
          <w:rFonts w:ascii="Arial" w:hAnsi="Arial" w:cs="Arial"/>
          <w:sz w:val="22"/>
          <w:szCs w:val="22"/>
        </w:rPr>
        <w:t xml:space="preserve"> as one of the most significant public health challenges facing modern healthcare systems (</w:t>
      </w:r>
      <w:bookmarkStart w:id="2" w:name="_Int_x2djRO8r"/>
      <w:r w:rsidRPr="00D02D87">
        <w:rPr>
          <w:rStyle w:val="s1"/>
          <w:rFonts w:ascii="Arial" w:hAnsi="Arial" w:cs="Arial"/>
          <w:sz w:val="22"/>
          <w:szCs w:val="22"/>
        </w:rPr>
        <w:t>Bellary</w:t>
      </w:r>
      <w:bookmarkEnd w:id="2"/>
      <w:r w:rsidRPr="00D02D87">
        <w:rPr>
          <w:rStyle w:val="s1"/>
          <w:rFonts w:ascii="Arial" w:hAnsi="Arial" w:cs="Arial"/>
          <w:sz w:val="22"/>
          <w:szCs w:val="22"/>
        </w:rPr>
        <w:t xml:space="preserve"> et al., 2021). In the United Kingdom, the prevalence of diabetes has increased </w:t>
      </w:r>
      <w:r w:rsidR="008E3936" w:rsidRPr="00D02D87">
        <w:rPr>
          <w:rStyle w:val="s1"/>
          <w:rFonts w:ascii="Arial" w:hAnsi="Arial" w:cs="Arial"/>
          <w:sz w:val="22"/>
          <w:szCs w:val="22"/>
        </w:rPr>
        <w:t>over</w:t>
      </w:r>
      <w:r w:rsidRPr="00D02D87">
        <w:rPr>
          <w:rStyle w:val="s1"/>
          <w:rFonts w:ascii="Arial" w:hAnsi="Arial" w:cs="Arial"/>
          <w:sz w:val="22"/>
          <w:szCs w:val="22"/>
        </w:rPr>
        <w:t xml:space="preserve"> the past two decades. Recent NHS data </w:t>
      </w:r>
      <w:bookmarkStart w:id="3" w:name="_Int_nVuOeWaE"/>
      <w:r w:rsidRPr="00D02D87">
        <w:rPr>
          <w:rStyle w:val="s1"/>
          <w:rFonts w:ascii="Arial" w:hAnsi="Arial" w:cs="Arial"/>
          <w:sz w:val="22"/>
          <w:szCs w:val="22"/>
        </w:rPr>
        <w:t>indicate</w:t>
      </w:r>
      <w:bookmarkEnd w:id="3"/>
      <w:r w:rsidRPr="00D02D87">
        <w:rPr>
          <w:rStyle w:val="s1"/>
          <w:rFonts w:ascii="Arial" w:hAnsi="Arial" w:cs="Arial"/>
          <w:sz w:val="22"/>
          <w:szCs w:val="22"/>
        </w:rPr>
        <w:t xml:space="preserve"> that more than 4.9 million people are currently living with diabetes, with the majority diagnosed with T2DM and prevalence rising significantly among adults aged 60 years and older.</w:t>
      </w:r>
    </w:p>
    <w:p w14:paraId="201A8ADF" w14:textId="77777777" w:rsidR="00F53C04" w:rsidRPr="00D02D87" w:rsidRDefault="00F53C04" w:rsidP="00D02D87">
      <w:pPr>
        <w:pStyle w:val="p2"/>
        <w:spacing w:line="360" w:lineRule="auto"/>
        <w:divId w:val="358700412"/>
        <w:rPr>
          <w:rFonts w:ascii="Arial" w:hAnsi="Arial" w:cs="Arial"/>
          <w:sz w:val="22"/>
          <w:szCs w:val="22"/>
        </w:rPr>
      </w:pPr>
    </w:p>
    <w:p w14:paraId="354E4416" w14:textId="03B59D46" w:rsidR="00F53C04" w:rsidRPr="00D02D87" w:rsidRDefault="00F53C04" w:rsidP="00D02D87">
      <w:pPr>
        <w:pStyle w:val="p1"/>
        <w:spacing w:line="360" w:lineRule="auto"/>
        <w:divId w:val="358700412"/>
        <w:rPr>
          <w:rFonts w:ascii="Arial" w:hAnsi="Arial" w:cs="Arial"/>
          <w:sz w:val="22"/>
          <w:szCs w:val="22"/>
        </w:rPr>
      </w:pPr>
      <w:r w:rsidRPr="00D02D87">
        <w:rPr>
          <w:rStyle w:val="s1"/>
          <w:rFonts w:ascii="Arial" w:hAnsi="Arial" w:cs="Arial"/>
          <w:sz w:val="22"/>
          <w:szCs w:val="22"/>
        </w:rPr>
        <w:t>Population ageing has intensified the burden of T2DM, particularly in large urban centres such as Birmingham. Birmingham is the second largest city in the UK, with a population exceeding 1.1 million people and characterised by substantial ethnic diversity and socioeconomic variation. Epidemiological research suggests that areas with higher deprivation and</w:t>
      </w:r>
      <w:r w:rsidR="00CA731A">
        <w:rPr>
          <w:rStyle w:val="s1"/>
          <w:rFonts w:ascii="Arial" w:hAnsi="Arial" w:cs="Arial"/>
          <w:sz w:val="22"/>
          <w:szCs w:val="22"/>
        </w:rPr>
        <w:t xml:space="preserve"> </w:t>
      </w:r>
      <w:r w:rsidRPr="00D02D87">
        <w:rPr>
          <w:rStyle w:val="s1"/>
          <w:rFonts w:ascii="Arial" w:hAnsi="Arial" w:cs="Arial"/>
          <w:sz w:val="22"/>
          <w:szCs w:val="22"/>
        </w:rPr>
        <w:t xml:space="preserve">diverse populations, such as Birmingham and the West Midlands, </w:t>
      </w:r>
      <w:bookmarkStart w:id="4" w:name="_Int_gFN8Mg4Z"/>
      <w:r w:rsidRPr="00D02D87">
        <w:rPr>
          <w:rStyle w:val="s1"/>
          <w:rFonts w:ascii="Arial" w:hAnsi="Arial" w:cs="Arial"/>
          <w:sz w:val="22"/>
          <w:szCs w:val="22"/>
        </w:rPr>
        <w:t>demonstrate</w:t>
      </w:r>
      <w:bookmarkEnd w:id="4"/>
      <w:r w:rsidRPr="00D02D87">
        <w:rPr>
          <w:rStyle w:val="s1"/>
          <w:rFonts w:ascii="Arial" w:hAnsi="Arial" w:cs="Arial"/>
          <w:sz w:val="22"/>
          <w:szCs w:val="22"/>
        </w:rPr>
        <w:t xml:space="preserve"> higher diabetes prevale</w:t>
      </w:r>
      <w:r w:rsidR="000D2C3B">
        <w:rPr>
          <w:rStyle w:val="s1"/>
          <w:rFonts w:ascii="Arial" w:hAnsi="Arial" w:cs="Arial"/>
          <w:sz w:val="22"/>
          <w:szCs w:val="22"/>
        </w:rPr>
        <w:t>nce</w:t>
      </w:r>
      <w:r w:rsidRPr="00D02D87">
        <w:rPr>
          <w:rStyle w:val="s1"/>
          <w:rFonts w:ascii="Arial" w:hAnsi="Arial" w:cs="Arial"/>
          <w:sz w:val="22"/>
          <w:szCs w:val="22"/>
        </w:rPr>
        <w:t xml:space="preserve"> with the national average (Congdon, 2006; Au-Yeung et al., 2024). Local health data </w:t>
      </w:r>
      <w:bookmarkStart w:id="5" w:name="_Int_d5FQKPmJ"/>
      <w:r w:rsidRPr="00D02D87">
        <w:rPr>
          <w:rStyle w:val="s1"/>
          <w:rFonts w:ascii="Arial" w:hAnsi="Arial" w:cs="Arial"/>
          <w:sz w:val="22"/>
          <w:szCs w:val="22"/>
        </w:rPr>
        <w:t>indicate</w:t>
      </w:r>
      <w:bookmarkEnd w:id="5"/>
      <w:r w:rsidRPr="00D02D87">
        <w:rPr>
          <w:rStyle w:val="s1"/>
          <w:rFonts w:ascii="Arial" w:hAnsi="Arial" w:cs="Arial"/>
          <w:sz w:val="22"/>
          <w:szCs w:val="22"/>
        </w:rPr>
        <w:t xml:space="preserve"> that </w:t>
      </w:r>
      <w:r w:rsidR="008E3936" w:rsidRPr="00D02D87">
        <w:rPr>
          <w:rStyle w:val="s1"/>
          <w:rFonts w:ascii="Arial" w:hAnsi="Arial" w:cs="Arial"/>
          <w:sz w:val="22"/>
          <w:szCs w:val="22"/>
        </w:rPr>
        <w:t>8</w:t>
      </w:r>
      <w:r w:rsidRPr="00D02D87">
        <w:rPr>
          <w:rStyle w:val="s1"/>
          <w:rFonts w:ascii="Arial" w:hAnsi="Arial" w:cs="Arial"/>
          <w:sz w:val="22"/>
          <w:szCs w:val="22"/>
        </w:rPr>
        <w:t xml:space="preserve">–10% of adults registered with </w:t>
      </w:r>
      <w:r w:rsidR="002F0161" w:rsidRPr="00D02D87">
        <w:rPr>
          <w:rStyle w:val="s1"/>
          <w:rFonts w:ascii="Arial" w:hAnsi="Arial" w:cs="Arial"/>
          <w:sz w:val="22"/>
          <w:szCs w:val="22"/>
        </w:rPr>
        <w:t>comprehensive</w:t>
      </w:r>
      <w:r w:rsidRPr="00D02D87">
        <w:rPr>
          <w:rStyle w:val="s1"/>
          <w:rFonts w:ascii="Arial" w:hAnsi="Arial" w:cs="Arial"/>
          <w:sz w:val="22"/>
          <w:szCs w:val="22"/>
        </w:rPr>
        <w:t xml:space="preserve"> practices in Birmingham have diagnosed diabetes, with prevalence increasing significantly with age and among South Asian and Black ethnic groups.</w:t>
      </w:r>
    </w:p>
    <w:p w14:paraId="1696C6E1" w14:textId="77777777" w:rsidR="00F53C04" w:rsidRPr="00D02D87" w:rsidRDefault="00F53C04" w:rsidP="00D02D87">
      <w:pPr>
        <w:pStyle w:val="p2"/>
        <w:spacing w:line="360" w:lineRule="auto"/>
        <w:divId w:val="358700412"/>
        <w:rPr>
          <w:rFonts w:ascii="Arial" w:hAnsi="Arial" w:cs="Arial"/>
          <w:sz w:val="22"/>
          <w:szCs w:val="22"/>
        </w:rPr>
      </w:pPr>
    </w:p>
    <w:p w14:paraId="10A48DD9" w14:textId="23D7CBBA" w:rsidR="00221D32" w:rsidRPr="00A8574F" w:rsidRDefault="00F53C04" w:rsidP="00A8574F">
      <w:pPr>
        <w:pStyle w:val="p1"/>
        <w:spacing w:line="360" w:lineRule="auto"/>
        <w:divId w:val="216207781"/>
        <w:rPr>
          <w:rFonts w:ascii="Arial" w:hAnsi="Arial" w:cs="Arial"/>
          <w:sz w:val="22"/>
          <w:szCs w:val="22"/>
        </w:rPr>
      </w:pPr>
      <w:r w:rsidRPr="00166015">
        <w:rPr>
          <w:rStyle w:val="s1"/>
          <w:rFonts w:ascii="Arial" w:hAnsi="Arial" w:cs="Arial"/>
          <w:sz w:val="22"/>
          <w:szCs w:val="22"/>
        </w:rPr>
        <w:t>Ageing contributes to metabolic dysregulation through</w:t>
      </w:r>
      <w:r w:rsidR="00E83F4C" w:rsidRPr="00166015">
        <w:rPr>
          <w:rStyle w:val="s1"/>
          <w:rFonts w:ascii="Arial" w:hAnsi="Arial" w:cs="Arial"/>
          <w:sz w:val="22"/>
          <w:szCs w:val="22"/>
        </w:rPr>
        <w:t xml:space="preserve"> </w:t>
      </w:r>
      <w:r w:rsidRPr="00166015">
        <w:rPr>
          <w:rStyle w:val="s1"/>
          <w:rFonts w:ascii="Arial" w:hAnsi="Arial" w:cs="Arial"/>
          <w:sz w:val="22"/>
          <w:szCs w:val="22"/>
        </w:rPr>
        <w:t>mechanisms, including increased visceral adiposity, mitochondrial dysfunction, oxidative stress, and chronic low-grade inflammation (Halim and Halim, 2019; Shou, Chen</w:t>
      </w:r>
      <w:r w:rsidR="002518E4" w:rsidRPr="00166015">
        <w:rPr>
          <w:rStyle w:val="s1"/>
          <w:rFonts w:ascii="Arial" w:hAnsi="Arial" w:cs="Arial"/>
          <w:sz w:val="22"/>
          <w:szCs w:val="22"/>
        </w:rPr>
        <w:t>,</w:t>
      </w:r>
      <w:r w:rsidRPr="00166015">
        <w:rPr>
          <w:rStyle w:val="s1"/>
          <w:rFonts w:ascii="Arial" w:hAnsi="Arial" w:cs="Arial"/>
          <w:sz w:val="22"/>
          <w:szCs w:val="22"/>
        </w:rPr>
        <w:t xml:space="preserve"> and Xiao, 2020). These processes impair insulin signalling and glucose metabolism, increasing susceptibility </w:t>
      </w:r>
      <w:r w:rsidR="0062256A" w:rsidRPr="00166015">
        <w:rPr>
          <w:rStyle w:val="s1"/>
          <w:rFonts w:ascii="Arial" w:hAnsi="Arial" w:cs="Arial"/>
          <w:sz w:val="22"/>
          <w:szCs w:val="22"/>
        </w:rPr>
        <w:t>to T2DM. Older adults with T2DM are therefore at increased risk of complications including cardiovascular disease, neuropathy, nephropathy, retinopathy, and cognitive decline (Arnold and Arvanitakis, 2018).</w:t>
      </w:r>
    </w:p>
    <w:p w14:paraId="39BB2567" w14:textId="77777777" w:rsidR="00151579" w:rsidRPr="00151579" w:rsidRDefault="00151579" w:rsidP="00A8574F">
      <w:pPr>
        <w:pStyle w:val="Heading1"/>
        <w:rPr>
          <w:rFonts w:eastAsia="Times New Roman"/>
          <w:lang w:eastAsia="zh-CN"/>
        </w:rPr>
      </w:pPr>
      <w:r w:rsidRPr="00151579">
        <w:rPr>
          <w:rFonts w:eastAsia="Times New Roman"/>
          <w:lang w:eastAsia="zh-CN"/>
        </w:rPr>
        <w:t>Aim of the Dissertation: </w:t>
      </w:r>
    </w:p>
    <w:p w14:paraId="22B29185" w14:textId="2E458FFB" w:rsidR="00151579" w:rsidRPr="00151579" w:rsidRDefault="00151579" w:rsidP="009149A4">
      <w:pPr>
        <w:pStyle w:val="p1"/>
        <w:spacing w:line="360" w:lineRule="auto"/>
        <w:divId w:val="1090661334"/>
        <w:rPr>
          <w:rFonts w:ascii="Arial" w:hAnsi="Arial" w:cs="Arial"/>
          <w:sz w:val="22"/>
          <w:szCs w:val="22"/>
        </w:rPr>
      </w:pPr>
      <w:r w:rsidRPr="00D02D87">
        <w:rPr>
          <w:rFonts w:ascii="Arial" w:hAnsi="Arial" w:cs="Arial"/>
          <w:sz w:val="22"/>
          <w:szCs w:val="22"/>
        </w:rPr>
        <w:t xml:space="preserve">The primary aim of this dissertation is to explore the physiological mechanisms underlying Type 2 Diabetes Mellitus and examine its long-term health impacts among older adults living in Birmingham. By integrating </w:t>
      </w:r>
      <w:r w:rsidR="007876DD" w:rsidRPr="00D02D87">
        <w:rPr>
          <w:rFonts w:ascii="Arial" w:hAnsi="Arial" w:cs="Arial"/>
          <w:sz w:val="22"/>
          <w:szCs w:val="22"/>
        </w:rPr>
        <w:t>cur</w:t>
      </w:r>
      <w:r w:rsidR="007A5BD9" w:rsidRPr="00D02D87">
        <w:rPr>
          <w:rFonts w:ascii="Arial" w:hAnsi="Arial" w:cs="Arial"/>
          <w:sz w:val="22"/>
          <w:szCs w:val="22"/>
        </w:rPr>
        <w:t>r</w:t>
      </w:r>
      <w:r w:rsidR="00CC5A25" w:rsidRPr="00D02D87">
        <w:rPr>
          <w:rFonts w:ascii="Arial" w:hAnsi="Arial" w:cs="Arial"/>
          <w:sz w:val="22"/>
          <w:szCs w:val="22"/>
        </w:rPr>
        <w:t xml:space="preserve">ent </w:t>
      </w:r>
      <w:r w:rsidR="006372B0" w:rsidRPr="00D02D87">
        <w:rPr>
          <w:rFonts w:ascii="Arial" w:hAnsi="Arial" w:cs="Arial"/>
          <w:sz w:val="22"/>
          <w:szCs w:val="22"/>
        </w:rPr>
        <w:t>und</w:t>
      </w:r>
      <w:r w:rsidR="00975444" w:rsidRPr="00D02D87">
        <w:rPr>
          <w:rFonts w:ascii="Arial" w:hAnsi="Arial" w:cs="Arial"/>
          <w:sz w:val="22"/>
          <w:szCs w:val="22"/>
        </w:rPr>
        <w:t xml:space="preserve">erstanding </w:t>
      </w:r>
      <w:r w:rsidR="009D6D67" w:rsidRPr="00D02D87">
        <w:rPr>
          <w:rFonts w:ascii="Arial" w:hAnsi="Arial" w:cs="Arial"/>
          <w:sz w:val="22"/>
          <w:szCs w:val="22"/>
        </w:rPr>
        <w:t xml:space="preserve">of </w:t>
      </w:r>
      <w:r w:rsidR="005F08E3" w:rsidRPr="00D02D87">
        <w:rPr>
          <w:rFonts w:ascii="Arial" w:hAnsi="Arial" w:cs="Arial"/>
          <w:sz w:val="22"/>
          <w:szCs w:val="22"/>
        </w:rPr>
        <w:t>met</w:t>
      </w:r>
      <w:r w:rsidR="007D4306" w:rsidRPr="00D02D87">
        <w:rPr>
          <w:rFonts w:ascii="Arial" w:hAnsi="Arial" w:cs="Arial"/>
          <w:sz w:val="22"/>
          <w:szCs w:val="22"/>
        </w:rPr>
        <w:t>ab</w:t>
      </w:r>
      <w:r w:rsidR="006C37DE" w:rsidRPr="00D02D87">
        <w:rPr>
          <w:rFonts w:ascii="Arial" w:hAnsi="Arial" w:cs="Arial"/>
          <w:sz w:val="22"/>
          <w:szCs w:val="22"/>
        </w:rPr>
        <w:t>olic</w:t>
      </w:r>
      <w:r w:rsidR="00DD4A6B" w:rsidRPr="00D02D87">
        <w:rPr>
          <w:rFonts w:ascii="Arial" w:hAnsi="Arial" w:cs="Arial"/>
          <w:sz w:val="22"/>
          <w:szCs w:val="22"/>
        </w:rPr>
        <w:t xml:space="preserve"> </w:t>
      </w:r>
      <w:r w:rsidR="008E45F3" w:rsidRPr="00D02D87">
        <w:rPr>
          <w:rFonts w:ascii="Arial" w:hAnsi="Arial" w:cs="Arial"/>
          <w:sz w:val="22"/>
          <w:szCs w:val="22"/>
        </w:rPr>
        <w:t>pat</w:t>
      </w:r>
      <w:r w:rsidR="00AF662A" w:rsidRPr="00D02D87">
        <w:rPr>
          <w:rFonts w:ascii="Arial" w:hAnsi="Arial" w:cs="Arial"/>
          <w:sz w:val="22"/>
          <w:szCs w:val="22"/>
        </w:rPr>
        <w:t>ho</w:t>
      </w:r>
      <w:r w:rsidR="00275952" w:rsidRPr="00D02D87">
        <w:rPr>
          <w:rFonts w:ascii="Arial" w:hAnsi="Arial" w:cs="Arial"/>
          <w:sz w:val="22"/>
          <w:szCs w:val="22"/>
        </w:rPr>
        <w:t>phy</w:t>
      </w:r>
      <w:r w:rsidR="00302660" w:rsidRPr="00D02D87">
        <w:rPr>
          <w:rFonts w:ascii="Arial" w:hAnsi="Arial" w:cs="Arial"/>
          <w:sz w:val="22"/>
          <w:szCs w:val="22"/>
        </w:rPr>
        <w:t>s</w:t>
      </w:r>
      <w:r w:rsidR="004A0CB8" w:rsidRPr="00D02D87">
        <w:rPr>
          <w:rFonts w:ascii="Arial" w:hAnsi="Arial" w:cs="Arial"/>
          <w:sz w:val="22"/>
          <w:szCs w:val="22"/>
        </w:rPr>
        <w:t>i</w:t>
      </w:r>
      <w:r w:rsidRPr="00D02D87">
        <w:rPr>
          <w:rFonts w:ascii="Arial" w:hAnsi="Arial" w:cs="Arial"/>
          <w:sz w:val="22"/>
          <w:szCs w:val="22"/>
        </w:rPr>
        <w:t>ology with local demog</w:t>
      </w:r>
      <w:r w:rsidR="0094553B" w:rsidRPr="00D02D87">
        <w:rPr>
          <w:rFonts w:ascii="Arial" w:hAnsi="Arial" w:cs="Arial"/>
          <w:sz w:val="22"/>
          <w:szCs w:val="22"/>
        </w:rPr>
        <w:t>r</w:t>
      </w:r>
      <w:r w:rsidR="0039790B" w:rsidRPr="00D02D87">
        <w:rPr>
          <w:rFonts w:ascii="Arial" w:hAnsi="Arial" w:cs="Arial"/>
          <w:sz w:val="22"/>
          <w:szCs w:val="22"/>
        </w:rPr>
        <w:t>ap</w:t>
      </w:r>
      <w:r w:rsidR="00BC1064" w:rsidRPr="00D02D87">
        <w:rPr>
          <w:rFonts w:ascii="Arial" w:hAnsi="Arial" w:cs="Arial"/>
          <w:sz w:val="22"/>
          <w:szCs w:val="22"/>
        </w:rPr>
        <w:t>h</w:t>
      </w:r>
      <w:r w:rsidRPr="00D02D87">
        <w:rPr>
          <w:rFonts w:ascii="Arial" w:hAnsi="Arial" w:cs="Arial"/>
          <w:sz w:val="22"/>
          <w:szCs w:val="22"/>
        </w:rPr>
        <w:t xml:space="preserve">ic </w:t>
      </w:r>
      <w:r w:rsidR="003474E3" w:rsidRPr="00D02D87">
        <w:rPr>
          <w:rFonts w:ascii="Arial" w:hAnsi="Arial" w:cs="Arial"/>
          <w:sz w:val="22"/>
          <w:szCs w:val="22"/>
        </w:rPr>
        <w:t>and public</w:t>
      </w:r>
      <w:r w:rsidR="00047CE2" w:rsidRPr="00D02D87">
        <w:rPr>
          <w:rFonts w:ascii="Arial" w:hAnsi="Arial" w:cs="Arial"/>
          <w:sz w:val="22"/>
          <w:szCs w:val="22"/>
        </w:rPr>
        <w:t xml:space="preserve"> health </w:t>
      </w:r>
      <w:r w:rsidRPr="00D02D87">
        <w:rPr>
          <w:rFonts w:ascii="Arial" w:hAnsi="Arial" w:cs="Arial"/>
          <w:sz w:val="22"/>
          <w:szCs w:val="22"/>
        </w:rPr>
        <w:t xml:space="preserve">context, this study aims to </w:t>
      </w:r>
      <w:r w:rsidR="00E20236" w:rsidRPr="00D02D87">
        <w:rPr>
          <w:rStyle w:val="s1"/>
          <w:rFonts w:ascii="Arial" w:hAnsi="Arial" w:cs="Arial"/>
          <w:sz w:val="22"/>
          <w:szCs w:val="22"/>
        </w:rPr>
        <w:t xml:space="preserve">provide insight into how ageing and environmental factors influence disease progression. </w:t>
      </w:r>
      <w:r w:rsidR="00894532" w:rsidRPr="00D02D87">
        <w:rPr>
          <w:rStyle w:val="s1"/>
          <w:rFonts w:ascii="Arial" w:hAnsi="Arial" w:cs="Arial"/>
          <w:sz w:val="22"/>
          <w:szCs w:val="22"/>
        </w:rPr>
        <w:t>The</w:t>
      </w:r>
      <w:r w:rsidR="00E20236" w:rsidRPr="00D02D87">
        <w:rPr>
          <w:rStyle w:val="s1"/>
          <w:rFonts w:ascii="Arial" w:hAnsi="Arial" w:cs="Arial"/>
          <w:sz w:val="22"/>
          <w:szCs w:val="22"/>
        </w:rPr>
        <w:t xml:space="preserve"> research </w:t>
      </w:r>
      <w:bookmarkStart w:id="6" w:name="_Int_JpFvV8jx"/>
      <w:r w:rsidR="00E20236" w:rsidRPr="00D02D87">
        <w:rPr>
          <w:rStyle w:val="s1"/>
          <w:rFonts w:ascii="Arial" w:hAnsi="Arial" w:cs="Arial"/>
          <w:sz w:val="22"/>
          <w:szCs w:val="22"/>
        </w:rPr>
        <w:t>seeks</w:t>
      </w:r>
      <w:bookmarkEnd w:id="6"/>
      <w:r w:rsidR="00E20236" w:rsidRPr="00D02D87">
        <w:rPr>
          <w:rStyle w:val="s1"/>
          <w:rFonts w:ascii="Arial" w:hAnsi="Arial" w:cs="Arial"/>
          <w:sz w:val="22"/>
          <w:szCs w:val="22"/>
        </w:rPr>
        <w:t xml:space="preserve"> to contribute to improved health and social care strategies, supporting more effective prevention, management, and long-term care for older adults living with T2DM in Birmingham.</w:t>
      </w:r>
    </w:p>
    <w:p w14:paraId="37856AD1" w14:textId="77777777" w:rsidR="00151579" w:rsidRPr="00151579" w:rsidRDefault="00151579" w:rsidP="00151579">
      <w:pPr>
        <w:spacing w:after="0" w:line="360" w:lineRule="auto"/>
        <w:ind w:left="1080"/>
        <w:textAlignment w:val="baseline"/>
        <w:rPr>
          <w:rFonts w:ascii="Aptos" w:eastAsia="Times New Roman" w:hAnsi="Aptos" w:cs="Segoe UI"/>
          <w:kern w:val="0"/>
          <w:sz w:val="16"/>
          <w:szCs w:val="16"/>
          <w:lang w:eastAsia="zh-CN"/>
          <w14:ligatures w14:val="none"/>
        </w:rPr>
      </w:pPr>
      <w:r w:rsidRPr="00151579">
        <w:rPr>
          <w:rFonts w:ascii="Aptos" w:eastAsia="Times New Roman" w:hAnsi="Aptos" w:cs="Arial"/>
          <w:kern w:val="0"/>
          <w:sz w:val="22"/>
          <w:szCs w:val="22"/>
          <w:lang w:eastAsia="zh-CN"/>
          <w14:ligatures w14:val="none"/>
        </w:rPr>
        <w:t> </w:t>
      </w:r>
    </w:p>
    <w:p w14:paraId="145FA30E" w14:textId="4695A041" w:rsidR="00151579" w:rsidRPr="00D96142" w:rsidRDefault="00151579" w:rsidP="007D48C9">
      <w:pPr>
        <w:pStyle w:val="Heading1"/>
        <w:rPr>
          <w:rFonts w:eastAsia="Times New Roman" w:cs="Segoe UI"/>
          <w:sz w:val="16"/>
          <w:szCs w:val="16"/>
          <w:lang w:eastAsia="zh-CN"/>
        </w:rPr>
      </w:pPr>
      <w:r w:rsidRPr="00D96142">
        <w:rPr>
          <w:rFonts w:eastAsia="Times New Roman"/>
          <w:lang w:eastAsia="zh-CN"/>
        </w:rPr>
        <w:t xml:space="preserve">Definitions and Terminology </w:t>
      </w:r>
    </w:p>
    <w:p w14:paraId="33FEFC5F" w14:textId="1CD75C0A" w:rsidR="00151579" w:rsidRPr="00A8574F" w:rsidRDefault="00D96142" w:rsidP="00A8574F">
      <w:pPr>
        <w:pStyle w:val="Heading1"/>
      </w:pPr>
      <w:r w:rsidRPr="00A8574F">
        <w:t xml:space="preserve"> </w:t>
      </w:r>
      <w:r w:rsidR="00151579" w:rsidRPr="00A8574F">
        <w:t>Key Definitions: </w:t>
      </w:r>
    </w:p>
    <w:p w14:paraId="3724A43A" w14:textId="77777777" w:rsidR="00ED2DD6" w:rsidRPr="00ED2DD6" w:rsidRDefault="00ED2DD6" w:rsidP="00ED2DD6">
      <w:pPr>
        <w:spacing w:after="0" w:line="360" w:lineRule="auto"/>
        <w:ind w:left="720"/>
        <w:textAlignment w:val="baseline"/>
        <w:rPr>
          <w:rStyle w:val="s1"/>
          <w:rFonts w:ascii="Aptos" w:eastAsia="Times New Roman" w:hAnsi="Aptos" w:cs="Arial"/>
          <w:kern w:val="0"/>
          <w:sz w:val="22"/>
          <w:szCs w:val="22"/>
          <w:lang w:eastAsia="zh-CN"/>
          <w14:ligatures w14:val="none"/>
        </w:rPr>
      </w:pPr>
    </w:p>
    <w:p w14:paraId="1AFDB399" w14:textId="67B45AF0" w:rsidR="00342B69" w:rsidRPr="005B2847" w:rsidRDefault="00342B69" w:rsidP="005B2847">
      <w:pPr>
        <w:pStyle w:val="p1"/>
        <w:spacing w:line="360" w:lineRule="auto"/>
        <w:divId w:val="114953548"/>
        <w:rPr>
          <w:rFonts w:ascii="Arial" w:hAnsi="Arial" w:cs="Arial"/>
          <w:sz w:val="22"/>
          <w:szCs w:val="22"/>
        </w:rPr>
      </w:pPr>
      <w:r w:rsidRPr="005B2847">
        <w:rPr>
          <w:rStyle w:val="s1"/>
          <w:rFonts w:ascii="Arial" w:hAnsi="Arial" w:cs="Arial"/>
          <w:sz w:val="22"/>
          <w:szCs w:val="22"/>
        </w:rPr>
        <w:t>This dissertation examines the physiological mechanisms and overall health consequences of Type 2 Diabetes Mellitus (T2DM) among adults living in Birmingham. To ensure clarity and consistency throughout the study, key terms</w:t>
      </w:r>
      <w:r w:rsidR="00B8230D" w:rsidRPr="005B2847">
        <w:rPr>
          <w:rStyle w:val="s1"/>
          <w:rFonts w:ascii="Arial" w:hAnsi="Arial" w:cs="Arial"/>
          <w:sz w:val="22"/>
          <w:szCs w:val="22"/>
        </w:rPr>
        <w:t>,</w:t>
      </w:r>
      <w:r w:rsidRPr="005B2847">
        <w:rPr>
          <w:rStyle w:val="s1"/>
          <w:rFonts w:ascii="Arial" w:hAnsi="Arial" w:cs="Arial"/>
          <w:sz w:val="22"/>
          <w:szCs w:val="22"/>
        </w:rPr>
        <w:t xml:space="preserve"> and concepts relevant to the research </w:t>
      </w:r>
      <w:bookmarkStart w:id="7" w:name="_Int_sPcrY7zt"/>
      <w:r w:rsidRPr="005B2847">
        <w:rPr>
          <w:rStyle w:val="s1"/>
          <w:rFonts w:ascii="Arial" w:hAnsi="Arial" w:cs="Arial"/>
          <w:sz w:val="22"/>
          <w:szCs w:val="22"/>
        </w:rPr>
        <w:t>are defined</w:t>
      </w:r>
      <w:bookmarkEnd w:id="7"/>
      <w:r w:rsidRPr="005B2847">
        <w:rPr>
          <w:rStyle w:val="s1"/>
          <w:rFonts w:ascii="Arial" w:hAnsi="Arial" w:cs="Arial"/>
          <w:sz w:val="22"/>
          <w:szCs w:val="22"/>
        </w:rPr>
        <w:t xml:space="preserve"> below.</w:t>
      </w:r>
    </w:p>
    <w:p w14:paraId="11DFB1BA" w14:textId="77777777" w:rsidR="00342B69" w:rsidRPr="005B2847" w:rsidRDefault="00342B69" w:rsidP="005B2847">
      <w:pPr>
        <w:pStyle w:val="p2"/>
        <w:spacing w:line="360" w:lineRule="auto"/>
        <w:divId w:val="114953548"/>
        <w:rPr>
          <w:rFonts w:ascii="Arial" w:hAnsi="Arial" w:cs="Arial"/>
          <w:sz w:val="22"/>
          <w:szCs w:val="22"/>
        </w:rPr>
      </w:pPr>
    </w:p>
    <w:p w14:paraId="4DB1E870" w14:textId="4987123D" w:rsidR="00342B69" w:rsidRPr="005B2847" w:rsidRDefault="00342B69" w:rsidP="005B2847">
      <w:pPr>
        <w:pStyle w:val="p1"/>
        <w:spacing w:line="360" w:lineRule="auto"/>
        <w:divId w:val="114953548"/>
        <w:rPr>
          <w:rFonts w:ascii="Arial" w:hAnsi="Arial" w:cs="Arial"/>
          <w:sz w:val="22"/>
          <w:szCs w:val="22"/>
        </w:rPr>
      </w:pPr>
      <w:r w:rsidRPr="00AD4B41">
        <w:rPr>
          <w:rStyle w:val="s1"/>
          <w:rFonts w:ascii="Arial" w:hAnsi="Arial" w:cs="Arial"/>
          <w:b/>
          <w:bCs/>
          <w:sz w:val="22"/>
          <w:szCs w:val="22"/>
        </w:rPr>
        <w:t>Type 2 Diabetes Mellitus (T2DM)</w:t>
      </w:r>
      <w:r w:rsidRPr="005B2847">
        <w:rPr>
          <w:rStyle w:val="s1"/>
          <w:rFonts w:ascii="Arial" w:hAnsi="Arial" w:cs="Arial"/>
          <w:sz w:val="22"/>
          <w:szCs w:val="22"/>
        </w:rPr>
        <w:t xml:space="preserve"> is a chronic metabolic disorder characterised by persistent hyperglycaemia resulting from insulin resistance and pancreatic </w:t>
      </w:r>
      <w:r w:rsidR="005F7B02">
        <w:rPr>
          <w:rStyle w:val="s1"/>
          <w:rFonts w:ascii="Arial" w:hAnsi="Arial" w:cs="Arial"/>
          <w:sz w:val="22"/>
          <w:szCs w:val="22"/>
        </w:rPr>
        <w:t>B</w:t>
      </w:r>
      <w:r w:rsidRPr="005B2847">
        <w:rPr>
          <w:rStyle w:val="s1"/>
          <w:rFonts w:ascii="Arial" w:hAnsi="Arial" w:cs="Arial"/>
          <w:sz w:val="22"/>
          <w:szCs w:val="22"/>
        </w:rPr>
        <w:t>-cell dysfunction, leading to impaired insulin secretion (American Diabetes Association, 2023). T2DM is the most prevalent form of diabetes globally and is associated with ageing, obesity, physical inactivity, and genetic predisposition.</w:t>
      </w:r>
    </w:p>
    <w:p w14:paraId="3D2EEF8C" w14:textId="77777777" w:rsidR="00342B69" w:rsidRPr="005B2847" w:rsidRDefault="00342B69" w:rsidP="005B2847">
      <w:pPr>
        <w:pStyle w:val="p2"/>
        <w:spacing w:line="360" w:lineRule="auto"/>
        <w:divId w:val="114953548"/>
        <w:rPr>
          <w:rFonts w:ascii="Arial" w:hAnsi="Arial" w:cs="Arial"/>
          <w:sz w:val="22"/>
          <w:szCs w:val="22"/>
        </w:rPr>
      </w:pPr>
    </w:p>
    <w:p w14:paraId="4CA8A60D" w14:textId="69688D5E" w:rsidR="00342B69" w:rsidRPr="005B2847" w:rsidRDefault="00342B69" w:rsidP="005B2847">
      <w:pPr>
        <w:pStyle w:val="p1"/>
        <w:spacing w:line="360" w:lineRule="auto"/>
        <w:divId w:val="114953548"/>
        <w:rPr>
          <w:rFonts w:ascii="Arial" w:hAnsi="Arial" w:cs="Arial"/>
          <w:sz w:val="22"/>
          <w:szCs w:val="22"/>
        </w:rPr>
      </w:pPr>
      <w:r w:rsidRPr="00167A1B">
        <w:rPr>
          <w:rStyle w:val="s1"/>
          <w:rFonts w:ascii="Arial" w:hAnsi="Arial" w:cs="Arial"/>
          <w:b/>
          <w:bCs/>
          <w:sz w:val="22"/>
          <w:szCs w:val="22"/>
        </w:rPr>
        <w:t>Insulin resistance refers</w:t>
      </w:r>
      <w:r w:rsidRPr="005B2847">
        <w:rPr>
          <w:rStyle w:val="s1"/>
          <w:rFonts w:ascii="Arial" w:hAnsi="Arial" w:cs="Arial"/>
          <w:sz w:val="22"/>
          <w:szCs w:val="22"/>
        </w:rPr>
        <w:t xml:space="preserve"> to a pathological state in which</w:t>
      </w:r>
      <w:r w:rsidR="0063465D">
        <w:rPr>
          <w:rStyle w:val="s1"/>
          <w:rFonts w:ascii="Arial" w:hAnsi="Arial" w:cs="Arial"/>
          <w:sz w:val="22"/>
          <w:szCs w:val="22"/>
        </w:rPr>
        <w:t xml:space="preserve"> </w:t>
      </w:r>
      <w:r w:rsidR="009D4EF0">
        <w:rPr>
          <w:rStyle w:val="s1"/>
          <w:rFonts w:ascii="Arial" w:hAnsi="Arial" w:cs="Arial"/>
          <w:sz w:val="22"/>
          <w:szCs w:val="22"/>
        </w:rPr>
        <w:t>peripheral</w:t>
      </w:r>
      <w:r w:rsidR="00CE5162">
        <w:rPr>
          <w:rStyle w:val="s1"/>
          <w:rFonts w:ascii="Arial" w:hAnsi="Arial" w:cs="Arial"/>
          <w:sz w:val="22"/>
          <w:szCs w:val="22"/>
        </w:rPr>
        <w:t xml:space="preserve"> </w:t>
      </w:r>
      <w:r w:rsidRPr="005B2847">
        <w:rPr>
          <w:rStyle w:val="s1"/>
          <w:rFonts w:ascii="Arial" w:hAnsi="Arial" w:cs="Arial"/>
          <w:sz w:val="22"/>
          <w:szCs w:val="22"/>
        </w:rPr>
        <w:t xml:space="preserve">tissues </w:t>
      </w:r>
      <w:r w:rsidR="009908BF">
        <w:rPr>
          <w:rStyle w:val="s1"/>
          <w:rFonts w:ascii="Arial" w:hAnsi="Arial" w:cs="Arial"/>
          <w:sz w:val="22"/>
          <w:szCs w:val="22"/>
        </w:rPr>
        <w:t>p</w:t>
      </w:r>
      <w:r w:rsidR="00031B20">
        <w:rPr>
          <w:rStyle w:val="s1"/>
          <w:rFonts w:ascii="Arial" w:hAnsi="Arial" w:cs="Arial"/>
          <w:sz w:val="22"/>
          <w:szCs w:val="22"/>
        </w:rPr>
        <w:t>articularly skel</w:t>
      </w:r>
      <w:r w:rsidR="008C04EA">
        <w:rPr>
          <w:rStyle w:val="s1"/>
          <w:rFonts w:ascii="Arial" w:hAnsi="Arial" w:cs="Arial"/>
          <w:sz w:val="22"/>
          <w:szCs w:val="22"/>
        </w:rPr>
        <w:t>etal</w:t>
      </w:r>
      <w:r w:rsidR="004B2F94">
        <w:rPr>
          <w:rStyle w:val="s1"/>
          <w:rFonts w:ascii="Arial" w:hAnsi="Arial" w:cs="Arial"/>
          <w:sz w:val="22"/>
          <w:szCs w:val="22"/>
        </w:rPr>
        <w:t xml:space="preserve"> </w:t>
      </w:r>
      <w:r w:rsidRPr="005B2847">
        <w:rPr>
          <w:rStyle w:val="s1"/>
          <w:rFonts w:ascii="Arial" w:hAnsi="Arial" w:cs="Arial"/>
          <w:sz w:val="22"/>
          <w:szCs w:val="22"/>
        </w:rPr>
        <w:t xml:space="preserve">muscle, </w:t>
      </w:r>
      <w:r w:rsidR="0022117C">
        <w:rPr>
          <w:rStyle w:val="s1"/>
          <w:rFonts w:ascii="Arial" w:hAnsi="Arial" w:cs="Arial"/>
          <w:sz w:val="22"/>
          <w:szCs w:val="22"/>
        </w:rPr>
        <w:t>and ad</w:t>
      </w:r>
      <w:r w:rsidR="009C47FA">
        <w:rPr>
          <w:rStyle w:val="s1"/>
          <w:rFonts w:ascii="Arial" w:hAnsi="Arial" w:cs="Arial"/>
          <w:sz w:val="22"/>
          <w:szCs w:val="22"/>
        </w:rPr>
        <w:t>ipose</w:t>
      </w:r>
      <w:r w:rsidR="00821838">
        <w:rPr>
          <w:rStyle w:val="s1"/>
          <w:rFonts w:ascii="Arial" w:hAnsi="Arial" w:cs="Arial"/>
          <w:sz w:val="22"/>
          <w:szCs w:val="22"/>
        </w:rPr>
        <w:t xml:space="preserve"> tissue, </w:t>
      </w:r>
      <w:bookmarkStart w:id="8" w:name="_Int_GeN6ATd5"/>
      <w:r w:rsidR="00D50B22">
        <w:rPr>
          <w:rStyle w:val="s1"/>
          <w:rFonts w:ascii="Arial" w:hAnsi="Arial" w:cs="Arial"/>
          <w:sz w:val="22"/>
          <w:szCs w:val="22"/>
        </w:rPr>
        <w:t>exhibit</w:t>
      </w:r>
      <w:bookmarkEnd w:id="8"/>
      <w:r w:rsidR="00D50B22">
        <w:rPr>
          <w:rStyle w:val="s1"/>
          <w:rFonts w:ascii="Arial" w:hAnsi="Arial" w:cs="Arial"/>
          <w:sz w:val="22"/>
          <w:szCs w:val="22"/>
        </w:rPr>
        <w:t xml:space="preserve"> reduced respon</w:t>
      </w:r>
      <w:r w:rsidR="00FA134F">
        <w:rPr>
          <w:rStyle w:val="s1"/>
          <w:rFonts w:ascii="Arial" w:hAnsi="Arial" w:cs="Arial"/>
          <w:sz w:val="22"/>
          <w:szCs w:val="22"/>
        </w:rPr>
        <w:t>siven</w:t>
      </w:r>
      <w:r w:rsidR="004175AE">
        <w:rPr>
          <w:rStyle w:val="s1"/>
          <w:rFonts w:ascii="Arial" w:hAnsi="Arial" w:cs="Arial"/>
          <w:sz w:val="22"/>
          <w:szCs w:val="22"/>
        </w:rPr>
        <w:t>ess to ins</w:t>
      </w:r>
      <w:r w:rsidR="00105D49">
        <w:rPr>
          <w:rStyle w:val="s1"/>
          <w:rFonts w:ascii="Arial" w:hAnsi="Arial" w:cs="Arial"/>
          <w:sz w:val="22"/>
          <w:szCs w:val="22"/>
        </w:rPr>
        <w:t>ulin.</w:t>
      </w:r>
      <w:r w:rsidR="00B6205B">
        <w:rPr>
          <w:rStyle w:val="s1"/>
          <w:rFonts w:ascii="Arial" w:hAnsi="Arial" w:cs="Arial"/>
          <w:sz w:val="22"/>
          <w:szCs w:val="22"/>
        </w:rPr>
        <w:t xml:space="preserve"> </w:t>
      </w:r>
      <w:r w:rsidRPr="005B2847">
        <w:rPr>
          <w:rStyle w:val="s1"/>
          <w:rFonts w:ascii="Arial" w:hAnsi="Arial" w:cs="Arial"/>
          <w:sz w:val="22"/>
          <w:szCs w:val="22"/>
        </w:rPr>
        <w:t>liver, and fat show reduced responsiveness to insulin, resulting in impaired glucose uptake and increased hepatic glucose production (DeFronzo, 2009).</w:t>
      </w:r>
    </w:p>
    <w:p w14:paraId="7CF7128A" w14:textId="77777777" w:rsidR="00342B69" w:rsidRPr="005B2847" w:rsidRDefault="00342B69" w:rsidP="005B2847">
      <w:pPr>
        <w:pStyle w:val="p2"/>
        <w:spacing w:line="360" w:lineRule="auto"/>
        <w:divId w:val="114953548"/>
        <w:rPr>
          <w:rFonts w:ascii="Arial" w:hAnsi="Arial" w:cs="Arial"/>
          <w:sz w:val="22"/>
          <w:szCs w:val="22"/>
        </w:rPr>
      </w:pPr>
    </w:p>
    <w:p w14:paraId="2D8F45D3" w14:textId="272628A5" w:rsidR="00342B69" w:rsidRPr="005B2847" w:rsidRDefault="00BA5961" w:rsidP="005B2847">
      <w:pPr>
        <w:pStyle w:val="p1"/>
        <w:spacing w:line="360" w:lineRule="auto"/>
        <w:divId w:val="114953548"/>
        <w:rPr>
          <w:rFonts w:ascii="Arial" w:hAnsi="Arial" w:cs="Arial"/>
          <w:sz w:val="22"/>
          <w:szCs w:val="22"/>
        </w:rPr>
      </w:pPr>
      <w:r w:rsidRPr="00167A1B">
        <w:rPr>
          <w:rStyle w:val="s1"/>
          <w:rFonts w:ascii="Arial" w:hAnsi="Arial" w:cs="Arial"/>
          <w:b/>
          <w:bCs/>
          <w:sz w:val="22"/>
          <w:szCs w:val="22"/>
        </w:rPr>
        <w:t>B</w:t>
      </w:r>
      <w:r w:rsidR="00342B69" w:rsidRPr="00167A1B">
        <w:rPr>
          <w:rStyle w:val="s1"/>
          <w:rFonts w:ascii="Arial" w:hAnsi="Arial" w:cs="Arial"/>
          <w:b/>
          <w:bCs/>
          <w:sz w:val="22"/>
          <w:szCs w:val="22"/>
        </w:rPr>
        <w:t>-cell dysfunction</w:t>
      </w:r>
      <w:r w:rsidR="00342B69" w:rsidRPr="005B2847">
        <w:rPr>
          <w:rStyle w:val="s1"/>
          <w:rFonts w:ascii="Arial" w:hAnsi="Arial" w:cs="Arial"/>
          <w:sz w:val="22"/>
          <w:szCs w:val="22"/>
        </w:rPr>
        <w:t xml:space="preserve"> describes the progressive decline in pancreatic beta-cell function and insulin secretory </w:t>
      </w:r>
      <w:r w:rsidR="00A27E17" w:rsidRPr="005B2847">
        <w:rPr>
          <w:rStyle w:val="s1"/>
          <w:rFonts w:ascii="Arial" w:hAnsi="Arial" w:cs="Arial"/>
          <w:sz w:val="22"/>
          <w:szCs w:val="22"/>
        </w:rPr>
        <w:t>capacity,</w:t>
      </w:r>
      <w:r w:rsidR="00A27E17">
        <w:rPr>
          <w:rStyle w:val="s1"/>
          <w:rFonts w:ascii="Arial" w:hAnsi="Arial" w:cs="Arial"/>
          <w:sz w:val="22"/>
          <w:szCs w:val="22"/>
        </w:rPr>
        <w:t xml:space="preserve"> During </w:t>
      </w:r>
      <w:r w:rsidR="00581A00">
        <w:rPr>
          <w:rStyle w:val="s1"/>
          <w:rFonts w:ascii="Arial" w:hAnsi="Arial" w:cs="Arial"/>
          <w:sz w:val="22"/>
          <w:szCs w:val="22"/>
        </w:rPr>
        <w:t>the</w:t>
      </w:r>
      <w:r w:rsidR="00111CC8">
        <w:rPr>
          <w:rStyle w:val="s1"/>
          <w:rFonts w:ascii="Arial" w:hAnsi="Arial" w:cs="Arial"/>
          <w:sz w:val="22"/>
          <w:szCs w:val="22"/>
        </w:rPr>
        <w:t xml:space="preserve"> early </w:t>
      </w:r>
      <w:r w:rsidR="009F2FA5">
        <w:rPr>
          <w:rStyle w:val="s1"/>
          <w:rFonts w:ascii="Arial" w:hAnsi="Arial" w:cs="Arial"/>
          <w:sz w:val="22"/>
          <w:szCs w:val="22"/>
        </w:rPr>
        <w:t>stage</w:t>
      </w:r>
      <w:r w:rsidR="001C5241">
        <w:rPr>
          <w:rStyle w:val="s1"/>
          <w:rFonts w:ascii="Arial" w:hAnsi="Arial" w:cs="Arial"/>
          <w:sz w:val="22"/>
          <w:szCs w:val="22"/>
        </w:rPr>
        <w:t xml:space="preserve"> of </w:t>
      </w:r>
      <w:r w:rsidR="003076BA">
        <w:rPr>
          <w:rStyle w:val="s1"/>
          <w:rFonts w:ascii="Arial" w:hAnsi="Arial" w:cs="Arial"/>
          <w:sz w:val="22"/>
          <w:szCs w:val="22"/>
        </w:rPr>
        <w:t>T2</w:t>
      </w:r>
      <w:r w:rsidR="00A318F4">
        <w:rPr>
          <w:rStyle w:val="s1"/>
          <w:rFonts w:ascii="Arial" w:hAnsi="Arial" w:cs="Arial"/>
          <w:sz w:val="22"/>
          <w:szCs w:val="22"/>
        </w:rPr>
        <w:t>DM</w:t>
      </w:r>
      <w:r w:rsidR="00302F8C">
        <w:rPr>
          <w:rStyle w:val="s1"/>
          <w:rFonts w:ascii="Arial" w:hAnsi="Arial" w:cs="Arial"/>
          <w:sz w:val="22"/>
          <w:szCs w:val="22"/>
        </w:rPr>
        <w:t>,</w:t>
      </w:r>
      <w:r w:rsidR="00E5459C">
        <w:rPr>
          <w:rStyle w:val="s1"/>
          <w:rFonts w:ascii="Arial" w:hAnsi="Arial" w:cs="Arial"/>
          <w:sz w:val="22"/>
          <w:szCs w:val="22"/>
        </w:rPr>
        <w:t xml:space="preserve"> B</w:t>
      </w:r>
      <w:r w:rsidR="004717FA">
        <w:rPr>
          <w:rStyle w:val="s1"/>
          <w:rFonts w:ascii="Arial" w:hAnsi="Arial" w:cs="Arial"/>
          <w:sz w:val="22"/>
          <w:szCs w:val="22"/>
        </w:rPr>
        <w:t>-C</w:t>
      </w:r>
      <w:r w:rsidR="00B64D5C">
        <w:rPr>
          <w:rStyle w:val="s1"/>
          <w:rFonts w:ascii="Arial" w:hAnsi="Arial" w:cs="Arial"/>
          <w:sz w:val="22"/>
          <w:szCs w:val="22"/>
        </w:rPr>
        <w:t xml:space="preserve">ells </w:t>
      </w:r>
      <w:r w:rsidR="009F613B">
        <w:rPr>
          <w:rStyle w:val="s1"/>
          <w:rFonts w:ascii="Arial" w:hAnsi="Arial" w:cs="Arial"/>
          <w:sz w:val="22"/>
          <w:szCs w:val="22"/>
        </w:rPr>
        <w:t>co</w:t>
      </w:r>
      <w:r w:rsidR="00C57945">
        <w:rPr>
          <w:rStyle w:val="s1"/>
          <w:rFonts w:ascii="Arial" w:hAnsi="Arial" w:cs="Arial"/>
          <w:sz w:val="22"/>
          <w:szCs w:val="22"/>
        </w:rPr>
        <w:t>mpensat</w:t>
      </w:r>
      <w:r w:rsidR="00074B9A">
        <w:rPr>
          <w:rStyle w:val="s1"/>
          <w:rFonts w:ascii="Arial" w:hAnsi="Arial" w:cs="Arial"/>
          <w:sz w:val="22"/>
          <w:szCs w:val="22"/>
        </w:rPr>
        <w:t>e</w:t>
      </w:r>
      <w:r w:rsidR="00B118E7">
        <w:rPr>
          <w:rStyle w:val="s1"/>
          <w:rFonts w:ascii="Arial" w:hAnsi="Arial" w:cs="Arial"/>
          <w:sz w:val="22"/>
          <w:szCs w:val="22"/>
        </w:rPr>
        <w:t xml:space="preserve"> for ins</w:t>
      </w:r>
      <w:r w:rsidR="00ED2F2D">
        <w:rPr>
          <w:rStyle w:val="s1"/>
          <w:rFonts w:ascii="Arial" w:hAnsi="Arial" w:cs="Arial"/>
          <w:sz w:val="22"/>
          <w:szCs w:val="22"/>
        </w:rPr>
        <w:t>ulin resistance th</w:t>
      </w:r>
      <w:r w:rsidR="0012372E">
        <w:rPr>
          <w:rStyle w:val="s1"/>
          <w:rFonts w:ascii="Arial" w:hAnsi="Arial" w:cs="Arial"/>
          <w:sz w:val="22"/>
          <w:szCs w:val="22"/>
        </w:rPr>
        <w:t xml:space="preserve">rough </w:t>
      </w:r>
      <w:r w:rsidR="00CE5162">
        <w:rPr>
          <w:rStyle w:val="s1"/>
          <w:rFonts w:ascii="Arial" w:hAnsi="Arial" w:cs="Arial"/>
          <w:sz w:val="22"/>
          <w:szCs w:val="22"/>
        </w:rPr>
        <w:t>hyperinsulinemia</w:t>
      </w:r>
      <w:r w:rsidR="00895886">
        <w:rPr>
          <w:rStyle w:val="s1"/>
          <w:rFonts w:ascii="Arial" w:hAnsi="Arial" w:cs="Arial"/>
          <w:sz w:val="22"/>
          <w:szCs w:val="22"/>
        </w:rPr>
        <w:t>,</w:t>
      </w:r>
      <w:r w:rsidR="00342B69" w:rsidRPr="005B2847">
        <w:rPr>
          <w:rStyle w:val="s1"/>
          <w:rFonts w:ascii="Arial" w:hAnsi="Arial" w:cs="Arial"/>
          <w:sz w:val="22"/>
          <w:szCs w:val="22"/>
        </w:rPr>
        <w:t xml:space="preserve"> leading to reduced insulin production and poor glycaemic control.</w:t>
      </w:r>
    </w:p>
    <w:p w14:paraId="6C7675B5" w14:textId="77777777" w:rsidR="00342B69" w:rsidRPr="005B2847" w:rsidRDefault="00342B69" w:rsidP="005B2847">
      <w:pPr>
        <w:pStyle w:val="p2"/>
        <w:spacing w:line="360" w:lineRule="auto"/>
        <w:divId w:val="114953548"/>
        <w:rPr>
          <w:rFonts w:ascii="Arial" w:hAnsi="Arial" w:cs="Arial"/>
          <w:sz w:val="22"/>
          <w:szCs w:val="22"/>
        </w:rPr>
      </w:pPr>
    </w:p>
    <w:p w14:paraId="178E9A97" w14:textId="77777777" w:rsidR="00342B69" w:rsidRPr="005B2847" w:rsidRDefault="00342B69" w:rsidP="005B2847">
      <w:pPr>
        <w:pStyle w:val="p1"/>
        <w:spacing w:line="360" w:lineRule="auto"/>
        <w:divId w:val="114953548"/>
        <w:rPr>
          <w:rFonts w:ascii="Arial" w:hAnsi="Arial" w:cs="Arial"/>
          <w:sz w:val="22"/>
          <w:szCs w:val="22"/>
        </w:rPr>
      </w:pPr>
      <w:r w:rsidRPr="00167A1B">
        <w:rPr>
          <w:rStyle w:val="s1"/>
          <w:rFonts w:ascii="Arial" w:hAnsi="Arial" w:cs="Arial"/>
          <w:b/>
          <w:bCs/>
          <w:sz w:val="22"/>
          <w:szCs w:val="22"/>
        </w:rPr>
        <w:t>Hyperglycaemia</w:t>
      </w:r>
      <w:r w:rsidRPr="005B2847">
        <w:rPr>
          <w:rStyle w:val="s1"/>
          <w:rFonts w:ascii="Arial" w:hAnsi="Arial" w:cs="Arial"/>
          <w:sz w:val="22"/>
          <w:szCs w:val="22"/>
        </w:rPr>
        <w:t xml:space="preserve"> </w:t>
      </w:r>
      <w:bookmarkStart w:id="9" w:name="_Int_eEQg1KJf"/>
      <w:r w:rsidRPr="005B2847">
        <w:rPr>
          <w:rStyle w:val="s1"/>
          <w:rFonts w:ascii="Arial" w:hAnsi="Arial" w:cs="Arial"/>
          <w:sz w:val="22"/>
          <w:szCs w:val="22"/>
        </w:rPr>
        <w:t>is defined</w:t>
      </w:r>
      <w:bookmarkEnd w:id="9"/>
      <w:r w:rsidRPr="005B2847">
        <w:rPr>
          <w:rStyle w:val="s1"/>
          <w:rFonts w:ascii="Arial" w:hAnsi="Arial" w:cs="Arial"/>
          <w:sz w:val="22"/>
          <w:szCs w:val="22"/>
        </w:rPr>
        <w:t xml:space="preserve"> as elevated blood glucose concentrations, commonly assessed using fasting plasma glucose or glycated haemoglobin (HbA1c), which reflects blood glucose levels over two to three months.</w:t>
      </w:r>
    </w:p>
    <w:p w14:paraId="54CD53AB" w14:textId="77777777" w:rsidR="00342B69" w:rsidRPr="005B2847" w:rsidRDefault="00342B69" w:rsidP="005B2847">
      <w:pPr>
        <w:pStyle w:val="p2"/>
        <w:spacing w:line="360" w:lineRule="auto"/>
        <w:divId w:val="114953548"/>
        <w:rPr>
          <w:rFonts w:ascii="Arial" w:hAnsi="Arial" w:cs="Arial"/>
          <w:sz w:val="22"/>
          <w:szCs w:val="22"/>
        </w:rPr>
      </w:pPr>
    </w:p>
    <w:p w14:paraId="640FA587" w14:textId="0756BB59" w:rsidR="00342B69" w:rsidRPr="005B2847" w:rsidRDefault="00342B69" w:rsidP="005B2847">
      <w:pPr>
        <w:pStyle w:val="p1"/>
        <w:spacing w:line="360" w:lineRule="auto"/>
        <w:divId w:val="114953548"/>
        <w:rPr>
          <w:rFonts w:ascii="Arial" w:hAnsi="Arial" w:cs="Arial"/>
          <w:sz w:val="22"/>
          <w:szCs w:val="22"/>
        </w:rPr>
      </w:pPr>
      <w:r w:rsidRPr="00167A1B">
        <w:rPr>
          <w:rStyle w:val="s1"/>
          <w:rFonts w:ascii="Arial" w:hAnsi="Arial" w:cs="Arial"/>
          <w:b/>
          <w:bCs/>
          <w:sz w:val="22"/>
          <w:szCs w:val="22"/>
        </w:rPr>
        <w:t>T2DM is associated</w:t>
      </w:r>
      <w:r w:rsidRPr="005B2847">
        <w:rPr>
          <w:rStyle w:val="s1"/>
          <w:rFonts w:ascii="Arial" w:hAnsi="Arial" w:cs="Arial"/>
          <w:sz w:val="22"/>
          <w:szCs w:val="22"/>
        </w:rPr>
        <w:t xml:space="preserve"> with </w:t>
      </w:r>
      <w:r w:rsidR="00B8230D" w:rsidRPr="005B2847">
        <w:rPr>
          <w:rStyle w:val="s1"/>
          <w:rFonts w:ascii="Arial" w:hAnsi="Arial" w:cs="Arial"/>
          <w:sz w:val="22"/>
          <w:szCs w:val="22"/>
        </w:rPr>
        <w:t>microvascular</w:t>
      </w:r>
      <w:r w:rsidRPr="005B2847">
        <w:rPr>
          <w:rStyle w:val="s1"/>
          <w:rFonts w:ascii="Arial" w:hAnsi="Arial" w:cs="Arial"/>
          <w:sz w:val="22"/>
          <w:szCs w:val="22"/>
        </w:rPr>
        <w:t xml:space="preserve"> complications, including cardiovascular disease and stroke, and microvascular complications such as nephropathy, retinopathy, and neuropathy (UKPDS Group, 1998). Frailty is a geriatric syndrome characterised by reduced physiological reserve and vulnerability to stressors and is more common in individuals with T2DM, particularly in older adults.</w:t>
      </w:r>
    </w:p>
    <w:p w14:paraId="5FD3AD8E" w14:textId="77777777" w:rsidR="00483279" w:rsidRPr="001F4327" w:rsidRDefault="00483279" w:rsidP="001F4327">
      <w:pPr>
        <w:pStyle w:val="p2"/>
        <w:spacing w:line="360" w:lineRule="auto"/>
        <w:divId w:val="1479226601"/>
        <w:rPr>
          <w:rFonts w:ascii="Arial" w:hAnsi="Arial" w:cs="Arial"/>
          <w:sz w:val="22"/>
          <w:szCs w:val="22"/>
        </w:rPr>
      </w:pPr>
    </w:p>
    <w:p w14:paraId="2761C0A5" w14:textId="77777777" w:rsidR="001C1421" w:rsidRPr="00AD4B41" w:rsidRDefault="001C1421" w:rsidP="001F4327">
      <w:pPr>
        <w:pStyle w:val="p1"/>
        <w:spacing w:line="360" w:lineRule="auto"/>
        <w:divId w:val="1479226601"/>
        <w:rPr>
          <w:rFonts w:ascii="Arial" w:hAnsi="Arial" w:cs="Arial"/>
          <w:b/>
          <w:bCs/>
          <w:sz w:val="22"/>
          <w:szCs w:val="22"/>
        </w:rPr>
      </w:pPr>
      <w:r w:rsidRPr="00AD4B41">
        <w:rPr>
          <w:rStyle w:val="s2"/>
          <w:rFonts w:ascii="Arial" w:hAnsi="Arial" w:cs="Arial"/>
          <w:b/>
          <w:bCs/>
          <w:sz w:val="22"/>
          <w:szCs w:val="22"/>
        </w:rPr>
        <w:t>Acronyms and Abbreviations:</w:t>
      </w:r>
    </w:p>
    <w:p w14:paraId="6C2848C3" w14:textId="77777777" w:rsidR="001C1421" w:rsidRPr="001F4327" w:rsidRDefault="001C1421" w:rsidP="001F4327">
      <w:pPr>
        <w:pStyle w:val="p1"/>
        <w:spacing w:line="360" w:lineRule="auto"/>
        <w:divId w:val="1479226601"/>
        <w:rPr>
          <w:rFonts w:ascii="Arial" w:hAnsi="Arial" w:cs="Arial"/>
          <w:sz w:val="22"/>
          <w:szCs w:val="22"/>
        </w:rPr>
      </w:pPr>
      <w:r w:rsidRPr="00AD4B41">
        <w:rPr>
          <w:rStyle w:val="s1"/>
          <w:rFonts w:ascii="Arial" w:hAnsi="Arial" w:cs="Arial"/>
          <w:b/>
          <w:bCs/>
          <w:sz w:val="22"/>
          <w:szCs w:val="22"/>
        </w:rPr>
        <w:t>T2DM –</w:t>
      </w:r>
      <w:r w:rsidRPr="001F4327">
        <w:rPr>
          <w:rStyle w:val="s1"/>
          <w:rFonts w:ascii="Arial" w:hAnsi="Arial" w:cs="Arial"/>
          <w:sz w:val="22"/>
          <w:szCs w:val="22"/>
        </w:rPr>
        <w:t xml:space="preserve"> Type 2 Diabetes Mellitus</w:t>
      </w:r>
    </w:p>
    <w:p w14:paraId="607C6456" w14:textId="77777777" w:rsidR="001C1421" w:rsidRPr="001F4327" w:rsidRDefault="001C1421" w:rsidP="001F4327">
      <w:pPr>
        <w:pStyle w:val="p1"/>
        <w:spacing w:line="360" w:lineRule="auto"/>
        <w:divId w:val="1479226601"/>
        <w:rPr>
          <w:rFonts w:ascii="Arial" w:hAnsi="Arial" w:cs="Arial"/>
          <w:sz w:val="22"/>
          <w:szCs w:val="22"/>
        </w:rPr>
      </w:pPr>
      <w:r w:rsidRPr="00AD4B41">
        <w:rPr>
          <w:rStyle w:val="s1"/>
          <w:rFonts w:ascii="Arial" w:hAnsi="Arial" w:cs="Arial"/>
          <w:b/>
          <w:bCs/>
          <w:sz w:val="22"/>
          <w:szCs w:val="22"/>
        </w:rPr>
        <w:t>HbA1c –</w:t>
      </w:r>
      <w:r w:rsidRPr="001F4327">
        <w:rPr>
          <w:rStyle w:val="s1"/>
          <w:rFonts w:ascii="Arial" w:hAnsi="Arial" w:cs="Arial"/>
          <w:sz w:val="22"/>
          <w:szCs w:val="22"/>
        </w:rPr>
        <w:t xml:space="preserve"> Glycated Haemoglobin</w:t>
      </w:r>
    </w:p>
    <w:p w14:paraId="1F222F0E" w14:textId="77777777" w:rsidR="001C1421" w:rsidRPr="001F4327" w:rsidRDefault="001C1421" w:rsidP="001F4327">
      <w:pPr>
        <w:pStyle w:val="p1"/>
        <w:spacing w:line="360" w:lineRule="auto"/>
        <w:divId w:val="1479226601"/>
        <w:rPr>
          <w:rFonts w:ascii="Arial" w:hAnsi="Arial" w:cs="Arial"/>
          <w:sz w:val="22"/>
          <w:szCs w:val="22"/>
        </w:rPr>
      </w:pPr>
      <w:r w:rsidRPr="00AD4B41">
        <w:rPr>
          <w:rStyle w:val="s1"/>
          <w:rFonts w:ascii="Arial" w:hAnsi="Arial" w:cs="Arial"/>
          <w:b/>
          <w:bCs/>
          <w:sz w:val="22"/>
          <w:szCs w:val="22"/>
        </w:rPr>
        <w:t>BMI –</w:t>
      </w:r>
      <w:r w:rsidRPr="001F4327">
        <w:rPr>
          <w:rStyle w:val="s1"/>
          <w:rFonts w:ascii="Arial" w:hAnsi="Arial" w:cs="Arial"/>
          <w:sz w:val="22"/>
          <w:szCs w:val="22"/>
        </w:rPr>
        <w:t xml:space="preserve"> Body Mass Index</w:t>
      </w:r>
    </w:p>
    <w:p w14:paraId="7D73F091" w14:textId="5B96E293" w:rsidR="001C1421" w:rsidRPr="001F4327" w:rsidRDefault="001C1421" w:rsidP="001F4327">
      <w:pPr>
        <w:pStyle w:val="p1"/>
        <w:spacing w:line="360" w:lineRule="auto"/>
        <w:divId w:val="1479226601"/>
        <w:rPr>
          <w:rFonts w:ascii="Arial" w:hAnsi="Arial" w:cs="Arial"/>
          <w:sz w:val="22"/>
          <w:szCs w:val="22"/>
        </w:rPr>
      </w:pPr>
      <w:r w:rsidRPr="00AD4B41">
        <w:rPr>
          <w:rStyle w:val="s1"/>
          <w:rFonts w:ascii="Arial" w:hAnsi="Arial" w:cs="Arial"/>
          <w:b/>
          <w:bCs/>
          <w:sz w:val="22"/>
          <w:szCs w:val="22"/>
        </w:rPr>
        <w:t>CVD –</w:t>
      </w:r>
      <w:r w:rsidRPr="001F4327">
        <w:rPr>
          <w:rStyle w:val="s1"/>
          <w:rFonts w:ascii="Arial" w:hAnsi="Arial" w:cs="Arial"/>
          <w:sz w:val="22"/>
          <w:szCs w:val="22"/>
        </w:rPr>
        <w:t xml:space="preserve"> </w:t>
      </w:r>
      <w:r w:rsidR="00C06815" w:rsidRPr="001F4327">
        <w:rPr>
          <w:rStyle w:val="s1"/>
          <w:rFonts w:ascii="Arial" w:hAnsi="Arial" w:cs="Arial"/>
          <w:sz w:val="22"/>
          <w:szCs w:val="22"/>
        </w:rPr>
        <w:t>cardiovascular disease</w:t>
      </w:r>
    </w:p>
    <w:p w14:paraId="63E0EBA0" w14:textId="00F1B7BF" w:rsidR="001C1421" w:rsidRPr="001F4327" w:rsidRDefault="001C1421" w:rsidP="001F4327">
      <w:pPr>
        <w:pStyle w:val="p1"/>
        <w:spacing w:line="360" w:lineRule="auto"/>
        <w:divId w:val="1479226601"/>
        <w:rPr>
          <w:rFonts w:ascii="Arial" w:hAnsi="Arial" w:cs="Arial"/>
          <w:sz w:val="22"/>
          <w:szCs w:val="22"/>
        </w:rPr>
      </w:pPr>
      <w:r w:rsidRPr="00AD4B41">
        <w:rPr>
          <w:rStyle w:val="s1"/>
          <w:rFonts w:ascii="Arial" w:hAnsi="Arial" w:cs="Arial"/>
          <w:b/>
          <w:bCs/>
          <w:sz w:val="22"/>
          <w:szCs w:val="22"/>
        </w:rPr>
        <w:t>NHS –</w:t>
      </w:r>
      <w:r w:rsidRPr="001F4327">
        <w:rPr>
          <w:rStyle w:val="s1"/>
          <w:rFonts w:ascii="Arial" w:hAnsi="Arial" w:cs="Arial"/>
          <w:sz w:val="22"/>
          <w:szCs w:val="22"/>
        </w:rPr>
        <w:t xml:space="preserve"> National Health Service</w:t>
      </w:r>
      <w:r w:rsidR="00AF0CC6">
        <w:rPr>
          <w:rStyle w:val="s1"/>
          <w:rFonts w:ascii="Arial" w:hAnsi="Arial" w:cs="Arial"/>
          <w:sz w:val="22"/>
          <w:szCs w:val="22"/>
        </w:rPr>
        <w:t xml:space="preserve"> </w:t>
      </w:r>
    </w:p>
    <w:p w14:paraId="46BC4A31" w14:textId="77777777" w:rsidR="001C1421" w:rsidRPr="001F4327" w:rsidRDefault="001C1421" w:rsidP="001F4327">
      <w:pPr>
        <w:pStyle w:val="p1"/>
        <w:spacing w:line="360" w:lineRule="auto"/>
        <w:divId w:val="1479226601"/>
        <w:rPr>
          <w:rFonts w:ascii="Arial" w:hAnsi="Arial" w:cs="Arial"/>
          <w:sz w:val="22"/>
          <w:szCs w:val="22"/>
        </w:rPr>
      </w:pPr>
      <w:r w:rsidRPr="00AD4B41">
        <w:rPr>
          <w:rStyle w:val="s1"/>
          <w:rFonts w:ascii="Arial" w:hAnsi="Arial" w:cs="Arial"/>
          <w:b/>
          <w:bCs/>
          <w:sz w:val="22"/>
          <w:szCs w:val="22"/>
        </w:rPr>
        <w:t>UKPDS –</w:t>
      </w:r>
      <w:r w:rsidRPr="001F4327">
        <w:rPr>
          <w:rStyle w:val="s1"/>
          <w:rFonts w:ascii="Arial" w:hAnsi="Arial" w:cs="Arial"/>
          <w:sz w:val="22"/>
          <w:szCs w:val="22"/>
        </w:rPr>
        <w:t xml:space="preserve"> UK Prospective Diabetes Study</w:t>
      </w:r>
    </w:p>
    <w:p w14:paraId="4D6E3CDB" w14:textId="77777777" w:rsidR="009A3DE5" w:rsidRDefault="009A3DE5" w:rsidP="008F2667">
      <w:pPr>
        <w:spacing w:after="0" w:line="360" w:lineRule="auto"/>
        <w:textAlignment w:val="baseline"/>
        <w:rPr>
          <w:rFonts w:ascii="Aptos" w:eastAsia="Times New Roman" w:hAnsi="Aptos" w:cs="Arial"/>
          <w:kern w:val="0"/>
          <w:sz w:val="22"/>
          <w:szCs w:val="22"/>
          <w:lang w:eastAsia="zh-CN"/>
          <w14:ligatures w14:val="none"/>
        </w:rPr>
      </w:pPr>
    </w:p>
    <w:p w14:paraId="0FE1532E" w14:textId="77777777" w:rsidR="00151579" w:rsidRPr="00151579" w:rsidRDefault="00151579" w:rsidP="00151579">
      <w:pPr>
        <w:spacing w:after="0" w:line="360" w:lineRule="auto"/>
        <w:ind w:left="1080"/>
        <w:textAlignment w:val="baseline"/>
        <w:rPr>
          <w:rFonts w:ascii="Aptos" w:eastAsia="Times New Roman" w:hAnsi="Aptos" w:cs="Segoe UI"/>
          <w:kern w:val="0"/>
          <w:sz w:val="16"/>
          <w:szCs w:val="16"/>
          <w:lang w:eastAsia="zh-CN"/>
          <w14:ligatures w14:val="none"/>
        </w:rPr>
      </w:pPr>
      <w:r w:rsidRPr="00151579">
        <w:rPr>
          <w:rFonts w:ascii="Aptos" w:eastAsia="Times New Roman" w:hAnsi="Aptos" w:cs="Arial"/>
          <w:kern w:val="0"/>
          <w:sz w:val="22"/>
          <w:szCs w:val="22"/>
          <w:lang w:eastAsia="zh-CN"/>
          <w14:ligatures w14:val="none"/>
        </w:rPr>
        <w:t>  </w:t>
      </w:r>
    </w:p>
    <w:p w14:paraId="5240C062" w14:textId="1BC47BD7" w:rsidR="00151579" w:rsidRPr="00151579" w:rsidRDefault="00151579" w:rsidP="006C1570">
      <w:pPr>
        <w:pStyle w:val="Heading1"/>
        <w:rPr>
          <w:rFonts w:eastAsia="Times New Roman" w:cs="Segoe UI"/>
          <w:sz w:val="16"/>
          <w:szCs w:val="16"/>
          <w:lang w:eastAsia="zh-CN"/>
        </w:rPr>
      </w:pPr>
      <w:r w:rsidRPr="00151579">
        <w:rPr>
          <w:rFonts w:eastAsia="Times New Roman"/>
          <w:lang w:eastAsia="zh-CN"/>
        </w:rPr>
        <w:t xml:space="preserve">1.3 Rationale for Research </w:t>
      </w:r>
    </w:p>
    <w:p w14:paraId="1921640B" w14:textId="77777777" w:rsidR="00151579" w:rsidRPr="00A8574F" w:rsidRDefault="00151579" w:rsidP="00A8574F">
      <w:pPr>
        <w:pStyle w:val="Heading1"/>
      </w:pPr>
      <w:r w:rsidRPr="00A8574F">
        <w:t>Purpose of the Research: </w:t>
      </w:r>
    </w:p>
    <w:p w14:paraId="113E698C" w14:textId="77777777" w:rsidR="006D6111" w:rsidRDefault="006D6111" w:rsidP="006D6111">
      <w:pPr>
        <w:spacing w:after="0" w:line="360" w:lineRule="auto"/>
        <w:textAlignment w:val="baseline"/>
        <w:rPr>
          <w:rFonts w:ascii="Aptos" w:eastAsia="Times New Roman" w:hAnsi="Aptos" w:cs="Arial"/>
          <w:kern w:val="0"/>
          <w:sz w:val="22"/>
          <w:szCs w:val="22"/>
          <w:lang w:eastAsia="zh-CN"/>
          <w14:ligatures w14:val="none"/>
        </w:rPr>
      </w:pPr>
    </w:p>
    <w:p w14:paraId="1D0BE091" w14:textId="77777777" w:rsidR="00A12B0D" w:rsidRPr="00800043" w:rsidRDefault="00A12B0D" w:rsidP="00800043">
      <w:pPr>
        <w:pStyle w:val="p1"/>
        <w:spacing w:line="360" w:lineRule="auto"/>
        <w:divId w:val="1402562617"/>
        <w:rPr>
          <w:rFonts w:ascii="Arial" w:hAnsi="Arial" w:cs="Arial"/>
          <w:sz w:val="22"/>
          <w:szCs w:val="22"/>
        </w:rPr>
      </w:pPr>
      <w:r w:rsidRPr="00800043">
        <w:rPr>
          <w:rStyle w:val="s1"/>
          <w:rFonts w:ascii="Arial" w:hAnsi="Arial" w:cs="Arial"/>
          <w:sz w:val="22"/>
          <w:szCs w:val="22"/>
        </w:rPr>
        <w:t xml:space="preserve">The increasing prevalence of Type 2 Diabetes Mellitus (T2DM) among older adults </w:t>
      </w:r>
      <w:bookmarkStart w:id="10" w:name="_Int_xv6avsJj"/>
      <w:r w:rsidRPr="00800043">
        <w:rPr>
          <w:rStyle w:val="s1"/>
          <w:rFonts w:ascii="Arial" w:hAnsi="Arial" w:cs="Arial"/>
          <w:sz w:val="22"/>
          <w:szCs w:val="22"/>
        </w:rPr>
        <w:t>represents</w:t>
      </w:r>
      <w:bookmarkEnd w:id="10"/>
      <w:r w:rsidRPr="00800043">
        <w:rPr>
          <w:rStyle w:val="s1"/>
          <w:rFonts w:ascii="Arial" w:hAnsi="Arial" w:cs="Arial"/>
          <w:sz w:val="22"/>
          <w:szCs w:val="22"/>
        </w:rPr>
        <w:t xml:space="preserve"> a growing challenge for health and social care systems in the United Kingdom. As the population ages, the number of individuals living with chronic metabolic conditions such as T2DM continues to rise, increasing pressure on healthcare services, long-term disease management, and community support. Birmingham, the second largest city in the UK, has </w:t>
      </w:r>
      <w:bookmarkStart w:id="11" w:name="_Int_1FXaFQrH"/>
      <w:r w:rsidRPr="00800043">
        <w:rPr>
          <w:rStyle w:val="s1"/>
          <w:rFonts w:ascii="Arial" w:hAnsi="Arial" w:cs="Arial"/>
          <w:sz w:val="22"/>
          <w:szCs w:val="22"/>
        </w:rPr>
        <w:t>been identified</w:t>
      </w:r>
      <w:bookmarkEnd w:id="11"/>
      <w:r w:rsidRPr="00800043">
        <w:rPr>
          <w:rStyle w:val="s1"/>
          <w:rFonts w:ascii="Arial" w:hAnsi="Arial" w:cs="Arial"/>
          <w:sz w:val="22"/>
          <w:szCs w:val="22"/>
        </w:rPr>
        <w:t xml:space="preserve"> as an area with high diabetes prevalence, particularly among ethnically diverse populations and communities experiencing socioeconomic deprivation (Public Health England, 2019). Research shows that South Asian and Afro-Caribbean populations </w:t>
      </w:r>
      <w:bookmarkStart w:id="12" w:name="_Int_18bRJ02Z"/>
      <w:r w:rsidRPr="00800043">
        <w:rPr>
          <w:rStyle w:val="s1"/>
          <w:rFonts w:ascii="Arial" w:hAnsi="Arial" w:cs="Arial"/>
          <w:sz w:val="22"/>
          <w:szCs w:val="22"/>
        </w:rPr>
        <w:t>are disproportionately affected</w:t>
      </w:r>
      <w:bookmarkEnd w:id="12"/>
      <w:r w:rsidRPr="00800043">
        <w:rPr>
          <w:rStyle w:val="s1"/>
          <w:rFonts w:ascii="Arial" w:hAnsi="Arial" w:cs="Arial"/>
          <w:sz w:val="22"/>
          <w:szCs w:val="22"/>
        </w:rPr>
        <w:t xml:space="preserve"> by T2DM, often developing the condition at younger ages and lower body mass index thresholds compared with White European populations (Forouhi and Wareham, 2014).</w:t>
      </w:r>
    </w:p>
    <w:p w14:paraId="6BB2CADA" w14:textId="77777777" w:rsidR="00A12B0D" w:rsidRPr="00800043" w:rsidRDefault="00A12B0D" w:rsidP="00800043">
      <w:pPr>
        <w:pStyle w:val="p2"/>
        <w:spacing w:line="360" w:lineRule="auto"/>
        <w:divId w:val="1402562617"/>
        <w:rPr>
          <w:rFonts w:ascii="Arial" w:hAnsi="Arial" w:cs="Arial"/>
          <w:sz w:val="22"/>
          <w:szCs w:val="22"/>
        </w:rPr>
      </w:pPr>
    </w:p>
    <w:p w14:paraId="451D0588" w14:textId="77777777" w:rsidR="00A12B0D" w:rsidRPr="00800043" w:rsidRDefault="00A12B0D" w:rsidP="00800043">
      <w:pPr>
        <w:pStyle w:val="p1"/>
        <w:spacing w:line="360" w:lineRule="auto"/>
        <w:divId w:val="1402562617"/>
        <w:rPr>
          <w:rFonts w:ascii="Arial" w:hAnsi="Arial" w:cs="Arial"/>
          <w:sz w:val="22"/>
          <w:szCs w:val="22"/>
        </w:rPr>
      </w:pPr>
      <w:r w:rsidRPr="00C91896">
        <w:rPr>
          <w:rStyle w:val="s1"/>
          <w:rFonts w:ascii="Arial" w:hAnsi="Arial" w:cs="Arial"/>
          <w:b/>
          <w:bCs/>
          <w:sz w:val="22"/>
          <w:szCs w:val="22"/>
        </w:rPr>
        <w:t>Although extensive research</w:t>
      </w:r>
      <w:r w:rsidRPr="00800043">
        <w:rPr>
          <w:rStyle w:val="s1"/>
          <w:rFonts w:ascii="Arial" w:hAnsi="Arial" w:cs="Arial"/>
          <w:sz w:val="22"/>
          <w:szCs w:val="22"/>
        </w:rPr>
        <w:t xml:space="preserve"> has examined the biological mechanisms underlying T2DM, these mechanisms </w:t>
      </w:r>
      <w:bookmarkStart w:id="13" w:name="_Int_vgeOITKM"/>
      <w:r w:rsidRPr="00800043">
        <w:rPr>
          <w:rStyle w:val="s1"/>
          <w:rFonts w:ascii="Arial" w:hAnsi="Arial" w:cs="Arial"/>
          <w:sz w:val="22"/>
          <w:szCs w:val="22"/>
        </w:rPr>
        <w:t>are often discussed</w:t>
      </w:r>
      <w:bookmarkEnd w:id="13"/>
      <w:r w:rsidRPr="00800043">
        <w:rPr>
          <w:rStyle w:val="s1"/>
          <w:rFonts w:ascii="Arial" w:hAnsi="Arial" w:cs="Arial"/>
          <w:sz w:val="22"/>
          <w:szCs w:val="22"/>
        </w:rPr>
        <w:t xml:space="preserve"> at a general level. DeFronzo (2009) described the pathophysiology of T2DM through the “ominous octet”, highlighting the role of multiple organs in disease development. However, limited research integrates these physiological mechanisms with local population contexts within UK cities such as Birmingham.</w:t>
      </w:r>
    </w:p>
    <w:p w14:paraId="056A014F" w14:textId="77777777" w:rsidR="00A12B0D" w:rsidRPr="00800043" w:rsidRDefault="00A12B0D" w:rsidP="00800043">
      <w:pPr>
        <w:pStyle w:val="p2"/>
        <w:spacing w:line="360" w:lineRule="auto"/>
        <w:divId w:val="1402562617"/>
        <w:rPr>
          <w:rFonts w:ascii="Arial" w:hAnsi="Arial" w:cs="Arial"/>
          <w:sz w:val="22"/>
          <w:szCs w:val="22"/>
        </w:rPr>
      </w:pPr>
    </w:p>
    <w:p w14:paraId="4EC0F171" w14:textId="44DA6CC1" w:rsidR="00A12B0D" w:rsidRPr="00800043" w:rsidRDefault="00A12B0D" w:rsidP="00800043">
      <w:pPr>
        <w:pStyle w:val="p1"/>
        <w:spacing w:line="360" w:lineRule="auto"/>
        <w:divId w:val="1402562617"/>
        <w:rPr>
          <w:rFonts w:ascii="Arial" w:hAnsi="Arial" w:cs="Arial"/>
          <w:sz w:val="22"/>
          <w:szCs w:val="22"/>
        </w:rPr>
      </w:pPr>
      <w:r w:rsidRPr="00C91896">
        <w:rPr>
          <w:rStyle w:val="s1"/>
          <w:rFonts w:ascii="Arial" w:hAnsi="Arial" w:cs="Arial"/>
          <w:b/>
          <w:bCs/>
          <w:sz w:val="22"/>
          <w:szCs w:val="22"/>
        </w:rPr>
        <w:t xml:space="preserve">Several research gaps justify this study. </w:t>
      </w:r>
      <w:r w:rsidRPr="00800043">
        <w:rPr>
          <w:rStyle w:val="s1"/>
          <w:rFonts w:ascii="Arial" w:hAnsi="Arial" w:cs="Arial"/>
          <w:sz w:val="22"/>
          <w:szCs w:val="22"/>
        </w:rPr>
        <w:t xml:space="preserve">There is limited research focusing specifically on older adults in Birmingham in relation to T2DM progression and long-term outcomes. In addition, many studies do not link physiological mechanisms with geriatric conditions such as frailty, </w:t>
      </w:r>
      <w:r w:rsidR="00D96FD0" w:rsidRPr="00800043">
        <w:rPr>
          <w:rStyle w:val="s1"/>
          <w:rFonts w:ascii="Arial" w:hAnsi="Arial" w:cs="Arial"/>
          <w:sz w:val="22"/>
          <w:szCs w:val="22"/>
        </w:rPr>
        <w:t>multi morbidity</w:t>
      </w:r>
      <w:r w:rsidRPr="00800043">
        <w:rPr>
          <w:rStyle w:val="s1"/>
          <w:rFonts w:ascii="Arial" w:hAnsi="Arial" w:cs="Arial"/>
          <w:sz w:val="22"/>
          <w:szCs w:val="22"/>
        </w:rPr>
        <w:t xml:space="preserve">, and cognitive decline. Socioeconomic inequalities and ethnic disparities </w:t>
      </w:r>
      <w:bookmarkStart w:id="14" w:name="_Int_WickaFt0"/>
      <w:r w:rsidRPr="00800043">
        <w:rPr>
          <w:rStyle w:val="s1"/>
          <w:rFonts w:ascii="Arial" w:hAnsi="Arial" w:cs="Arial"/>
          <w:sz w:val="22"/>
          <w:szCs w:val="22"/>
        </w:rPr>
        <w:t>are also underrepresented</w:t>
      </w:r>
      <w:bookmarkEnd w:id="14"/>
      <w:r w:rsidRPr="00800043">
        <w:rPr>
          <w:rStyle w:val="s1"/>
          <w:rFonts w:ascii="Arial" w:hAnsi="Arial" w:cs="Arial"/>
          <w:sz w:val="22"/>
          <w:szCs w:val="22"/>
        </w:rPr>
        <w:t xml:space="preserve"> in mechanistic diabetes research. This dissertation aims to address these gaps by linking mechanisms with outcomes in a population.</w:t>
      </w:r>
    </w:p>
    <w:p w14:paraId="1C4C11CC" w14:textId="77777777" w:rsidR="008C26AA" w:rsidRDefault="008C26AA" w:rsidP="006D6111">
      <w:pPr>
        <w:spacing w:after="0" w:line="360" w:lineRule="auto"/>
        <w:textAlignment w:val="baseline"/>
        <w:rPr>
          <w:rFonts w:ascii="Aptos" w:eastAsia="Times New Roman" w:hAnsi="Aptos" w:cs="Arial"/>
          <w:kern w:val="0"/>
          <w:sz w:val="22"/>
          <w:szCs w:val="22"/>
          <w:lang w:eastAsia="zh-CN"/>
          <w14:ligatures w14:val="none"/>
        </w:rPr>
      </w:pPr>
    </w:p>
    <w:p w14:paraId="5513F84D" w14:textId="77777777" w:rsidR="008C26AA" w:rsidRDefault="008C26AA" w:rsidP="006D6111">
      <w:pPr>
        <w:spacing w:after="0" w:line="360" w:lineRule="auto"/>
        <w:textAlignment w:val="baseline"/>
        <w:rPr>
          <w:rFonts w:ascii="Aptos" w:eastAsia="Times New Roman" w:hAnsi="Aptos" w:cs="Arial"/>
          <w:kern w:val="0"/>
          <w:sz w:val="22"/>
          <w:szCs w:val="22"/>
          <w:lang w:eastAsia="zh-CN"/>
          <w14:ligatures w14:val="none"/>
        </w:rPr>
      </w:pPr>
    </w:p>
    <w:p w14:paraId="4C664FD6" w14:textId="73125F9B" w:rsidR="009800F5" w:rsidRDefault="009800F5" w:rsidP="00151579">
      <w:pPr>
        <w:spacing w:after="0" w:line="360" w:lineRule="auto"/>
        <w:textAlignment w:val="baseline"/>
        <w:rPr>
          <w:rFonts w:ascii="Aptos" w:eastAsia="Times New Roman" w:hAnsi="Aptos" w:cs="Arial"/>
          <w:color w:val="0F4761"/>
          <w:kern w:val="0"/>
          <w:lang w:eastAsia="zh-CN"/>
          <w14:ligatures w14:val="none"/>
        </w:rPr>
      </w:pPr>
    </w:p>
    <w:p w14:paraId="4443393F" w14:textId="1472FC57" w:rsidR="00151579" w:rsidRPr="0064695B" w:rsidRDefault="00151579" w:rsidP="00D5635A">
      <w:pPr>
        <w:pStyle w:val="Heading1"/>
        <w:rPr>
          <w:rFonts w:eastAsia="Times New Roman"/>
          <w:sz w:val="24"/>
          <w:szCs w:val="24"/>
          <w:lang w:eastAsia="zh-CN"/>
        </w:rPr>
      </w:pPr>
      <w:r w:rsidRPr="0064695B">
        <w:rPr>
          <w:rFonts w:eastAsia="Times New Roman"/>
          <w:lang w:eastAsia="zh-CN"/>
        </w:rPr>
        <w:t xml:space="preserve">Aim and Objectives </w:t>
      </w:r>
    </w:p>
    <w:p w14:paraId="0436BBEF" w14:textId="77777777" w:rsidR="00151579" w:rsidRPr="00151579" w:rsidRDefault="00151579" w:rsidP="00151579">
      <w:pPr>
        <w:spacing w:before="100" w:beforeAutospacing="1" w:after="100" w:afterAutospacing="1" w:line="360" w:lineRule="auto"/>
        <w:rPr>
          <w:rFonts w:ascii="Arial" w:hAnsi="Arial" w:cs="Arial"/>
          <w:kern w:val="0"/>
          <w:sz w:val="22"/>
          <w:szCs w:val="22"/>
          <w14:ligatures w14:val="none"/>
        </w:rPr>
      </w:pPr>
      <w:r w:rsidRPr="00151579">
        <w:rPr>
          <w:rFonts w:ascii="Arial" w:hAnsi="Arial" w:cs="Arial"/>
          <w:kern w:val="0"/>
          <w:sz w:val="22"/>
          <w:szCs w:val="22"/>
          <w14:ligatures w14:val="none"/>
        </w:rPr>
        <w:t>To explore the physiological mechanisms underlying Type 2 Diabetes Mellitus and evaluate its long-term health impacts among older adults living in Birmingham.</w:t>
      </w:r>
    </w:p>
    <w:p w14:paraId="63082D11" w14:textId="77777777" w:rsidR="0042654C" w:rsidRDefault="0042654C" w:rsidP="00151579">
      <w:pPr>
        <w:spacing w:after="0" w:line="360" w:lineRule="auto"/>
        <w:textAlignment w:val="baseline"/>
        <w:rPr>
          <w:rFonts w:ascii="Arial" w:eastAsia="Times New Roman" w:hAnsi="Arial" w:cs="Arial"/>
          <w:b/>
          <w:kern w:val="0"/>
          <w:sz w:val="22"/>
          <w:szCs w:val="22"/>
          <w:lang w:eastAsia="zh-CN"/>
          <w14:ligatures w14:val="none"/>
        </w:rPr>
      </w:pPr>
    </w:p>
    <w:p w14:paraId="7F9C258F" w14:textId="57BF5AB8" w:rsidR="00133851" w:rsidRPr="00151579" w:rsidRDefault="00151579" w:rsidP="00151579">
      <w:pPr>
        <w:spacing w:after="0" w:line="360" w:lineRule="auto"/>
        <w:textAlignment w:val="baseline"/>
        <w:rPr>
          <w:rFonts w:ascii="Arial" w:eastAsia="Times New Roman" w:hAnsi="Arial" w:cs="Arial"/>
          <w:kern w:val="0"/>
          <w:sz w:val="22"/>
          <w:szCs w:val="22"/>
          <w:lang w:eastAsia="zh-CN"/>
          <w14:ligatures w14:val="none"/>
        </w:rPr>
      </w:pPr>
      <w:r w:rsidRPr="00151579">
        <w:rPr>
          <w:rFonts w:ascii="Arial" w:eastAsia="Times New Roman" w:hAnsi="Arial" w:cs="Arial"/>
          <w:b/>
          <w:kern w:val="0"/>
          <w:sz w:val="22"/>
          <w:szCs w:val="22"/>
          <w:lang w:eastAsia="zh-CN"/>
          <w14:ligatures w14:val="none"/>
        </w:rPr>
        <w:t>Research Objectives:</w:t>
      </w:r>
      <w:r w:rsidRPr="00151579">
        <w:rPr>
          <w:rFonts w:ascii="Arial" w:eastAsia="Times New Roman" w:hAnsi="Arial" w:cs="Arial"/>
          <w:kern w:val="0"/>
          <w:sz w:val="22"/>
          <w:szCs w:val="22"/>
          <w:lang w:eastAsia="zh-CN"/>
          <w14:ligatures w14:val="none"/>
        </w:rPr>
        <w:t> </w:t>
      </w:r>
    </w:p>
    <w:p w14:paraId="6A27705A" w14:textId="35F63A51" w:rsidR="00151579" w:rsidRPr="00151579" w:rsidRDefault="00151579" w:rsidP="00151579">
      <w:pPr>
        <w:spacing w:after="0" w:line="360" w:lineRule="auto"/>
        <w:textAlignment w:val="baseline"/>
        <w:rPr>
          <w:rFonts w:ascii="Arial" w:eastAsia="Times New Roman" w:hAnsi="Arial" w:cs="Arial"/>
          <w:kern w:val="0"/>
          <w:sz w:val="22"/>
          <w:szCs w:val="22"/>
          <w:lang w:eastAsia="zh-CN"/>
          <w14:ligatures w14:val="none"/>
        </w:rPr>
      </w:pPr>
      <w:r w:rsidRPr="00151579">
        <w:rPr>
          <w:rFonts w:ascii="Arial" w:eastAsia="Times New Roman" w:hAnsi="Arial" w:cs="Arial"/>
          <w:kern w:val="0"/>
          <w:sz w:val="22"/>
          <w:szCs w:val="22"/>
          <w:lang w:eastAsia="zh-CN"/>
          <w14:ligatures w14:val="none"/>
        </w:rPr>
        <w:t xml:space="preserve">List the specific </w:t>
      </w:r>
      <w:bookmarkStart w:id="15" w:name="_Int_nDubsKjU"/>
      <w:r w:rsidRPr="00151579">
        <w:rPr>
          <w:rFonts w:ascii="Arial" w:eastAsia="Times New Roman" w:hAnsi="Arial" w:cs="Arial"/>
          <w:kern w:val="0"/>
          <w:sz w:val="22"/>
          <w:szCs w:val="22"/>
          <w:lang w:eastAsia="zh-CN"/>
          <w14:ligatures w14:val="none"/>
        </w:rPr>
        <w:t>objectives</w:t>
      </w:r>
      <w:bookmarkEnd w:id="15"/>
      <w:r w:rsidRPr="00151579">
        <w:rPr>
          <w:rFonts w:ascii="Arial" w:eastAsia="Times New Roman" w:hAnsi="Arial" w:cs="Arial"/>
          <w:kern w:val="0"/>
          <w:sz w:val="22"/>
          <w:szCs w:val="22"/>
          <w:lang w:eastAsia="zh-CN"/>
          <w14:ligatures w14:val="none"/>
        </w:rPr>
        <w:t xml:space="preserve"> that will help achieve the research aim. You will copy and paste this information from your </w:t>
      </w:r>
      <w:r w:rsidR="00AC1ED5" w:rsidRPr="00151579">
        <w:rPr>
          <w:rFonts w:ascii="Arial" w:eastAsia="Times New Roman" w:hAnsi="Arial" w:cs="Arial"/>
          <w:kern w:val="0"/>
          <w:sz w:val="22"/>
          <w:szCs w:val="22"/>
          <w:lang w:eastAsia="zh-CN"/>
          <w14:ligatures w14:val="none"/>
        </w:rPr>
        <w:t>proposal.</w:t>
      </w:r>
    </w:p>
    <w:p w14:paraId="060E14ED" w14:textId="77777777" w:rsidR="00151579" w:rsidRPr="00151579" w:rsidRDefault="00151579" w:rsidP="00151579">
      <w:pPr>
        <w:spacing w:after="0" w:line="360" w:lineRule="auto"/>
        <w:textAlignment w:val="baseline"/>
        <w:rPr>
          <w:rFonts w:ascii="Arial" w:eastAsia="Times New Roman" w:hAnsi="Arial" w:cs="Arial"/>
          <w:b/>
          <w:kern w:val="0"/>
          <w:sz w:val="22"/>
          <w:szCs w:val="22"/>
          <w:lang w:eastAsia="zh-CN"/>
          <w14:ligatures w14:val="none"/>
        </w:rPr>
      </w:pPr>
    </w:p>
    <w:p w14:paraId="7513E0B5" w14:textId="77777777" w:rsidR="00C82444" w:rsidRPr="00C82444" w:rsidRDefault="00151579" w:rsidP="00F46111">
      <w:pPr>
        <w:spacing w:line="360" w:lineRule="auto"/>
        <w:rPr>
          <w:rFonts w:ascii="Arial" w:eastAsia="Times New Roman" w:hAnsi="Arial" w:cs="Arial"/>
          <w:color w:val="111111"/>
          <w:kern w:val="0"/>
          <w:sz w:val="22"/>
          <w:szCs w:val="22"/>
          <w14:ligatures w14:val="none"/>
        </w:rPr>
      </w:pPr>
      <w:r w:rsidRPr="00151579">
        <w:rPr>
          <w:rFonts w:ascii="Arial" w:hAnsi="Arial" w:cs="Arial"/>
          <w:b/>
          <w:kern w:val="0"/>
          <w:sz w:val="22"/>
          <w:szCs w:val="22"/>
          <w14:ligatures w14:val="none"/>
        </w:rPr>
        <w:t>Objective 1:</w:t>
      </w:r>
      <w:r w:rsidRPr="00151579">
        <w:rPr>
          <w:rFonts w:ascii="Arial" w:hAnsi="Arial" w:cs="Arial"/>
          <w:kern w:val="0"/>
          <w:sz w:val="22"/>
          <w:szCs w:val="22"/>
          <w14:ligatures w14:val="none"/>
        </w:rPr>
        <w:t>  </w:t>
      </w:r>
      <w:r w:rsidR="00C82444" w:rsidRPr="00C82444">
        <w:rPr>
          <w:rFonts w:ascii="Arial" w:eastAsiaTheme="minorHAnsi" w:hAnsi="Arial" w:cs="Arial"/>
          <w:kern w:val="0"/>
          <w:sz w:val="22"/>
          <w:szCs w:val="22"/>
          <w:lang w:eastAsia="en-US"/>
          <w14:ligatures w14:val="none"/>
        </w:rPr>
        <w:t>To examine how age-related physiological changes affect glucose regulation and insulin sensitivity in older adults and analyse how these changes increase care needs within health and social care settings (</w:t>
      </w:r>
      <w:r w:rsidR="00C82444" w:rsidRPr="00C82444">
        <w:rPr>
          <w:rFonts w:ascii="Arial" w:eastAsia="Times New Roman" w:hAnsi="Arial" w:cs="Arial"/>
          <w:color w:val="111111"/>
          <w:kern w:val="0"/>
          <w:sz w:val="22"/>
          <w:szCs w:val="22"/>
          <w14:ligatures w14:val="none"/>
        </w:rPr>
        <w:t>Reimann, 2023).</w:t>
      </w:r>
    </w:p>
    <w:p w14:paraId="65456E9C" w14:textId="16A07D90" w:rsidR="00151579" w:rsidRPr="00151579" w:rsidRDefault="00151579" w:rsidP="00151579">
      <w:pPr>
        <w:spacing w:before="100" w:beforeAutospacing="1" w:after="100" w:afterAutospacing="1" w:line="360" w:lineRule="auto"/>
        <w:rPr>
          <w:rFonts w:ascii="Arial" w:hAnsi="Arial" w:cs="Arial"/>
          <w:kern w:val="0"/>
          <w:sz w:val="22"/>
          <w:szCs w:val="22"/>
          <w14:ligatures w14:val="none"/>
        </w:rPr>
      </w:pPr>
    </w:p>
    <w:p w14:paraId="33B13E73" w14:textId="2537A0B9" w:rsidR="00151579" w:rsidRPr="00151579" w:rsidRDefault="00151579" w:rsidP="00151579">
      <w:pPr>
        <w:spacing w:before="100" w:beforeAutospacing="1" w:after="100" w:afterAutospacing="1" w:line="360" w:lineRule="auto"/>
        <w:rPr>
          <w:rFonts w:ascii="Arial" w:hAnsi="Arial" w:cs="Arial"/>
          <w:kern w:val="0"/>
          <w:sz w:val="22"/>
          <w:szCs w:val="22"/>
          <w14:ligatures w14:val="none"/>
        </w:rPr>
      </w:pPr>
      <w:r w:rsidRPr="00151579">
        <w:rPr>
          <w:rFonts w:ascii="Arial" w:hAnsi="Arial" w:cs="Arial"/>
          <w:b/>
          <w:kern w:val="0"/>
          <w:sz w:val="22"/>
          <w:szCs w:val="22"/>
          <w14:ligatures w14:val="none"/>
        </w:rPr>
        <w:t>Objective 2:</w:t>
      </w:r>
      <w:r w:rsidRPr="00151579">
        <w:rPr>
          <w:rFonts w:ascii="Arial" w:hAnsi="Arial" w:cs="Arial"/>
          <w:kern w:val="0"/>
          <w:sz w:val="22"/>
          <w:szCs w:val="22"/>
          <w14:ligatures w14:val="none"/>
        </w:rPr>
        <w:t>  </w:t>
      </w:r>
      <w:r w:rsidR="00541B1C" w:rsidRPr="00765368">
        <w:rPr>
          <w:rStyle w:val="s1"/>
          <w:rFonts w:ascii="Arial" w:hAnsi="Arial" w:cs="Arial"/>
          <w:sz w:val="22"/>
          <w:szCs w:val="22"/>
        </w:rPr>
        <w:t>To analyse the key physiological characteristics of Type 2 Diabetes Mellitus in older adults, including insulin resistance and chronic hyperglycaemia (Sinclair et al., 2020)</w:t>
      </w:r>
      <w:r w:rsidR="00541B1C">
        <w:rPr>
          <w:rStyle w:val="s1"/>
          <w:rFonts w:ascii="Arial" w:hAnsi="Arial" w:cs="Arial"/>
          <w:sz w:val="22"/>
          <w:szCs w:val="22"/>
        </w:rPr>
        <w:t>.</w:t>
      </w:r>
    </w:p>
    <w:p w14:paraId="0A330736" w14:textId="77777777" w:rsidR="00C82444" w:rsidRPr="00151579" w:rsidRDefault="00C82444" w:rsidP="00151579">
      <w:pPr>
        <w:spacing w:before="100" w:beforeAutospacing="1" w:after="100" w:afterAutospacing="1" w:line="360" w:lineRule="auto"/>
        <w:rPr>
          <w:rFonts w:ascii="Arial" w:hAnsi="Arial" w:cs="Arial"/>
          <w:kern w:val="0"/>
          <w:sz w:val="22"/>
          <w:szCs w:val="22"/>
          <w14:ligatures w14:val="none"/>
        </w:rPr>
      </w:pPr>
    </w:p>
    <w:p w14:paraId="10D556EA" w14:textId="77777777" w:rsidR="009C4103" w:rsidRPr="00765368" w:rsidRDefault="00151579" w:rsidP="00F46111">
      <w:pPr>
        <w:pStyle w:val="p1"/>
        <w:spacing w:line="360" w:lineRule="auto"/>
        <w:rPr>
          <w:rStyle w:val="s1"/>
          <w:rFonts w:ascii="Arial" w:hAnsi="Arial" w:cs="Arial"/>
          <w:sz w:val="22"/>
          <w:szCs w:val="22"/>
        </w:rPr>
      </w:pPr>
      <w:r w:rsidRPr="00151579">
        <w:rPr>
          <w:rFonts w:ascii="Arial" w:hAnsi="Arial" w:cs="Arial"/>
          <w:b/>
          <w:sz w:val="22"/>
          <w:szCs w:val="22"/>
        </w:rPr>
        <w:t>Objective 3:</w:t>
      </w:r>
      <w:r w:rsidRPr="00151579">
        <w:rPr>
          <w:rFonts w:ascii="Arial" w:hAnsi="Arial" w:cs="Arial"/>
          <w:sz w:val="22"/>
          <w:szCs w:val="22"/>
        </w:rPr>
        <w:t>  </w:t>
      </w:r>
      <w:r w:rsidR="009C4103" w:rsidRPr="00765368">
        <w:rPr>
          <w:rStyle w:val="s1"/>
          <w:rFonts w:ascii="Arial" w:hAnsi="Arial" w:cs="Arial"/>
          <w:sz w:val="22"/>
          <w:szCs w:val="22"/>
        </w:rPr>
        <w:t>To evaluate the long-term physiological complications of T2DM in older people, such as cardiovascular disease, neuropathy, and renal impairment, and their impact on functional independence (WHO, 2022; Stratton et al., 2000).</w:t>
      </w:r>
    </w:p>
    <w:p w14:paraId="31B58B35" w14:textId="63741870" w:rsidR="00151579" w:rsidRPr="00151579" w:rsidRDefault="00151579" w:rsidP="00151579">
      <w:pPr>
        <w:spacing w:before="100" w:beforeAutospacing="1" w:after="100" w:afterAutospacing="1" w:line="360" w:lineRule="auto"/>
        <w:rPr>
          <w:rFonts w:ascii="Arial" w:hAnsi="Arial" w:cs="Arial"/>
          <w:kern w:val="0"/>
          <w:sz w:val="22"/>
          <w:szCs w:val="22"/>
          <w14:ligatures w14:val="none"/>
        </w:rPr>
      </w:pPr>
    </w:p>
    <w:p w14:paraId="7FD1AB0B" w14:textId="77777777" w:rsidR="00266F19" w:rsidRPr="00765368" w:rsidRDefault="00151579" w:rsidP="00F46111">
      <w:pPr>
        <w:pStyle w:val="p1"/>
        <w:spacing w:line="360" w:lineRule="auto"/>
        <w:rPr>
          <w:rFonts w:ascii="Arial" w:hAnsi="Arial" w:cs="Arial"/>
          <w:sz w:val="22"/>
          <w:szCs w:val="22"/>
        </w:rPr>
      </w:pPr>
      <w:r w:rsidRPr="00151579">
        <w:rPr>
          <w:rFonts w:ascii="Arial" w:hAnsi="Arial" w:cs="Arial"/>
          <w:b/>
          <w:sz w:val="22"/>
          <w:szCs w:val="22"/>
        </w:rPr>
        <w:t>Objective 4:</w:t>
      </w:r>
      <w:r w:rsidRPr="00151579">
        <w:rPr>
          <w:rFonts w:ascii="Arial" w:hAnsi="Arial" w:cs="Arial"/>
          <w:sz w:val="22"/>
          <w:szCs w:val="22"/>
        </w:rPr>
        <w:t>  </w:t>
      </w:r>
      <w:r w:rsidR="00266F19" w:rsidRPr="00765368">
        <w:rPr>
          <w:rStyle w:val="s1"/>
          <w:rFonts w:ascii="Arial" w:hAnsi="Arial" w:cs="Arial"/>
          <w:sz w:val="22"/>
          <w:szCs w:val="22"/>
        </w:rPr>
        <w:t>To provide evidence-based recommendations for improving the management and support of older adults with Type 2 Diabetes within Birmingham’s health and social care services (Diabetes UK, 2023; NHS Digital, 2022).</w:t>
      </w:r>
    </w:p>
    <w:p w14:paraId="093E1949" w14:textId="6A6FC33D" w:rsidR="00151579" w:rsidRPr="00151579" w:rsidRDefault="00151579" w:rsidP="00151579">
      <w:pPr>
        <w:spacing w:after="0" w:line="360" w:lineRule="auto"/>
        <w:textAlignment w:val="baseline"/>
        <w:rPr>
          <w:rFonts w:ascii="Aptos" w:eastAsia="Times New Roman" w:hAnsi="Aptos" w:cs="Segoe UI"/>
          <w:kern w:val="0"/>
          <w:sz w:val="16"/>
          <w:szCs w:val="16"/>
          <w:lang w:eastAsia="zh-CN"/>
          <w14:ligatures w14:val="none"/>
        </w:rPr>
      </w:pPr>
    </w:p>
    <w:p w14:paraId="2E5CAEE2" w14:textId="1AD89D9E" w:rsidR="00151579" w:rsidRPr="00151579" w:rsidRDefault="00151579" w:rsidP="00425FDF">
      <w:pPr>
        <w:pStyle w:val="Heading1"/>
        <w:rPr>
          <w:rFonts w:ascii="Aptos" w:eastAsia="Times New Roman" w:hAnsi="Aptos" w:cs="Segoe UI"/>
          <w:color w:val="0F4761"/>
          <w:kern w:val="0"/>
          <w:sz w:val="16"/>
          <w:szCs w:val="16"/>
          <w:lang w:eastAsia="zh-CN"/>
          <w14:ligatures w14:val="none"/>
        </w:rPr>
      </w:pPr>
      <w:r w:rsidRPr="00151579">
        <w:rPr>
          <w:rFonts w:eastAsia="Times New Roman"/>
          <w:lang w:eastAsia="zh-CN"/>
        </w:rPr>
        <w:t>1.5 Conclusion </w:t>
      </w:r>
    </w:p>
    <w:p w14:paraId="34ADD1C5" w14:textId="77777777" w:rsidR="00151579" w:rsidRPr="00425FDF" w:rsidRDefault="00151579" w:rsidP="00425FDF">
      <w:pPr>
        <w:pStyle w:val="Heading1"/>
      </w:pPr>
      <w:r w:rsidRPr="00425FDF">
        <w:t>Summary of Chapter 1: </w:t>
      </w:r>
    </w:p>
    <w:p w14:paraId="5E431511" w14:textId="20609B9D" w:rsidR="00645936" w:rsidRPr="005C67B7" w:rsidRDefault="00151579" w:rsidP="005C67B7">
      <w:pPr>
        <w:spacing w:before="100" w:beforeAutospacing="1" w:after="100" w:afterAutospacing="1" w:line="360" w:lineRule="auto"/>
        <w:rPr>
          <w:rFonts w:ascii="Arial" w:hAnsi="Arial" w:cs="Arial"/>
          <w:kern w:val="0"/>
          <w:sz w:val="22"/>
          <w:szCs w:val="22"/>
          <w14:ligatures w14:val="none"/>
        </w:rPr>
      </w:pPr>
      <w:r w:rsidRPr="00151579">
        <w:rPr>
          <w:rFonts w:ascii="Arial" w:hAnsi="Arial" w:cs="Arial"/>
          <w:kern w:val="0"/>
          <w:sz w:val="22"/>
          <w:szCs w:val="22"/>
          <w14:ligatures w14:val="none"/>
        </w:rPr>
        <w:t xml:space="preserve">This chapter has introduced the research topic by outlining the epidemiological and physiological significance of Type 2 Diabetes Mellitus among older adults, with particular emphasis on Birmingham’s urban and demographic context. Key terminology has </w:t>
      </w:r>
      <w:bookmarkStart w:id="16" w:name="_Int_Vxo1NmF1"/>
      <w:r w:rsidRPr="00151579">
        <w:rPr>
          <w:rFonts w:ascii="Arial" w:hAnsi="Arial" w:cs="Arial"/>
          <w:kern w:val="0"/>
          <w:sz w:val="22"/>
          <w:szCs w:val="22"/>
          <w14:ligatures w14:val="none"/>
        </w:rPr>
        <w:t>been defined</w:t>
      </w:r>
      <w:bookmarkEnd w:id="16"/>
      <w:r w:rsidRPr="00151579">
        <w:rPr>
          <w:rFonts w:ascii="Arial" w:hAnsi="Arial" w:cs="Arial"/>
          <w:kern w:val="0"/>
          <w:sz w:val="22"/>
          <w:szCs w:val="22"/>
          <w14:ligatures w14:val="none"/>
        </w:rPr>
        <w:t xml:space="preserve"> to </w:t>
      </w:r>
      <w:bookmarkStart w:id="17" w:name="_Int_OtvxT48H"/>
      <w:r w:rsidRPr="00151579">
        <w:rPr>
          <w:rFonts w:ascii="Arial" w:hAnsi="Arial" w:cs="Arial"/>
          <w:kern w:val="0"/>
          <w:sz w:val="22"/>
          <w:szCs w:val="22"/>
          <w14:ligatures w14:val="none"/>
        </w:rPr>
        <w:t>establish</w:t>
      </w:r>
      <w:bookmarkEnd w:id="17"/>
      <w:r w:rsidRPr="00151579">
        <w:rPr>
          <w:rFonts w:ascii="Arial" w:hAnsi="Arial" w:cs="Arial"/>
          <w:kern w:val="0"/>
          <w:sz w:val="22"/>
          <w:szCs w:val="22"/>
          <w14:ligatures w14:val="none"/>
        </w:rPr>
        <w:t xml:space="preserve"> conceptual clarity. The rationale for the research has highlighted existing gaps in integrating physiological mechanisms with long-term health outcomes within local populations.</w:t>
      </w:r>
    </w:p>
    <w:p w14:paraId="6C6EDC33" w14:textId="77777777" w:rsidR="00645936" w:rsidRPr="00151579" w:rsidRDefault="00645936" w:rsidP="00151579">
      <w:pPr>
        <w:spacing w:after="0" w:line="360" w:lineRule="auto"/>
        <w:textAlignment w:val="baseline"/>
        <w:rPr>
          <w:rFonts w:ascii="Arial" w:eastAsia="Times New Roman" w:hAnsi="Arial" w:cs="Arial"/>
          <w:kern w:val="0"/>
          <w:sz w:val="22"/>
          <w:szCs w:val="22"/>
          <w:lang w:eastAsia="zh-CN"/>
          <w14:ligatures w14:val="none"/>
        </w:rPr>
      </w:pPr>
    </w:p>
    <w:p w14:paraId="71B9F44B" w14:textId="77777777" w:rsidR="00151579" w:rsidRPr="00151579" w:rsidRDefault="00151579" w:rsidP="00151579">
      <w:pPr>
        <w:numPr>
          <w:ilvl w:val="0"/>
          <w:numId w:val="24"/>
        </w:numPr>
        <w:tabs>
          <w:tab w:val="clear" w:pos="720"/>
          <w:tab w:val="num" w:pos="0"/>
        </w:tabs>
        <w:spacing w:after="0" w:line="360" w:lineRule="auto"/>
        <w:ind w:left="0" w:firstLine="0"/>
        <w:textAlignment w:val="baseline"/>
        <w:rPr>
          <w:rFonts w:ascii="Arial" w:eastAsia="Times New Roman" w:hAnsi="Arial" w:cs="Arial"/>
          <w:kern w:val="0"/>
          <w:sz w:val="22"/>
          <w:szCs w:val="22"/>
          <w:lang w:eastAsia="zh-CN"/>
          <w14:ligatures w14:val="none"/>
        </w:rPr>
      </w:pPr>
      <w:r w:rsidRPr="00151579">
        <w:rPr>
          <w:rFonts w:ascii="Arial" w:eastAsia="Times New Roman" w:hAnsi="Arial" w:cs="Arial"/>
          <w:b/>
          <w:bCs/>
          <w:kern w:val="0"/>
          <w:sz w:val="22"/>
          <w:szCs w:val="22"/>
          <w:lang w:eastAsia="zh-CN"/>
          <w14:ligatures w14:val="none"/>
        </w:rPr>
        <w:t>Signposting to Chapter 2:</w:t>
      </w:r>
      <w:r w:rsidRPr="00151579">
        <w:rPr>
          <w:rFonts w:ascii="Arial" w:eastAsia="Times New Roman" w:hAnsi="Arial" w:cs="Arial"/>
          <w:kern w:val="0"/>
          <w:sz w:val="22"/>
          <w:szCs w:val="22"/>
          <w:lang w:eastAsia="zh-CN"/>
          <w14:ligatures w14:val="none"/>
        </w:rPr>
        <w:t> </w:t>
      </w:r>
    </w:p>
    <w:p w14:paraId="05DDDAB5" w14:textId="77777777" w:rsidR="00151579" w:rsidRPr="00151579" w:rsidRDefault="00151579" w:rsidP="00151579">
      <w:pPr>
        <w:spacing w:after="0" w:line="360" w:lineRule="auto"/>
        <w:textAlignment w:val="baseline"/>
        <w:rPr>
          <w:rFonts w:ascii="Arial" w:eastAsia="Times New Roman" w:hAnsi="Arial" w:cs="Arial"/>
          <w:kern w:val="0"/>
          <w:sz w:val="22"/>
          <w:szCs w:val="22"/>
          <w:lang w:eastAsia="zh-CN"/>
          <w14:ligatures w14:val="none"/>
        </w:rPr>
      </w:pPr>
    </w:p>
    <w:p w14:paraId="2B1C162A" w14:textId="77777777" w:rsidR="00151579" w:rsidRPr="00151579" w:rsidRDefault="00151579" w:rsidP="00151579">
      <w:pPr>
        <w:spacing w:after="0" w:line="360" w:lineRule="auto"/>
        <w:textAlignment w:val="baseline"/>
        <w:rPr>
          <w:rFonts w:ascii="Arial" w:eastAsia="Times New Roman" w:hAnsi="Arial" w:cs="Arial"/>
          <w:kern w:val="0"/>
          <w:sz w:val="22"/>
          <w:szCs w:val="22"/>
          <w:lang w:eastAsia="zh-CN"/>
          <w14:ligatures w14:val="none"/>
        </w:rPr>
      </w:pPr>
      <w:r w:rsidRPr="00151579">
        <w:rPr>
          <w:rFonts w:ascii="Arial" w:eastAsia="Times New Roman" w:hAnsi="Arial" w:cs="Arial"/>
          <w:kern w:val="0"/>
          <w:sz w:val="22"/>
          <w:szCs w:val="22"/>
          <w:lang w:eastAsia="zh-CN"/>
          <w14:ligatures w14:val="none"/>
        </w:rPr>
        <w:t>Briefly introduce the next chapter and explain its role in the dissertation. </w:t>
      </w:r>
    </w:p>
    <w:p w14:paraId="513E30DC" w14:textId="77777777" w:rsidR="00D764DE" w:rsidRPr="003C39DB" w:rsidRDefault="00D764DE" w:rsidP="003C39DB">
      <w:pPr>
        <w:pStyle w:val="p1"/>
        <w:spacing w:line="360" w:lineRule="auto"/>
        <w:divId w:val="1743866644"/>
        <w:rPr>
          <w:rFonts w:ascii="Arial" w:hAnsi="Arial" w:cs="Arial"/>
          <w:sz w:val="22"/>
          <w:szCs w:val="22"/>
        </w:rPr>
      </w:pPr>
      <w:r w:rsidRPr="003C39DB">
        <w:rPr>
          <w:rStyle w:val="s1"/>
          <w:rFonts w:ascii="Arial" w:hAnsi="Arial" w:cs="Arial"/>
          <w:sz w:val="22"/>
          <w:szCs w:val="22"/>
        </w:rPr>
        <w:t xml:space="preserve">The next chapter will present a comprehensive literature review examining current evidence on the pathophysiology of T2DM, its chronic complications, and the influence of demographic and socioeconomic determinants. This chapter will critically evaluate existing studies, </w:t>
      </w:r>
      <w:bookmarkStart w:id="18" w:name="_Int_iZ1Ymi0X"/>
      <w:r w:rsidRPr="003C39DB">
        <w:rPr>
          <w:rStyle w:val="s1"/>
          <w:rFonts w:ascii="Arial" w:hAnsi="Arial" w:cs="Arial"/>
          <w:sz w:val="22"/>
          <w:szCs w:val="22"/>
        </w:rPr>
        <w:t>identify</w:t>
      </w:r>
      <w:bookmarkEnd w:id="18"/>
      <w:r w:rsidRPr="003C39DB">
        <w:rPr>
          <w:rStyle w:val="s1"/>
          <w:rFonts w:ascii="Arial" w:hAnsi="Arial" w:cs="Arial"/>
          <w:sz w:val="22"/>
          <w:szCs w:val="22"/>
        </w:rPr>
        <w:t xml:space="preserve"> limitations in current knowledge, and provide the theoretical and empirical foundation for the present research study. It will also highlight key debates, methodological approaches, and relevant public health perspectives that inform the research aims and </w:t>
      </w:r>
      <w:bookmarkStart w:id="19" w:name="_Int_OGz5Uawh"/>
      <w:r w:rsidRPr="003C39DB">
        <w:rPr>
          <w:rStyle w:val="s1"/>
          <w:rFonts w:ascii="Arial" w:hAnsi="Arial" w:cs="Arial"/>
          <w:sz w:val="22"/>
          <w:szCs w:val="22"/>
        </w:rPr>
        <w:t>objectives</w:t>
      </w:r>
      <w:bookmarkEnd w:id="19"/>
      <w:r w:rsidRPr="003C39DB">
        <w:rPr>
          <w:rStyle w:val="s1"/>
          <w:rFonts w:ascii="Arial" w:hAnsi="Arial" w:cs="Arial"/>
          <w:sz w:val="22"/>
          <w:szCs w:val="22"/>
        </w:rPr>
        <w:t>. Together, these discussions will justify the study’s focus and research questions and outline the conceptual framework used throughout.</w:t>
      </w:r>
    </w:p>
    <w:p w14:paraId="7D03666D" w14:textId="77777777" w:rsidR="001370B9" w:rsidRDefault="001370B9" w:rsidP="00151579">
      <w:pPr>
        <w:spacing w:after="0" w:line="360" w:lineRule="auto"/>
        <w:textAlignment w:val="baseline"/>
        <w:rPr>
          <w:rFonts w:ascii="Arial" w:eastAsia="Times New Roman" w:hAnsi="Arial" w:cs="Arial"/>
          <w:kern w:val="0"/>
          <w:sz w:val="22"/>
          <w:szCs w:val="22"/>
          <w:lang w:eastAsia="zh-CN"/>
          <w14:ligatures w14:val="none"/>
        </w:rPr>
      </w:pPr>
    </w:p>
    <w:p w14:paraId="112B9B16" w14:textId="77777777" w:rsidR="001370B9" w:rsidRDefault="001370B9" w:rsidP="00151579">
      <w:pPr>
        <w:spacing w:after="0" w:line="360" w:lineRule="auto"/>
        <w:textAlignment w:val="baseline"/>
        <w:rPr>
          <w:rFonts w:ascii="Arial" w:eastAsia="Times New Roman" w:hAnsi="Arial" w:cs="Arial"/>
          <w:kern w:val="0"/>
          <w:sz w:val="22"/>
          <w:szCs w:val="22"/>
          <w:lang w:eastAsia="zh-CN"/>
          <w14:ligatures w14:val="none"/>
        </w:rPr>
      </w:pPr>
    </w:p>
    <w:p w14:paraId="253717F2" w14:textId="77777777" w:rsidR="001370B9" w:rsidRDefault="001370B9" w:rsidP="00151579">
      <w:pPr>
        <w:spacing w:after="0" w:line="360" w:lineRule="auto"/>
        <w:textAlignment w:val="baseline"/>
        <w:rPr>
          <w:rFonts w:ascii="Arial" w:eastAsia="Times New Roman" w:hAnsi="Arial" w:cs="Arial"/>
          <w:kern w:val="0"/>
          <w:sz w:val="22"/>
          <w:szCs w:val="22"/>
          <w:lang w:eastAsia="zh-CN"/>
          <w14:ligatures w14:val="none"/>
        </w:rPr>
      </w:pPr>
    </w:p>
    <w:p w14:paraId="1623B251" w14:textId="77777777" w:rsidR="00056667" w:rsidRDefault="00056667" w:rsidP="00151579">
      <w:pPr>
        <w:spacing w:after="0" w:line="360" w:lineRule="auto"/>
        <w:textAlignment w:val="baseline"/>
        <w:rPr>
          <w:rFonts w:ascii="Arial" w:eastAsia="Times New Roman" w:hAnsi="Arial" w:cs="Arial"/>
          <w:kern w:val="0"/>
          <w:sz w:val="22"/>
          <w:szCs w:val="22"/>
          <w:lang w:eastAsia="zh-CN"/>
          <w14:ligatures w14:val="none"/>
        </w:rPr>
      </w:pPr>
    </w:p>
    <w:p w14:paraId="2DA36D01" w14:textId="77777777" w:rsidR="00056667" w:rsidRDefault="00056667" w:rsidP="00151579">
      <w:pPr>
        <w:spacing w:after="0" w:line="360" w:lineRule="auto"/>
        <w:textAlignment w:val="baseline"/>
        <w:rPr>
          <w:rFonts w:ascii="Arial" w:eastAsia="Times New Roman" w:hAnsi="Arial" w:cs="Arial"/>
          <w:kern w:val="0"/>
          <w:sz w:val="22"/>
          <w:szCs w:val="22"/>
          <w:lang w:eastAsia="zh-CN"/>
          <w14:ligatures w14:val="none"/>
        </w:rPr>
      </w:pPr>
    </w:p>
    <w:p w14:paraId="2BB13BE9" w14:textId="77777777" w:rsidR="00056667" w:rsidRDefault="00056667" w:rsidP="00151579">
      <w:pPr>
        <w:spacing w:after="0" w:line="360" w:lineRule="auto"/>
        <w:textAlignment w:val="baseline"/>
        <w:rPr>
          <w:rFonts w:ascii="Arial" w:eastAsia="Times New Roman" w:hAnsi="Arial" w:cs="Arial"/>
          <w:kern w:val="0"/>
          <w:sz w:val="22"/>
          <w:szCs w:val="22"/>
          <w:lang w:eastAsia="zh-CN"/>
          <w14:ligatures w14:val="none"/>
        </w:rPr>
      </w:pPr>
    </w:p>
    <w:p w14:paraId="3BE68923" w14:textId="77777777" w:rsidR="00056667" w:rsidRDefault="00056667" w:rsidP="00151579">
      <w:pPr>
        <w:spacing w:after="0" w:line="360" w:lineRule="auto"/>
        <w:textAlignment w:val="baseline"/>
        <w:rPr>
          <w:rFonts w:ascii="Arial" w:eastAsia="Times New Roman" w:hAnsi="Arial" w:cs="Arial"/>
          <w:kern w:val="0"/>
          <w:sz w:val="22"/>
          <w:szCs w:val="22"/>
          <w:lang w:eastAsia="zh-CN"/>
          <w14:ligatures w14:val="none"/>
        </w:rPr>
      </w:pPr>
    </w:p>
    <w:p w14:paraId="110CB20A" w14:textId="77777777" w:rsidR="00056667" w:rsidRDefault="00056667" w:rsidP="00151579">
      <w:pPr>
        <w:spacing w:after="0" w:line="360" w:lineRule="auto"/>
        <w:textAlignment w:val="baseline"/>
        <w:rPr>
          <w:rFonts w:ascii="Arial" w:eastAsia="Times New Roman" w:hAnsi="Arial" w:cs="Arial"/>
          <w:kern w:val="0"/>
          <w:sz w:val="22"/>
          <w:szCs w:val="22"/>
          <w:lang w:eastAsia="zh-CN"/>
          <w14:ligatures w14:val="none"/>
        </w:rPr>
      </w:pPr>
    </w:p>
    <w:p w14:paraId="1BB746A3" w14:textId="77777777" w:rsidR="00056667" w:rsidRDefault="00056667" w:rsidP="00151579">
      <w:pPr>
        <w:spacing w:after="0" w:line="360" w:lineRule="auto"/>
        <w:textAlignment w:val="baseline"/>
        <w:rPr>
          <w:rFonts w:ascii="Arial" w:eastAsia="Times New Roman" w:hAnsi="Arial" w:cs="Arial"/>
          <w:kern w:val="0"/>
          <w:sz w:val="22"/>
          <w:szCs w:val="22"/>
          <w:lang w:eastAsia="zh-CN"/>
          <w14:ligatures w14:val="none"/>
        </w:rPr>
      </w:pPr>
    </w:p>
    <w:p w14:paraId="4DCE77DF" w14:textId="77777777" w:rsidR="001370B9" w:rsidRDefault="001370B9" w:rsidP="00151579">
      <w:pPr>
        <w:spacing w:after="0" w:line="360" w:lineRule="auto"/>
        <w:textAlignment w:val="baseline"/>
        <w:rPr>
          <w:rFonts w:ascii="Arial" w:eastAsia="Times New Roman" w:hAnsi="Arial" w:cs="Arial"/>
          <w:kern w:val="0"/>
          <w:sz w:val="22"/>
          <w:szCs w:val="22"/>
          <w:lang w:eastAsia="zh-CN"/>
          <w14:ligatures w14:val="none"/>
        </w:rPr>
      </w:pPr>
    </w:p>
    <w:p w14:paraId="7753D6ED" w14:textId="77777777" w:rsidR="008C47BD" w:rsidRDefault="008C47BD" w:rsidP="00151579">
      <w:pPr>
        <w:spacing w:line="360" w:lineRule="auto"/>
        <w:jc w:val="both"/>
        <w:rPr>
          <w:rFonts w:ascii="Aptos" w:hAnsi="Aptos"/>
          <w:sz w:val="22"/>
          <w:szCs w:val="22"/>
          <w:lang w:eastAsia="zh-CN"/>
        </w:rPr>
      </w:pPr>
    </w:p>
    <w:p w14:paraId="0D146E1F" w14:textId="77777777" w:rsidR="00CE0458" w:rsidRDefault="00151579" w:rsidP="00056667">
      <w:pPr>
        <w:pStyle w:val="Heading1"/>
        <w:rPr>
          <w:lang w:eastAsia="zh-CN"/>
        </w:rPr>
      </w:pPr>
      <w:r w:rsidRPr="00151579">
        <w:rPr>
          <w:lang w:eastAsia="zh-CN"/>
        </w:rPr>
        <w:t>Reference (1)</w:t>
      </w:r>
    </w:p>
    <w:p w14:paraId="61186D1B" w14:textId="1679E082"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Accili, D., Deng, </w:t>
      </w:r>
      <w:r w:rsidR="004C4C52" w:rsidRPr="00881669">
        <w:rPr>
          <w:rStyle w:val="s1"/>
          <w:rFonts w:ascii="Arial" w:hAnsi="Arial" w:cs="Arial"/>
          <w:sz w:val="22"/>
          <w:szCs w:val="22"/>
        </w:rPr>
        <w:t>Z.,</w:t>
      </w:r>
      <w:r w:rsidRPr="00881669">
        <w:rPr>
          <w:rStyle w:val="s1"/>
          <w:rFonts w:ascii="Arial" w:hAnsi="Arial" w:cs="Arial"/>
          <w:sz w:val="22"/>
          <w:szCs w:val="22"/>
        </w:rPr>
        <w:t xml:space="preserve"> and Liu, Q. (2025) ‘Insulin resistance in type 2 diabetes mellitus’, </w:t>
      </w:r>
      <w:r w:rsidRPr="00833EEE">
        <w:rPr>
          <w:rStyle w:val="s2"/>
          <w:rFonts w:ascii="Arial" w:hAnsi="Arial" w:cs="Arial"/>
          <w:i/>
          <w:iCs/>
          <w:sz w:val="22"/>
          <w:szCs w:val="22"/>
        </w:rPr>
        <w:t>Nature Reviews Endocrinology</w:t>
      </w:r>
      <w:r w:rsidRPr="00833EEE">
        <w:rPr>
          <w:rStyle w:val="s1"/>
          <w:rFonts w:ascii="Arial" w:hAnsi="Arial" w:cs="Arial"/>
          <w:i/>
          <w:iCs/>
          <w:sz w:val="22"/>
          <w:szCs w:val="22"/>
        </w:rPr>
        <w:t>.</w:t>
      </w:r>
      <w:r w:rsidRPr="00881669">
        <w:rPr>
          <w:rStyle w:val="s1"/>
          <w:rFonts w:ascii="Arial" w:hAnsi="Arial" w:cs="Arial"/>
          <w:sz w:val="22"/>
          <w:szCs w:val="22"/>
        </w:rPr>
        <w:t xml:space="preserve"> Available at: https://www.nature.com/articles/s41574-025-01114-y</w:t>
      </w:r>
    </w:p>
    <w:p w14:paraId="011E8E29" w14:textId="77777777" w:rsidR="00F34306" w:rsidRPr="00881669" w:rsidRDefault="00F34306" w:rsidP="00881669">
      <w:pPr>
        <w:pStyle w:val="p2"/>
        <w:spacing w:line="360" w:lineRule="auto"/>
        <w:divId w:val="971708770"/>
        <w:rPr>
          <w:rFonts w:ascii="Arial" w:hAnsi="Arial" w:cs="Arial"/>
          <w:sz w:val="22"/>
          <w:szCs w:val="22"/>
        </w:rPr>
      </w:pPr>
    </w:p>
    <w:p w14:paraId="0C407D36"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American Diabetes Association (2023) ‘Classification and diagnosis of diabetes’, </w:t>
      </w:r>
      <w:r w:rsidRPr="00EF326D">
        <w:rPr>
          <w:rStyle w:val="s2"/>
          <w:rFonts w:ascii="Arial" w:hAnsi="Arial" w:cs="Arial"/>
          <w:i/>
          <w:iCs/>
          <w:sz w:val="22"/>
          <w:szCs w:val="22"/>
        </w:rPr>
        <w:t>Diabetes Care</w:t>
      </w:r>
      <w:r w:rsidRPr="00EF326D">
        <w:rPr>
          <w:rStyle w:val="s1"/>
          <w:rFonts w:ascii="Arial" w:hAnsi="Arial" w:cs="Arial"/>
          <w:i/>
          <w:iCs/>
          <w:sz w:val="22"/>
          <w:szCs w:val="22"/>
        </w:rPr>
        <w:t>,</w:t>
      </w:r>
      <w:r w:rsidRPr="00881669">
        <w:rPr>
          <w:rStyle w:val="s1"/>
          <w:rFonts w:ascii="Arial" w:hAnsi="Arial" w:cs="Arial"/>
          <w:sz w:val="22"/>
          <w:szCs w:val="22"/>
        </w:rPr>
        <w:t xml:space="preserve"> 46(Suppl.1), pp. S19–S40.</w:t>
      </w:r>
    </w:p>
    <w:p w14:paraId="21102A95" w14:textId="77777777" w:rsidR="00F34306" w:rsidRPr="00881669" w:rsidRDefault="00F34306" w:rsidP="00881669">
      <w:pPr>
        <w:pStyle w:val="p2"/>
        <w:spacing w:line="360" w:lineRule="auto"/>
        <w:divId w:val="971708770"/>
        <w:rPr>
          <w:rFonts w:ascii="Arial" w:hAnsi="Arial" w:cs="Arial"/>
          <w:sz w:val="22"/>
          <w:szCs w:val="22"/>
        </w:rPr>
      </w:pPr>
    </w:p>
    <w:p w14:paraId="043E4A52"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Arnold, S.E. and Arvanitakis, Z. (2018) ‘Brain insulin resistance in type 2 diabetes and Alzheimer disease: concepts and conundrums’, </w:t>
      </w:r>
      <w:r w:rsidRPr="008A1984">
        <w:rPr>
          <w:rStyle w:val="s2"/>
          <w:rFonts w:ascii="Arial" w:hAnsi="Arial" w:cs="Arial"/>
          <w:i/>
          <w:iCs/>
          <w:sz w:val="22"/>
          <w:szCs w:val="22"/>
        </w:rPr>
        <w:t>Nature Reviews Neurology</w:t>
      </w:r>
      <w:r w:rsidRPr="008A1984">
        <w:rPr>
          <w:rStyle w:val="s1"/>
          <w:rFonts w:ascii="Arial" w:hAnsi="Arial" w:cs="Arial"/>
          <w:i/>
          <w:iCs/>
          <w:sz w:val="22"/>
          <w:szCs w:val="22"/>
        </w:rPr>
        <w:t>,</w:t>
      </w:r>
      <w:r w:rsidRPr="00881669">
        <w:rPr>
          <w:rStyle w:val="s1"/>
          <w:rFonts w:ascii="Arial" w:hAnsi="Arial" w:cs="Arial"/>
          <w:sz w:val="22"/>
          <w:szCs w:val="22"/>
        </w:rPr>
        <w:t xml:space="preserve"> 14(3), pp. 168–181.</w:t>
      </w:r>
    </w:p>
    <w:p w14:paraId="64B5DFC0" w14:textId="77777777" w:rsidR="00F34306" w:rsidRPr="00881669" w:rsidRDefault="00F34306" w:rsidP="00881669">
      <w:pPr>
        <w:pStyle w:val="p2"/>
        <w:spacing w:line="360" w:lineRule="auto"/>
        <w:divId w:val="971708770"/>
        <w:rPr>
          <w:rFonts w:ascii="Arial" w:hAnsi="Arial" w:cs="Arial"/>
          <w:sz w:val="22"/>
          <w:szCs w:val="22"/>
        </w:rPr>
      </w:pPr>
    </w:p>
    <w:p w14:paraId="3055B489" w14:textId="425BD08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Au-Yeung, C.H., Ellis, D., Dallaway, A. and Riley, J. (2024) ‘Socioeconomic and ethnic inequalities increase the risk of type 2 diabetes: an analysis of NHS health check attendees in Birmingham’, </w:t>
      </w:r>
      <w:r w:rsidRPr="00AB0F98">
        <w:rPr>
          <w:rStyle w:val="s2"/>
          <w:rFonts w:ascii="Arial" w:hAnsi="Arial" w:cs="Arial"/>
          <w:i/>
          <w:iCs/>
          <w:sz w:val="22"/>
          <w:szCs w:val="22"/>
        </w:rPr>
        <w:t>Frontiers in Public Health</w:t>
      </w:r>
      <w:r w:rsidRPr="00AB0F98">
        <w:rPr>
          <w:rStyle w:val="s1"/>
          <w:rFonts w:ascii="Arial" w:hAnsi="Arial" w:cs="Arial"/>
          <w:i/>
          <w:iCs/>
          <w:sz w:val="22"/>
          <w:szCs w:val="22"/>
        </w:rPr>
        <w:t>,</w:t>
      </w:r>
      <w:r w:rsidRPr="00881669">
        <w:rPr>
          <w:rStyle w:val="s1"/>
          <w:rFonts w:ascii="Arial" w:hAnsi="Arial" w:cs="Arial"/>
          <w:sz w:val="22"/>
          <w:szCs w:val="22"/>
        </w:rPr>
        <w:t xml:space="preserve"> 12. Available at: </w:t>
      </w:r>
      <w:r w:rsidR="00476AFE" w:rsidRPr="00881669">
        <w:rPr>
          <w:rStyle w:val="s1"/>
          <w:rFonts w:ascii="Arial" w:hAnsi="Arial" w:cs="Arial"/>
          <w:sz w:val="22"/>
          <w:szCs w:val="22"/>
        </w:rPr>
        <w:t>https://www.frontiersin.org/articles/10.3389/fpubh.2024.1477418.</w:t>
      </w:r>
    </w:p>
    <w:p w14:paraId="62FBBD97" w14:textId="77777777" w:rsidR="00F34306" w:rsidRPr="00881669" w:rsidRDefault="00F34306" w:rsidP="00881669">
      <w:pPr>
        <w:pStyle w:val="p2"/>
        <w:spacing w:line="360" w:lineRule="auto"/>
        <w:divId w:val="971708770"/>
        <w:rPr>
          <w:rFonts w:ascii="Arial" w:hAnsi="Arial" w:cs="Arial"/>
          <w:sz w:val="22"/>
          <w:szCs w:val="22"/>
        </w:rPr>
      </w:pPr>
    </w:p>
    <w:p w14:paraId="6EA5312E"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Bellary, S., Kyrou, I., Brown, J.E. and Bailey, C.J. (2021) ‘Type 2 diabetes mellitus in older adults: clinical considerations and management’, </w:t>
      </w:r>
      <w:r w:rsidRPr="00F13BDA">
        <w:rPr>
          <w:rStyle w:val="s2"/>
          <w:rFonts w:ascii="Arial" w:hAnsi="Arial" w:cs="Arial"/>
          <w:i/>
          <w:iCs/>
          <w:sz w:val="22"/>
          <w:szCs w:val="22"/>
        </w:rPr>
        <w:t>Nature Reviews Endocrinology</w:t>
      </w:r>
      <w:r w:rsidRPr="00F13BDA">
        <w:rPr>
          <w:rStyle w:val="s1"/>
          <w:rFonts w:ascii="Arial" w:hAnsi="Arial" w:cs="Arial"/>
          <w:i/>
          <w:iCs/>
          <w:sz w:val="22"/>
          <w:szCs w:val="22"/>
        </w:rPr>
        <w:t>,</w:t>
      </w:r>
      <w:r w:rsidRPr="00881669">
        <w:rPr>
          <w:rStyle w:val="s1"/>
          <w:rFonts w:ascii="Arial" w:hAnsi="Arial" w:cs="Arial"/>
          <w:sz w:val="22"/>
          <w:szCs w:val="22"/>
        </w:rPr>
        <w:t xml:space="preserve"> 17(9), pp. 534–548.</w:t>
      </w:r>
    </w:p>
    <w:p w14:paraId="525C9E0E" w14:textId="77777777" w:rsidR="00F34306" w:rsidRPr="00881669" w:rsidRDefault="00F34306" w:rsidP="00881669">
      <w:pPr>
        <w:pStyle w:val="p2"/>
        <w:spacing w:line="360" w:lineRule="auto"/>
        <w:divId w:val="971708770"/>
        <w:rPr>
          <w:rFonts w:ascii="Arial" w:hAnsi="Arial" w:cs="Arial"/>
          <w:sz w:val="22"/>
          <w:szCs w:val="22"/>
        </w:rPr>
      </w:pPr>
    </w:p>
    <w:p w14:paraId="462871F3" w14:textId="3DB24C87" w:rsidR="00F34306" w:rsidRPr="00881669" w:rsidRDefault="00E43D0C"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Beissel’s</w:t>
      </w:r>
      <w:r w:rsidR="00F34306" w:rsidRPr="00881669">
        <w:rPr>
          <w:rStyle w:val="s1"/>
          <w:rFonts w:ascii="Arial" w:hAnsi="Arial" w:cs="Arial"/>
          <w:sz w:val="22"/>
          <w:szCs w:val="22"/>
        </w:rPr>
        <w:t xml:space="preserve">, G.J. and Despa, F. (2018) ‘Cognitive decline and dementia in diabetes mellitus: mechanisms and clinical implications’, </w:t>
      </w:r>
      <w:r w:rsidR="00F34306" w:rsidRPr="00F96F0B">
        <w:rPr>
          <w:rStyle w:val="s2"/>
          <w:rFonts w:ascii="Arial" w:hAnsi="Arial" w:cs="Arial"/>
          <w:i/>
          <w:iCs/>
          <w:sz w:val="22"/>
          <w:szCs w:val="22"/>
        </w:rPr>
        <w:t>Nature Reviews Endocrinology</w:t>
      </w:r>
      <w:r w:rsidR="00F34306" w:rsidRPr="00881669">
        <w:rPr>
          <w:rStyle w:val="s1"/>
          <w:rFonts w:ascii="Arial" w:hAnsi="Arial" w:cs="Arial"/>
          <w:sz w:val="22"/>
          <w:szCs w:val="22"/>
        </w:rPr>
        <w:t>, 14(10), pp. 591–604.</w:t>
      </w:r>
    </w:p>
    <w:p w14:paraId="18A86294" w14:textId="77777777" w:rsidR="00F34306" w:rsidRPr="00881669" w:rsidRDefault="00F34306" w:rsidP="00881669">
      <w:pPr>
        <w:pStyle w:val="p2"/>
        <w:spacing w:line="360" w:lineRule="auto"/>
        <w:divId w:val="971708770"/>
        <w:rPr>
          <w:rFonts w:ascii="Arial" w:hAnsi="Arial" w:cs="Arial"/>
          <w:sz w:val="22"/>
          <w:szCs w:val="22"/>
        </w:rPr>
      </w:pPr>
    </w:p>
    <w:p w14:paraId="0EDA7F71"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Congdon, P. (2006) ‘Estimating diabetes prevalence by small area in England’, </w:t>
      </w:r>
      <w:r w:rsidRPr="0029490A">
        <w:rPr>
          <w:rStyle w:val="s2"/>
          <w:rFonts w:ascii="Arial" w:hAnsi="Arial" w:cs="Arial"/>
          <w:i/>
          <w:iCs/>
          <w:sz w:val="22"/>
          <w:szCs w:val="22"/>
        </w:rPr>
        <w:t>Journal of Public Health</w:t>
      </w:r>
      <w:r w:rsidRPr="0029490A">
        <w:rPr>
          <w:rStyle w:val="s1"/>
          <w:rFonts w:ascii="Arial" w:hAnsi="Arial" w:cs="Arial"/>
          <w:i/>
          <w:iCs/>
          <w:sz w:val="22"/>
          <w:szCs w:val="22"/>
        </w:rPr>
        <w:t xml:space="preserve">, </w:t>
      </w:r>
      <w:r w:rsidRPr="00881669">
        <w:rPr>
          <w:rStyle w:val="s1"/>
          <w:rFonts w:ascii="Arial" w:hAnsi="Arial" w:cs="Arial"/>
          <w:sz w:val="22"/>
          <w:szCs w:val="22"/>
        </w:rPr>
        <w:t>28(1), pp. 71–81.</w:t>
      </w:r>
    </w:p>
    <w:p w14:paraId="6F57C3F3" w14:textId="77777777" w:rsidR="00F34306" w:rsidRPr="00881669" w:rsidRDefault="00F34306" w:rsidP="00881669">
      <w:pPr>
        <w:pStyle w:val="p2"/>
        <w:spacing w:line="360" w:lineRule="auto"/>
        <w:divId w:val="971708770"/>
        <w:rPr>
          <w:rFonts w:ascii="Arial" w:hAnsi="Arial" w:cs="Arial"/>
          <w:sz w:val="22"/>
          <w:szCs w:val="22"/>
        </w:rPr>
      </w:pPr>
    </w:p>
    <w:p w14:paraId="1505406F"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DeFronzo, R.A. (2009) ‘From the triumvirate to the ominous octet: a new paradigm for the treatment of type 2 diabetes mellitus’, </w:t>
      </w:r>
      <w:r w:rsidRPr="00677320">
        <w:rPr>
          <w:rStyle w:val="s2"/>
          <w:rFonts w:ascii="Arial" w:hAnsi="Arial" w:cs="Arial"/>
          <w:i/>
          <w:iCs/>
          <w:sz w:val="22"/>
          <w:szCs w:val="22"/>
        </w:rPr>
        <w:t>Diabetes</w:t>
      </w:r>
      <w:r w:rsidRPr="00677320">
        <w:rPr>
          <w:rStyle w:val="s1"/>
          <w:rFonts w:ascii="Arial" w:hAnsi="Arial" w:cs="Arial"/>
          <w:i/>
          <w:iCs/>
          <w:sz w:val="22"/>
          <w:szCs w:val="22"/>
        </w:rPr>
        <w:t>,</w:t>
      </w:r>
      <w:r w:rsidRPr="00881669">
        <w:rPr>
          <w:rStyle w:val="s1"/>
          <w:rFonts w:ascii="Arial" w:hAnsi="Arial" w:cs="Arial"/>
          <w:sz w:val="22"/>
          <w:szCs w:val="22"/>
        </w:rPr>
        <w:t xml:space="preserve"> 58(4), pp. 773–795.</w:t>
      </w:r>
    </w:p>
    <w:p w14:paraId="05859F3F" w14:textId="77777777" w:rsidR="00F34306" w:rsidRPr="00881669" w:rsidRDefault="00F34306" w:rsidP="00881669">
      <w:pPr>
        <w:pStyle w:val="p2"/>
        <w:spacing w:line="360" w:lineRule="auto"/>
        <w:divId w:val="971708770"/>
        <w:rPr>
          <w:rFonts w:ascii="Arial" w:hAnsi="Arial" w:cs="Arial"/>
          <w:sz w:val="22"/>
          <w:szCs w:val="22"/>
        </w:rPr>
      </w:pPr>
    </w:p>
    <w:p w14:paraId="723ADAD9"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Forouhi, N.G. and Wareham, N.J. (2014) ‘Epidemiology of diabetes’, </w:t>
      </w:r>
      <w:r w:rsidRPr="003C5EC1">
        <w:rPr>
          <w:rStyle w:val="s2"/>
          <w:rFonts w:ascii="Arial" w:hAnsi="Arial" w:cs="Arial"/>
          <w:i/>
          <w:iCs/>
          <w:sz w:val="22"/>
          <w:szCs w:val="22"/>
        </w:rPr>
        <w:t>Medicine</w:t>
      </w:r>
      <w:r w:rsidRPr="003C5EC1">
        <w:rPr>
          <w:rStyle w:val="s1"/>
          <w:rFonts w:ascii="Arial" w:hAnsi="Arial" w:cs="Arial"/>
          <w:i/>
          <w:iCs/>
          <w:sz w:val="22"/>
          <w:szCs w:val="22"/>
        </w:rPr>
        <w:t>,</w:t>
      </w:r>
      <w:r w:rsidRPr="00881669">
        <w:rPr>
          <w:rStyle w:val="s1"/>
          <w:rFonts w:ascii="Arial" w:hAnsi="Arial" w:cs="Arial"/>
          <w:sz w:val="22"/>
          <w:szCs w:val="22"/>
        </w:rPr>
        <w:t xml:space="preserve"> 42(12), pp. 698–702.</w:t>
      </w:r>
    </w:p>
    <w:p w14:paraId="56EAA20E" w14:textId="77777777" w:rsidR="00F34306" w:rsidRPr="00881669" w:rsidRDefault="00F34306" w:rsidP="00881669">
      <w:pPr>
        <w:pStyle w:val="p2"/>
        <w:spacing w:line="360" w:lineRule="auto"/>
        <w:divId w:val="971708770"/>
        <w:rPr>
          <w:rFonts w:ascii="Arial" w:hAnsi="Arial" w:cs="Arial"/>
          <w:sz w:val="22"/>
          <w:szCs w:val="22"/>
        </w:rPr>
      </w:pPr>
    </w:p>
    <w:p w14:paraId="0257CA3B" w14:textId="12022ABD"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Halim, </w:t>
      </w:r>
      <w:r w:rsidR="004C4C52" w:rsidRPr="00881669">
        <w:rPr>
          <w:rStyle w:val="s1"/>
          <w:rFonts w:ascii="Arial" w:hAnsi="Arial" w:cs="Arial"/>
          <w:sz w:val="22"/>
          <w:szCs w:val="22"/>
        </w:rPr>
        <w:t>M.,</w:t>
      </w:r>
      <w:r w:rsidRPr="00881669">
        <w:rPr>
          <w:rStyle w:val="s1"/>
          <w:rFonts w:ascii="Arial" w:hAnsi="Arial" w:cs="Arial"/>
          <w:sz w:val="22"/>
          <w:szCs w:val="22"/>
        </w:rPr>
        <w:t xml:space="preserve"> and Halim, A. (2019) ‘The effects of inflammation, ageing and oxidative stress on the pathogenesis of type 2 diabetes’, </w:t>
      </w:r>
      <w:r w:rsidRPr="000F1698">
        <w:rPr>
          <w:rStyle w:val="s2"/>
          <w:rFonts w:ascii="Arial" w:hAnsi="Arial" w:cs="Arial"/>
          <w:i/>
          <w:iCs/>
          <w:sz w:val="22"/>
          <w:szCs w:val="22"/>
        </w:rPr>
        <w:t>Diabetes &amp; Metabolic Syndrome: Clinical Research &amp; Reviews</w:t>
      </w:r>
      <w:r w:rsidRPr="000F1698">
        <w:rPr>
          <w:rStyle w:val="s1"/>
          <w:rFonts w:ascii="Arial" w:hAnsi="Arial" w:cs="Arial"/>
          <w:i/>
          <w:iCs/>
          <w:sz w:val="22"/>
          <w:szCs w:val="22"/>
        </w:rPr>
        <w:t>,</w:t>
      </w:r>
      <w:r w:rsidRPr="00881669">
        <w:rPr>
          <w:rStyle w:val="s1"/>
          <w:rFonts w:ascii="Arial" w:hAnsi="Arial" w:cs="Arial"/>
          <w:sz w:val="22"/>
          <w:szCs w:val="22"/>
        </w:rPr>
        <w:t xml:space="preserve"> 13(2), pp. 1165–1172.</w:t>
      </w:r>
    </w:p>
    <w:p w14:paraId="7CF5F66C" w14:textId="77777777" w:rsidR="00F34306" w:rsidRPr="00881669" w:rsidRDefault="00F34306" w:rsidP="00881669">
      <w:pPr>
        <w:pStyle w:val="p2"/>
        <w:spacing w:line="360" w:lineRule="auto"/>
        <w:divId w:val="971708770"/>
        <w:rPr>
          <w:rFonts w:ascii="Arial" w:hAnsi="Arial" w:cs="Arial"/>
          <w:sz w:val="22"/>
          <w:szCs w:val="22"/>
        </w:rPr>
      </w:pPr>
    </w:p>
    <w:p w14:paraId="02FB87E6"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Kalyani, R.R., Golden, S.H. and Cefalu, W.T. (2017) ‘Diabetes and ageing: unique considerations and goals of care’</w:t>
      </w:r>
      <w:r w:rsidRPr="00431B78">
        <w:rPr>
          <w:rStyle w:val="s1"/>
          <w:rFonts w:ascii="Arial" w:hAnsi="Arial" w:cs="Arial"/>
          <w:i/>
          <w:iCs/>
          <w:sz w:val="22"/>
          <w:szCs w:val="22"/>
        </w:rPr>
        <w:t xml:space="preserve">, </w:t>
      </w:r>
      <w:r w:rsidRPr="00431B78">
        <w:rPr>
          <w:rStyle w:val="s2"/>
          <w:rFonts w:ascii="Arial" w:hAnsi="Arial" w:cs="Arial"/>
          <w:i/>
          <w:iCs/>
          <w:sz w:val="22"/>
          <w:szCs w:val="22"/>
        </w:rPr>
        <w:t>Diabetes Care</w:t>
      </w:r>
      <w:r w:rsidRPr="00881669">
        <w:rPr>
          <w:rStyle w:val="s1"/>
          <w:rFonts w:ascii="Arial" w:hAnsi="Arial" w:cs="Arial"/>
          <w:sz w:val="22"/>
          <w:szCs w:val="22"/>
        </w:rPr>
        <w:t>, 40(4), pp. 440–443.</w:t>
      </w:r>
    </w:p>
    <w:p w14:paraId="069933F0" w14:textId="77777777" w:rsidR="00F34306" w:rsidRPr="00881669" w:rsidRDefault="00F34306" w:rsidP="00881669">
      <w:pPr>
        <w:pStyle w:val="p2"/>
        <w:spacing w:line="360" w:lineRule="auto"/>
        <w:divId w:val="971708770"/>
        <w:rPr>
          <w:rFonts w:ascii="Arial" w:hAnsi="Arial" w:cs="Arial"/>
          <w:sz w:val="22"/>
          <w:szCs w:val="22"/>
        </w:rPr>
      </w:pPr>
    </w:p>
    <w:p w14:paraId="3E6A2634"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Public Health England (2019) </w:t>
      </w:r>
      <w:r w:rsidRPr="009F0FC7">
        <w:rPr>
          <w:rStyle w:val="s2"/>
          <w:rFonts w:ascii="Arial" w:hAnsi="Arial" w:cs="Arial"/>
          <w:i/>
          <w:iCs/>
          <w:sz w:val="22"/>
          <w:szCs w:val="22"/>
        </w:rPr>
        <w:t>Health profile for England: diabetes prevalence and inequalities</w:t>
      </w:r>
      <w:r w:rsidRPr="009F0FC7">
        <w:rPr>
          <w:rStyle w:val="s1"/>
          <w:rFonts w:ascii="Arial" w:hAnsi="Arial" w:cs="Arial"/>
          <w:i/>
          <w:iCs/>
          <w:sz w:val="22"/>
          <w:szCs w:val="22"/>
        </w:rPr>
        <w:t xml:space="preserve">. </w:t>
      </w:r>
      <w:r w:rsidRPr="00881669">
        <w:rPr>
          <w:rStyle w:val="s1"/>
          <w:rFonts w:ascii="Arial" w:hAnsi="Arial" w:cs="Arial"/>
          <w:sz w:val="22"/>
          <w:szCs w:val="22"/>
        </w:rPr>
        <w:t>London: Public Health England.</w:t>
      </w:r>
    </w:p>
    <w:p w14:paraId="09486338" w14:textId="77777777" w:rsidR="00F34306" w:rsidRPr="00881669" w:rsidRDefault="00F34306" w:rsidP="00881669">
      <w:pPr>
        <w:pStyle w:val="p2"/>
        <w:spacing w:line="360" w:lineRule="auto"/>
        <w:divId w:val="971708770"/>
        <w:rPr>
          <w:rFonts w:ascii="Arial" w:hAnsi="Arial" w:cs="Arial"/>
          <w:sz w:val="22"/>
          <w:szCs w:val="22"/>
        </w:rPr>
      </w:pPr>
    </w:p>
    <w:p w14:paraId="39130E5F"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Saini, V. (2010) ‘Molecular mechanisms of insulin resistance in type 2 diabetes mellitus’, </w:t>
      </w:r>
      <w:r w:rsidRPr="00F63581">
        <w:rPr>
          <w:rStyle w:val="s2"/>
          <w:rFonts w:ascii="Arial" w:hAnsi="Arial" w:cs="Arial"/>
          <w:i/>
          <w:iCs/>
          <w:sz w:val="22"/>
          <w:szCs w:val="22"/>
        </w:rPr>
        <w:t>World Journal of Diabetes</w:t>
      </w:r>
      <w:r w:rsidRPr="00881669">
        <w:rPr>
          <w:rStyle w:val="s1"/>
          <w:rFonts w:ascii="Arial" w:hAnsi="Arial" w:cs="Arial"/>
          <w:sz w:val="22"/>
          <w:szCs w:val="22"/>
        </w:rPr>
        <w:t>, 1(3), pp. 68–75.</w:t>
      </w:r>
    </w:p>
    <w:p w14:paraId="2B1B20BD" w14:textId="77777777" w:rsidR="00F34306" w:rsidRPr="00881669" w:rsidRDefault="00F34306" w:rsidP="00881669">
      <w:pPr>
        <w:pStyle w:val="p2"/>
        <w:spacing w:line="360" w:lineRule="auto"/>
        <w:divId w:val="971708770"/>
        <w:rPr>
          <w:rFonts w:ascii="Arial" w:hAnsi="Arial" w:cs="Arial"/>
          <w:sz w:val="22"/>
          <w:szCs w:val="22"/>
        </w:rPr>
      </w:pPr>
    </w:p>
    <w:p w14:paraId="4AC3BE6A"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Shou, J., Chen, P.J. and Xiao, W.H. (2020) ‘Mechanism of increased risk of insulin resistance in ageing skeletal muscle’, </w:t>
      </w:r>
      <w:r w:rsidRPr="00000242">
        <w:rPr>
          <w:rStyle w:val="s2"/>
          <w:rFonts w:ascii="Arial" w:hAnsi="Arial" w:cs="Arial"/>
          <w:i/>
          <w:iCs/>
          <w:sz w:val="22"/>
          <w:szCs w:val="22"/>
        </w:rPr>
        <w:t>Diabetology &amp; Metabolic Syndrome</w:t>
      </w:r>
      <w:r w:rsidRPr="00881669">
        <w:rPr>
          <w:rStyle w:val="s1"/>
          <w:rFonts w:ascii="Arial" w:hAnsi="Arial" w:cs="Arial"/>
          <w:sz w:val="22"/>
          <w:szCs w:val="22"/>
        </w:rPr>
        <w:t>, 12(1), pp. 14–20.</w:t>
      </w:r>
    </w:p>
    <w:p w14:paraId="526CB47C" w14:textId="77777777" w:rsidR="00F34306" w:rsidRPr="00881669" w:rsidRDefault="00F34306" w:rsidP="00881669">
      <w:pPr>
        <w:pStyle w:val="p2"/>
        <w:spacing w:line="360" w:lineRule="auto"/>
        <w:divId w:val="971708770"/>
        <w:rPr>
          <w:rFonts w:ascii="Arial" w:hAnsi="Arial" w:cs="Arial"/>
          <w:sz w:val="22"/>
          <w:szCs w:val="22"/>
        </w:rPr>
      </w:pPr>
    </w:p>
    <w:p w14:paraId="2F54D9EE" w14:textId="77777777" w:rsidR="00F34306" w:rsidRPr="00881669" w:rsidRDefault="00F34306" w:rsidP="00881669">
      <w:pPr>
        <w:pStyle w:val="p1"/>
        <w:spacing w:line="360" w:lineRule="auto"/>
        <w:divId w:val="971708770"/>
        <w:rPr>
          <w:rFonts w:ascii="Arial" w:hAnsi="Arial" w:cs="Arial"/>
          <w:sz w:val="22"/>
          <w:szCs w:val="22"/>
        </w:rPr>
      </w:pPr>
      <w:r w:rsidRPr="00881669">
        <w:rPr>
          <w:rStyle w:val="s1"/>
          <w:rFonts w:ascii="Arial" w:hAnsi="Arial" w:cs="Arial"/>
          <w:sz w:val="22"/>
          <w:szCs w:val="22"/>
        </w:rPr>
        <w:t xml:space="preserve">Sinclair, A., Dunning, T. and Rodriguez-Mañas, L. (2012) ‘Diabetes in older people: new insights and remaining challenges’, </w:t>
      </w:r>
      <w:r w:rsidRPr="00D41D5D">
        <w:rPr>
          <w:rStyle w:val="s2"/>
          <w:rFonts w:ascii="Arial" w:hAnsi="Arial" w:cs="Arial"/>
          <w:i/>
          <w:iCs/>
          <w:sz w:val="22"/>
          <w:szCs w:val="22"/>
        </w:rPr>
        <w:t>Lancet Diabetes &amp; Endocrinology</w:t>
      </w:r>
      <w:r w:rsidRPr="00881669">
        <w:rPr>
          <w:rStyle w:val="s1"/>
          <w:rFonts w:ascii="Arial" w:hAnsi="Arial" w:cs="Arial"/>
          <w:sz w:val="22"/>
          <w:szCs w:val="22"/>
        </w:rPr>
        <w:t>, 1(1), pp. 1–10.</w:t>
      </w:r>
    </w:p>
    <w:p w14:paraId="653953FA" w14:textId="77777777" w:rsidR="00F34306" w:rsidRPr="00881669" w:rsidRDefault="00F34306" w:rsidP="00881669">
      <w:pPr>
        <w:pStyle w:val="p2"/>
        <w:spacing w:line="360" w:lineRule="auto"/>
        <w:divId w:val="971708770"/>
        <w:rPr>
          <w:rFonts w:ascii="Arial" w:hAnsi="Arial" w:cs="Arial"/>
          <w:sz w:val="22"/>
          <w:szCs w:val="22"/>
        </w:rPr>
      </w:pPr>
    </w:p>
    <w:p w14:paraId="31048A55" w14:textId="77777777" w:rsidR="007C28BF" w:rsidRDefault="00F34306" w:rsidP="007C28BF">
      <w:pPr>
        <w:pStyle w:val="p1"/>
        <w:spacing w:line="360" w:lineRule="auto"/>
        <w:divId w:val="971708770"/>
        <w:rPr>
          <w:rStyle w:val="s1"/>
          <w:rFonts w:ascii="Arial" w:hAnsi="Arial" w:cs="Arial"/>
          <w:sz w:val="22"/>
          <w:szCs w:val="22"/>
        </w:rPr>
      </w:pPr>
      <w:r w:rsidRPr="00881669">
        <w:rPr>
          <w:rStyle w:val="s1"/>
          <w:rFonts w:ascii="Arial" w:hAnsi="Arial" w:cs="Arial"/>
          <w:sz w:val="22"/>
          <w:szCs w:val="22"/>
        </w:rPr>
        <w:t xml:space="preserve">UKPDS Group (1998) ‘Intensive blood-glucose control with </w:t>
      </w:r>
      <w:r w:rsidR="009D283A" w:rsidRPr="00881669">
        <w:rPr>
          <w:rStyle w:val="s1"/>
          <w:rFonts w:ascii="Arial" w:hAnsi="Arial" w:cs="Arial"/>
          <w:sz w:val="22"/>
          <w:szCs w:val="22"/>
        </w:rPr>
        <w:t>sulphonyl Reas</w:t>
      </w:r>
      <w:r w:rsidRPr="00881669">
        <w:rPr>
          <w:rStyle w:val="s1"/>
          <w:rFonts w:ascii="Arial" w:hAnsi="Arial" w:cs="Arial"/>
          <w:sz w:val="22"/>
          <w:szCs w:val="22"/>
        </w:rPr>
        <w:t xml:space="preserve"> or insulin compared with conventional treatment and risk of complications in patients with type 2 diabetes’, </w:t>
      </w:r>
      <w:r w:rsidRPr="005A62D9">
        <w:rPr>
          <w:rStyle w:val="s2"/>
          <w:rFonts w:ascii="Arial" w:hAnsi="Arial" w:cs="Arial"/>
          <w:i/>
          <w:iCs/>
          <w:sz w:val="22"/>
          <w:szCs w:val="22"/>
        </w:rPr>
        <w:t>The Lancet</w:t>
      </w:r>
      <w:r w:rsidRPr="005A62D9">
        <w:rPr>
          <w:rStyle w:val="s1"/>
          <w:rFonts w:ascii="Arial" w:hAnsi="Arial" w:cs="Arial"/>
          <w:i/>
          <w:iCs/>
          <w:sz w:val="22"/>
          <w:szCs w:val="22"/>
        </w:rPr>
        <w:t>,</w:t>
      </w:r>
      <w:r w:rsidRPr="00881669">
        <w:rPr>
          <w:rStyle w:val="s1"/>
          <w:rFonts w:ascii="Arial" w:hAnsi="Arial" w:cs="Arial"/>
          <w:sz w:val="22"/>
          <w:szCs w:val="22"/>
        </w:rPr>
        <w:t xml:space="preserve"> 352(9131), pp. 837–853.</w:t>
      </w:r>
    </w:p>
    <w:p w14:paraId="426A664B" w14:textId="77777777" w:rsidR="00970F8C" w:rsidRDefault="00970F8C" w:rsidP="00CA72D3">
      <w:pPr>
        <w:pStyle w:val="p1"/>
        <w:spacing w:line="360" w:lineRule="auto"/>
        <w:divId w:val="971708770"/>
        <w:rPr>
          <w:rStyle w:val="Heading1Char"/>
          <w:rFonts w:ascii="Arial" w:hAnsi="Arial" w:cs="Arial"/>
          <w:sz w:val="22"/>
          <w:szCs w:val="22"/>
        </w:rPr>
      </w:pPr>
    </w:p>
    <w:p w14:paraId="080D0530" w14:textId="5933BDC8" w:rsidR="00A937CC" w:rsidRPr="00970F8C" w:rsidRDefault="00B803F5" w:rsidP="00970F8C">
      <w:pPr>
        <w:pStyle w:val="Heading1"/>
        <w:divId w:val="971708770"/>
      </w:pPr>
      <w:r w:rsidRPr="00970F8C">
        <w:rPr>
          <w:rStyle w:val="Heading1Char"/>
        </w:rPr>
        <w:t>C</w:t>
      </w:r>
      <w:r w:rsidR="00A937CC" w:rsidRPr="00970F8C">
        <w:rPr>
          <w:rStyle w:val="Heading1Char"/>
        </w:rPr>
        <w:t>HAPTER 2 – Background Information and Analysis</w:t>
      </w:r>
      <w:r w:rsidR="00A937CC" w:rsidRPr="00970F8C">
        <w:t xml:space="preserve"> </w:t>
      </w:r>
    </w:p>
    <w:p w14:paraId="0F03657E" w14:textId="6DA0BD98" w:rsidR="00A937CC" w:rsidRPr="00970F8C" w:rsidRDefault="00A937CC" w:rsidP="00970F8C">
      <w:pPr>
        <w:pStyle w:val="Heading1"/>
      </w:pPr>
      <w:r w:rsidRPr="00970F8C">
        <w:t>2.1 Introductio</w:t>
      </w:r>
      <w:r w:rsidR="005B0A52" w:rsidRPr="00970F8C">
        <w:t>n</w:t>
      </w:r>
      <w:r w:rsidRPr="00970F8C">
        <w:t> </w:t>
      </w:r>
    </w:p>
    <w:p w14:paraId="3955C7A9" w14:textId="352FCE58" w:rsidR="00991A23" w:rsidRPr="00970F8C" w:rsidRDefault="00A937CC" w:rsidP="00970F8C">
      <w:pPr>
        <w:pStyle w:val="Heading1"/>
      </w:pPr>
      <w:r w:rsidRPr="00970F8C">
        <w:t>Purpose of the Chapter: </w:t>
      </w:r>
    </w:p>
    <w:p w14:paraId="16885801" w14:textId="77777777" w:rsidR="00BD1D7C" w:rsidRPr="00CA72D3" w:rsidRDefault="00BD1D7C" w:rsidP="00CA72D3">
      <w:pPr>
        <w:pStyle w:val="p1"/>
        <w:spacing w:line="360" w:lineRule="auto"/>
        <w:divId w:val="1667591608"/>
        <w:rPr>
          <w:rFonts w:ascii="Arial" w:hAnsi="Arial" w:cs="Arial"/>
          <w:sz w:val="22"/>
          <w:szCs w:val="22"/>
        </w:rPr>
      </w:pPr>
      <w:r w:rsidRPr="00CA72D3">
        <w:rPr>
          <w:rStyle w:val="s1"/>
          <w:rFonts w:ascii="Arial" w:hAnsi="Arial" w:cs="Arial"/>
          <w:sz w:val="22"/>
          <w:szCs w:val="22"/>
        </w:rPr>
        <w:t>This chapter provides the conceptual and contextual foundation for understanding Type 2 Diabetes Mellitus (T2DM), with particular emphasis on its physiological mechanisms and long-term health impacts in older adults. The purpose of this chapter is to critically examine the historical development, theoretical frameworks, and policy contexts that have shaped contemporary knowledge of T2DM. Rather than presenting a purely descriptive overview, it considers how diabetes has been conceptualised within biomedical, epidemiological, and public health perspectives.</w:t>
      </w:r>
    </w:p>
    <w:p w14:paraId="07A4D776" w14:textId="77777777" w:rsidR="00BD1D7C" w:rsidRPr="00CA72D3" w:rsidRDefault="00BD1D7C" w:rsidP="00CA72D3">
      <w:pPr>
        <w:pStyle w:val="p2"/>
        <w:spacing w:line="360" w:lineRule="auto"/>
        <w:divId w:val="1667591608"/>
        <w:rPr>
          <w:rFonts w:ascii="Arial" w:hAnsi="Arial" w:cs="Arial"/>
          <w:sz w:val="22"/>
          <w:szCs w:val="22"/>
        </w:rPr>
      </w:pPr>
    </w:p>
    <w:p w14:paraId="59EA8D14" w14:textId="77777777" w:rsidR="00BD1D7C" w:rsidRPr="00CA72D3" w:rsidRDefault="00BD1D7C" w:rsidP="00CA72D3">
      <w:pPr>
        <w:pStyle w:val="p1"/>
        <w:spacing w:line="360" w:lineRule="auto"/>
        <w:divId w:val="1667591608"/>
        <w:rPr>
          <w:rFonts w:ascii="Arial" w:hAnsi="Arial" w:cs="Arial"/>
          <w:sz w:val="22"/>
          <w:szCs w:val="22"/>
        </w:rPr>
      </w:pPr>
      <w:r w:rsidRPr="00CA72D3">
        <w:rPr>
          <w:rStyle w:val="s1"/>
          <w:rFonts w:ascii="Arial" w:hAnsi="Arial" w:cs="Arial"/>
          <w:sz w:val="22"/>
          <w:szCs w:val="22"/>
        </w:rPr>
        <w:t xml:space="preserve">The chapter outlines the historical evolution of diabetes research, tracing the transition from early descriptions of symptoms to contemporary molecular explanations of metabolic dysfunction. It then examines key theoretical frameworks explaining T2DM, including insulin resistance, beta-cell dysfunction, and the concept of inflammaging associated with ageing populations. In addition, broader social perspectives </w:t>
      </w:r>
      <w:bookmarkStart w:id="20" w:name="_Int_pCbZ9BFr"/>
      <w:r w:rsidRPr="00CA72D3">
        <w:rPr>
          <w:rStyle w:val="s1"/>
          <w:rFonts w:ascii="Arial" w:hAnsi="Arial" w:cs="Arial"/>
          <w:sz w:val="22"/>
          <w:szCs w:val="22"/>
        </w:rPr>
        <w:t>are considered</w:t>
      </w:r>
      <w:bookmarkEnd w:id="20"/>
      <w:r w:rsidRPr="00CA72D3">
        <w:rPr>
          <w:rStyle w:val="s1"/>
          <w:rFonts w:ascii="Arial" w:hAnsi="Arial" w:cs="Arial"/>
          <w:sz w:val="22"/>
          <w:szCs w:val="22"/>
        </w:rPr>
        <w:t xml:space="preserve"> through the social determinants of health framework, which highlights how socioeconomic conditions influence disease risk.</w:t>
      </w:r>
    </w:p>
    <w:p w14:paraId="16330F7C" w14:textId="77777777" w:rsidR="00BD1D7C" w:rsidRPr="00CA72D3" w:rsidRDefault="00BD1D7C" w:rsidP="00CA72D3">
      <w:pPr>
        <w:pStyle w:val="p2"/>
        <w:spacing w:line="360" w:lineRule="auto"/>
        <w:divId w:val="1667591608"/>
        <w:rPr>
          <w:rFonts w:ascii="Arial" w:hAnsi="Arial" w:cs="Arial"/>
          <w:sz w:val="22"/>
          <w:szCs w:val="22"/>
        </w:rPr>
      </w:pPr>
    </w:p>
    <w:p w14:paraId="30B8AE80" w14:textId="2A4BFA4B" w:rsidR="00985197" w:rsidRPr="00CA72D3" w:rsidRDefault="00BD1D7C" w:rsidP="00CA72D3">
      <w:pPr>
        <w:pStyle w:val="p1"/>
        <w:spacing w:line="360" w:lineRule="auto"/>
        <w:divId w:val="1667591608"/>
        <w:rPr>
          <w:rFonts w:ascii="Arial" w:hAnsi="Arial" w:cs="Arial"/>
          <w:sz w:val="22"/>
          <w:szCs w:val="22"/>
        </w:rPr>
      </w:pPr>
      <w:r w:rsidRPr="00CA72D3">
        <w:rPr>
          <w:rStyle w:val="s1"/>
          <w:rFonts w:ascii="Arial" w:hAnsi="Arial" w:cs="Arial"/>
          <w:b/>
          <w:bCs/>
          <w:sz w:val="22"/>
          <w:szCs w:val="22"/>
        </w:rPr>
        <w:t>Finally,</w:t>
      </w:r>
      <w:r w:rsidRPr="00CA72D3">
        <w:rPr>
          <w:rStyle w:val="s1"/>
          <w:rFonts w:ascii="Arial" w:hAnsi="Arial" w:cs="Arial"/>
          <w:sz w:val="22"/>
          <w:szCs w:val="22"/>
        </w:rPr>
        <w:t xml:space="preserve"> the chapter situates T2DM within the United Kingdom policy context and highlights the relevance of Birmingham’s demographic and socioeconomic characteristics.</w:t>
      </w:r>
    </w:p>
    <w:p w14:paraId="40918B83" w14:textId="77777777" w:rsidR="0016014F" w:rsidRPr="00CA72D3" w:rsidRDefault="0016014F" w:rsidP="00CA72D3">
      <w:pPr>
        <w:spacing w:line="360" w:lineRule="auto"/>
        <w:jc w:val="both"/>
        <w:rPr>
          <w:rFonts w:ascii="Arial" w:hAnsi="Arial" w:cs="Arial"/>
          <w:b/>
          <w:bCs/>
          <w:sz w:val="22"/>
          <w:szCs w:val="22"/>
          <w:lang w:eastAsia="zh-CN"/>
        </w:rPr>
      </w:pPr>
    </w:p>
    <w:p w14:paraId="62E3D826" w14:textId="55AB0E34" w:rsidR="00936FC4" w:rsidRPr="00970F8C" w:rsidRDefault="00936FC4" w:rsidP="00970F8C">
      <w:pPr>
        <w:pStyle w:val="Heading1"/>
      </w:pPr>
      <w:r w:rsidRPr="00970F8C">
        <w:rPr>
          <w:rStyle w:val="normaltextrun"/>
        </w:rPr>
        <w:t>2.2 Historical Background</w:t>
      </w:r>
    </w:p>
    <w:p w14:paraId="59E82596" w14:textId="77777777" w:rsidR="00936FC4" w:rsidRPr="00970F8C" w:rsidRDefault="00936FC4" w:rsidP="00970F8C">
      <w:pPr>
        <w:pStyle w:val="Heading1"/>
        <w:rPr>
          <w:rStyle w:val="eop"/>
        </w:rPr>
      </w:pPr>
      <w:r w:rsidRPr="00970F8C">
        <w:rPr>
          <w:rStyle w:val="normaltextrun"/>
        </w:rPr>
        <w:t>Development of the Topic:</w:t>
      </w:r>
      <w:r w:rsidRPr="00970F8C">
        <w:rPr>
          <w:rStyle w:val="eop"/>
        </w:rPr>
        <w:t> </w:t>
      </w:r>
    </w:p>
    <w:p w14:paraId="64095749" w14:textId="77777777" w:rsidR="00182517" w:rsidRPr="00CA72D3" w:rsidRDefault="00182517" w:rsidP="00CA72D3">
      <w:pPr>
        <w:spacing w:line="360" w:lineRule="auto"/>
        <w:rPr>
          <w:rFonts w:ascii="Arial" w:hAnsi="Arial" w:cs="Arial"/>
          <w:sz w:val="22"/>
          <w:szCs w:val="22"/>
        </w:rPr>
      </w:pPr>
    </w:p>
    <w:p w14:paraId="5E24DE3E" w14:textId="2DD3ECF3" w:rsidR="00E1614F" w:rsidRPr="00CA72D3" w:rsidRDefault="00E1614F" w:rsidP="00CA72D3">
      <w:pPr>
        <w:spacing w:line="360" w:lineRule="auto"/>
        <w:rPr>
          <w:rFonts w:ascii="Arial" w:hAnsi="Arial" w:cs="Arial"/>
          <w:kern w:val="0"/>
          <w:sz w:val="22"/>
          <w:szCs w:val="22"/>
          <w14:ligatures w14:val="none"/>
        </w:rPr>
      </w:pPr>
      <w:r w:rsidRPr="00CA72D3">
        <w:rPr>
          <w:rStyle w:val="s1"/>
          <w:rFonts w:ascii="Arial" w:hAnsi="Arial" w:cs="Arial"/>
          <w:sz w:val="22"/>
          <w:szCs w:val="22"/>
        </w:rPr>
        <w:t xml:space="preserve">The understanding of diabetes has evolved significantly over centuries, reflecting broader changes in medical knowledge and scientific </w:t>
      </w:r>
      <w:bookmarkStart w:id="21" w:name="_Int_xKvWHoeV"/>
      <w:r w:rsidRPr="00CA72D3">
        <w:rPr>
          <w:rStyle w:val="s1"/>
          <w:rFonts w:ascii="Arial" w:hAnsi="Arial" w:cs="Arial"/>
          <w:sz w:val="22"/>
          <w:szCs w:val="22"/>
        </w:rPr>
        <w:t>methodology</w:t>
      </w:r>
      <w:bookmarkEnd w:id="21"/>
      <w:r w:rsidRPr="00CA72D3">
        <w:rPr>
          <w:rStyle w:val="s1"/>
          <w:rFonts w:ascii="Arial" w:hAnsi="Arial" w:cs="Arial"/>
          <w:sz w:val="22"/>
          <w:szCs w:val="22"/>
        </w:rPr>
        <w:t xml:space="preserve">. Early references to diabetes appear in ancient Egyptian and Indian medical texts, which described symptoms such as excessive urination, persistent thirst, and unexplained weight loss (Polonsky, 2012). However, these early accounts lacked a clear explanation of the physiological mechanisms responsible for the condition and were </w:t>
      </w:r>
      <w:r w:rsidR="008D2AFA" w:rsidRPr="00CA72D3">
        <w:rPr>
          <w:rStyle w:val="s1"/>
          <w:rFonts w:ascii="Arial" w:hAnsi="Arial" w:cs="Arial"/>
          <w:sz w:val="22"/>
          <w:szCs w:val="22"/>
        </w:rPr>
        <w:t>based</w:t>
      </w:r>
      <w:r w:rsidRPr="00CA72D3">
        <w:rPr>
          <w:rStyle w:val="s1"/>
          <w:rFonts w:ascii="Arial" w:hAnsi="Arial" w:cs="Arial"/>
          <w:sz w:val="22"/>
          <w:szCs w:val="22"/>
        </w:rPr>
        <w:t xml:space="preserve"> on observable symptoms rather than scientific evidence.</w:t>
      </w:r>
    </w:p>
    <w:p w14:paraId="476EEA35" w14:textId="42274A16" w:rsidR="00E1614F" w:rsidRPr="00CA72D3" w:rsidRDefault="00E1614F" w:rsidP="00CA72D3">
      <w:pPr>
        <w:pStyle w:val="p2"/>
        <w:spacing w:line="360" w:lineRule="auto"/>
        <w:divId w:val="1741437717"/>
        <w:rPr>
          <w:rFonts w:ascii="Arial" w:hAnsi="Arial" w:cs="Arial"/>
          <w:sz w:val="22"/>
          <w:szCs w:val="22"/>
        </w:rPr>
      </w:pPr>
    </w:p>
    <w:p w14:paraId="6C87DF5C" w14:textId="4BC46038" w:rsidR="005A70CB" w:rsidRPr="00CA72D3" w:rsidRDefault="008D2AFA" w:rsidP="00CA72D3">
      <w:pPr>
        <w:pStyle w:val="p1"/>
        <w:spacing w:line="360" w:lineRule="auto"/>
        <w:divId w:val="2114284323"/>
        <w:rPr>
          <w:rFonts w:ascii="Arial" w:hAnsi="Arial" w:cs="Arial"/>
          <w:sz w:val="22"/>
          <w:szCs w:val="22"/>
        </w:rPr>
      </w:pPr>
      <w:r w:rsidRPr="00CA72D3">
        <w:rPr>
          <w:rStyle w:val="s1"/>
          <w:rFonts w:ascii="Arial" w:hAnsi="Arial" w:cs="Arial"/>
          <w:b/>
          <w:bCs/>
          <w:sz w:val="22"/>
          <w:szCs w:val="22"/>
        </w:rPr>
        <w:t>A breakthrough</w:t>
      </w:r>
      <w:r w:rsidR="00E1614F" w:rsidRPr="00CA72D3">
        <w:rPr>
          <w:rStyle w:val="s1"/>
          <w:rFonts w:ascii="Arial" w:hAnsi="Arial" w:cs="Arial"/>
          <w:b/>
          <w:bCs/>
          <w:sz w:val="22"/>
          <w:szCs w:val="22"/>
        </w:rPr>
        <w:t xml:space="preserve"> occurred</w:t>
      </w:r>
      <w:r w:rsidR="00E1614F" w:rsidRPr="00CA72D3">
        <w:rPr>
          <w:rStyle w:val="s1"/>
          <w:rFonts w:ascii="Arial" w:hAnsi="Arial" w:cs="Arial"/>
          <w:sz w:val="22"/>
          <w:szCs w:val="22"/>
        </w:rPr>
        <w:t xml:space="preserve"> </w:t>
      </w:r>
      <w:r w:rsidR="00E1614F" w:rsidRPr="00CA72D3">
        <w:rPr>
          <w:rFonts w:ascii="Arial" w:hAnsi="Arial" w:cs="Arial"/>
          <w:sz w:val="22"/>
          <w:szCs w:val="22"/>
        </w:rPr>
        <w:t xml:space="preserve">in the nineteenth century when Paul Langerhans </w:t>
      </w:r>
      <w:bookmarkStart w:id="22" w:name="_Int_6moiAjda"/>
      <w:r w:rsidR="00E1614F" w:rsidRPr="00CA72D3">
        <w:rPr>
          <w:rFonts w:ascii="Arial" w:hAnsi="Arial" w:cs="Arial"/>
          <w:sz w:val="22"/>
          <w:szCs w:val="22"/>
        </w:rPr>
        <w:t>identified</w:t>
      </w:r>
      <w:bookmarkEnd w:id="22"/>
      <w:r w:rsidR="00E1614F" w:rsidRPr="00CA72D3">
        <w:rPr>
          <w:rFonts w:ascii="Arial" w:hAnsi="Arial" w:cs="Arial"/>
          <w:sz w:val="22"/>
          <w:szCs w:val="22"/>
        </w:rPr>
        <w:t xml:space="preserve"> clusters of cells in the pancreas, later known as the islets of Langerhans, which </w:t>
      </w:r>
      <w:bookmarkStart w:id="23" w:name="_Int_UMZqRbKh"/>
      <w:r w:rsidR="00E1614F" w:rsidRPr="00CA72D3">
        <w:rPr>
          <w:rFonts w:ascii="Arial" w:hAnsi="Arial" w:cs="Arial"/>
          <w:sz w:val="22"/>
          <w:szCs w:val="22"/>
        </w:rPr>
        <w:t>were eventually recognised</w:t>
      </w:r>
      <w:bookmarkEnd w:id="23"/>
      <w:r w:rsidR="00E1614F" w:rsidRPr="00CA72D3">
        <w:rPr>
          <w:rFonts w:ascii="Arial" w:hAnsi="Arial" w:cs="Arial"/>
          <w:sz w:val="22"/>
          <w:szCs w:val="22"/>
        </w:rPr>
        <w:t xml:space="preserve"> as central to insulin secretion and glucose regulation. The discovery of insulin in 1921 by Frederick Banting and Charles Best transformed diabetes from a fatal disease into a manageable chronic condition and marked a turning point in endocrinology and metabolic research (Polonsky, 2012).</w:t>
      </w:r>
      <w:r w:rsidR="005A70CB" w:rsidRPr="00CA72D3">
        <w:rPr>
          <w:rFonts w:ascii="Arial" w:hAnsi="Arial" w:cs="Arial"/>
          <w:sz w:val="22"/>
          <w:szCs w:val="22"/>
        </w:rPr>
        <w:t xml:space="preserve"> The introduction of insulin therapy significantly improved survival rates and changed the clinical management of diabetes worldwide, allowing patients to live longer and healthier lives.</w:t>
      </w:r>
    </w:p>
    <w:p w14:paraId="1680E46E" w14:textId="77777777" w:rsidR="00E1614F" w:rsidRPr="00CA72D3" w:rsidRDefault="00E1614F" w:rsidP="00CA72D3">
      <w:pPr>
        <w:pStyle w:val="p2"/>
        <w:spacing w:line="360" w:lineRule="auto"/>
        <w:divId w:val="1741437717"/>
        <w:rPr>
          <w:rFonts w:ascii="Arial" w:hAnsi="Arial" w:cs="Arial"/>
          <w:sz w:val="22"/>
          <w:szCs w:val="22"/>
        </w:rPr>
      </w:pPr>
    </w:p>
    <w:p w14:paraId="0E60D630" w14:textId="40682B7C" w:rsidR="00575CC9" w:rsidRPr="00CA72D3" w:rsidRDefault="00E1614F" w:rsidP="00CA72D3">
      <w:pPr>
        <w:pStyle w:val="p1"/>
        <w:spacing w:line="360" w:lineRule="auto"/>
        <w:divId w:val="1690253268"/>
        <w:rPr>
          <w:rFonts w:ascii="Arial" w:hAnsi="Arial" w:cs="Arial"/>
          <w:sz w:val="22"/>
          <w:szCs w:val="22"/>
        </w:rPr>
      </w:pPr>
      <w:r w:rsidRPr="00CA72D3">
        <w:rPr>
          <w:rStyle w:val="s1"/>
          <w:rFonts w:ascii="Arial" w:hAnsi="Arial" w:cs="Arial"/>
          <w:b/>
          <w:bCs/>
          <w:sz w:val="22"/>
          <w:szCs w:val="22"/>
        </w:rPr>
        <w:t>Despite these advances,</w:t>
      </w:r>
      <w:r w:rsidRPr="00CA72D3">
        <w:rPr>
          <w:rStyle w:val="s1"/>
          <w:rFonts w:ascii="Arial" w:hAnsi="Arial" w:cs="Arial"/>
          <w:sz w:val="22"/>
          <w:szCs w:val="22"/>
        </w:rPr>
        <w:t xml:space="preserve"> the classification of Type 2 diabetes remained unclear for much of the twentieth century and </w:t>
      </w:r>
      <w:bookmarkStart w:id="24" w:name="_Int_uDQTbd84"/>
      <w:r w:rsidRPr="00CA72D3">
        <w:rPr>
          <w:rStyle w:val="s1"/>
          <w:rFonts w:ascii="Arial" w:hAnsi="Arial" w:cs="Arial"/>
          <w:sz w:val="22"/>
          <w:szCs w:val="22"/>
        </w:rPr>
        <w:t>was commonly referred</w:t>
      </w:r>
      <w:bookmarkEnd w:id="24"/>
      <w:r w:rsidRPr="00CA72D3">
        <w:rPr>
          <w:rStyle w:val="s1"/>
          <w:rFonts w:ascii="Arial" w:hAnsi="Arial" w:cs="Arial"/>
          <w:sz w:val="22"/>
          <w:szCs w:val="22"/>
        </w:rPr>
        <w:t xml:space="preserve"> to as adult-onset diabetes. This terminology reflected age of diagnosis rather than underlying biological mechanisms and overlooked the heterogeneity of the disease and its complex causes (Reed, Bain, and Kanamarlapudi, 2021).</w:t>
      </w:r>
      <w:r w:rsidR="00575CC9" w:rsidRPr="00CA72D3">
        <w:rPr>
          <w:rStyle w:val="s1"/>
          <w:rFonts w:ascii="Arial" w:hAnsi="Arial" w:cs="Arial"/>
          <w:sz w:val="22"/>
          <w:szCs w:val="22"/>
        </w:rPr>
        <w:t xml:space="preserve"> Over time, researchers recognised that Type 2 diabetes is a complex metabolic disorder influenced by multiple genetic, environmental, and behavioural factors rather than age alone.</w:t>
      </w:r>
    </w:p>
    <w:p w14:paraId="38587B73" w14:textId="77777777" w:rsidR="00E1614F" w:rsidRPr="00CA72D3" w:rsidRDefault="00E1614F" w:rsidP="00CA72D3">
      <w:pPr>
        <w:pStyle w:val="p2"/>
        <w:spacing w:line="360" w:lineRule="auto"/>
        <w:divId w:val="1741437717"/>
        <w:rPr>
          <w:rFonts w:ascii="Arial" w:hAnsi="Arial" w:cs="Arial"/>
          <w:sz w:val="22"/>
          <w:szCs w:val="22"/>
        </w:rPr>
      </w:pPr>
    </w:p>
    <w:p w14:paraId="4BF50F1C" w14:textId="2427B598" w:rsidR="00E826A1" w:rsidRPr="00CA72D3" w:rsidRDefault="00E1614F" w:rsidP="00CA72D3">
      <w:pPr>
        <w:pStyle w:val="p1"/>
        <w:spacing w:line="360" w:lineRule="auto"/>
        <w:divId w:val="477039815"/>
        <w:rPr>
          <w:rFonts w:ascii="Arial" w:hAnsi="Arial" w:cs="Arial"/>
          <w:sz w:val="22"/>
          <w:szCs w:val="22"/>
        </w:rPr>
      </w:pPr>
      <w:r w:rsidRPr="00CA72D3">
        <w:rPr>
          <w:rStyle w:val="s1"/>
          <w:rFonts w:ascii="Arial" w:hAnsi="Arial" w:cs="Arial"/>
          <w:b/>
          <w:bCs/>
          <w:sz w:val="22"/>
          <w:szCs w:val="22"/>
        </w:rPr>
        <w:t>By the late twentieth century,</w:t>
      </w:r>
      <w:r w:rsidRPr="00CA72D3">
        <w:rPr>
          <w:rStyle w:val="s1"/>
          <w:rFonts w:ascii="Arial" w:hAnsi="Arial" w:cs="Arial"/>
          <w:sz w:val="22"/>
          <w:szCs w:val="22"/>
        </w:rPr>
        <w:t xml:space="preserve"> epidemiological evidence showed a rapid increase in the prevalence of T2DM, particularly in industrialised countries. This rise was strongly associated with lifestyle changes including reduced physical activity, increased consumption of energy-dense foods, obesity, and urbanisation (Forouhi and Wareham, 2014).</w:t>
      </w:r>
      <w:r w:rsidR="00E826A1" w:rsidRPr="00CA72D3">
        <w:rPr>
          <w:rStyle w:val="s1"/>
          <w:rFonts w:ascii="Arial" w:hAnsi="Arial" w:cs="Arial"/>
          <w:sz w:val="22"/>
          <w:szCs w:val="22"/>
        </w:rPr>
        <w:t xml:space="preserve"> Urbanisation, technological development, and changes in occupational structures also contributed to more sedentary lifestyles, further increasing the risk of metabolic diseases. These societal changes played a significant role in the global expansion of Type 2 diabetes, particularly in urban populations.</w:t>
      </w:r>
    </w:p>
    <w:p w14:paraId="3DD45CF9" w14:textId="77777777" w:rsidR="00E1614F" w:rsidRPr="00CA72D3" w:rsidRDefault="00E1614F" w:rsidP="00CA72D3">
      <w:pPr>
        <w:pStyle w:val="p2"/>
        <w:spacing w:line="360" w:lineRule="auto"/>
        <w:divId w:val="1741437717"/>
        <w:rPr>
          <w:rFonts w:ascii="Arial" w:hAnsi="Arial" w:cs="Arial"/>
          <w:sz w:val="22"/>
          <w:szCs w:val="22"/>
        </w:rPr>
      </w:pPr>
    </w:p>
    <w:p w14:paraId="128759B4" w14:textId="19269DDA" w:rsidR="00347AA9" w:rsidRPr="00CA72D3" w:rsidRDefault="00E1614F" w:rsidP="00CA72D3">
      <w:pPr>
        <w:pStyle w:val="p1"/>
        <w:spacing w:line="360" w:lineRule="auto"/>
        <w:divId w:val="2013222391"/>
        <w:rPr>
          <w:rFonts w:ascii="Arial" w:hAnsi="Arial" w:cs="Arial"/>
          <w:sz w:val="22"/>
          <w:szCs w:val="22"/>
        </w:rPr>
      </w:pPr>
      <w:r w:rsidRPr="00CA72D3">
        <w:rPr>
          <w:rStyle w:val="s1"/>
          <w:rFonts w:ascii="Arial" w:hAnsi="Arial" w:cs="Arial"/>
          <w:b/>
          <w:bCs/>
          <w:sz w:val="22"/>
          <w:szCs w:val="22"/>
        </w:rPr>
        <w:t>One of the most influential clinical investigations</w:t>
      </w:r>
      <w:r w:rsidRPr="00CA72D3">
        <w:rPr>
          <w:rStyle w:val="s1"/>
          <w:rFonts w:ascii="Arial" w:hAnsi="Arial" w:cs="Arial"/>
          <w:sz w:val="22"/>
          <w:szCs w:val="22"/>
        </w:rPr>
        <w:t xml:space="preserve"> was the UK Prospective Diabetes Study, conducted between 1977 and 1997, which </w:t>
      </w:r>
      <w:r w:rsidR="00312A03" w:rsidRPr="00CA72D3">
        <w:rPr>
          <w:rStyle w:val="s1"/>
          <w:rFonts w:ascii="Arial" w:hAnsi="Arial" w:cs="Arial"/>
          <w:sz w:val="22"/>
          <w:szCs w:val="22"/>
        </w:rPr>
        <w:t>showed</w:t>
      </w:r>
      <w:r w:rsidRPr="00CA72D3">
        <w:rPr>
          <w:rStyle w:val="s1"/>
          <w:rFonts w:ascii="Arial" w:hAnsi="Arial" w:cs="Arial"/>
          <w:sz w:val="22"/>
          <w:szCs w:val="22"/>
        </w:rPr>
        <w:t xml:space="preserve"> that improved glycaemic control reduced the risk of microvascular complications such as retinopathy and nephropathy (UK Prospective Diabetes Study Group, 1998).</w:t>
      </w:r>
      <w:r w:rsidR="00347AA9" w:rsidRPr="00CA72D3">
        <w:rPr>
          <w:rStyle w:val="s1"/>
          <w:rFonts w:ascii="Arial" w:hAnsi="Arial" w:cs="Arial"/>
          <w:sz w:val="22"/>
          <w:szCs w:val="22"/>
        </w:rPr>
        <w:t xml:space="preserve"> The findings of this study had a major impact on clinical practice and diabetes management guidelines. Consequently, HbA1c became widely used as a key indicator for </w:t>
      </w:r>
      <w:bookmarkStart w:id="25" w:name="_Int_mCPQb8St"/>
      <w:r w:rsidR="00347AA9" w:rsidRPr="00CA72D3">
        <w:rPr>
          <w:rStyle w:val="s1"/>
          <w:rFonts w:ascii="Arial" w:hAnsi="Arial" w:cs="Arial"/>
          <w:sz w:val="22"/>
          <w:szCs w:val="22"/>
        </w:rPr>
        <w:t>monitoring</w:t>
      </w:r>
      <w:bookmarkEnd w:id="25"/>
      <w:r w:rsidR="00347AA9" w:rsidRPr="00CA72D3">
        <w:rPr>
          <w:rStyle w:val="s1"/>
          <w:rFonts w:ascii="Arial" w:hAnsi="Arial" w:cs="Arial"/>
          <w:sz w:val="22"/>
          <w:szCs w:val="22"/>
        </w:rPr>
        <w:t xml:space="preserve"> long-term glucose control and guiding treatment strategies. The UKPDS also highlighted the importance of blood pressure control and cardiovascular risk management in individuals with diabetes.</w:t>
      </w:r>
    </w:p>
    <w:p w14:paraId="650500FD" w14:textId="77777777" w:rsidR="00E1614F" w:rsidRPr="00CA72D3" w:rsidRDefault="00E1614F" w:rsidP="00CA72D3">
      <w:pPr>
        <w:pStyle w:val="p2"/>
        <w:spacing w:line="360" w:lineRule="auto"/>
        <w:divId w:val="1741437717"/>
        <w:rPr>
          <w:rFonts w:ascii="Arial" w:hAnsi="Arial" w:cs="Arial"/>
          <w:sz w:val="22"/>
          <w:szCs w:val="22"/>
        </w:rPr>
      </w:pPr>
    </w:p>
    <w:p w14:paraId="00BAEB69" w14:textId="77777777" w:rsidR="009E24F1" w:rsidRPr="00CA72D3" w:rsidRDefault="009D343B" w:rsidP="00CA72D3">
      <w:pPr>
        <w:pStyle w:val="p1"/>
        <w:spacing w:line="360" w:lineRule="auto"/>
        <w:divId w:val="1761097085"/>
        <w:rPr>
          <w:rFonts w:ascii="Arial" w:hAnsi="Arial" w:cs="Arial"/>
          <w:sz w:val="22"/>
          <w:szCs w:val="22"/>
        </w:rPr>
      </w:pPr>
      <w:bookmarkStart w:id="26" w:name="_Int_2p0mQym9"/>
      <w:r w:rsidRPr="00CA72D3">
        <w:rPr>
          <w:rStyle w:val="s1"/>
          <w:rFonts w:ascii="Arial" w:hAnsi="Arial" w:cs="Arial"/>
          <w:b/>
          <w:bCs/>
          <w:sz w:val="22"/>
          <w:szCs w:val="22"/>
        </w:rPr>
        <w:t>Sub</w:t>
      </w:r>
      <w:r w:rsidR="006317A1" w:rsidRPr="00CA72D3">
        <w:rPr>
          <w:rStyle w:val="s1"/>
          <w:rFonts w:ascii="Arial" w:hAnsi="Arial" w:cs="Arial"/>
          <w:b/>
          <w:bCs/>
          <w:sz w:val="22"/>
          <w:szCs w:val="22"/>
        </w:rPr>
        <w:t>sequent</w:t>
      </w:r>
      <w:bookmarkEnd w:id="26"/>
      <w:r w:rsidR="00E1614F" w:rsidRPr="00CA72D3">
        <w:rPr>
          <w:rStyle w:val="s1"/>
          <w:rFonts w:ascii="Arial" w:hAnsi="Arial" w:cs="Arial"/>
          <w:b/>
          <w:bCs/>
          <w:sz w:val="22"/>
          <w:szCs w:val="22"/>
        </w:rPr>
        <w:t xml:space="preserve"> research,</w:t>
      </w:r>
      <w:r w:rsidR="00E1614F" w:rsidRPr="00CA72D3">
        <w:rPr>
          <w:rStyle w:val="s1"/>
          <w:rFonts w:ascii="Arial" w:hAnsi="Arial" w:cs="Arial"/>
          <w:sz w:val="22"/>
          <w:szCs w:val="22"/>
        </w:rPr>
        <w:t xml:space="preserve"> </w:t>
      </w:r>
      <w:r w:rsidR="009E24F1" w:rsidRPr="00CA72D3">
        <w:rPr>
          <w:rStyle w:val="s1"/>
          <w:rFonts w:ascii="Arial" w:hAnsi="Arial" w:cs="Arial"/>
          <w:sz w:val="22"/>
          <w:szCs w:val="22"/>
        </w:rPr>
        <w:t>however, introduced complexities to this approach. Large clinical trials, including the ACCORD study, suggested that intensive glycaemic control may increase mortality risk in older adults due to hypoglycaemia and cardiovascular complications (Sinclair et al., 2012). These findings emphasised the need for more individualised treatment approaches, particularly for ageing populations with multiple co-morbidities, frailty, and polypharmacy. This marked a shift in diabetes management from strict glycaemic targets towards personalised and patient-centred care.</w:t>
      </w:r>
    </w:p>
    <w:p w14:paraId="09A15598" w14:textId="77777777" w:rsidR="00E1614F" w:rsidRPr="00CA72D3" w:rsidRDefault="00E1614F" w:rsidP="00CA72D3">
      <w:pPr>
        <w:pStyle w:val="p2"/>
        <w:spacing w:line="360" w:lineRule="auto"/>
        <w:divId w:val="1741437717"/>
        <w:rPr>
          <w:rFonts w:ascii="Arial" w:hAnsi="Arial" w:cs="Arial"/>
          <w:sz w:val="22"/>
          <w:szCs w:val="22"/>
        </w:rPr>
      </w:pPr>
    </w:p>
    <w:p w14:paraId="5085E288" w14:textId="77777777" w:rsidR="0089231B" w:rsidRPr="00CA72D3" w:rsidRDefault="00E1614F" w:rsidP="00CA72D3">
      <w:pPr>
        <w:pStyle w:val="p1"/>
        <w:spacing w:line="360" w:lineRule="auto"/>
        <w:divId w:val="160046408"/>
        <w:rPr>
          <w:rFonts w:ascii="Arial" w:hAnsi="Arial" w:cs="Arial"/>
          <w:sz w:val="22"/>
          <w:szCs w:val="22"/>
        </w:rPr>
      </w:pPr>
      <w:r w:rsidRPr="00CA72D3">
        <w:rPr>
          <w:rStyle w:val="s1"/>
          <w:rFonts w:ascii="Arial" w:hAnsi="Arial" w:cs="Arial"/>
          <w:b/>
          <w:bCs/>
          <w:sz w:val="22"/>
          <w:szCs w:val="22"/>
        </w:rPr>
        <w:t>Another important development</w:t>
      </w:r>
      <w:r w:rsidRPr="00CA72D3">
        <w:rPr>
          <w:rStyle w:val="s1"/>
          <w:rFonts w:ascii="Arial" w:hAnsi="Arial" w:cs="Arial"/>
          <w:sz w:val="22"/>
          <w:szCs w:val="22"/>
        </w:rPr>
        <w:t xml:space="preserve"> </w:t>
      </w:r>
      <w:r w:rsidR="0089231B" w:rsidRPr="00CA72D3">
        <w:rPr>
          <w:rStyle w:val="s1"/>
          <w:rFonts w:ascii="Arial" w:hAnsi="Arial" w:cs="Arial"/>
          <w:sz w:val="22"/>
          <w:szCs w:val="22"/>
        </w:rPr>
        <w:t>was DeFronzo’s (2009) “ominous octet” model, which expanded the understanding of T2DM by identifying eight interacting physiological mechanisms contributing to hyperglycaemia. These mechanisms include impaired insulin secretion, increased hepatic glucose production, adipose tissue dysfunction, altered incretin activity, increased glucagon secretion, increased renal glucose reabsorption, neurotransmitter dysfunction, and reduced glucose uptake in muscle tissue. This model provided a more comprehensive explanation of disease progression and highlighted the complexity of Type 2 diabetes pathophysiology. However, it has been criticised for maintaining a primarily biomedical focus that does not fully account for broader social determinants of health, such as poverty, education, environment, and access to healthcare.</w:t>
      </w:r>
    </w:p>
    <w:p w14:paraId="53AA3548" w14:textId="77777777" w:rsidR="00E1614F" w:rsidRPr="00CA72D3" w:rsidRDefault="00E1614F" w:rsidP="00CA72D3">
      <w:pPr>
        <w:pStyle w:val="p2"/>
        <w:spacing w:line="360" w:lineRule="auto"/>
        <w:divId w:val="1741437717"/>
        <w:rPr>
          <w:rFonts w:ascii="Arial" w:hAnsi="Arial" w:cs="Arial"/>
          <w:sz w:val="22"/>
          <w:szCs w:val="22"/>
        </w:rPr>
      </w:pPr>
    </w:p>
    <w:p w14:paraId="1468613F" w14:textId="1A785BF1" w:rsidR="005200B1" w:rsidRPr="00CA72D3" w:rsidRDefault="00E1614F" w:rsidP="00970F8C">
      <w:pPr>
        <w:pStyle w:val="p1"/>
        <w:spacing w:line="360" w:lineRule="auto"/>
        <w:divId w:val="1741437717"/>
        <w:rPr>
          <w:rStyle w:val="s1"/>
          <w:rFonts w:ascii="Arial" w:hAnsi="Arial" w:cs="Arial"/>
          <w:sz w:val="22"/>
          <w:szCs w:val="22"/>
        </w:rPr>
      </w:pPr>
      <w:r w:rsidRPr="00CA72D3">
        <w:rPr>
          <w:rStyle w:val="s1"/>
          <w:rFonts w:ascii="Arial" w:hAnsi="Arial" w:cs="Arial"/>
          <w:b/>
          <w:bCs/>
          <w:sz w:val="22"/>
          <w:szCs w:val="22"/>
        </w:rPr>
        <w:t>In recent decades,</w:t>
      </w:r>
      <w:r w:rsidRPr="00CA72D3">
        <w:rPr>
          <w:rStyle w:val="s1"/>
          <w:rFonts w:ascii="Arial" w:hAnsi="Arial" w:cs="Arial"/>
          <w:sz w:val="22"/>
          <w:szCs w:val="22"/>
        </w:rPr>
        <w:t xml:space="preserve"> diabetes has </w:t>
      </w:r>
      <w:bookmarkStart w:id="27" w:name="_Int_77rCB14T"/>
      <w:r w:rsidRPr="00CA72D3">
        <w:rPr>
          <w:rStyle w:val="s1"/>
          <w:rFonts w:ascii="Arial" w:hAnsi="Arial" w:cs="Arial"/>
          <w:sz w:val="22"/>
          <w:szCs w:val="22"/>
        </w:rPr>
        <w:t>been increasingly recognised</w:t>
      </w:r>
      <w:bookmarkEnd w:id="27"/>
      <w:r w:rsidRPr="00CA72D3">
        <w:rPr>
          <w:rStyle w:val="s1"/>
          <w:rFonts w:ascii="Arial" w:hAnsi="Arial" w:cs="Arial"/>
          <w:sz w:val="22"/>
          <w:szCs w:val="22"/>
        </w:rPr>
        <w:t xml:space="preserve"> as a global public health challenge influenced by social, economic, environmental, and behavioural factors as well as biological mechanisms (International Diabetes Federation, 2021). Collectively, these developments </w:t>
      </w:r>
      <w:bookmarkStart w:id="28" w:name="_Int_aigTu5lA"/>
      <w:r w:rsidRPr="00CA72D3">
        <w:rPr>
          <w:rStyle w:val="s1"/>
          <w:rFonts w:ascii="Arial" w:hAnsi="Arial" w:cs="Arial"/>
          <w:sz w:val="22"/>
          <w:szCs w:val="22"/>
        </w:rPr>
        <w:t>demonstrate</w:t>
      </w:r>
      <w:bookmarkEnd w:id="28"/>
      <w:r w:rsidRPr="00CA72D3">
        <w:rPr>
          <w:rStyle w:val="s1"/>
          <w:rFonts w:ascii="Arial" w:hAnsi="Arial" w:cs="Arial"/>
          <w:sz w:val="22"/>
          <w:szCs w:val="22"/>
        </w:rPr>
        <w:t xml:space="preserve"> that the understanding of T2DM has progressed from early symptom-based descriptions to complex multidisciplinary models of </w:t>
      </w:r>
      <w:r w:rsidR="00AA6ADD" w:rsidRPr="00CA72D3">
        <w:rPr>
          <w:rStyle w:val="s1"/>
          <w:rFonts w:ascii="Arial" w:hAnsi="Arial" w:cs="Arial"/>
          <w:sz w:val="22"/>
          <w:szCs w:val="22"/>
        </w:rPr>
        <w:t>disease. This</w:t>
      </w:r>
      <w:r w:rsidRPr="00CA72D3">
        <w:rPr>
          <w:rStyle w:val="s1"/>
          <w:rFonts w:ascii="Arial" w:hAnsi="Arial" w:cs="Arial"/>
          <w:sz w:val="22"/>
          <w:szCs w:val="22"/>
        </w:rPr>
        <w:t xml:space="preserve"> historical progression highlights the importance of integrating biomedical research with public health and social perspectives to improve prevention, management, and long</w:t>
      </w:r>
      <w:r w:rsidR="002B60F1" w:rsidRPr="00CA72D3">
        <w:rPr>
          <w:rStyle w:val="s1"/>
          <w:rFonts w:ascii="Arial" w:hAnsi="Arial" w:cs="Arial"/>
          <w:sz w:val="22"/>
          <w:szCs w:val="22"/>
        </w:rPr>
        <w:t>-</w:t>
      </w:r>
      <w:r w:rsidRPr="00CA72D3">
        <w:rPr>
          <w:rStyle w:val="s1"/>
          <w:rFonts w:ascii="Arial" w:hAnsi="Arial" w:cs="Arial"/>
          <w:sz w:val="22"/>
          <w:szCs w:val="22"/>
        </w:rPr>
        <w:t xml:space="preserve">term outcomes for ageing populations living with Type 2 diabetes. Such approaches support more effective and </w:t>
      </w:r>
      <w:bookmarkStart w:id="29" w:name="_Int_Qa05ooEq"/>
      <w:r w:rsidRPr="00CA72D3">
        <w:rPr>
          <w:rStyle w:val="s1"/>
          <w:rFonts w:ascii="Arial" w:hAnsi="Arial" w:cs="Arial"/>
          <w:sz w:val="22"/>
          <w:szCs w:val="22"/>
        </w:rPr>
        <w:t>equitable</w:t>
      </w:r>
      <w:bookmarkEnd w:id="29"/>
      <w:r w:rsidRPr="00CA72D3">
        <w:rPr>
          <w:rStyle w:val="s1"/>
          <w:rFonts w:ascii="Arial" w:hAnsi="Arial" w:cs="Arial"/>
          <w:sz w:val="22"/>
          <w:szCs w:val="22"/>
        </w:rPr>
        <w:t xml:space="preserve"> healthcare strategies worldwide in the future.</w:t>
      </w:r>
    </w:p>
    <w:p w14:paraId="7F02F773" w14:textId="18F2B735" w:rsidR="005200B1" w:rsidRPr="00970F8C" w:rsidRDefault="005200B1" w:rsidP="00970F8C">
      <w:pPr>
        <w:pStyle w:val="Heading1"/>
        <w:divId w:val="1460149970"/>
      </w:pPr>
      <w:r w:rsidRPr="00970F8C">
        <w:t>Significant Historical Figures and Contributions</w:t>
      </w:r>
    </w:p>
    <w:p w14:paraId="2FDC0152" w14:textId="77777777" w:rsidR="005200B1" w:rsidRPr="00CA72D3" w:rsidRDefault="005200B1" w:rsidP="00CA72D3">
      <w:pPr>
        <w:spacing w:before="100" w:beforeAutospacing="1" w:after="100" w:afterAutospacing="1" w:line="360" w:lineRule="auto"/>
        <w:divId w:val="1460149970"/>
        <w:rPr>
          <w:rFonts w:ascii="Arial" w:hAnsi="Arial" w:cs="Arial"/>
          <w:kern w:val="0"/>
          <w:sz w:val="22"/>
          <w:szCs w:val="22"/>
          <w14:ligatures w14:val="none"/>
        </w:rPr>
      </w:pPr>
      <w:r w:rsidRPr="00CA72D3">
        <w:rPr>
          <w:rFonts w:ascii="Arial" w:hAnsi="Arial" w:cs="Arial"/>
          <w:kern w:val="0"/>
          <w:sz w:val="22"/>
          <w:szCs w:val="22"/>
          <w14:ligatures w14:val="none"/>
        </w:rPr>
        <w:t>Several key researchers and institutions have significantly influenced the development of diabetes knowledge and treatment. Frederick Banting and Charles Best played a fundamental role through their discovery of insulin, which provided the first effective treatment for diabetes and dramatically improved patient survival rates (Polonsky, 2012). Their work remains one of the most important medical discoveries of the twentieth century.</w:t>
      </w:r>
    </w:p>
    <w:p w14:paraId="262B7B16" w14:textId="77777777" w:rsidR="005200B1" w:rsidRPr="00CA72D3" w:rsidRDefault="005200B1" w:rsidP="00CA72D3">
      <w:pPr>
        <w:spacing w:before="100" w:beforeAutospacing="1" w:after="100" w:afterAutospacing="1" w:line="360" w:lineRule="auto"/>
        <w:divId w:val="1460149970"/>
        <w:rPr>
          <w:rFonts w:ascii="Arial" w:hAnsi="Arial" w:cs="Arial"/>
          <w:kern w:val="0"/>
          <w:sz w:val="22"/>
          <w:szCs w:val="22"/>
          <w14:ligatures w14:val="none"/>
        </w:rPr>
      </w:pPr>
    </w:p>
    <w:p w14:paraId="28B7CC60" w14:textId="1682223E" w:rsidR="005200B1" w:rsidRPr="00CA72D3" w:rsidRDefault="005200B1" w:rsidP="00CA72D3">
      <w:pPr>
        <w:spacing w:before="100" w:beforeAutospacing="1" w:after="100" w:afterAutospacing="1" w:line="360" w:lineRule="auto"/>
        <w:divId w:val="1460149970"/>
        <w:rPr>
          <w:rFonts w:ascii="Arial" w:hAnsi="Arial" w:cs="Arial"/>
          <w:kern w:val="0"/>
          <w:sz w:val="22"/>
          <w:szCs w:val="22"/>
          <w14:ligatures w14:val="none"/>
        </w:rPr>
      </w:pPr>
      <w:r w:rsidRPr="00CA72D3">
        <w:rPr>
          <w:rFonts w:ascii="Arial" w:hAnsi="Arial" w:cs="Arial"/>
          <w:b/>
          <w:bCs/>
          <w:kern w:val="0"/>
          <w:sz w:val="22"/>
          <w:szCs w:val="22"/>
          <w14:ligatures w14:val="none"/>
        </w:rPr>
        <w:t>Later,</w:t>
      </w:r>
      <w:r w:rsidRPr="00CA72D3">
        <w:rPr>
          <w:rFonts w:ascii="Arial" w:hAnsi="Arial" w:cs="Arial"/>
          <w:kern w:val="0"/>
          <w:sz w:val="22"/>
          <w:szCs w:val="22"/>
          <w14:ligatures w14:val="none"/>
        </w:rPr>
        <w:t xml:space="preserve"> Ralph DeFronzo contributed to a deeper understanding of the complex pathophysiology of T2DM through his “ominous octet” framework, </w:t>
      </w:r>
      <w:bookmarkStart w:id="30" w:name="_Int_LvfHqTsK"/>
      <w:r w:rsidRPr="00CA72D3">
        <w:rPr>
          <w:rFonts w:ascii="Arial" w:hAnsi="Arial" w:cs="Arial"/>
          <w:kern w:val="0"/>
          <w:sz w:val="22"/>
          <w:szCs w:val="22"/>
          <w14:ligatures w14:val="none"/>
        </w:rPr>
        <w:t>demonstrating</w:t>
      </w:r>
      <w:bookmarkEnd w:id="30"/>
      <w:r w:rsidRPr="00CA72D3">
        <w:rPr>
          <w:rFonts w:ascii="Arial" w:hAnsi="Arial" w:cs="Arial"/>
          <w:kern w:val="0"/>
          <w:sz w:val="22"/>
          <w:szCs w:val="22"/>
          <w14:ligatures w14:val="none"/>
        </w:rPr>
        <w:t xml:space="preserve"> that hyperglycaemia results from dysfunction across multiple organs rather than a single physiological defect (DeFronzo, 2009). This model influenced modern pharmacological treatment approaches, which now target multiple physiological pathways.</w:t>
      </w:r>
    </w:p>
    <w:p w14:paraId="5CBDB7B4" w14:textId="4248A729" w:rsidR="005200B1" w:rsidRPr="00CA72D3" w:rsidRDefault="005200B1" w:rsidP="00CA72D3">
      <w:pPr>
        <w:spacing w:before="100" w:beforeAutospacing="1" w:after="100" w:afterAutospacing="1" w:line="360" w:lineRule="auto"/>
        <w:divId w:val="1460149970"/>
        <w:rPr>
          <w:rFonts w:ascii="Arial" w:hAnsi="Arial" w:cs="Arial"/>
          <w:kern w:val="0"/>
          <w:sz w:val="22"/>
          <w:szCs w:val="22"/>
          <w14:ligatures w14:val="none"/>
        </w:rPr>
      </w:pPr>
      <w:r w:rsidRPr="00CA72D3">
        <w:rPr>
          <w:rFonts w:ascii="Arial" w:hAnsi="Arial" w:cs="Arial"/>
          <w:b/>
          <w:bCs/>
          <w:kern w:val="0"/>
          <w:sz w:val="22"/>
          <w:szCs w:val="22"/>
          <w14:ligatures w14:val="none"/>
        </w:rPr>
        <w:t>The investigators of the UK</w:t>
      </w:r>
      <w:r w:rsidRPr="00CA72D3">
        <w:rPr>
          <w:rFonts w:ascii="Arial" w:hAnsi="Arial" w:cs="Arial"/>
          <w:kern w:val="0"/>
          <w:sz w:val="22"/>
          <w:szCs w:val="22"/>
          <w14:ligatures w14:val="none"/>
        </w:rPr>
        <w:t xml:space="preserve"> Prospective Diabetes Study also made substantial contributions by </w:t>
      </w:r>
      <w:bookmarkStart w:id="31" w:name="_Int_BPgsO2eJ"/>
      <w:r w:rsidRPr="00CA72D3">
        <w:rPr>
          <w:rFonts w:ascii="Arial" w:hAnsi="Arial" w:cs="Arial"/>
          <w:kern w:val="0"/>
          <w:sz w:val="22"/>
          <w:szCs w:val="22"/>
          <w14:ligatures w14:val="none"/>
        </w:rPr>
        <w:t>establishing</w:t>
      </w:r>
      <w:bookmarkEnd w:id="31"/>
      <w:r w:rsidRPr="00CA72D3">
        <w:rPr>
          <w:rFonts w:ascii="Arial" w:hAnsi="Arial" w:cs="Arial"/>
          <w:kern w:val="0"/>
          <w:sz w:val="22"/>
          <w:szCs w:val="22"/>
          <w14:ligatures w14:val="none"/>
        </w:rPr>
        <w:t xml:space="preserve"> the importance of glycaemic control in preventing long-term complications, influencing clinical guidelines and evidence-based diabetes management strategies (UKPDS Group, 1998). Their research continues to inform diabetes treatment policies and clinical practice today.</w:t>
      </w:r>
    </w:p>
    <w:p w14:paraId="4D872CBE" w14:textId="67DA4FEC" w:rsidR="005200B1" w:rsidRPr="00CA72D3" w:rsidRDefault="005200B1" w:rsidP="00CA72D3">
      <w:pPr>
        <w:spacing w:before="100" w:beforeAutospacing="1" w:after="100" w:afterAutospacing="1" w:line="360" w:lineRule="auto"/>
        <w:divId w:val="1460149970"/>
        <w:rPr>
          <w:rFonts w:ascii="Arial" w:hAnsi="Arial" w:cs="Arial"/>
          <w:kern w:val="0"/>
          <w:sz w:val="22"/>
          <w:szCs w:val="22"/>
          <w14:ligatures w14:val="none"/>
        </w:rPr>
      </w:pPr>
      <w:r w:rsidRPr="00CA72D3">
        <w:rPr>
          <w:rFonts w:ascii="Arial" w:hAnsi="Arial" w:cs="Arial"/>
          <w:b/>
          <w:bCs/>
          <w:kern w:val="0"/>
          <w:sz w:val="22"/>
          <w:szCs w:val="22"/>
          <w14:ligatures w14:val="none"/>
        </w:rPr>
        <w:t>More recently,</w:t>
      </w:r>
      <w:r w:rsidRPr="00CA72D3">
        <w:rPr>
          <w:rFonts w:ascii="Arial" w:hAnsi="Arial" w:cs="Arial"/>
          <w:kern w:val="0"/>
          <w:sz w:val="22"/>
          <w:szCs w:val="22"/>
          <w14:ligatures w14:val="none"/>
        </w:rPr>
        <w:t xml:space="preserve"> Sinclair et al. (2012) emphasised the need for personalised care approaches for older adults with diabetes, highlighting the risks of </w:t>
      </w:r>
      <w:r w:rsidR="00C95782" w:rsidRPr="00CA72D3">
        <w:rPr>
          <w:rFonts w:ascii="Arial" w:hAnsi="Arial" w:cs="Arial"/>
          <w:kern w:val="0"/>
          <w:sz w:val="22"/>
          <w:szCs w:val="22"/>
          <w14:ligatures w14:val="none"/>
        </w:rPr>
        <w:t>over treatment</w:t>
      </w:r>
      <w:r w:rsidRPr="00CA72D3">
        <w:rPr>
          <w:rFonts w:ascii="Arial" w:hAnsi="Arial" w:cs="Arial"/>
          <w:kern w:val="0"/>
          <w:sz w:val="22"/>
          <w:szCs w:val="22"/>
          <w14:ligatures w14:val="none"/>
        </w:rPr>
        <w:t xml:space="preserve"> and the importance of </w:t>
      </w:r>
      <w:bookmarkStart w:id="32" w:name="_Int_VoGMpsaw"/>
      <w:r w:rsidRPr="00CA72D3">
        <w:rPr>
          <w:rFonts w:ascii="Arial" w:hAnsi="Arial" w:cs="Arial"/>
          <w:kern w:val="0"/>
          <w:sz w:val="22"/>
          <w:szCs w:val="22"/>
          <w14:ligatures w14:val="none"/>
        </w:rPr>
        <w:t>maintaining</w:t>
      </w:r>
      <w:bookmarkEnd w:id="32"/>
      <w:r w:rsidRPr="00CA72D3">
        <w:rPr>
          <w:rFonts w:ascii="Arial" w:hAnsi="Arial" w:cs="Arial"/>
          <w:kern w:val="0"/>
          <w:sz w:val="22"/>
          <w:szCs w:val="22"/>
          <w14:ligatures w14:val="none"/>
        </w:rPr>
        <w:t xml:space="preserve"> patient safety, quality of life, and functional independence rather than focusing solely on glycaemic targets.</w:t>
      </w:r>
    </w:p>
    <w:p w14:paraId="3229F636" w14:textId="343E783E" w:rsidR="005200B1" w:rsidRPr="00CA72D3" w:rsidRDefault="005200B1" w:rsidP="00CA72D3">
      <w:pPr>
        <w:spacing w:before="100" w:beforeAutospacing="1" w:after="100" w:afterAutospacing="1" w:line="360" w:lineRule="auto"/>
        <w:rPr>
          <w:rStyle w:val="s1"/>
          <w:rFonts w:ascii="Arial" w:hAnsi="Arial" w:cs="Arial"/>
          <w:kern w:val="0"/>
          <w:sz w:val="22"/>
          <w:szCs w:val="22"/>
          <w14:ligatures w14:val="none"/>
        </w:rPr>
      </w:pPr>
      <w:r w:rsidRPr="00CA72D3">
        <w:rPr>
          <w:rFonts w:ascii="Arial" w:hAnsi="Arial" w:cs="Arial"/>
          <w:b/>
          <w:bCs/>
          <w:kern w:val="0"/>
          <w:sz w:val="22"/>
          <w:szCs w:val="22"/>
          <w14:ligatures w14:val="none"/>
        </w:rPr>
        <w:t>Collectively,</w:t>
      </w:r>
      <w:r w:rsidRPr="00CA72D3">
        <w:rPr>
          <w:rFonts w:ascii="Arial" w:hAnsi="Arial" w:cs="Arial"/>
          <w:kern w:val="0"/>
          <w:sz w:val="22"/>
          <w:szCs w:val="22"/>
          <w14:ligatures w14:val="none"/>
        </w:rPr>
        <w:t xml:space="preserve"> these developments illustrate how the understanding of T2DM has evolved from early symptom-based descriptions to complex models integrating physiological, behavioural, environmental, and public health perspectives. This historical progression </w:t>
      </w:r>
      <w:bookmarkStart w:id="33" w:name="_Int_1tpXXL2w"/>
      <w:r w:rsidRPr="00CA72D3">
        <w:rPr>
          <w:rFonts w:ascii="Arial" w:hAnsi="Arial" w:cs="Arial"/>
          <w:kern w:val="0"/>
          <w:sz w:val="22"/>
          <w:szCs w:val="22"/>
          <w14:ligatures w14:val="none"/>
        </w:rPr>
        <w:t>demonstrates</w:t>
      </w:r>
      <w:bookmarkEnd w:id="33"/>
      <w:r w:rsidRPr="00CA72D3">
        <w:rPr>
          <w:rFonts w:ascii="Arial" w:hAnsi="Arial" w:cs="Arial"/>
          <w:kern w:val="0"/>
          <w:sz w:val="22"/>
          <w:szCs w:val="22"/>
          <w14:ligatures w14:val="none"/>
        </w:rPr>
        <w:t xml:space="preserve"> that Type 2 diabetes is not only a metabolic disorder but also a complex condition influenced by multiple interacting biological and social factors, reinforcing the need for multidisciplinary approaches to prevention, treatment, and long-term management.</w:t>
      </w:r>
    </w:p>
    <w:p w14:paraId="3E71CA4A" w14:textId="77777777" w:rsidR="00E05020" w:rsidRPr="00CA72D3" w:rsidRDefault="00E05020" w:rsidP="00CA72D3">
      <w:pPr>
        <w:spacing w:line="360" w:lineRule="auto"/>
        <w:jc w:val="both"/>
        <w:rPr>
          <w:rFonts w:ascii="Arial" w:hAnsi="Arial" w:cs="Arial"/>
          <w:b/>
          <w:bCs/>
          <w:sz w:val="22"/>
          <w:szCs w:val="22"/>
          <w:lang w:eastAsia="zh-CN"/>
        </w:rPr>
      </w:pPr>
    </w:p>
    <w:p w14:paraId="0B37DA08" w14:textId="381244D9" w:rsidR="00CE6971" w:rsidRPr="00970F8C" w:rsidRDefault="00CE6971" w:rsidP="00970F8C">
      <w:pPr>
        <w:pStyle w:val="Heading1"/>
      </w:pPr>
      <w:r w:rsidRPr="00970F8C">
        <w:rPr>
          <w:rStyle w:val="normaltextrun"/>
        </w:rPr>
        <w:t>2.3 Theoretical Background</w:t>
      </w:r>
      <w:r w:rsidR="00B12461" w:rsidRPr="00970F8C">
        <w:rPr>
          <w:rStyle w:val="normaltextrun"/>
        </w:rPr>
        <w:t xml:space="preserve">, </w:t>
      </w:r>
      <w:r w:rsidRPr="00970F8C">
        <w:rPr>
          <w:rStyle w:val="normaltextrun"/>
        </w:rPr>
        <w:t>Key Theories and Concepts:</w:t>
      </w:r>
      <w:r w:rsidRPr="00970F8C">
        <w:rPr>
          <w:rStyle w:val="eop"/>
        </w:rPr>
        <w:t> </w:t>
      </w:r>
    </w:p>
    <w:p w14:paraId="69DCCE5C" w14:textId="68F20D95" w:rsidR="004D0140" w:rsidRPr="00970F8C" w:rsidRDefault="004D0140" w:rsidP="00970F8C">
      <w:pPr>
        <w:pStyle w:val="Heading1"/>
        <w:divId w:val="572354911"/>
      </w:pPr>
      <w:r w:rsidRPr="00970F8C">
        <w:t>Insulin Resistance Paradigm</w:t>
      </w:r>
    </w:p>
    <w:p w14:paraId="48A6F631" w14:textId="69D3E8ED" w:rsidR="00ED3DD8" w:rsidRPr="00CA72D3" w:rsidRDefault="00ED3DD8" w:rsidP="00CA72D3">
      <w:pPr>
        <w:pStyle w:val="p1"/>
        <w:spacing w:line="360" w:lineRule="auto"/>
        <w:divId w:val="865796449"/>
        <w:rPr>
          <w:rFonts w:ascii="Arial" w:hAnsi="Arial" w:cs="Arial"/>
          <w:sz w:val="22"/>
          <w:szCs w:val="22"/>
        </w:rPr>
      </w:pPr>
      <w:r w:rsidRPr="00CA72D3">
        <w:rPr>
          <w:rStyle w:val="s1"/>
          <w:rFonts w:ascii="Arial" w:hAnsi="Arial" w:cs="Arial"/>
          <w:sz w:val="22"/>
          <w:szCs w:val="22"/>
        </w:rPr>
        <w:t>One of the most widely accepted explanations for the development of Type 2 Diabetes Mellitus (T2DM) is the insulin resistance paradigm. This theory proposes that peripheral tissues, particularly skeletal muscle</w:t>
      </w:r>
      <w:r w:rsidR="00E479A5" w:rsidRPr="00CA72D3">
        <w:rPr>
          <w:rStyle w:val="s1"/>
          <w:rFonts w:ascii="Arial" w:hAnsi="Arial" w:cs="Arial"/>
          <w:sz w:val="22"/>
          <w:szCs w:val="22"/>
        </w:rPr>
        <w:t>,</w:t>
      </w:r>
      <w:r w:rsidRPr="00CA72D3">
        <w:rPr>
          <w:rStyle w:val="s1"/>
          <w:rFonts w:ascii="Arial" w:hAnsi="Arial" w:cs="Arial"/>
          <w:sz w:val="22"/>
          <w:szCs w:val="22"/>
        </w:rPr>
        <w:t xml:space="preserve"> and adipose tissue, become less responsive to insulin, resulting in reduced glucose uptake and elevated blood glucose levels (DeFronzo, 2009). In response, pancreatic beta cells initially increase insulin production to </w:t>
      </w:r>
      <w:bookmarkStart w:id="34" w:name="_Int_QK0Fs17U"/>
      <w:r w:rsidRPr="00CA72D3">
        <w:rPr>
          <w:rStyle w:val="s1"/>
          <w:rFonts w:ascii="Arial" w:hAnsi="Arial" w:cs="Arial"/>
          <w:sz w:val="22"/>
          <w:szCs w:val="22"/>
        </w:rPr>
        <w:t>maintain</w:t>
      </w:r>
      <w:bookmarkEnd w:id="34"/>
      <w:r w:rsidRPr="00CA72D3">
        <w:rPr>
          <w:rStyle w:val="s1"/>
          <w:rFonts w:ascii="Arial" w:hAnsi="Arial" w:cs="Arial"/>
          <w:sz w:val="22"/>
          <w:szCs w:val="22"/>
        </w:rPr>
        <w:t xml:space="preserve"> glucose homeostasis; however, this compensatory mechanism eventually fails, leading to persistent hyperglycaemia. Insulin resistance is strongly associated with obesity, particularly visceral fat accumulation, which contributes to metabolic dysfunction through inflammatory pathways (Galicia-Garcia et al., 2020).</w:t>
      </w:r>
    </w:p>
    <w:p w14:paraId="483FA345" w14:textId="77777777" w:rsidR="00ED3DD8" w:rsidRPr="00CA72D3" w:rsidRDefault="00ED3DD8" w:rsidP="00CA72D3">
      <w:pPr>
        <w:pStyle w:val="p2"/>
        <w:spacing w:line="360" w:lineRule="auto"/>
        <w:divId w:val="865796449"/>
        <w:rPr>
          <w:rFonts w:ascii="Arial" w:hAnsi="Arial" w:cs="Arial"/>
          <w:sz w:val="22"/>
          <w:szCs w:val="22"/>
        </w:rPr>
      </w:pPr>
    </w:p>
    <w:p w14:paraId="3834C7FE" w14:textId="313346BF" w:rsidR="00ED3DD8" w:rsidRPr="00970F8C" w:rsidRDefault="00ED3DD8" w:rsidP="00970F8C">
      <w:pPr>
        <w:pStyle w:val="Heading1"/>
        <w:divId w:val="865796449"/>
      </w:pPr>
      <w:r w:rsidRPr="00970F8C">
        <w:rPr>
          <w:rStyle w:val="s2"/>
        </w:rPr>
        <w:t>Beta-Cell Dysfunction and Glucolipotoxicity</w:t>
      </w:r>
    </w:p>
    <w:p w14:paraId="5BE93EED" w14:textId="50080282" w:rsidR="00ED3DD8" w:rsidRPr="00CA72D3" w:rsidRDefault="00ED3DD8" w:rsidP="00CA72D3">
      <w:pPr>
        <w:pStyle w:val="p1"/>
        <w:spacing w:line="360" w:lineRule="auto"/>
        <w:divId w:val="865796449"/>
        <w:rPr>
          <w:rFonts w:ascii="Arial" w:hAnsi="Arial" w:cs="Arial"/>
          <w:sz w:val="22"/>
          <w:szCs w:val="22"/>
        </w:rPr>
      </w:pPr>
      <w:r w:rsidRPr="00CA72D3">
        <w:rPr>
          <w:rStyle w:val="s1"/>
          <w:rFonts w:ascii="Arial" w:hAnsi="Arial" w:cs="Arial"/>
          <w:sz w:val="22"/>
          <w:szCs w:val="22"/>
        </w:rPr>
        <w:t xml:space="preserve">Another important theoretical framework focuses on beta-cell dysfunction. Prolonged exposure to elevated glucose and circulating free fatty acids can lead to cellular stress and progressive beta-cell damage, commonly referred to as glucolipotoxicity. This process reduces insulin secretion and worsens glycaemic control over time (Reed, Bain, and Kanamarlapudi, 2021). However, emerging evidence suggests that beta-cell dysfunction may not always be irreversible. Research involving bariatric surgery and significant weight reduction has </w:t>
      </w:r>
      <w:r w:rsidR="00E479A5" w:rsidRPr="00CA72D3">
        <w:rPr>
          <w:rStyle w:val="s1"/>
          <w:rFonts w:ascii="Arial" w:hAnsi="Arial" w:cs="Arial"/>
          <w:sz w:val="22"/>
          <w:szCs w:val="22"/>
        </w:rPr>
        <w:t>shown</w:t>
      </w:r>
      <w:r w:rsidRPr="00CA72D3">
        <w:rPr>
          <w:rStyle w:val="s1"/>
          <w:rFonts w:ascii="Arial" w:hAnsi="Arial" w:cs="Arial"/>
          <w:sz w:val="22"/>
          <w:szCs w:val="22"/>
        </w:rPr>
        <w:t xml:space="preserve"> that remission of T2DM can occur in some individuals, </w:t>
      </w:r>
      <w:bookmarkStart w:id="35" w:name="_Int_p7uYQqOg"/>
      <w:r w:rsidRPr="00CA72D3">
        <w:rPr>
          <w:rStyle w:val="s1"/>
          <w:rFonts w:ascii="Arial" w:hAnsi="Arial" w:cs="Arial"/>
          <w:sz w:val="22"/>
          <w:szCs w:val="22"/>
        </w:rPr>
        <w:t>indicating</w:t>
      </w:r>
      <w:bookmarkEnd w:id="35"/>
      <w:r w:rsidRPr="00CA72D3">
        <w:rPr>
          <w:rStyle w:val="s1"/>
          <w:rFonts w:ascii="Arial" w:hAnsi="Arial" w:cs="Arial"/>
          <w:sz w:val="22"/>
          <w:szCs w:val="22"/>
        </w:rPr>
        <w:t xml:space="preserve"> that pancreatic function may partially recover under favourable metabolic conditions.</w:t>
      </w:r>
    </w:p>
    <w:p w14:paraId="1E1FFA45" w14:textId="77777777" w:rsidR="00ED3DD8" w:rsidRPr="00CA72D3" w:rsidRDefault="00ED3DD8" w:rsidP="00CA72D3">
      <w:pPr>
        <w:pStyle w:val="p2"/>
        <w:spacing w:line="360" w:lineRule="auto"/>
        <w:divId w:val="865796449"/>
        <w:rPr>
          <w:rFonts w:ascii="Arial" w:hAnsi="Arial" w:cs="Arial"/>
          <w:sz w:val="22"/>
          <w:szCs w:val="22"/>
        </w:rPr>
      </w:pPr>
    </w:p>
    <w:p w14:paraId="262DF7BB" w14:textId="036549D1" w:rsidR="00ED3DD8" w:rsidRPr="00970F8C" w:rsidRDefault="00ED3DD8" w:rsidP="00970F8C">
      <w:pPr>
        <w:pStyle w:val="Heading1"/>
        <w:divId w:val="865796449"/>
      </w:pPr>
      <w:r w:rsidRPr="00970F8C">
        <w:rPr>
          <w:rStyle w:val="s2"/>
        </w:rPr>
        <w:t>Inflammaging and Metabolic Senescence</w:t>
      </w:r>
    </w:p>
    <w:p w14:paraId="4C858BB6" w14:textId="77777777" w:rsidR="00352EB2" w:rsidRPr="00CA72D3" w:rsidRDefault="00ED3DD8" w:rsidP="00CA72D3">
      <w:pPr>
        <w:pStyle w:val="p1"/>
        <w:spacing w:line="360" w:lineRule="auto"/>
        <w:divId w:val="865796449"/>
        <w:rPr>
          <w:rFonts w:ascii="Arial" w:hAnsi="Arial" w:cs="Arial"/>
          <w:sz w:val="22"/>
          <w:szCs w:val="22"/>
        </w:rPr>
      </w:pPr>
      <w:r w:rsidRPr="00CA72D3">
        <w:rPr>
          <w:rStyle w:val="s1"/>
          <w:rFonts w:ascii="Arial" w:hAnsi="Arial" w:cs="Arial"/>
          <w:sz w:val="22"/>
          <w:szCs w:val="22"/>
        </w:rPr>
        <w:t>The concept of inflammaging has become increasingly relevant in explaining T2DM in older adults. Inflammaging refers to chronic low-grade inflammation associated with ageing that contributes to the development of age-related diseases (Frasca et al., 2021). Inflammatory cytokines such as interleukin-6 and tumour necrosis factor-alpha can impair insulin signalling and promote metabolic dysfunction, accelerating disease progression and increasing the risk of complications including cardiovascular disease and cognitive decline (Talley et al., 2015).</w:t>
      </w:r>
    </w:p>
    <w:p w14:paraId="77FAF8B5" w14:textId="49BB8C20" w:rsidR="00ED3DD8" w:rsidRPr="00970F8C" w:rsidRDefault="00ED3DD8" w:rsidP="00970F8C">
      <w:pPr>
        <w:pStyle w:val="Heading1"/>
        <w:divId w:val="865796449"/>
      </w:pPr>
      <w:r w:rsidRPr="00970F8C">
        <w:rPr>
          <w:rStyle w:val="s2"/>
        </w:rPr>
        <w:t>Social Determinants of Health Framework</w:t>
      </w:r>
    </w:p>
    <w:p w14:paraId="72FF1E1D" w14:textId="56B4E224" w:rsidR="00ED3DD8" w:rsidRPr="00CA72D3" w:rsidRDefault="00ED3DD8" w:rsidP="00CA72D3">
      <w:pPr>
        <w:pStyle w:val="p1"/>
        <w:spacing w:line="360" w:lineRule="auto"/>
        <w:divId w:val="865796449"/>
        <w:rPr>
          <w:rFonts w:ascii="Arial" w:hAnsi="Arial" w:cs="Arial"/>
          <w:sz w:val="22"/>
          <w:szCs w:val="22"/>
        </w:rPr>
      </w:pPr>
      <w:r w:rsidRPr="00CA72D3">
        <w:rPr>
          <w:rStyle w:val="s1"/>
          <w:rFonts w:ascii="Arial" w:hAnsi="Arial" w:cs="Arial"/>
          <w:sz w:val="22"/>
          <w:szCs w:val="22"/>
        </w:rPr>
        <w:t>While biomedical theories provide insight into physiological mechanisms, they do not fully explain variations in diabetes prevalence across populations. The social determinants of health framework highlights how socioeconomic factors such as income, education, employment, and housing influence health outcomes (Marmot, 2010). Individuals living in disadvantaged communities often face limited access to healthy foods, safe recreational environments, and healthcare services, increasing vulnerability to chronic diseases including T2DM.</w:t>
      </w:r>
    </w:p>
    <w:p w14:paraId="055D140E" w14:textId="694177BD" w:rsidR="00ED3DD8" w:rsidRPr="00DD1C2E" w:rsidRDefault="00ED3DD8" w:rsidP="00DD1C2E">
      <w:pPr>
        <w:pStyle w:val="Heading1"/>
        <w:divId w:val="865796449"/>
      </w:pPr>
      <w:r w:rsidRPr="00DD1C2E">
        <w:rPr>
          <w:rStyle w:val="s2"/>
        </w:rPr>
        <w:t>Application of Theories</w:t>
      </w:r>
    </w:p>
    <w:p w14:paraId="5ED70758" w14:textId="77777777" w:rsidR="00ED3DD8" w:rsidRPr="00CA72D3" w:rsidRDefault="00ED3DD8" w:rsidP="00CA72D3">
      <w:pPr>
        <w:pStyle w:val="p1"/>
        <w:spacing w:line="360" w:lineRule="auto"/>
        <w:divId w:val="865796449"/>
        <w:rPr>
          <w:rFonts w:ascii="Arial" w:hAnsi="Arial" w:cs="Arial"/>
          <w:sz w:val="22"/>
          <w:szCs w:val="22"/>
        </w:rPr>
      </w:pPr>
      <w:r w:rsidRPr="00CA72D3">
        <w:rPr>
          <w:rStyle w:val="s1"/>
          <w:rFonts w:ascii="Arial" w:hAnsi="Arial" w:cs="Arial"/>
          <w:sz w:val="22"/>
          <w:szCs w:val="22"/>
        </w:rPr>
        <w:t>These theoretical perspectives have influenced both diabetes research and clinical practice. The insulin resistance model underpins the mechanism of action of metformin, which reduces hepatic glucose production and improves insulin sensitivity (Bellary et al., 2021). The concept of inflammaging has informed research exploring relationships between diabetes, frailty, and cognitive impairment in older adults, while the social determinants framework has guided public health strategies and targeted diabetes prevention programmes.</w:t>
      </w:r>
    </w:p>
    <w:p w14:paraId="7A41A5E3" w14:textId="77777777" w:rsidR="00ED3DD8" w:rsidRPr="00CA72D3" w:rsidRDefault="00ED3DD8" w:rsidP="00CA72D3">
      <w:pPr>
        <w:pStyle w:val="p2"/>
        <w:spacing w:line="360" w:lineRule="auto"/>
        <w:divId w:val="865796449"/>
        <w:rPr>
          <w:rFonts w:ascii="Arial" w:hAnsi="Arial" w:cs="Arial"/>
          <w:sz w:val="22"/>
          <w:szCs w:val="22"/>
        </w:rPr>
      </w:pPr>
    </w:p>
    <w:p w14:paraId="0656857A" w14:textId="676ED79E" w:rsidR="00ED3DD8" w:rsidRPr="00DD1C2E" w:rsidRDefault="00ED3DD8" w:rsidP="00DD1C2E">
      <w:pPr>
        <w:pStyle w:val="Heading1"/>
        <w:divId w:val="865796449"/>
      </w:pPr>
      <w:r w:rsidRPr="00DD1C2E">
        <w:rPr>
          <w:rStyle w:val="s2"/>
        </w:rPr>
        <w:t>Critical Evaluation of Theories</w:t>
      </w:r>
    </w:p>
    <w:p w14:paraId="235DE4D4" w14:textId="1777FDCC" w:rsidR="00ED3DD8" w:rsidRPr="00CA72D3" w:rsidRDefault="00ED3DD8" w:rsidP="00CA72D3">
      <w:pPr>
        <w:pStyle w:val="p1"/>
        <w:spacing w:line="360" w:lineRule="auto"/>
        <w:divId w:val="865796449"/>
        <w:rPr>
          <w:rFonts w:ascii="Arial" w:hAnsi="Arial" w:cs="Arial"/>
          <w:sz w:val="22"/>
          <w:szCs w:val="22"/>
        </w:rPr>
      </w:pPr>
      <w:r w:rsidRPr="00CA72D3">
        <w:rPr>
          <w:rStyle w:val="s1"/>
          <w:rFonts w:ascii="Arial" w:hAnsi="Arial" w:cs="Arial"/>
          <w:sz w:val="22"/>
          <w:szCs w:val="22"/>
        </w:rPr>
        <w:t xml:space="preserve">Although these theoretical frameworks </w:t>
      </w:r>
      <w:bookmarkStart w:id="36" w:name="_Int_o8tmVoDH"/>
      <w:r w:rsidRPr="00CA72D3">
        <w:rPr>
          <w:rStyle w:val="s1"/>
          <w:rFonts w:ascii="Arial" w:hAnsi="Arial" w:cs="Arial"/>
          <w:sz w:val="22"/>
          <w:szCs w:val="22"/>
        </w:rPr>
        <w:t>provide</w:t>
      </w:r>
      <w:bookmarkEnd w:id="36"/>
      <w:r w:rsidRPr="00CA72D3">
        <w:rPr>
          <w:rStyle w:val="s1"/>
          <w:rFonts w:ascii="Arial" w:hAnsi="Arial" w:cs="Arial"/>
          <w:sz w:val="22"/>
          <w:szCs w:val="22"/>
        </w:rPr>
        <w:t xml:space="preserve"> valuable insights, each has limitations. The insulin resistance paradigm has been criticised for emphasising obesity while overlooking broader environmental influences. Similarly, the beta-cell exhaustion model assumes irreversible decline, yet evidence of diabetes remission suggests metabolic processes may be more adaptable. The concept of inflammaging </w:t>
      </w:r>
      <w:bookmarkStart w:id="37" w:name="_Int_S67fNgJe"/>
      <w:r w:rsidRPr="00CA72D3">
        <w:rPr>
          <w:rStyle w:val="s1"/>
          <w:rFonts w:ascii="Arial" w:hAnsi="Arial" w:cs="Arial"/>
          <w:sz w:val="22"/>
          <w:szCs w:val="22"/>
        </w:rPr>
        <w:t>remains</w:t>
      </w:r>
      <w:bookmarkEnd w:id="37"/>
      <w:r w:rsidRPr="00CA72D3">
        <w:rPr>
          <w:rStyle w:val="s1"/>
          <w:rFonts w:ascii="Arial" w:hAnsi="Arial" w:cs="Arial"/>
          <w:sz w:val="22"/>
          <w:szCs w:val="22"/>
        </w:rPr>
        <w:t xml:space="preserve"> supported by observational evidence, and the social determinants framework may insufficiently integrate biological mechanisms.</w:t>
      </w:r>
    </w:p>
    <w:p w14:paraId="6420534F" w14:textId="77777777" w:rsidR="00ED3DD8" w:rsidRPr="00CA72D3" w:rsidRDefault="00ED3DD8" w:rsidP="00CA72D3">
      <w:pPr>
        <w:pStyle w:val="p1"/>
        <w:spacing w:line="360" w:lineRule="auto"/>
        <w:divId w:val="865796449"/>
        <w:rPr>
          <w:rFonts w:ascii="Arial" w:hAnsi="Arial" w:cs="Arial"/>
          <w:sz w:val="22"/>
          <w:szCs w:val="22"/>
        </w:rPr>
      </w:pPr>
      <w:r w:rsidRPr="00CA72D3">
        <w:rPr>
          <w:rStyle w:val="s1"/>
          <w:rFonts w:ascii="Arial" w:hAnsi="Arial" w:cs="Arial"/>
          <w:sz w:val="22"/>
          <w:szCs w:val="22"/>
        </w:rPr>
        <w:t xml:space="preserve">Recent research highlights the heterogeneity of T2DM. Ahlqvist et al. (2018) </w:t>
      </w:r>
      <w:bookmarkStart w:id="38" w:name="_Int_Y98QKI60"/>
      <w:r w:rsidRPr="00CA72D3">
        <w:rPr>
          <w:rStyle w:val="s1"/>
          <w:rFonts w:ascii="Arial" w:hAnsi="Arial" w:cs="Arial"/>
          <w:sz w:val="22"/>
          <w:szCs w:val="22"/>
        </w:rPr>
        <w:t>identified</w:t>
      </w:r>
      <w:bookmarkEnd w:id="38"/>
      <w:r w:rsidRPr="00CA72D3">
        <w:rPr>
          <w:rStyle w:val="s1"/>
          <w:rFonts w:ascii="Arial" w:hAnsi="Arial" w:cs="Arial"/>
          <w:sz w:val="22"/>
          <w:szCs w:val="22"/>
        </w:rPr>
        <w:t xml:space="preserve"> distinct subtypes of adult-onset diabetes based on genetic and metabolic characteristics, challenging traditional classifications and supporting more personalised treatment approaches.</w:t>
      </w:r>
    </w:p>
    <w:p w14:paraId="5FCEBC44" w14:textId="77777777" w:rsidR="006A226E" w:rsidRPr="00CA72D3" w:rsidRDefault="006A226E" w:rsidP="00CA72D3">
      <w:pPr>
        <w:spacing w:before="100" w:beforeAutospacing="1" w:after="100" w:afterAutospacing="1" w:line="360" w:lineRule="auto"/>
        <w:outlineLvl w:val="0"/>
        <w:divId w:val="1277709887"/>
        <w:rPr>
          <w:rFonts w:ascii="Arial" w:eastAsia="Times New Roman" w:hAnsi="Arial" w:cs="Arial"/>
          <w:b/>
          <w:bCs/>
          <w:kern w:val="36"/>
          <w:sz w:val="22"/>
          <w:szCs w:val="22"/>
          <w14:ligatures w14:val="none"/>
        </w:rPr>
      </w:pPr>
    </w:p>
    <w:p w14:paraId="38FA6ABF" w14:textId="611DDE88" w:rsidR="00100C38" w:rsidRPr="00DD1C2E" w:rsidRDefault="00100C38" w:rsidP="00DD1C2E">
      <w:pPr>
        <w:pStyle w:val="Heading1"/>
        <w:divId w:val="43524947"/>
      </w:pPr>
      <w:r w:rsidRPr="00DD1C2E">
        <w:t>2.5 National and Local UK Context</w:t>
      </w:r>
      <w:r w:rsidR="00F93C93" w:rsidRPr="00DD1C2E">
        <w:t xml:space="preserve"> </w:t>
      </w:r>
    </w:p>
    <w:p w14:paraId="55A7FE79" w14:textId="08175F4D" w:rsidR="00100C38" w:rsidRPr="00CA72D3" w:rsidRDefault="00100C38" w:rsidP="00DD1C2E">
      <w:pPr>
        <w:pStyle w:val="Heading1"/>
        <w:divId w:val="43524947"/>
        <w:rPr>
          <w:rFonts w:eastAsia="Times New Roman"/>
        </w:rPr>
      </w:pPr>
      <w:r w:rsidRPr="00DD1C2E">
        <w:t>UK Perspective</w:t>
      </w:r>
    </w:p>
    <w:p w14:paraId="202617BF" w14:textId="4C6E3F12" w:rsidR="00527105" w:rsidRPr="00CA72D3" w:rsidRDefault="00527105" w:rsidP="00CA72D3">
      <w:pPr>
        <w:pStyle w:val="p1"/>
        <w:spacing w:line="360" w:lineRule="auto"/>
        <w:divId w:val="607852260"/>
        <w:rPr>
          <w:rFonts w:ascii="Arial" w:hAnsi="Arial" w:cs="Arial"/>
          <w:sz w:val="22"/>
          <w:szCs w:val="22"/>
        </w:rPr>
      </w:pPr>
      <w:r w:rsidRPr="00CA72D3">
        <w:rPr>
          <w:rStyle w:val="s1"/>
          <w:rFonts w:ascii="Arial" w:hAnsi="Arial" w:cs="Arial"/>
          <w:sz w:val="22"/>
          <w:szCs w:val="22"/>
        </w:rPr>
        <w:t xml:space="preserve">In the United Kingdom, Type 2 Diabetes Mellitus (T2DM) </w:t>
      </w:r>
      <w:bookmarkStart w:id="39" w:name="_Int_9p3kAIei"/>
      <w:r w:rsidRPr="00CA72D3">
        <w:rPr>
          <w:rStyle w:val="s1"/>
          <w:rFonts w:ascii="Arial" w:hAnsi="Arial" w:cs="Arial"/>
          <w:sz w:val="22"/>
          <w:szCs w:val="22"/>
        </w:rPr>
        <w:t>is recognised</w:t>
      </w:r>
      <w:bookmarkEnd w:id="39"/>
      <w:r w:rsidRPr="00CA72D3">
        <w:rPr>
          <w:rStyle w:val="s1"/>
          <w:rFonts w:ascii="Arial" w:hAnsi="Arial" w:cs="Arial"/>
          <w:sz w:val="22"/>
          <w:szCs w:val="22"/>
        </w:rPr>
        <w:t xml:space="preserve"> as a major public health concern due to its increasing prevalence and long-term health consequences. Approximately 4.9 million people in the UK are living with diabetes, the majority of whom have T2DM (NHS Digital, 2022). The condition places substantial pressure on healthcare resources and accounts for </w:t>
      </w:r>
      <w:r w:rsidR="0030562D" w:rsidRPr="00CA72D3">
        <w:rPr>
          <w:rStyle w:val="s1"/>
          <w:rFonts w:ascii="Arial" w:hAnsi="Arial" w:cs="Arial"/>
          <w:sz w:val="22"/>
          <w:szCs w:val="22"/>
        </w:rPr>
        <w:t>a considerable proportion</w:t>
      </w:r>
      <w:r w:rsidRPr="00CA72D3">
        <w:rPr>
          <w:rStyle w:val="s1"/>
          <w:rFonts w:ascii="Arial" w:hAnsi="Arial" w:cs="Arial"/>
          <w:sz w:val="22"/>
          <w:szCs w:val="22"/>
        </w:rPr>
        <w:t xml:space="preserve"> of NHS expenditure. The burden of T2DM is particularly high among older adults, as ageing is associated with physiological changes that impair glucose metabolism and increase insulin resistance (</w:t>
      </w:r>
      <w:bookmarkStart w:id="40" w:name="_Int_gxyKxXC6"/>
      <w:r w:rsidRPr="00CA72D3">
        <w:rPr>
          <w:rStyle w:val="s1"/>
          <w:rFonts w:ascii="Arial" w:hAnsi="Arial" w:cs="Arial"/>
          <w:sz w:val="22"/>
          <w:szCs w:val="22"/>
        </w:rPr>
        <w:t>Bellary</w:t>
      </w:r>
      <w:bookmarkEnd w:id="40"/>
      <w:r w:rsidRPr="00CA72D3">
        <w:rPr>
          <w:rStyle w:val="s1"/>
          <w:rFonts w:ascii="Arial" w:hAnsi="Arial" w:cs="Arial"/>
          <w:sz w:val="22"/>
          <w:szCs w:val="22"/>
        </w:rPr>
        <w:t xml:space="preserve"> et al., 2021). Prevalence is also higher among individuals living in socioeconomically deprived communities, highlighting the importance of wider social determinants of health.</w:t>
      </w:r>
    </w:p>
    <w:p w14:paraId="017E050D" w14:textId="77777777" w:rsidR="00145302" w:rsidRPr="00CA72D3" w:rsidRDefault="00145302" w:rsidP="00CA72D3">
      <w:pPr>
        <w:spacing w:before="100" w:beforeAutospacing="1" w:after="100" w:afterAutospacing="1" w:line="360" w:lineRule="auto"/>
        <w:outlineLvl w:val="0"/>
        <w:divId w:val="1425374242"/>
        <w:rPr>
          <w:rFonts w:ascii="Arial" w:eastAsia="Times New Roman" w:hAnsi="Arial" w:cs="Arial"/>
          <w:b/>
          <w:bCs/>
          <w:kern w:val="36"/>
          <w:sz w:val="22"/>
          <w:szCs w:val="22"/>
          <w14:ligatures w14:val="none"/>
        </w:rPr>
      </w:pPr>
    </w:p>
    <w:p w14:paraId="2DEF9A8D" w14:textId="6B434B92" w:rsidR="00122001" w:rsidRPr="00713098" w:rsidRDefault="00FB5EA2" w:rsidP="00713098">
      <w:pPr>
        <w:pStyle w:val="Heading1"/>
        <w:divId w:val="1425374242"/>
      </w:pPr>
      <w:r w:rsidRPr="00713098">
        <w:t>N</w:t>
      </w:r>
      <w:r w:rsidR="006707BA" w:rsidRPr="00713098">
        <w:t>ational di</w:t>
      </w:r>
      <w:r w:rsidR="004F4C61" w:rsidRPr="00713098">
        <w:t>a</w:t>
      </w:r>
      <w:r w:rsidR="0036573E" w:rsidRPr="00713098">
        <w:t>bet</w:t>
      </w:r>
      <w:r w:rsidR="006E5910" w:rsidRPr="00713098">
        <w:t>es management</w:t>
      </w:r>
    </w:p>
    <w:p w14:paraId="2DA17F57" w14:textId="36D57F89" w:rsidR="00122001" w:rsidRPr="00CA72D3" w:rsidRDefault="001554D0" w:rsidP="00CA72D3">
      <w:pPr>
        <w:pStyle w:val="p1"/>
        <w:spacing w:line="360" w:lineRule="auto"/>
        <w:divId w:val="1758558531"/>
        <w:rPr>
          <w:rStyle w:val="s1"/>
          <w:rFonts w:ascii="Arial" w:hAnsi="Arial" w:cs="Arial"/>
          <w:sz w:val="22"/>
          <w:szCs w:val="22"/>
        </w:rPr>
      </w:pPr>
      <w:r w:rsidRPr="00CA72D3">
        <w:rPr>
          <w:rStyle w:val="s1"/>
          <w:rFonts w:ascii="Arial" w:hAnsi="Arial" w:cs="Arial"/>
          <w:sz w:val="22"/>
          <w:szCs w:val="22"/>
        </w:rPr>
        <w:t xml:space="preserve">National diabetes management strategies are </w:t>
      </w:r>
      <w:r w:rsidR="008D2AFA" w:rsidRPr="00CA72D3">
        <w:rPr>
          <w:rStyle w:val="s1"/>
          <w:rFonts w:ascii="Arial" w:hAnsi="Arial" w:cs="Arial"/>
          <w:sz w:val="22"/>
          <w:szCs w:val="22"/>
        </w:rPr>
        <w:t>coordinated</w:t>
      </w:r>
      <w:r w:rsidRPr="00CA72D3">
        <w:rPr>
          <w:rStyle w:val="s1"/>
          <w:rFonts w:ascii="Arial" w:hAnsi="Arial" w:cs="Arial"/>
          <w:sz w:val="22"/>
          <w:szCs w:val="22"/>
        </w:rPr>
        <w:t xml:space="preserve"> through primary care services. The NHS Long Term Plan (2019) emphasises prevention, early diagnosis, and integrated care pathways to reduce the burden of chronic disease. A key initiative is the NHS Diabetes Prevention Programme, which targets individuals at </w:t>
      </w:r>
      <w:r w:rsidR="0084512C" w:rsidRPr="00CA72D3">
        <w:rPr>
          <w:rStyle w:val="s1"/>
          <w:rFonts w:ascii="Arial" w:hAnsi="Arial" w:cs="Arial"/>
          <w:sz w:val="22"/>
          <w:szCs w:val="22"/>
        </w:rPr>
        <w:t>enormous</w:t>
      </w:r>
      <w:r w:rsidRPr="00CA72D3">
        <w:rPr>
          <w:rStyle w:val="s1"/>
          <w:rFonts w:ascii="Arial" w:hAnsi="Arial" w:cs="Arial"/>
          <w:sz w:val="22"/>
          <w:szCs w:val="22"/>
        </w:rPr>
        <w:t xml:space="preserve"> risk of developing T2DM and promotes lifestyle interventions such as improved diet, increased physical activity, and weight management. Although evaluations suggest these interventions can reduce diabetes risk, participation and outcomes vary across regions and population groups. Ethnic inequalities further complicate the national diabetes landscape, as South Asian populations often develop T2DM at younger ages and lower body mass index levels compared with White European populations (Barnett et al., 2006).</w:t>
      </w:r>
    </w:p>
    <w:p w14:paraId="3871CC2B" w14:textId="77777777" w:rsidR="00DA4727" w:rsidRPr="00CA72D3" w:rsidRDefault="00DA4727" w:rsidP="00CA72D3">
      <w:pPr>
        <w:pStyle w:val="p1"/>
        <w:spacing w:line="360" w:lineRule="auto"/>
        <w:divId w:val="1758558531"/>
        <w:rPr>
          <w:rFonts w:ascii="Arial" w:hAnsi="Arial" w:cs="Arial"/>
          <w:sz w:val="22"/>
          <w:szCs w:val="22"/>
        </w:rPr>
      </w:pPr>
    </w:p>
    <w:p w14:paraId="4F9061DF" w14:textId="687761EB" w:rsidR="001A084E" w:rsidRPr="00713098" w:rsidRDefault="00A07D83" w:rsidP="00713098">
      <w:pPr>
        <w:pStyle w:val="Heading1"/>
        <w:divId w:val="1425374242"/>
      </w:pPr>
      <w:r w:rsidRPr="00713098">
        <w:t>E</w:t>
      </w:r>
      <w:r w:rsidR="00856216" w:rsidRPr="00713098">
        <w:t>thnic inequalities fu</w:t>
      </w:r>
      <w:r w:rsidR="001A084E" w:rsidRPr="00713098">
        <w:t>rther</w:t>
      </w:r>
    </w:p>
    <w:p w14:paraId="3AADE534" w14:textId="1ADBF28D" w:rsidR="00E27CC2" w:rsidRPr="00CA72D3" w:rsidRDefault="00E27CC2" w:rsidP="00CA72D3">
      <w:pPr>
        <w:pStyle w:val="p1"/>
        <w:spacing w:line="360" w:lineRule="auto"/>
        <w:divId w:val="2095277932"/>
        <w:rPr>
          <w:rFonts w:ascii="Arial" w:hAnsi="Arial" w:cs="Arial"/>
          <w:sz w:val="22"/>
          <w:szCs w:val="22"/>
        </w:rPr>
      </w:pPr>
      <w:r w:rsidRPr="00CA72D3">
        <w:rPr>
          <w:rStyle w:val="s1"/>
          <w:rFonts w:ascii="Arial" w:hAnsi="Arial" w:cs="Arial"/>
          <w:sz w:val="22"/>
          <w:szCs w:val="22"/>
        </w:rPr>
        <w:t xml:space="preserve">Clinical management of diabetes in the UK </w:t>
      </w:r>
      <w:bookmarkStart w:id="41" w:name="_Int_CZVNBar1"/>
      <w:r w:rsidRPr="00CA72D3">
        <w:rPr>
          <w:rStyle w:val="s1"/>
          <w:rFonts w:ascii="Arial" w:hAnsi="Arial" w:cs="Arial"/>
          <w:sz w:val="22"/>
          <w:szCs w:val="22"/>
        </w:rPr>
        <w:t>is guided</w:t>
      </w:r>
      <w:bookmarkEnd w:id="41"/>
      <w:r w:rsidRPr="00CA72D3">
        <w:rPr>
          <w:rStyle w:val="s1"/>
          <w:rFonts w:ascii="Arial" w:hAnsi="Arial" w:cs="Arial"/>
          <w:sz w:val="22"/>
          <w:szCs w:val="22"/>
        </w:rPr>
        <w:t xml:space="preserve"> by recommendations from the National Institute for Health and Care Excellence, which promote personalised treatment approaches based on age, comorbidities, and hypoglycaemia risk (NICE, 2022). The Quality and Outcomes Framework also </w:t>
      </w:r>
      <w:r w:rsidR="00EF3385" w:rsidRPr="00CA72D3">
        <w:rPr>
          <w:rStyle w:val="s1"/>
          <w:rFonts w:ascii="Arial" w:hAnsi="Arial" w:cs="Arial"/>
          <w:sz w:val="22"/>
          <w:szCs w:val="22"/>
        </w:rPr>
        <w:t>incentivise</w:t>
      </w:r>
      <w:r w:rsidRPr="00CA72D3">
        <w:rPr>
          <w:rStyle w:val="s1"/>
          <w:rFonts w:ascii="Arial" w:hAnsi="Arial" w:cs="Arial"/>
          <w:sz w:val="22"/>
          <w:szCs w:val="22"/>
        </w:rPr>
        <w:t xml:space="preserve"> general practitioners to meet clinical targets such as HbA1c monitoring, blood pressure control, and complication screening. However, critics argue that performance targets may prioritise measurable outcomes over holistic patient care. Integrated Care Systems </w:t>
      </w:r>
      <w:bookmarkStart w:id="42" w:name="_Int_Xntt0ukl"/>
      <w:r w:rsidRPr="00CA72D3">
        <w:rPr>
          <w:rStyle w:val="s1"/>
          <w:rFonts w:ascii="Arial" w:hAnsi="Arial" w:cs="Arial"/>
          <w:sz w:val="22"/>
          <w:szCs w:val="22"/>
        </w:rPr>
        <w:t>were introduced</w:t>
      </w:r>
      <w:bookmarkEnd w:id="42"/>
      <w:r w:rsidRPr="00CA72D3">
        <w:rPr>
          <w:rStyle w:val="s1"/>
          <w:rFonts w:ascii="Arial" w:hAnsi="Arial" w:cs="Arial"/>
          <w:sz w:val="22"/>
          <w:szCs w:val="22"/>
        </w:rPr>
        <w:t xml:space="preserve"> to improve coordination between healthcare services, although workforce shortages and financial pressures continue to challenge service delivery.</w:t>
      </w:r>
    </w:p>
    <w:p w14:paraId="10620A2C" w14:textId="77777777" w:rsidR="001A084E" w:rsidRPr="00CA72D3" w:rsidRDefault="001A084E" w:rsidP="00CA72D3">
      <w:pPr>
        <w:spacing w:line="360" w:lineRule="auto"/>
        <w:divId w:val="1425374242"/>
        <w:rPr>
          <w:rFonts w:ascii="Arial" w:hAnsi="Arial" w:cs="Arial"/>
          <w:sz w:val="22"/>
          <w:szCs w:val="22"/>
        </w:rPr>
      </w:pPr>
    </w:p>
    <w:p w14:paraId="62840B9B" w14:textId="652258D7" w:rsidR="006E0492" w:rsidRPr="00713098" w:rsidRDefault="00E47A7C" w:rsidP="00713098">
      <w:pPr>
        <w:pStyle w:val="Heading1"/>
        <w:divId w:val="1425374242"/>
      </w:pPr>
      <w:r w:rsidRPr="00713098">
        <w:t>Po</w:t>
      </w:r>
      <w:r w:rsidR="00152609" w:rsidRPr="00713098">
        <w:t>licy and Regulation</w:t>
      </w:r>
    </w:p>
    <w:p w14:paraId="5DC900C7" w14:textId="573E7865" w:rsidR="006E0492" w:rsidRPr="00CA72D3" w:rsidRDefault="00D55F6A" w:rsidP="00CA72D3">
      <w:pPr>
        <w:pStyle w:val="p1"/>
        <w:spacing w:line="360" w:lineRule="auto"/>
        <w:divId w:val="1111239763"/>
        <w:rPr>
          <w:rFonts w:ascii="Arial" w:hAnsi="Arial" w:cs="Arial"/>
          <w:sz w:val="22"/>
          <w:szCs w:val="22"/>
        </w:rPr>
      </w:pPr>
      <w:r w:rsidRPr="00CA72D3">
        <w:rPr>
          <w:rStyle w:val="s1"/>
          <w:rFonts w:ascii="Arial" w:hAnsi="Arial" w:cs="Arial"/>
          <w:sz w:val="22"/>
          <w:szCs w:val="22"/>
        </w:rPr>
        <w:t xml:space="preserve">UK diabetes care </w:t>
      </w:r>
      <w:bookmarkStart w:id="43" w:name="_Int_7mMOYY2t"/>
      <w:r w:rsidRPr="00CA72D3">
        <w:rPr>
          <w:rStyle w:val="s1"/>
          <w:rFonts w:ascii="Arial" w:hAnsi="Arial" w:cs="Arial"/>
          <w:sz w:val="22"/>
          <w:szCs w:val="22"/>
        </w:rPr>
        <w:t>is guided</w:t>
      </w:r>
      <w:bookmarkEnd w:id="43"/>
      <w:r w:rsidRPr="00CA72D3">
        <w:rPr>
          <w:rStyle w:val="s1"/>
          <w:rFonts w:ascii="Arial" w:hAnsi="Arial" w:cs="Arial"/>
          <w:sz w:val="22"/>
          <w:szCs w:val="22"/>
        </w:rPr>
        <w:t xml:space="preserve"> by NICE guidelines, promoting personalised treatment based on age, comorbidities, and hypoglycaemia risk (NICE, 2022). The QOF incentivises GPs to meet targets such as HbA1c monitoring and complication screening. Integrated Care Systems aim to improve coordination across services, though workforce and funding challenges </w:t>
      </w:r>
      <w:bookmarkStart w:id="44" w:name="_Int_fxw9LO5P"/>
      <w:r w:rsidRPr="00CA72D3">
        <w:rPr>
          <w:rStyle w:val="s1"/>
          <w:rFonts w:ascii="Arial" w:hAnsi="Arial" w:cs="Arial"/>
          <w:sz w:val="22"/>
          <w:szCs w:val="22"/>
        </w:rPr>
        <w:t>remain</w:t>
      </w:r>
      <w:bookmarkEnd w:id="44"/>
      <w:r w:rsidRPr="00CA72D3">
        <w:rPr>
          <w:rStyle w:val="s1"/>
          <w:rFonts w:ascii="Arial" w:hAnsi="Arial" w:cs="Arial"/>
          <w:sz w:val="22"/>
          <w:szCs w:val="22"/>
        </w:rPr>
        <w:t>.</w:t>
      </w:r>
    </w:p>
    <w:p w14:paraId="2C799860" w14:textId="77777777" w:rsidR="006E0492" w:rsidRPr="00CA72D3" w:rsidRDefault="006E0492" w:rsidP="00CA72D3">
      <w:pPr>
        <w:spacing w:line="360" w:lineRule="auto"/>
        <w:divId w:val="1425374242"/>
        <w:rPr>
          <w:rFonts w:ascii="Arial" w:hAnsi="Arial" w:cs="Arial"/>
          <w:sz w:val="22"/>
          <w:szCs w:val="22"/>
        </w:rPr>
      </w:pPr>
    </w:p>
    <w:p w14:paraId="196A492C" w14:textId="1BA5C65A" w:rsidR="00B458FA" w:rsidRPr="00713098" w:rsidRDefault="009016EA" w:rsidP="00713098">
      <w:pPr>
        <w:pStyle w:val="Heading1"/>
        <w:divId w:val="1425374242"/>
      </w:pPr>
      <w:r w:rsidRPr="00713098">
        <w:t>L</w:t>
      </w:r>
      <w:r w:rsidR="00CF0DB9" w:rsidRPr="00713098">
        <w:t>ocal Context: B</w:t>
      </w:r>
      <w:r w:rsidR="00815CB0" w:rsidRPr="00713098">
        <w:t>irmingham</w:t>
      </w:r>
    </w:p>
    <w:p w14:paraId="5692C427" w14:textId="563F66A1" w:rsidR="005214AC" w:rsidRPr="00CA72D3" w:rsidRDefault="005214AC" w:rsidP="00CA72D3">
      <w:pPr>
        <w:pStyle w:val="p1"/>
        <w:spacing w:line="360" w:lineRule="auto"/>
        <w:divId w:val="1031568839"/>
        <w:rPr>
          <w:rFonts w:ascii="Arial" w:hAnsi="Arial" w:cs="Arial"/>
          <w:sz w:val="22"/>
          <w:szCs w:val="22"/>
        </w:rPr>
      </w:pPr>
      <w:r w:rsidRPr="00CA72D3">
        <w:rPr>
          <w:rStyle w:val="s1"/>
          <w:rFonts w:ascii="Arial" w:hAnsi="Arial" w:cs="Arial"/>
          <w:sz w:val="22"/>
          <w:szCs w:val="22"/>
        </w:rPr>
        <w:t xml:space="preserve">At the local level, Birmingham provides a context for examining T2DM due to its diverse population and </w:t>
      </w:r>
      <w:r w:rsidR="008D2AFA" w:rsidRPr="00CA72D3">
        <w:rPr>
          <w:rStyle w:val="s1"/>
          <w:rFonts w:ascii="Arial" w:hAnsi="Arial" w:cs="Arial"/>
          <w:sz w:val="22"/>
          <w:szCs w:val="22"/>
        </w:rPr>
        <w:t>high</w:t>
      </w:r>
      <w:r w:rsidRPr="00CA72D3">
        <w:rPr>
          <w:rStyle w:val="s1"/>
          <w:rFonts w:ascii="Arial" w:hAnsi="Arial" w:cs="Arial"/>
          <w:sz w:val="22"/>
          <w:szCs w:val="22"/>
        </w:rPr>
        <w:t xml:space="preserve"> diabetes prevalence. Public Health England reports that diabetes rates in Birmingham exceed the national average, reflecting demographic and socioeconomic influences. The city has a large South Asian population and areas of socioeconomic deprivation, both associated with increased risk of T2DM (Au-Yeung et al., 2024). Local health authorities have introduced community screening programmes and culturally tailored health education initiatives, although structural inequalities and access to healthy environments continue to influence health outcomes.</w:t>
      </w:r>
    </w:p>
    <w:p w14:paraId="2800F286" w14:textId="77777777" w:rsidR="0085548C" w:rsidRPr="00CA72D3" w:rsidRDefault="0085548C" w:rsidP="00CA72D3">
      <w:pPr>
        <w:spacing w:line="360" w:lineRule="auto"/>
        <w:divId w:val="1425374242"/>
        <w:rPr>
          <w:rFonts w:ascii="Arial" w:hAnsi="Arial" w:cs="Arial"/>
          <w:sz w:val="22"/>
          <w:szCs w:val="22"/>
        </w:rPr>
      </w:pPr>
    </w:p>
    <w:p w14:paraId="7DC23B52" w14:textId="7E716804" w:rsidR="00F53D8F" w:rsidRPr="00713098" w:rsidRDefault="0085548C" w:rsidP="00713098">
      <w:pPr>
        <w:pStyle w:val="Heading1"/>
        <w:divId w:val="1425374242"/>
      </w:pPr>
      <w:r w:rsidRPr="00713098">
        <w:t>C</w:t>
      </w:r>
      <w:r w:rsidR="00675509" w:rsidRPr="00713098">
        <w:t>hapter S</w:t>
      </w:r>
      <w:r w:rsidR="00E1747B" w:rsidRPr="00713098">
        <w:t>ummary</w:t>
      </w:r>
    </w:p>
    <w:p w14:paraId="22B5B40C" w14:textId="248D9CFC" w:rsidR="009A31B2" w:rsidRPr="00CA72D3" w:rsidRDefault="00895989" w:rsidP="00CA72D3">
      <w:pPr>
        <w:pStyle w:val="p1"/>
        <w:spacing w:line="360" w:lineRule="auto"/>
        <w:divId w:val="686175868"/>
        <w:rPr>
          <w:rFonts w:ascii="Arial" w:hAnsi="Arial" w:cs="Arial"/>
          <w:sz w:val="22"/>
          <w:szCs w:val="22"/>
        </w:rPr>
      </w:pPr>
      <w:r w:rsidRPr="00CA72D3">
        <w:rPr>
          <w:rStyle w:val="s1"/>
          <w:rFonts w:ascii="Arial" w:hAnsi="Arial" w:cs="Arial"/>
          <w:sz w:val="22"/>
          <w:szCs w:val="22"/>
        </w:rPr>
        <w:t>Overall, this chapter has examined the policy, demographic, and healthcare context shaping the understanding and management of T2DM in the UK and Birmingham, highlighting the need for integrated approaches addressing biological and social factors.</w:t>
      </w:r>
    </w:p>
    <w:p w14:paraId="794E4B53" w14:textId="46A0A9F1" w:rsidR="00BC12BC" w:rsidRPr="00713098" w:rsidRDefault="00E22E35" w:rsidP="00713098">
      <w:pPr>
        <w:pStyle w:val="Heading1"/>
        <w:divId w:val="1425374242"/>
      </w:pPr>
      <w:r w:rsidRPr="00713098">
        <w:t>2.6 Conclusion</w:t>
      </w:r>
      <w:r w:rsidR="002874C5" w:rsidRPr="00713098">
        <w:t xml:space="preserve"> </w:t>
      </w:r>
    </w:p>
    <w:p w14:paraId="31AF8417" w14:textId="3D259782" w:rsidR="00F6069B" w:rsidRPr="00713098" w:rsidRDefault="00BC12BC" w:rsidP="00713098">
      <w:pPr>
        <w:pStyle w:val="Heading1"/>
        <w:divId w:val="326637830"/>
        <w:rPr>
          <w:rStyle w:val="s1"/>
        </w:rPr>
      </w:pPr>
      <w:r w:rsidRPr="00713098">
        <w:rPr>
          <w:rStyle w:val="normaltextrun"/>
        </w:rPr>
        <w:t>Summary of Key Points:</w:t>
      </w:r>
      <w:r w:rsidRPr="00713098">
        <w:rPr>
          <w:rStyle w:val="eop"/>
        </w:rPr>
        <w:t> </w:t>
      </w:r>
    </w:p>
    <w:p w14:paraId="41DF2B6D" w14:textId="77777777" w:rsidR="00C65CA9" w:rsidRPr="00CA72D3" w:rsidRDefault="00C65CA9" w:rsidP="00CA72D3">
      <w:pPr>
        <w:pStyle w:val="paragraph"/>
        <w:spacing w:before="0" w:beforeAutospacing="0" w:after="0" w:afterAutospacing="0" w:line="360" w:lineRule="auto"/>
        <w:textAlignment w:val="baseline"/>
        <w:rPr>
          <w:rStyle w:val="normaltextrun"/>
          <w:rFonts w:ascii="Arial" w:hAnsi="Arial" w:cs="Arial"/>
          <w:sz w:val="22"/>
          <w:szCs w:val="22"/>
        </w:rPr>
      </w:pPr>
    </w:p>
    <w:p w14:paraId="40EAA331" w14:textId="77777777" w:rsidR="004462F6" w:rsidRPr="00CA72D3" w:rsidRDefault="004462F6" w:rsidP="00CA72D3">
      <w:pPr>
        <w:pStyle w:val="p1"/>
        <w:spacing w:line="360" w:lineRule="auto"/>
        <w:divId w:val="826289561"/>
        <w:rPr>
          <w:rFonts w:ascii="Arial" w:hAnsi="Arial" w:cs="Arial"/>
          <w:sz w:val="22"/>
          <w:szCs w:val="22"/>
        </w:rPr>
      </w:pPr>
      <w:r w:rsidRPr="00CA72D3">
        <w:rPr>
          <w:rStyle w:val="s1"/>
          <w:rFonts w:ascii="Arial" w:hAnsi="Arial" w:cs="Arial"/>
          <w:sz w:val="22"/>
          <w:szCs w:val="22"/>
        </w:rPr>
        <w:t xml:space="preserve">This chapter has critically examined the historical development, theoretical frameworks, and policy contexts shaping contemporary understanding of Type 2 Diabetes Mellitus (T2DM). The discussion </w:t>
      </w:r>
      <w:bookmarkStart w:id="45" w:name="_Int_xH1HHoQk"/>
      <w:r w:rsidRPr="00CA72D3">
        <w:rPr>
          <w:rStyle w:val="s1"/>
          <w:rFonts w:ascii="Arial" w:hAnsi="Arial" w:cs="Arial"/>
          <w:sz w:val="22"/>
          <w:szCs w:val="22"/>
        </w:rPr>
        <w:t>demonstrated</w:t>
      </w:r>
      <w:bookmarkEnd w:id="45"/>
      <w:r w:rsidRPr="00CA72D3">
        <w:rPr>
          <w:rStyle w:val="s1"/>
          <w:rFonts w:ascii="Arial" w:hAnsi="Arial" w:cs="Arial"/>
          <w:sz w:val="22"/>
          <w:szCs w:val="22"/>
        </w:rPr>
        <w:t xml:space="preserve"> how the conceptualisation of diabetes has evolved from early symptom-based descriptions to complex biomedical models encompassing insulin resistance, beta-cell dysfunction, and chronic inflammation.</w:t>
      </w:r>
    </w:p>
    <w:p w14:paraId="048363A0" w14:textId="77777777" w:rsidR="004462F6" w:rsidRPr="00CA72D3" w:rsidRDefault="004462F6" w:rsidP="00CA72D3">
      <w:pPr>
        <w:pStyle w:val="p2"/>
        <w:spacing w:line="360" w:lineRule="auto"/>
        <w:divId w:val="826289561"/>
        <w:rPr>
          <w:rFonts w:ascii="Arial" w:hAnsi="Arial" w:cs="Arial"/>
          <w:sz w:val="22"/>
          <w:szCs w:val="22"/>
        </w:rPr>
      </w:pPr>
    </w:p>
    <w:p w14:paraId="3F9195EA" w14:textId="6CE5FD0D" w:rsidR="004462F6" w:rsidRPr="00CA72D3" w:rsidRDefault="004462F6" w:rsidP="00CA72D3">
      <w:pPr>
        <w:pStyle w:val="p1"/>
        <w:spacing w:line="360" w:lineRule="auto"/>
        <w:divId w:val="826289561"/>
        <w:rPr>
          <w:rFonts w:ascii="Arial" w:hAnsi="Arial" w:cs="Arial"/>
          <w:sz w:val="22"/>
          <w:szCs w:val="22"/>
        </w:rPr>
      </w:pPr>
      <w:r w:rsidRPr="00CA72D3">
        <w:rPr>
          <w:rStyle w:val="s1"/>
          <w:rFonts w:ascii="Arial" w:hAnsi="Arial" w:cs="Arial"/>
          <w:sz w:val="22"/>
          <w:szCs w:val="22"/>
        </w:rPr>
        <w:t xml:space="preserve">While these physiological frameworks </w:t>
      </w:r>
      <w:bookmarkStart w:id="46" w:name="_Int_KERp3B5q"/>
      <w:r w:rsidRPr="00CA72D3">
        <w:rPr>
          <w:rStyle w:val="s1"/>
          <w:rFonts w:ascii="Arial" w:hAnsi="Arial" w:cs="Arial"/>
          <w:sz w:val="22"/>
          <w:szCs w:val="22"/>
        </w:rPr>
        <w:t>provide</w:t>
      </w:r>
      <w:bookmarkEnd w:id="46"/>
      <w:r w:rsidRPr="00CA72D3">
        <w:rPr>
          <w:rStyle w:val="s1"/>
          <w:rFonts w:ascii="Arial" w:hAnsi="Arial" w:cs="Arial"/>
          <w:sz w:val="22"/>
          <w:szCs w:val="22"/>
        </w:rPr>
        <w:t xml:space="preserve"> valuable insight into disease mechanisms, they do not fully account for social and environmental factors influencing its distribution. The social determinants of health perspective </w:t>
      </w:r>
      <w:r w:rsidR="00807864" w:rsidRPr="00CA72D3">
        <w:rPr>
          <w:rStyle w:val="s1"/>
          <w:rFonts w:ascii="Arial" w:hAnsi="Arial" w:cs="Arial"/>
          <w:sz w:val="22"/>
          <w:szCs w:val="22"/>
        </w:rPr>
        <w:t>emphasise</w:t>
      </w:r>
      <w:r w:rsidRPr="00CA72D3">
        <w:rPr>
          <w:rStyle w:val="s1"/>
          <w:rFonts w:ascii="Arial" w:hAnsi="Arial" w:cs="Arial"/>
          <w:sz w:val="22"/>
          <w:szCs w:val="22"/>
        </w:rPr>
        <w:t xml:space="preserve"> how socioeconomic conditions, cultural contexts, and health inequalities contribute to variations in prevalence and outcomes.</w:t>
      </w:r>
    </w:p>
    <w:p w14:paraId="4F3112F7" w14:textId="77777777" w:rsidR="004462F6" w:rsidRPr="00CA72D3" w:rsidRDefault="004462F6" w:rsidP="00CA72D3">
      <w:pPr>
        <w:pStyle w:val="p2"/>
        <w:spacing w:line="360" w:lineRule="auto"/>
        <w:divId w:val="826289561"/>
        <w:rPr>
          <w:rFonts w:ascii="Arial" w:hAnsi="Arial" w:cs="Arial"/>
          <w:sz w:val="22"/>
          <w:szCs w:val="22"/>
        </w:rPr>
      </w:pPr>
    </w:p>
    <w:p w14:paraId="57BD24CE" w14:textId="48A12CAC" w:rsidR="00C65CA9" w:rsidRPr="00CA72D3" w:rsidRDefault="004462F6" w:rsidP="00CA72D3">
      <w:pPr>
        <w:pStyle w:val="p1"/>
        <w:spacing w:line="360" w:lineRule="auto"/>
        <w:divId w:val="826289561"/>
        <w:rPr>
          <w:rStyle w:val="s1"/>
          <w:rFonts w:ascii="Arial" w:hAnsi="Arial" w:cs="Arial"/>
          <w:sz w:val="22"/>
          <w:szCs w:val="22"/>
        </w:rPr>
      </w:pPr>
      <w:r w:rsidRPr="00CA72D3">
        <w:rPr>
          <w:rStyle w:val="s1"/>
          <w:rFonts w:ascii="Arial" w:hAnsi="Arial" w:cs="Arial"/>
          <w:sz w:val="22"/>
          <w:szCs w:val="22"/>
        </w:rPr>
        <w:t xml:space="preserve">Analysis of the UK policy landscape shows that diabetes management </w:t>
      </w:r>
      <w:bookmarkStart w:id="47" w:name="_Int_S3j958ko"/>
      <w:r w:rsidRPr="00CA72D3">
        <w:rPr>
          <w:rStyle w:val="s1"/>
          <w:rFonts w:ascii="Arial" w:hAnsi="Arial" w:cs="Arial"/>
          <w:sz w:val="22"/>
          <w:szCs w:val="22"/>
        </w:rPr>
        <w:t>is supported</w:t>
      </w:r>
      <w:bookmarkEnd w:id="47"/>
      <w:r w:rsidRPr="00CA72D3">
        <w:rPr>
          <w:rStyle w:val="s1"/>
          <w:rFonts w:ascii="Arial" w:hAnsi="Arial" w:cs="Arial"/>
          <w:sz w:val="22"/>
          <w:szCs w:val="22"/>
        </w:rPr>
        <w:t xml:space="preserve"> through structured governance, including NICE guidelines and national prevention programmes. Nevertheless, persistent disparities in urban areas such as Birmingham highlight the limitations of biomedical approaches alone.</w:t>
      </w:r>
    </w:p>
    <w:p w14:paraId="2E712FDC" w14:textId="77777777" w:rsidR="003A0E7D" w:rsidRPr="00CA72D3" w:rsidRDefault="003A0E7D" w:rsidP="00CA72D3">
      <w:pPr>
        <w:pStyle w:val="p1"/>
        <w:spacing w:line="360" w:lineRule="auto"/>
        <w:divId w:val="826289561"/>
        <w:rPr>
          <w:rStyle w:val="normaltextrun"/>
          <w:rFonts w:ascii="Arial" w:hAnsi="Arial" w:cs="Arial"/>
          <w:sz w:val="22"/>
          <w:szCs w:val="22"/>
        </w:rPr>
      </w:pPr>
    </w:p>
    <w:p w14:paraId="31BA8549" w14:textId="77777777" w:rsidR="00D14B07" w:rsidRPr="00713098" w:rsidRDefault="006501F4" w:rsidP="00713098">
      <w:pPr>
        <w:pStyle w:val="Heading1"/>
        <w:divId w:val="2008946615"/>
        <w:rPr>
          <w:rStyle w:val="eop"/>
        </w:rPr>
      </w:pPr>
      <w:r w:rsidRPr="00713098">
        <w:rPr>
          <w:rStyle w:val="normaltextrun"/>
        </w:rPr>
        <w:t>Signpost to Next Chapter:</w:t>
      </w:r>
      <w:r w:rsidRPr="00713098">
        <w:rPr>
          <w:rStyle w:val="eop"/>
        </w:rPr>
        <w:t> </w:t>
      </w:r>
    </w:p>
    <w:p w14:paraId="7364AF14" w14:textId="51D31026" w:rsidR="006C6AAD" w:rsidRDefault="00D000B8" w:rsidP="00C044B3">
      <w:pPr>
        <w:pStyle w:val="paragraph"/>
        <w:spacing w:before="0" w:beforeAutospacing="0" w:after="0" w:afterAutospacing="0" w:line="360" w:lineRule="auto"/>
        <w:textAlignment w:val="baseline"/>
        <w:divId w:val="640843606"/>
        <w:rPr>
          <w:rStyle w:val="s1"/>
          <w:rFonts w:ascii="Arial" w:eastAsiaTheme="majorEastAsia" w:hAnsi="Arial" w:cs="Arial"/>
          <w:sz w:val="22"/>
          <w:szCs w:val="22"/>
        </w:rPr>
      </w:pPr>
      <w:r w:rsidRPr="00CA72D3">
        <w:rPr>
          <w:rStyle w:val="s1"/>
          <w:rFonts w:ascii="Arial" w:eastAsiaTheme="majorEastAsia" w:hAnsi="Arial" w:cs="Arial"/>
          <w:sz w:val="22"/>
          <w:szCs w:val="22"/>
        </w:rPr>
        <w:t>T</w:t>
      </w:r>
      <w:r w:rsidR="00056461" w:rsidRPr="00354333">
        <w:rPr>
          <w:rStyle w:val="s1"/>
          <w:rFonts w:ascii="Arial" w:eastAsiaTheme="majorEastAsia" w:hAnsi="Arial" w:cs="Arial"/>
          <w:sz w:val="22"/>
          <w:szCs w:val="22"/>
        </w:rPr>
        <w:t>hese insights underscore the need for research integrating biological and contextual perspectives. Chapter 3 therefore outlines the methodological framework used to investigate the physiological mechanisms and long-term health impacts of T2DM among older adults in Birmi</w:t>
      </w:r>
      <w:r w:rsidR="006C6AAD" w:rsidRPr="00CA72D3">
        <w:rPr>
          <w:rStyle w:val="s1"/>
          <w:rFonts w:ascii="Arial" w:eastAsiaTheme="majorEastAsia" w:hAnsi="Arial" w:cs="Arial"/>
          <w:sz w:val="22"/>
          <w:szCs w:val="22"/>
        </w:rPr>
        <w:t>ngham.</w:t>
      </w:r>
    </w:p>
    <w:p w14:paraId="72305049" w14:textId="77777777" w:rsidR="00970F8C" w:rsidRDefault="00970F8C" w:rsidP="00F51750">
      <w:pPr>
        <w:pStyle w:val="Heading1"/>
        <w:divId w:val="833960354"/>
        <w:rPr>
          <w:rFonts w:eastAsia="Times New Roman"/>
          <w:lang w:val="fr-FR"/>
        </w:rPr>
      </w:pPr>
    </w:p>
    <w:p w14:paraId="04512155" w14:textId="77777777" w:rsidR="00970F8C" w:rsidRDefault="00970F8C" w:rsidP="00F51750">
      <w:pPr>
        <w:pStyle w:val="Heading1"/>
        <w:divId w:val="833960354"/>
        <w:rPr>
          <w:rFonts w:eastAsia="Times New Roman"/>
          <w:lang w:val="fr-FR"/>
        </w:rPr>
      </w:pPr>
    </w:p>
    <w:p w14:paraId="23BA1A34" w14:textId="77777777" w:rsidR="00970F8C" w:rsidRDefault="00970F8C" w:rsidP="00F51750">
      <w:pPr>
        <w:pStyle w:val="Heading1"/>
        <w:divId w:val="833960354"/>
        <w:rPr>
          <w:rFonts w:eastAsia="Times New Roman"/>
          <w:lang w:val="fr-FR"/>
        </w:rPr>
      </w:pPr>
    </w:p>
    <w:p w14:paraId="58FAC4FE" w14:textId="77777777" w:rsidR="00970F8C" w:rsidRDefault="00970F8C" w:rsidP="00F51750">
      <w:pPr>
        <w:pStyle w:val="Heading1"/>
        <w:divId w:val="833960354"/>
        <w:rPr>
          <w:rFonts w:eastAsia="Times New Roman"/>
          <w:lang w:val="fr-FR"/>
        </w:rPr>
      </w:pPr>
    </w:p>
    <w:p w14:paraId="706B823D" w14:textId="77777777" w:rsidR="001B4C72" w:rsidRDefault="001B4C72" w:rsidP="00506999">
      <w:pPr>
        <w:pStyle w:val="Heading1"/>
        <w:divId w:val="833960354"/>
        <w:rPr>
          <w:rFonts w:eastAsia="Times New Roman"/>
          <w:lang w:val="fr-FR"/>
        </w:rPr>
      </w:pPr>
    </w:p>
    <w:p w14:paraId="47DE9983" w14:textId="77777777" w:rsidR="00302B7F" w:rsidRDefault="00302B7F" w:rsidP="00506999">
      <w:pPr>
        <w:pStyle w:val="Heading1"/>
        <w:divId w:val="833960354"/>
        <w:rPr>
          <w:rFonts w:eastAsia="Times New Roman"/>
          <w:lang w:val="fr-FR"/>
        </w:rPr>
      </w:pPr>
    </w:p>
    <w:p w14:paraId="65C8F771" w14:textId="77777777" w:rsidR="00512D26" w:rsidRPr="00512D26" w:rsidRDefault="00512D26" w:rsidP="00512D26">
      <w:pPr>
        <w:divId w:val="833960354"/>
        <w:rPr>
          <w:lang w:val="fr-FR"/>
        </w:rPr>
      </w:pPr>
    </w:p>
    <w:p w14:paraId="6D269DBB" w14:textId="017D30D9" w:rsidR="00EF7D06" w:rsidRPr="00506999" w:rsidRDefault="007D50C1" w:rsidP="00506999">
      <w:pPr>
        <w:pStyle w:val="Heading1"/>
        <w:divId w:val="833960354"/>
        <w:rPr>
          <w:rFonts w:eastAsia="Times New Roman"/>
          <w:lang w:val="fr-FR"/>
        </w:rPr>
      </w:pPr>
      <w:r w:rsidRPr="001C3274">
        <w:rPr>
          <w:rFonts w:eastAsia="Times New Roman"/>
          <w:lang w:val="fr-FR"/>
        </w:rPr>
        <w:t>Reference (2)</w:t>
      </w:r>
    </w:p>
    <w:p w14:paraId="7D7DFD99"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lang w:val="fr-FR"/>
          <w14:ligatures w14:val="none"/>
        </w:rPr>
        <w:t xml:space="preserve">Ahlqvist, E. et al. </w:t>
      </w:r>
      <w:r w:rsidRPr="001C3274">
        <w:rPr>
          <w:rFonts w:ascii="Arial" w:hAnsi="Arial" w:cs="Arial"/>
          <w:kern w:val="0"/>
          <w:sz w:val="22"/>
          <w:szCs w:val="22"/>
          <w14:ligatures w14:val="none"/>
        </w:rPr>
        <w:t>(2018) ‘Novel subgroups of adult-onset diabetes and their association with outcomes’, The Lancet Diabetes &amp; Endocrinology, 6(5), pp. 361–369.</w:t>
      </w:r>
    </w:p>
    <w:p w14:paraId="6576E1B9"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1CBE5BE3"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lang w:val="fr-FR"/>
          <w14:ligatures w14:val="none"/>
        </w:rPr>
        <w:t xml:space="preserve">Au-Yeung, C.H. et al. </w:t>
      </w:r>
      <w:r w:rsidRPr="001C3274">
        <w:rPr>
          <w:rFonts w:ascii="Arial" w:hAnsi="Arial" w:cs="Arial"/>
          <w:kern w:val="0"/>
          <w:sz w:val="22"/>
          <w:szCs w:val="22"/>
          <w14:ligatures w14:val="none"/>
        </w:rPr>
        <w:t>(2024) ‘Socioeconomic and ethnic inequalities increase the risk of type 2 diabetes: analysis of NHS health check attendees in Birmingham’, Frontiers in Public Health. Available at: https://www.frontiersin.org/articles/10.3389/fpubh.2024.1477418</w:t>
      </w:r>
    </w:p>
    <w:p w14:paraId="4DD7D999"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6CC39D05" w14:textId="4F7977F0"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 xml:space="preserve">Barnett, A.H. et al. (2006) ‘Type 2 diabetes and cardiovascular risk in the UK South Asian community’, </w:t>
      </w:r>
      <w:r w:rsidR="004A489A" w:rsidRPr="001C3274">
        <w:rPr>
          <w:rFonts w:ascii="Arial" w:hAnsi="Arial" w:cs="Arial"/>
          <w:kern w:val="0"/>
          <w:sz w:val="22"/>
          <w:szCs w:val="22"/>
          <w14:ligatures w14:val="none"/>
        </w:rPr>
        <w:t>Diabetology</w:t>
      </w:r>
      <w:r w:rsidRPr="001C3274">
        <w:rPr>
          <w:rFonts w:ascii="Arial" w:hAnsi="Arial" w:cs="Arial"/>
          <w:kern w:val="0"/>
          <w:sz w:val="22"/>
          <w:szCs w:val="22"/>
          <w14:ligatures w14:val="none"/>
        </w:rPr>
        <w:t>, 49(10), pp. 2234–2246.</w:t>
      </w:r>
    </w:p>
    <w:p w14:paraId="276BABE0"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68AD68CB"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bookmarkStart w:id="48" w:name="_Int_8KeQzhKW"/>
      <w:r w:rsidRPr="001C3274">
        <w:rPr>
          <w:rFonts w:ascii="Arial" w:hAnsi="Arial" w:cs="Arial"/>
          <w:kern w:val="0"/>
          <w:sz w:val="22"/>
          <w:szCs w:val="22"/>
          <w14:ligatures w14:val="none"/>
        </w:rPr>
        <w:t>Bellary</w:t>
      </w:r>
      <w:bookmarkEnd w:id="48"/>
      <w:r w:rsidRPr="001C3274">
        <w:rPr>
          <w:rFonts w:ascii="Arial" w:hAnsi="Arial" w:cs="Arial"/>
          <w:kern w:val="0"/>
          <w:sz w:val="22"/>
          <w:szCs w:val="22"/>
          <w14:ligatures w14:val="none"/>
        </w:rPr>
        <w:t>, S. et al. (2021) ‘Type 2 diabetes mellitus in older adults: clinical considerations and management’, Nature Reviews Endocrinology, 17, pp. 534–548.</w:t>
      </w:r>
    </w:p>
    <w:p w14:paraId="5F9A2B54"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387D31D3"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Biessels, G.J. and Despa, F. (2018) ‘Cognitive decline and dementia in diabetes mellitus’, The Lancet Neurology, 17(1), pp. 64–74.</w:t>
      </w:r>
    </w:p>
    <w:p w14:paraId="35ED2C3E"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66C71007"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DeFronzo, R.A. (2009) ‘From the triumvirate to the ominous octet’, Diabetes, 58(4), pp. 773–795.</w:t>
      </w:r>
    </w:p>
    <w:p w14:paraId="7DBEBDA6"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197E72BB"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Forouhi, N.G. and Wareham, N.J. (2014) ‘Epidemiology of diabetes’, Medicine, 42(12), pp. 698–702.</w:t>
      </w:r>
    </w:p>
    <w:p w14:paraId="2304394A"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74169F0D"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lang w:val="it-IT"/>
          <w14:ligatures w14:val="none"/>
        </w:rPr>
      </w:pPr>
      <w:r w:rsidRPr="001C3274">
        <w:rPr>
          <w:rFonts w:ascii="Arial" w:hAnsi="Arial" w:cs="Arial"/>
          <w:kern w:val="0"/>
          <w:sz w:val="22"/>
          <w:szCs w:val="22"/>
          <w:lang w:val="it-IT"/>
          <w14:ligatures w14:val="none"/>
        </w:rPr>
        <w:t>Frasca, D. et al. (2021) ‘Inflammaging and metabolic disease’, Frontiers in Aging, 2.</w:t>
      </w:r>
    </w:p>
    <w:p w14:paraId="22E0A764"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lang w:val="it-IT"/>
          <w14:ligatures w14:val="none"/>
        </w:rPr>
      </w:pPr>
    </w:p>
    <w:p w14:paraId="1F826FF0"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lang w:val="it-IT"/>
          <w14:ligatures w14:val="none"/>
        </w:rPr>
        <w:t xml:space="preserve">Galicia-Garcia, U. et al. </w:t>
      </w:r>
      <w:r w:rsidRPr="001C3274">
        <w:rPr>
          <w:rFonts w:ascii="Arial" w:hAnsi="Arial" w:cs="Arial"/>
          <w:kern w:val="0"/>
          <w:sz w:val="22"/>
          <w:szCs w:val="22"/>
          <w14:ligatures w14:val="none"/>
        </w:rPr>
        <w:t>(2020) ‘Pathophysiology of type 2 diabetes mellitus’, International Journal of Molecular Sciences, 21(17), p. 6275.</w:t>
      </w:r>
    </w:p>
    <w:p w14:paraId="6A0CFE09"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0F7A93C9"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International Diabetes Federation (2021) IDF Diabetes Atlas. Brussels: IDF.</w:t>
      </w:r>
    </w:p>
    <w:p w14:paraId="6C844ACD"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2A3690F0"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Marmot, M. (2010) Fair Society, Healthy Lives. London: UCL Institute of Health Equity.</w:t>
      </w:r>
    </w:p>
    <w:p w14:paraId="0A630169"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1339D1CB" w14:textId="4CD6A096" w:rsidR="00EF7D06" w:rsidRPr="001C3274" w:rsidRDefault="00EF7D06" w:rsidP="001C3274">
      <w:pPr>
        <w:spacing w:before="100" w:beforeAutospacing="1" w:after="100" w:afterAutospacing="1" w:line="360" w:lineRule="auto"/>
        <w:divId w:val="833960354"/>
        <w:rPr>
          <w:rFonts w:ascii="Arial" w:hAnsi="Arial" w:cs="Arial"/>
          <w:kern w:val="0"/>
          <w:sz w:val="22"/>
          <w:szCs w:val="22"/>
          <w:lang w:val="fr-FR"/>
          <w14:ligatures w14:val="none"/>
        </w:rPr>
      </w:pPr>
      <w:r w:rsidRPr="001C3274">
        <w:rPr>
          <w:rFonts w:ascii="Arial" w:hAnsi="Arial" w:cs="Arial"/>
          <w:kern w:val="0"/>
          <w:sz w:val="22"/>
          <w:szCs w:val="22"/>
          <w:lang w:val="fr-FR"/>
          <w14:ligatures w14:val="none"/>
        </w:rPr>
        <w:t xml:space="preserve">NHS Digital (2022) National Diabetes Audit. </w:t>
      </w:r>
      <w:r w:rsidR="00E67952" w:rsidRPr="001C3274">
        <w:rPr>
          <w:rFonts w:ascii="Arial" w:hAnsi="Arial" w:cs="Arial"/>
          <w:kern w:val="0"/>
          <w:sz w:val="22"/>
          <w:szCs w:val="22"/>
          <w:lang w:val="fr-FR"/>
          <w14:ligatures w14:val="none"/>
        </w:rPr>
        <w:t>London :</w:t>
      </w:r>
      <w:r w:rsidRPr="001C3274">
        <w:rPr>
          <w:rFonts w:ascii="Arial" w:hAnsi="Arial" w:cs="Arial"/>
          <w:kern w:val="0"/>
          <w:sz w:val="22"/>
          <w:szCs w:val="22"/>
          <w:lang w:val="fr-FR"/>
          <w14:ligatures w14:val="none"/>
        </w:rPr>
        <w:t xml:space="preserve"> NHS Digital.</w:t>
      </w:r>
    </w:p>
    <w:p w14:paraId="2C321883"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lang w:val="fr-FR"/>
          <w14:ligatures w14:val="none"/>
        </w:rPr>
      </w:pPr>
    </w:p>
    <w:p w14:paraId="18E3232C"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Polonsky, K.S. (2012) ‘The past 200 years in diabetes’, New England Journal of Medicine, 367(14), pp. 1332–1340.</w:t>
      </w:r>
    </w:p>
    <w:p w14:paraId="5CC910B2"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289261F8"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Reed, J., Bain, S. and Kanamarlapudi, V. (2021) ‘A review of current trends in type 2 diabetes epidemiology and pathogenesis’, Diabetes, Metabolic Syndrome and Obesity, 14, pp. 3567–3602.</w:t>
      </w:r>
    </w:p>
    <w:p w14:paraId="12C530C0"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31EBFE6E"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lang w:val="fr-FR"/>
          <w14:ligatures w14:val="none"/>
        </w:rPr>
        <w:t xml:space="preserve">Sinclair, A.J. et al. </w:t>
      </w:r>
      <w:r w:rsidRPr="001C3274">
        <w:rPr>
          <w:rFonts w:ascii="Arial" w:hAnsi="Arial" w:cs="Arial"/>
          <w:kern w:val="0"/>
          <w:sz w:val="22"/>
          <w:szCs w:val="22"/>
          <w14:ligatures w14:val="none"/>
        </w:rPr>
        <w:t>(2012) ‘Diabetes mellitus in older people’, The Lancet, 379(9823), pp. 1537–1545.</w:t>
      </w:r>
    </w:p>
    <w:p w14:paraId="458CA325"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p>
    <w:p w14:paraId="3F5B8C79" w14:textId="77777777" w:rsidR="00EF7D06" w:rsidRPr="001C3274" w:rsidRDefault="00EF7D06" w:rsidP="001C3274">
      <w:pPr>
        <w:spacing w:before="100" w:beforeAutospacing="1" w:after="100" w:afterAutospacing="1" w:line="360" w:lineRule="auto"/>
        <w:divId w:val="833960354"/>
        <w:rPr>
          <w:rFonts w:ascii="Arial" w:hAnsi="Arial" w:cs="Arial"/>
          <w:kern w:val="0"/>
          <w:sz w:val="22"/>
          <w:szCs w:val="22"/>
          <w14:ligatures w14:val="none"/>
        </w:rPr>
      </w:pPr>
      <w:r w:rsidRPr="001C3274">
        <w:rPr>
          <w:rFonts w:ascii="Arial" w:hAnsi="Arial" w:cs="Arial"/>
          <w:kern w:val="0"/>
          <w:sz w:val="22"/>
          <w:szCs w:val="22"/>
          <w14:ligatures w14:val="none"/>
        </w:rPr>
        <w:t>UK Prospective Diabetes Study (UKPDS) Group (1998) ‘Intensive blood-glucose control with sulphonylureas or insulin compared with conventional treatment’, The Lancet, 352(9131), pp. 837–853.</w:t>
      </w:r>
    </w:p>
    <w:p w14:paraId="67254613" w14:textId="77777777" w:rsidR="00151579" w:rsidRPr="001C3274" w:rsidRDefault="00151579" w:rsidP="001C3274">
      <w:pPr>
        <w:spacing w:line="360" w:lineRule="auto"/>
        <w:jc w:val="both"/>
        <w:rPr>
          <w:rFonts w:ascii="Arial" w:hAnsi="Arial" w:cs="Arial"/>
          <w:b/>
          <w:bCs/>
          <w:sz w:val="22"/>
          <w:szCs w:val="22"/>
          <w:lang w:eastAsia="zh-CN"/>
        </w:rPr>
      </w:pPr>
    </w:p>
    <w:sectPr w:rsidR="00151579" w:rsidRPr="001C3274" w:rsidSect="0017544B">
      <w:footerReference w:type="default" r:id="rId8"/>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AA554" w14:textId="77777777" w:rsidR="003E706D" w:rsidRDefault="003E706D" w:rsidP="001A1E48">
      <w:pPr>
        <w:spacing w:after="0" w:line="240" w:lineRule="auto"/>
      </w:pPr>
      <w:r>
        <w:separator/>
      </w:r>
    </w:p>
  </w:endnote>
  <w:endnote w:type="continuationSeparator" w:id="0">
    <w:p w14:paraId="16993240" w14:textId="77777777" w:rsidR="003E706D" w:rsidRDefault="003E706D" w:rsidP="001A1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477650"/>
      <w:docPartObj>
        <w:docPartGallery w:val="Page Numbers (Bottom of Page)"/>
        <w:docPartUnique/>
      </w:docPartObj>
    </w:sdtPr>
    <w:sdtEndPr/>
    <w:sdtContent>
      <w:p w14:paraId="18DAD5B1" w14:textId="29271A88" w:rsidR="001A1E48" w:rsidRDefault="001A1E48">
        <w:pPr>
          <w:pStyle w:val="Footer"/>
          <w:jc w:val="right"/>
        </w:pPr>
        <w:r>
          <w:fldChar w:fldCharType="begin"/>
        </w:r>
        <w:r>
          <w:instrText>PAGE   \* MERGEFORMAT</w:instrText>
        </w:r>
        <w:r>
          <w:fldChar w:fldCharType="separate"/>
        </w:r>
        <w:r>
          <w:t>2</w:t>
        </w:r>
        <w:r>
          <w:fldChar w:fldCharType="end"/>
        </w:r>
      </w:p>
    </w:sdtContent>
  </w:sdt>
  <w:p w14:paraId="5449151B" w14:textId="77777777" w:rsidR="001A1E48" w:rsidRDefault="001A1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E3204" w14:textId="77777777" w:rsidR="003E706D" w:rsidRDefault="003E706D" w:rsidP="001A1E48">
      <w:pPr>
        <w:spacing w:after="0" w:line="240" w:lineRule="auto"/>
      </w:pPr>
      <w:r>
        <w:separator/>
      </w:r>
    </w:p>
  </w:footnote>
  <w:footnote w:type="continuationSeparator" w:id="0">
    <w:p w14:paraId="421CEF92" w14:textId="77777777" w:rsidR="003E706D" w:rsidRDefault="003E706D" w:rsidP="001A1E4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pCbZ9BFr" int2:invalidationBookmarkName="" int2:hashCode="hw5nyYTrGbyb6F" int2:id="0Bdy3r9C">
      <int2:state int2:value="Rejected" int2:type="style"/>
    </int2:bookmark>
    <int2:bookmark int2:bookmarkName="_Int_KERp3B5q" int2:invalidationBookmarkName="" int2:hashCode="SradH0SdDJdch8" int2:id="1nSJFJTq">
      <int2:state int2:value="Rejected" int2:type="style"/>
    </int2:bookmark>
    <int2:bookmark int2:bookmarkName="_Int_eEQg1KJf" int2:invalidationBookmarkName="" int2:hashCode="qE16RaruDPZggA" int2:id="2dZ5WNpV">
      <int2:state int2:value="Rejected" int2:type="style"/>
    </int2:bookmark>
    <int2:bookmark int2:bookmarkName="_Int_UMZqRbKh" int2:invalidationBookmarkName="" int2:hashCode="Cb6VSZGx43dy9s" int2:id="3DXbSxh4">
      <int2:state int2:value="Rejected" int2:type="style"/>
    </int2:bookmark>
    <int2:bookmark int2:bookmarkName="_Int_LvfHqTsK" int2:invalidationBookmarkName="" int2:hashCode="5NmnYnEbPG7rVG" int2:id="3SVadM8v">
      <int2:state int2:value="Rejected" int2:type="style"/>
    </int2:bookmark>
    <int2:bookmark int2:bookmarkName="_Int_9p3kAIei" int2:invalidationBookmarkName="" int2:hashCode="822G2YT1BzW/KR" int2:id="3wRA79qU">
      <int2:state int2:value="Rejected" int2:type="style"/>
    </int2:bookmark>
    <int2:bookmark int2:bookmarkName="_Int_p7uYQqOg" int2:invalidationBookmarkName="" int2:hashCode="7d6FDksqtNekOY" int2:id="5PriH9Jd">
      <int2:state int2:value="Rejected" int2:type="style"/>
    </int2:bookmark>
    <int2:bookmark int2:bookmarkName="_Int_VoGMpsaw" int2:invalidationBookmarkName="" int2:hashCode="051uur3qTsy1Ie" int2:id="5iQWHLUm">
      <int2:state int2:value="Rejected" int2:type="style"/>
    </int2:bookmark>
    <int2:bookmark int2:bookmarkName="_Int_2p0mQym9" int2:invalidationBookmarkName="" int2:hashCode="fOK7ca/Dn//cV9" int2:id="6jnKNbCG">
      <int2:state int2:value="Rejected" int2:type="style"/>
    </int2:bookmark>
    <int2:bookmark int2:bookmarkName="_Int_GeN6ATd5" int2:invalidationBookmarkName="" int2:hashCode="174mj7RpeZng2y" int2:id="8BGMFFkN">
      <int2:state int2:value="Rejected" int2:type="style"/>
    </int2:bookmark>
    <int2:bookmark int2:bookmarkName="_Int_xH1HHoQk" int2:invalidationBookmarkName="" int2:hashCode="8+x9wAokN1wf5f" int2:id="CBHqYxXS">
      <int2:state int2:value="Rejected" int2:type="style"/>
    </int2:bookmark>
    <int2:bookmark int2:bookmarkName="_Int_x2djRO8r" int2:invalidationBookmarkName="" int2:hashCode="PnCVPDQcdUa4pf" int2:id="CZoK9iXE">
      <int2:state int2:value="Rejected" int2:type="style"/>
    </int2:bookmark>
    <int2:bookmark int2:bookmarkName="_Int_6moiAjda" int2:invalidationBookmarkName="" int2:hashCode="ZanletI6wlweVG" int2:id="D3rij7kR">
      <int2:state int2:value="Rejected" int2:type="style"/>
    </int2:bookmark>
    <int2:bookmark int2:bookmarkName="_Int_fxw9LO5P" int2:invalidationBookmarkName="" int2:hashCode="dkmkRuVDysnpuX" int2:id="E1kYPIiv">
      <int2:state int2:value="Rejected" int2:type="style"/>
    </int2:bookmark>
    <int2:bookmark int2:bookmarkName="_Int_OtvxT48H" int2:invalidationBookmarkName="" int2:hashCode="v1+anaRfUIDswh" int2:id="GP828gjh">
      <int2:state int2:value="Rejected" int2:type="style"/>
    </int2:bookmark>
    <int2:bookmark int2:bookmarkName="_Int_CZVNBar1" int2:invalidationBookmarkName="" int2:hashCode="17buBtkQ2ZcQdL" int2:id="JHz8Wg8e">
      <int2:state int2:value="Rejected" int2:type="style"/>
    </int2:bookmark>
    <int2:bookmark int2:bookmarkName="_Int_gxyKxXC6" int2:invalidationBookmarkName="" int2:hashCode="PnCVPDQcdUa4pf" int2:id="JUdYOd1N">
      <int2:state int2:value="Rejected" int2:type="style"/>
    </int2:bookmark>
    <int2:bookmark int2:bookmarkName="_Int_d5FQKPmJ" int2:invalidationBookmarkName="" int2:hashCode="9+2vMoLa+2CcfU" int2:id="N7ZykwJ6">
      <int2:state int2:value="Rejected" int2:type="style"/>
    </int2:bookmark>
    <int2:bookmark int2:bookmarkName="_Int_WickaFt0" int2:invalidationBookmarkName="" int2:hashCode="VpD8bSY3GMTPhU" int2:id="NTGB3trN">
      <int2:state int2:value="Rejected" int2:type="style"/>
    </int2:bookmark>
    <int2:bookmark int2:bookmarkName="_Int_nVuOeWaE" int2:invalidationBookmarkName="" int2:hashCode="9+2vMoLa+2CcfU" int2:id="Nzb74UwV">
      <int2:state int2:value="Rejected" int2:type="style"/>
    </int2:bookmark>
    <int2:bookmark int2:bookmarkName="_Int_o8tmVoDH" int2:invalidationBookmarkName="" int2:hashCode="SradH0SdDJdch8" int2:id="QOmIsOGe">
      <int2:state int2:value="Rejected" int2:type="style"/>
    </int2:bookmark>
    <int2:bookmark int2:bookmarkName="_Int_Y98QKI60" int2:invalidationBookmarkName="" int2:hashCode="ZanletI6wlweVG" int2:id="Qr6No4hS">
      <int2:state int2:value="Rejected" int2:type="style"/>
    </int2:bookmark>
    <int2:bookmark int2:bookmarkName="_Int_Vxo1NmF1" int2:invalidationBookmarkName="" int2:hashCode="wVe3Xe9bHowVI+" int2:id="SvJ5ntqj">
      <int2:state int2:value="Rejected" int2:type="style"/>
    </int2:bookmark>
    <int2:bookmark int2:bookmarkName="_Int_BPgsO2eJ" int2:invalidationBookmarkName="" int2:hashCode="6Ap9X7ci/NdKAT" int2:id="TpiF7nZj">
      <int2:state int2:value="Rejected" int2:type="style"/>
    </int2:bookmark>
    <int2:bookmark int2:bookmarkName="_Int_uDQTbd84" int2:invalidationBookmarkName="" int2:hashCode="IIZ6WQ7do78FpW" int2:id="UFKGILkx">
      <int2:state int2:value="Rejected" int2:type="style"/>
    </int2:bookmark>
    <int2:bookmark int2:bookmarkName="_Int_xv6avsJj" int2:invalidationBookmarkName="" int2:hashCode="20lmumeNxO0dfa" int2:id="W8sZds2W">
      <int2:state int2:value="Rejected" int2:type="style"/>
    </int2:bookmark>
    <int2:bookmark int2:bookmarkName="_Int_S67fNgJe" int2:invalidationBookmarkName="" int2:hashCode="dalNooyseA++F1" int2:id="Wtq6icyj">
      <int2:state int2:value="Rejected" int2:type="style"/>
    </int2:bookmark>
    <int2:bookmark int2:bookmarkName="_Int_8KeQzhKW" int2:invalidationBookmarkName="" int2:hashCode="PnCVPDQcdUa4pf" int2:id="Z3MU0ty3">
      <int2:state int2:value="Rejected" int2:type="style"/>
    </int2:bookmark>
    <int2:bookmark int2:bookmarkName="_Int_S3j958ko" int2:invalidationBookmarkName="" int2:hashCode="/5aGncXwjRgebT" int2:id="ZoWmTgNw">
      <int2:state int2:value="Rejected" int2:type="style"/>
    </int2:bookmark>
    <int2:bookmark int2:bookmarkName="_Int_mCPQb8St" int2:invalidationBookmarkName="" int2:hashCode="wauZJOzaG+r4u6" int2:id="hAxtbUj7">
      <int2:state int2:value="Rejected" int2:type="style"/>
    </int2:bookmark>
    <int2:bookmark int2:bookmarkName="_Int_Xntt0ukl" int2:invalidationBookmarkName="" int2:hashCode="FlW36NB9gxPS3P" int2:id="hk7ROF9a">
      <int2:state int2:value="Rejected" int2:type="style"/>
    </int2:bookmark>
    <int2:bookmark int2:bookmarkName="_Int_OGz5Uawh" int2:invalidationBookmarkName="" int2:hashCode="e3+TZqNgMaC5Vf" int2:id="hy7W1lZ7">
      <int2:state int2:value="Rejected" int2:type="style"/>
    </int2:bookmark>
    <int2:bookmark int2:bookmarkName="_Int_vgeOITKM" int2:invalidationBookmarkName="" int2:hashCode="B+ST2jTh43pcjw" int2:id="i5nRhZ9O">
      <int2:state int2:value="Rejected" int2:type="style"/>
    </int2:bookmark>
    <int2:bookmark int2:bookmarkName="_Int_7mMOYY2t" int2:invalidationBookmarkName="" int2:hashCode="17buBtkQ2ZcQdL" int2:id="jEeh3NzW">
      <int2:state int2:value="Rejected" int2:type="style"/>
    </int2:bookmark>
    <int2:bookmark int2:bookmarkName="_Int_18bRJ02Z" int2:invalidationBookmarkName="" int2:hashCode="lMZ6t9kkAfKz1w" int2:id="k0jFQkfM">
      <int2:state int2:value="Rejected" int2:type="style"/>
    </int2:bookmark>
    <int2:bookmark int2:bookmarkName="_Int_iZ1Ymi0X" int2:invalidationBookmarkName="" int2:hashCode="m/D4/19di8v/ud" int2:id="l6EJH159">
      <int2:state int2:value="Rejected" int2:type="style"/>
    </int2:bookmark>
    <int2:bookmark int2:bookmarkName="_Int_sPcrY7zt" int2:invalidationBookmarkName="" int2:hashCode="PitjGySAHaEqkU" int2:id="lBbnWB5K">
      <int2:state int2:value="Rejected" int2:type="style"/>
    </int2:bookmark>
    <int2:bookmark int2:bookmarkName="_Int_77rCB14T" int2:invalidationBookmarkName="" int2:hashCode="ESUHga24ruPyji" int2:id="mQK1XeqL">
      <int2:state int2:value="Rejected" int2:type="style"/>
    </int2:bookmark>
    <int2:bookmark int2:bookmarkName="_Int_nDubsKjU" int2:invalidationBookmarkName="" int2:hashCode="e3+TZqNgMaC5Vf" int2:id="n4LiHQEc">
      <int2:state int2:value="Rejected" int2:type="style"/>
    </int2:bookmark>
    <int2:bookmark int2:bookmarkName="_Int_1tpXXL2w" int2:invalidationBookmarkName="" int2:hashCode="SMFwPIHakRGYAb" int2:id="pxtTMUjP">
      <int2:state int2:value="Rejected" int2:type="style"/>
    </int2:bookmark>
    <int2:bookmark int2:bookmarkName="_Int_SYDkLqPg" int2:invalidationBookmarkName="" int2:hashCode="YBGaHoufi1jRHM" int2:id="u3F2p1PK">
      <int2:state int2:value="Rejected" int2:type="style"/>
    </int2:bookmark>
    <int2:bookmark int2:bookmarkName="_Int_QK0Fs17U" int2:invalidationBookmarkName="" int2:hashCode="6xX40Nbu8SUY24" int2:id="ui5YRHYb">
      <int2:state int2:value="Rejected" int2:type="style"/>
    </int2:bookmark>
    <int2:bookmark int2:bookmarkName="_Int_Qa05ooEq" int2:invalidationBookmarkName="" int2:hashCode="xhKzW50/O76H3Z" int2:id="vpENPJrK">
      <int2:state int2:value="Rejected" int2:type="style"/>
    </int2:bookmark>
    <int2:bookmark int2:bookmarkName="_Int_aigTu5lA" int2:invalidationBookmarkName="" int2:hashCode="SLGLFARhzcGrh6" int2:id="wmqcxUEV">
      <int2:state int2:value="Rejected" int2:type="style"/>
    </int2:bookmark>
    <int2:bookmark int2:bookmarkName="_Int_JpFvV8jx" int2:invalidationBookmarkName="" int2:hashCode="OFYXKXAfBAKJwz" int2:id="x9WhJwxO">
      <int2:state int2:value="Rejected" int2:type="style"/>
    </int2:bookmark>
    <int2:bookmark int2:bookmarkName="_Int_gFN8Mg4Z" int2:invalidationBookmarkName="" int2:hashCode="SLGLFARhzcGrh6" int2:id="xWqNN98T">
      <int2:state int2:value="Rejected" int2:type="style"/>
    </int2:bookmark>
    <int2:bookmark int2:bookmarkName="_Int_xKvWHoeV" int2:invalidationBookmarkName="" int2:hashCode="XnBZUbOy6FEQ0N" int2:id="z9i12NRu">
      <int2:state int2:value="Rejected" int2:type="style"/>
    </int2:bookmark>
    <int2:bookmark int2:bookmarkName="_Int_1FXaFQrH" int2:invalidationBookmarkName="" int2:hashCode="MgGO7POVwZ17aA" int2:id="zmaNCh21">
      <int2:state int2:value="Rejected" int2:type="style"/>
    </int2:bookmark>
    <int2:bookmark int2:bookmarkName="_Int_871dVCeT" int2:invalidationBookmarkName="" int2:hashCode="ySxSngcxxX79dV" int2:id="zqs6fmV8">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D6346DA"/>
    <w:multiLevelType w:val="multilevel"/>
    <w:tmpl w:val="BD48E552"/>
    <w:lvl w:ilvl="0">
      <w:start w:val="1"/>
      <w:numFmt w:val="decimal"/>
      <w:lvlText w:val="%1"/>
      <w:lvlJc w:val="left"/>
      <w:pPr>
        <w:ind w:left="360" w:hanging="360"/>
      </w:pPr>
      <w:rPr>
        <w:rFonts w:cs="Arial" w:hint="default"/>
        <w:sz w:val="24"/>
      </w:rPr>
    </w:lvl>
    <w:lvl w:ilvl="1">
      <w:start w:val="2"/>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7"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973E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B33B74"/>
    <w:multiLevelType w:val="multilevel"/>
    <w:tmpl w:val="4860FA84"/>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24"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121269">
    <w:abstractNumId w:val="13"/>
  </w:num>
  <w:num w:numId="2" w16cid:durableId="1859468656">
    <w:abstractNumId w:val="39"/>
  </w:num>
  <w:num w:numId="3" w16cid:durableId="407923627">
    <w:abstractNumId w:val="38"/>
  </w:num>
  <w:num w:numId="4" w16cid:durableId="1173763238">
    <w:abstractNumId w:val="30"/>
  </w:num>
  <w:num w:numId="5" w16cid:durableId="515197422">
    <w:abstractNumId w:val="23"/>
  </w:num>
  <w:num w:numId="6" w16cid:durableId="650984044">
    <w:abstractNumId w:val="10"/>
  </w:num>
  <w:num w:numId="7" w16cid:durableId="676225712">
    <w:abstractNumId w:val="35"/>
  </w:num>
  <w:num w:numId="8" w16cid:durableId="654647421">
    <w:abstractNumId w:val="29"/>
  </w:num>
  <w:num w:numId="9" w16cid:durableId="972827862">
    <w:abstractNumId w:val="31"/>
  </w:num>
  <w:num w:numId="10" w16cid:durableId="73359902">
    <w:abstractNumId w:val="22"/>
  </w:num>
  <w:num w:numId="11" w16cid:durableId="1233615214">
    <w:abstractNumId w:val="8"/>
  </w:num>
  <w:num w:numId="12" w16cid:durableId="1037585576">
    <w:abstractNumId w:val="37"/>
  </w:num>
  <w:num w:numId="13" w16cid:durableId="1454127918">
    <w:abstractNumId w:val="34"/>
  </w:num>
  <w:num w:numId="14" w16cid:durableId="1655717882">
    <w:abstractNumId w:val="16"/>
  </w:num>
  <w:num w:numId="15" w16cid:durableId="679818721">
    <w:abstractNumId w:val="4"/>
  </w:num>
  <w:num w:numId="16" w16cid:durableId="820851363">
    <w:abstractNumId w:val="0"/>
  </w:num>
  <w:num w:numId="17" w16cid:durableId="1752123437">
    <w:abstractNumId w:val="27"/>
  </w:num>
  <w:num w:numId="18" w16cid:durableId="776406381">
    <w:abstractNumId w:val="7"/>
  </w:num>
  <w:num w:numId="19" w16cid:durableId="2003772795">
    <w:abstractNumId w:val="40"/>
  </w:num>
  <w:num w:numId="20" w16cid:durableId="471214588">
    <w:abstractNumId w:val="5"/>
  </w:num>
  <w:num w:numId="21" w16cid:durableId="1919750537">
    <w:abstractNumId w:val="36"/>
  </w:num>
  <w:num w:numId="22" w16cid:durableId="1917666381">
    <w:abstractNumId w:val="1"/>
  </w:num>
  <w:num w:numId="23" w16cid:durableId="836925604">
    <w:abstractNumId w:val="33"/>
  </w:num>
  <w:num w:numId="24" w16cid:durableId="881479433">
    <w:abstractNumId w:val="32"/>
  </w:num>
  <w:num w:numId="25" w16cid:durableId="1058554449">
    <w:abstractNumId w:val="12"/>
  </w:num>
  <w:num w:numId="26" w16cid:durableId="735323509">
    <w:abstractNumId w:val="11"/>
  </w:num>
  <w:num w:numId="27" w16cid:durableId="1000431254">
    <w:abstractNumId w:val="21"/>
  </w:num>
  <w:num w:numId="28" w16cid:durableId="434404662">
    <w:abstractNumId w:val="15"/>
  </w:num>
  <w:num w:numId="29" w16cid:durableId="792409853">
    <w:abstractNumId w:val="25"/>
  </w:num>
  <w:num w:numId="30" w16cid:durableId="70469880">
    <w:abstractNumId w:val="26"/>
  </w:num>
  <w:num w:numId="31" w16cid:durableId="1255548974">
    <w:abstractNumId w:val="24"/>
  </w:num>
  <w:num w:numId="32" w16cid:durableId="509951972">
    <w:abstractNumId w:val="19"/>
  </w:num>
  <w:num w:numId="33" w16cid:durableId="1569337486">
    <w:abstractNumId w:val="41"/>
  </w:num>
  <w:num w:numId="34" w16cid:durableId="1771851078">
    <w:abstractNumId w:val="2"/>
  </w:num>
  <w:num w:numId="35" w16cid:durableId="1096747610">
    <w:abstractNumId w:val="14"/>
  </w:num>
  <w:num w:numId="36" w16cid:durableId="1079794559">
    <w:abstractNumId w:val="20"/>
  </w:num>
  <w:num w:numId="37" w16cid:durableId="503403534">
    <w:abstractNumId w:val="18"/>
  </w:num>
  <w:num w:numId="38" w16cid:durableId="194734275">
    <w:abstractNumId w:val="9"/>
  </w:num>
  <w:num w:numId="39" w16cid:durableId="526941613">
    <w:abstractNumId w:val="17"/>
  </w:num>
  <w:num w:numId="40" w16cid:durableId="320043301">
    <w:abstractNumId w:val="28"/>
  </w:num>
  <w:num w:numId="41" w16cid:durableId="2037610982">
    <w:abstractNumId w:val="3"/>
  </w:num>
  <w:num w:numId="42" w16cid:durableId="323898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40"/>
    <w:rsid w:val="00000242"/>
    <w:rsid w:val="000018F4"/>
    <w:rsid w:val="00002B79"/>
    <w:rsid w:val="00004656"/>
    <w:rsid w:val="000063E9"/>
    <w:rsid w:val="0000648C"/>
    <w:rsid w:val="00010572"/>
    <w:rsid w:val="00011DF9"/>
    <w:rsid w:val="00012196"/>
    <w:rsid w:val="00014483"/>
    <w:rsid w:val="00015071"/>
    <w:rsid w:val="000161B8"/>
    <w:rsid w:val="00016EB9"/>
    <w:rsid w:val="00020304"/>
    <w:rsid w:val="000204BE"/>
    <w:rsid w:val="00024F86"/>
    <w:rsid w:val="0002758E"/>
    <w:rsid w:val="000303E2"/>
    <w:rsid w:val="00030529"/>
    <w:rsid w:val="00030947"/>
    <w:rsid w:val="00031221"/>
    <w:rsid w:val="00031B20"/>
    <w:rsid w:val="000357E7"/>
    <w:rsid w:val="00036643"/>
    <w:rsid w:val="000405DC"/>
    <w:rsid w:val="00040D22"/>
    <w:rsid w:val="00042446"/>
    <w:rsid w:val="00043CF8"/>
    <w:rsid w:val="000458A8"/>
    <w:rsid w:val="00046156"/>
    <w:rsid w:val="00046170"/>
    <w:rsid w:val="00046333"/>
    <w:rsid w:val="00047CE2"/>
    <w:rsid w:val="00054C56"/>
    <w:rsid w:val="00055D72"/>
    <w:rsid w:val="00056149"/>
    <w:rsid w:val="00056461"/>
    <w:rsid w:val="00056667"/>
    <w:rsid w:val="0006172B"/>
    <w:rsid w:val="0006281D"/>
    <w:rsid w:val="000629B0"/>
    <w:rsid w:val="00062D1B"/>
    <w:rsid w:val="000631B2"/>
    <w:rsid w:val="00064931"/>
    <w:rsid w:val="000706B2"/>
    <w:rsid w:val="000728A0"/>
    <w:rsid w:val="00074B9A"/>
    <w:rsid w:val="00076055"/>
    <w:rsid w:val="000763D9"/>
    <w:rsid w:val="00076A7E"/>
    <w:rsid w:val="000776A1"/>
    <w:rsid w:val="00084A5F"/>
    <w:rsid w:val="00084B60"/>
    <w:rsid w:val="0008540A"/>
    <w:rsid w:val="0008646C"/>
    <w:rsid w:val="000909AB"/>
    <w:rsid w:val="000913D2"/>
    <w:rsid w:val="000931C8"/>
    <w:rsid w:val="000938BD"/>
    <w:rsid w:val="0009698E"/>
    <w:rsid w:val="000A0DF7"/>
    <w:rsid w:val="000A1AEB"/>
    <w:rsid w:val="000A1EB5"/>
    <w:rsid w:val="000A4285"/>
    <w:rsid w:val="000A4F06"/>
    <w:rsid w:val="000A5D88"/>
    <w:rsid w:val="000A7293"/>
    <w:rsid w:val="000B6241"/>
    <w:rsid w:val="000C0ABB"/>
    <w:rsid w:val="000C3C39"/>
    <w:rsid w:val="000C74B2"/>
    <w:rsid w:val="000D1A1D"/>
    <w:rsid w:val="000D2C3B"/>
    <w:rsid w:val="000D2F0D"/>
    <w:rsid w:val="000D31D7"/>
    <w:rsid w:val="000D3A52"/>
    <w:rsid w:val="000D4D14"/>
    <w:rsid w:val="000D5566"/>
    <w:rsid w:val="000D6CA5"/>
    <w:rsid w:val="000D7652"/>
    <w:rsid w:val="000E2CAC"/>
    <w:rsid w:val="000E67C0"/>
    <w:rsid w:val="000E6E1B"/>
    <w:rsid w:val="000F1698"/>
    <w:rsid w:val="000F16A7"/>
    <w:rsid w:val="000F36F1"/>
    <w:rsid w:val="000F4D3D"/>
    <w:rsid w:val="000F7214"/>
    <w:rsid w:val="000F7E9E"/>
    <w:rsid w:val="00100C38"/>
    <w:rsid w:val="00101B92"/>
    <w:rsid w:val="00103576"/>
    <w:rsid w:val="00104303"/>
    <w:rsid w:val="00105D49"/>
    <w:rsid w:val="00111CC8"/>
    <w:rsid w:val="0011417F"/>
    <w:rsid w:val="00115CEE"/>
    <w:rsid w:val="00116DB0"/>
    <w:rsid w:val="00117B56"/>
    <w:rsid w:val="00122001"/>
    <w:rsid w:val="0012372E"/>
    <w:rsid w:val="00123BB2"/>
    <w:rsid w:val="00125914"/>
    <w:rsid w:val="001266E3"/>
    <w:rsid w:val="00126D57"/>
    <w:rsid w:val="0013129C"/>
    <w:rsid w:val="00133851"/>
    <w:rsid w:val="0013443D"/>
    <w:rsid w:val="001370B9"/>
    <w:rsid w:val="001377B5"/>
    <w:rsid w:val="00143D90"/>
    <w:rsid w:val="00144774"/>
    <w:rsid w:val="00145302"/>
    <w:rsid w:val="00151579"/>
    <w:rsid w:val="00152609"/>
    <w:rsid w:val="00155378"/>
    <w:rsid w:val="001554D0"/>
    <w:rsid w:val="00157083"/>
    <w:rsid w:val="0015787C"/>
    <w:rsid w:val="001600B4"/>
    <w:rsid w:val="0016014F"/>
    <w:rsid w:val="00160BC9"/>
    <w:rsid w:val="00166015"/>
    <w:rsid w:val="001662A6"/>
    <w:rsid w:val="00166632"/>
    <w:rsid w:val="00167A1B"/>
    <w:rsid w:val="00167FA3"/>
    <w:rsid w:val="00170A9C"/>
    <w:rsid w:val="00170DB3"/>
    <w:rsid w:val="00172EC3"/>
    <w:rsid w:val="00173A85"/>
    <w:rsid w:val="00174381"/>
    <w:rsid w:val="0017544B"/>
    <w:rsid w:val="00176138"/>
    <w:rsid w:val="00176B1D"/>
    <w:rsid w:val="00177742"/>
    <w:rsid w:val="00181214"/>
    <w:rsid w:val="00182517"/>
    <w:rsid w:val="0018425D"/>
    <w:rsid w:val="001877BF"/>
    <w:rsid w:val="00190046"/>
    <w:rsid w:val="00191ACA"/>
    <w:rsid w:val="0019286B"/>
    <w:rsid w:val="0019325D"/>
    <w:rsid w:val="00193513"/>
    <w:rsid w:val="001971AF"/>
    <w:rsid w:val="001A084E"/>
    <w:rsid w:val="001A1E48"/>
    <w:rsid w:val="001A355A"/>
    <w:rsid w:val="001A4E93"/>
    <w:rsid w:val="001A7017"/>
    <w:rsid w:val="001A7035"/>
    <w:rsid w:val="001B0119"/>
    <w:rsid w:val="001B1A29"/>
    <w:rsid w:val="001B1FAA"/>
    <w:rsid w:val="001B2893"/>
    <w:rsid w:val="001B3975"/>
    <w:rsid w:val="001B3FB1"/>
    <w:rsid w:val="001B4C72"/>
    <w:rsid w:val="001B5829"/>
    <w:rsid w:val="001C0E24"/>
    <w:rsid w:val="001C1322"/>
    <w:rsid w:val="001C1421"/>
    <w:rsid w:val="001C3274"/>
    <w:rsid w:val="001C5241"/>
    <w:rsid w:val="001C680D"/>
    <w:rsid w:val="001D13A0"/>
    <w:rsid w:val="001D25AE"/>
    <w:rsid w:val="001D4DFC"/>
    <w:rsid w:val="001D7E90"/>
    <w:rsid w:val="001E0017"/>
    <w:rsid w:val="001E5721"/>
    <w:rsid w:val="001E6E7F"/>
    <w:rsid w:val="001F4327"/>
    <w:rsid w:val="001F7108"/>
    <w:rsid w:val="001F7EC7"/>
    <w:rsid w:val="00204C31"/>
    <w:rsid w:val="00214AED"/>
    <w:rsid w:val="00216AE7"/>
    <w:rsid w:val="00220A5D"/>
    <w:rsid w:val="0022117C"/>
    <w:rsid w:val="00221D32"/>
    <w:rsid w:val="00224416"/>
    <w:rsid w:val="00233B69"/>
    <w:rsid w:val="002340F0"/>
    <w:rsid w:val="00235D4B"/>
    <w:rsid w:val="00237AF0"/>
    <w:rsid w:val="00244E7B"/>
    <w:rsid w:val="002518E4"/>
    <w:rsid w:val="00253711"/>
    <w:rsid w:val="002543BD"/>
    <w:rsid w:val="00255374"/>
    <w:rsid w:val="0026000F"/>
    <w:rsid w:val="00261C65"/>
    <w:rsid w:val="002659F6"/>
    <w:rsid w:val="0026608D"/>
    <w:rsid w:val="00266F19"/>
    <w:rsid w:val="00270396"/>
    <w:rsid w:val="00271D65"/>
    <w:rsid w:val="00274A67"/>
    <w:rsid w:val="00275952"/>
    <w:rsid w:val="00280B3F"/>
    <w:rsid w:val="0028365C"/>
    <w:rsid w:val="002846D5"/>
    <w:rsid w:val="00286D4A"/>
    <w:rsid w:val="002874C5"/>
    <w:rsid w:val="0029230C"/>
    <w:rsid w:val="00294756"/>
    <w:rsid w:val="0029490A"/>
    <w:rsid w:val="002951F2"/>
    <w:rsid w:val="00296276"/>
    <w:rsid w:val="00296334"/>
    <w:rsid w:val="002A0327"/>
    <w:rsid w:val="002A1A05"/>
    <w:rsid w:val="002A5E02"/>
    <w:rsid w:val="002A5EE6"/>
    <w:rsid w:val="002A6D44"/>
    <w:rsid w:val="002B3DA5"/>
    <w:rsid w:val="002B407A"/>
    <w:rsid w:val="002B60F1"/>
    <w:rsid w:val="002B6431"/>
    <w:rsid w:val="002C0793"/>
    <w:rsid w:val="002C1256"/>
    <w:rsid w:val="002C35BF"/>
    <w:rsid w:val="002C3738"/>
    <w:rsid w:val="002C6C1B"/>
    <w:rsid w:val="002D2A88"/>
    <w:rsid w:val="002D2EFC"/>
    <w:rsid w:val="002D3B9F"/>
    <w:rsid w:val="002D6922"/>
    <w:rsid w:val="002D6B2A"/>
    <w:rsid w:val="002E01CB"/>
    <w:rsid w:val="002E3702"/>
    <w:rsid w:val="002E3819"/>
    <w:rsid w:val="002F0161"/>
    <w:rsid w:val="002F2596"/>
    <w:rsid w:val="002F39E3"/>
    <w:rsid w:val="002F48E7"/>
    <w:rsid w:val="002F5910"/>
    <w:rsid w:val="00301547"/>
    <w:rsid w:val="00302660"/>
    <w:rsid w:val="00302B7F"/>
    <w:rsid w:val="00302F8C"/>
    <w:rsid w:val="0030509C"/>
    <w:rsid w:val="0030562D"/>
    <w:rsid w:val="003076BA"/>
    <w:rsid w:val="003128F7"/>
    <w:rsid w:val="00312A03"/>
    <w:rsid w:val="003156F9"/>
    <w:rsid w:val="00316A53"/>
    <w:rsid w:val="003179D7"/>
    <w:rsid w:val="003206BB"/>
    <w:rsid w:val="003208E5"/>
    <w:rsid w:val="00321277"/>
    <w:rsid w:val="00324FE8"/>
    <w:rsid w:val="00325B2C"/>
    <w:rsid w:val="00330315"/>
    <w:rsid w:val="00330ED6"/>
    <w:rsid w:val="00335954"/>
    <w:rsid w:val="0033647E"/>
    <w:rsid w:val="003400FF"/>
    <w:rsid w:val="00342B69"/>
    <w:rsid w:val="00342FA6"/>
    <w:rsid w:val="00343812"/>
    <w:rsid w:val="0034555E"/>
    <w:rsid w:val="00345907"/>
    <w:rsid w:val="003474E3"/>
    <w:rsid w:val="00347AA9"/>
    <w:rsid w:val="00351698"/>
    <w:rsid w:val="00352EB2"/>
    <w:rsid w:val="00354333"/>
    <w:rsid w:val="00360976"/>
    <w:rsid w:val="003619D9"/>
    <w:rsid w:val="0036500E"/>
    <w:rsid w:val="0036573E"/>
    <w:rsid w:val="003661B6"/>
    <w:rsid w:val="003678E4"/>
    <w:rsid w:val="00367DBA"/>
    <w:rsid w:val="00370A69"/>
    <w:rsid w:val="00371B29"/>
    <w:rsid w:val="003724D4"/>
    <w:rsid w:val="003752F3"/>
    <w:rsid w:val="00380288"/>
    <w:rsid w:val="00380F37"/>
    <w:rsid w:val="00382222"/>
    <w:rsid w:val="0038543E"/>
    <w:rsid w:val="00393E41"/>
    <w:rsid w:val="003971D8"/>
    <w:rsid w:val="0039790B"/>
    <w:rsid w:val="003A0E7D"/>
    <w:rsid w:val="003A22F2"/>
    <w:rsid w:val="003A506B"/>
    <w:rsid w:val="003A7952"/>
    <w:rsid w:val="003B1911"/>
    <w:rsid w:val="003C0178"/>
    <w:rsid w:val="003C1863"/>
    <w:rsid w:val="003C20DA"/>
    <w:rsid w:val="003C3098"/>
    <w:rsid w:val="003C39DB"/>
    <w:rsid w:val="003C4439"/>
    <w:rsid w:val="003C5E09"/>
    <w:rsid w:val="003C5EC1"/>
    <w:rsid w:val="003C6275"/>
    <w:rsid w:val="003D0FC0"/>
    <w:rsid w:val="003D1C74"/>
    <w:rsid w:val="003D3192"/>
    <w:rsid w:val="003D39B9"/>
    <w:rsid w:val="003D430B"/>
    <w:rsid w:val="003D7733"/>
    <w:rsid w:val="003D7BD8"/>
    <w:rsid w:val="003E0EB9"/>
    <w:rsid w:val="003E1C5E"/>
    <w:rsid w:val="003E706D"/>
    <w:rsid w:val="003F112C"/>
    <w:rsid w:val="003F327D"/>
    <w:rsid w:val="003F32F4"/>
    <w:rsid w:val="003F345A"/>
    <w:rsid w:val="003F4B71"/>
    <w:rsid w:val="003F606A"/>
    <w:rsid w:val="004056AB"/>
    <w:rsid w:val="00405E5B"/>
    <w:rsid w:val="004115E1"/>
    <w:rsid w:val="00414A07"/>
    <w:rsid w:val="004175AE"/>
    <w:rsid w:val="00425FDF"/>
    <w:rsid w:val="0042654C"/>
    <w:rsid w:val="00430B99"/>
    <w:rsid w:val="00431B78"/>
    <w:rsid w:val="00433F4B"/>
    <w:rsid w:val="004428B5"/>
    <w:rsid w:val="00442FF1"/>
    <w:rsid w:val="00443A47"/>
    <w:rsid w:val="00444895"/>
    <w:rsid w:val="0044582B"/>
    <w:rsid w:val="004462F6"/>
    <w:rsid w:val="00457BAC"/>
    <w:rsid w:val="004639AE"/>
    <w:rsid w:val="00464CFF"/>
    <w:rsid w:val="004717FA"/>
    <w:rsid w:val="00471FC1"/>
    <w:rsid w:val="00472FA5"/>
    <w:rsid w:val="004738EB"/>
    <w:rsid w:val="00473B1D"/>
    <w:rsid w:val="004767BF"/>
    <w:rsid w:val="00476AFE"/>
    <w:rsid w:val="00476F8B"/>
    <w:rsid w:val="004772AA"/>
    <w:rsid w:val="00483279"/>
    <w:rsid w:val="004832DD"/>
    <w:rsid w:val="00484669"/>
    <w:rsid w:val="004903DD"/>
    <w:rsid w:val="00491E3A"/>
    <w:rsid w:val="00492A1B"/>
    <w:rsid w:val="004932B8"/>
    <w:rsid w:val="00494E42"/>
    <w:rsid w:val="004A04B6"/>
    <w:rsid w:val="004A0CB8"/>
    <w:rsid w:val="004A1AC2"/>
    <w:rsid w:val="004A2014"/>
    <w:rsid w:val="004A489A"/>
    <w:rsid w:val="004A5F9A"/>
    <w:rsid w:val="004A64DD"/>
    <w:rsid w:val="004B0291"/>
    <w:rsid w:val="004B2F94"/>
    <w:rsid w:val="004B5E69"/>
    <w:rsid w:val="004B763F"/>
    <w:rsid w:val="004C2953"/>
    <w:rsid w:val="004C383C"/>
    <w:rsid w:val="004C3C12"/>
    <w:rsid w:val="004C4536"/>
    <w:rsid w:val="004C4C52"/>
    <w:rsid w:val="004C7226"/>
    <w:rsid w:val="004C7E7E"/>
    <w:rsid w:val="004D0140"/>
    <w:rsid w:val="004D2FE9"/>
    <w:rsid w:val="004D3CD3"/>
    <w:rsid w:val="004D4226"/>
    <w:rsid w:val="004D44F3"/>
    <w:rsid w:val="004D5018"/>
    <w:rsid w:val="004D6C73"/>
    <w:rsid w:val="004E0798"/>
    <w:rsid w:val="004E14EF"/>
    <w:rsid w:val="004E18FD"/>
    <w:rsid w:val="004E2437"/>
    <w:rsid w:val="004E38AE"/>
    <w:rsid w:val="004E58FD"/>
    <w:rsid w:val="004F4831"/>
    <w:rsid w:val="004F4C61"/>
    <w:rsid w:val="004F5D44"/>
    <w:rsid w:val="004F6290"/>
    <w:rsid w:val="005023F3"/>
    <w:rsid w:val="00504359"/>
    <w:rsid w:val="0050653E"/>
    <w:rsid w:val="00506999"/>
    <w:rsid w:val="00512D26"/>
    <w:rsid w:val="00513D60"/>
    <w:rsid w:val="00513FCE"/>
    <w:rsid w:val="00514030"/>
    <w:rsid w:val="00514320"/>
    <w:rsid w:val="005200B1"/>
    <w:rsid w:val="005214AC"/>
    <w:rsid w:val="00525A72"/>
    <w:rsid w:val="00525F1C"/>
    <w:rsid w:val="00527105"/>
    <w:rsid w:val="00527916"/>
    <w:rsid w:val="00530A2A"/>
    <w:rsid w:val="0053333D"/>
    <w:rsid w:val="005337F2"/>
    <w:rsid w:val="005404C5"/>
    <w:rsid w:val="00540B7B"/>
    <w:rsid w:val="00541B1C"/>
    <w:rsid w:val="00541E61"/>
    <w:rsid w:val="005427A4"/>
    <w:rsid w:val="00542913"/>
    <w:rsid w:val="0054665D"/>
    <w:rsid w:val="0054770A"/>
    <w:rsid w:val="00551A2F"/>
    <w:rsid w:val="00553F08"/>
    <w:rsid w:val="00554193"/>
    <w:rsid w:val="00554D3F"/>
    <w:rsid w:val="00556B3A"/>
    <w:rsid w:val="005570EE"/>
    <w:rsid w:val="00560C42"/>
    <w:rsid w:val="0056295E"/>
    <w:rsid w:val="00563F76"/>
    <w:rsid w:val="0056682C"/>
    <w:rsid w:val="00567B69"/>
    <w:rsid w:val="00571B96"/>
    <w:rsid w:val="00574421"/>
    <w:rsid w:val="00575CC9"/>
    <w:rsid w:val="005807A1"/>
    <w:rsid w:val="00581A00"/>
    <w:rsid w:val="00583F4F"/>
    <w:rsid w:val="00592CED"/>
    <w:rsid w:val="00594F3D"/>
    <w:rsid w:val="00595B89"/>
    <w:rsid w:val="0059612D"/>
    <w:rsid w:val="005A0348"/>
    <w:rsid w:val="005A0F58"/>
    <w:rsid w:val="005A2F80"/>
    <w:rsid w:val="005A4CC0"/>
    <w:rsid w:val="005A5166"/>
    <w:rsid w:val="005A62D9"/>
    <w:rsid w:val="005A65F1"/>
    <w:rsid w:val="005A69A8"/>
    <w:rsid w:val="005A70CB"/>
    <w:rsid w:val="005B0A52"/>
    <w:rsid w:val="005B1264"/>
    <w:rsid w:val="005B2847"/>
    <w:rsid w:val="005B3840"/>
    <w:rsid w:val="005B3BAF"/>
    <w:rsid w:val="005B5C54"/>
    <w:rsid w:val="005C03A6"/>
    <w:rsid w:val="005C5A33"/>
    <w:rsid w:val="005C5A8A"/>
    <w:rsid w:val="005C67B7"/>
    <w:rsid w:val="005D44EB"/>
    <w:rsid w:val="005D46B7"/>
    <w:rsid w:val="005D666C"/>
    <w:rsid w:val="005E669E"/>
    <w:rsid w:val="005E6CAC"/>
    <w:rsid w:val="005F0451"/>
    <w:rsid w:val="005F08E3"/>
    <w:rsid w:val="005F1FBC"/>
    <w:rsid w:val="005F5795"/>
    <w:rsid w:val="005F5B97"/>
    <w:rsid w:val="005F7B02"/>
    <w:rsid w:val="0060115A"/>
    <w:rsid w:val="00601D74"/>
    <w:rsid w:val="006049D9"/>
    <w:rsid w:val="00604AD8"/>
    <w:rsid w:val="00617351"/>
    <w:rsid w:val="0062256A"/>
    <w:rsid w:val="00623C77"/>
    <w:rsid w:val="00623D4E"/>
    <w:rsid w:val="00624319"/>
    <w:rsid w:val="00624D36"/>
    <w:rsid w:val="006264E0"/>
    <w:rsid w:val="006269D9"/>
    <w:rsid w:val="0062715C"/>
    <w:rsid w:val="006317A1"/>
    <w:rsid w:val="0063465D"/>
    <w:rsid w:val="006372B0"/>
    <w:rsid w:val="0064194B"/>
    <w:rsid w:val="0064477A"/>
    <w:rsid w:val="00644F69"/>
    <w:rsid w:val="00645936"/>
    <w:rsid w:val="0064695B"/>
    <w:rsid w:val="00647D23"/>
    <w:rsid w:val="006501F4"/>
    <w:rsid w:val="00652961"/>
    <w:rsid w:val="00652B71"/>
    <w:rsid w:val="00653307"/>
    <w:rsid w:val="006615D5"/>
    <w:rsid w:val="00666C28"/>
    <w:rsid w:val="00666E76"/>
    <w:rsid w:val="006707BA"/>
    <w:rsid w:val="00672FBA"/>
    <w:rsid w:val="00675509"/>
    <w:rsid w:val="00675CCA"/>
    <w:rsid w:val="00677320"/>
    <w:rsid w:val="00677E7F"/>
    <w:rsid w:val="00687893"/>
    <w:rsid w:val="00691BC8"/>
    <w:rsid w:val="00691F9F"/>
    <w:rsid w:val="006949D7"/>
    <w:rsid w:val="006953BE"/>
    <w:rsid w:val="00696232"/>
    <w:rsid w:val="006A0BE6"/>
    <w:rsid w:val="006A226E"/>
    <w:rsid w:val="006A272A"/>
    <w:rsid w:val="006A2851"/>
    <w:rsid w:val="006A6519"/>
    <w:rsid w:val="006B3162"/>
    <w:rsid w:val="006B447D"/>
    <w:rsid w:val="006B4AEB"/>
    <w:rsid w:val="006B5C30"/>
    <w:rsid w:val="006B61BD"/>
    <w:rsid w:val="006C08E2"/>
    <w:rsid w:val="006C1570"/>
    <w:rsid w:val="006C1A67"/>
    <w:rsid w:val="006C37DE"/>
    <w:rsid w:val="006C43DA"/>
    <w:rsid w:val="006C6AAD"/>
    <w:rsid w:val="006D33BA"/>
    <w:rsid w:val="006D348D"/>
    <w:rsid w:val="006D6111"/>
    <w:rsid w:val="006D7878"/>
    <w:rsid w:val="006D7AA4"/>
    <w:rsid w:val="006E0492"/>
    <w:rsid w:val="006E22B2"/>
    <w:rsid w:val="006E550B"/>
    <w:rsid w:val="006E5910"/>
    <w:rsid w:val="006F04E4"/>
    <w:rsid w:val="006F5B84"/>
    <w:rsid w:val="007028AA"/>
    <w:rsid w:val="00713098"/>
    <w:rsid w:val="007139D6"/>
    <w:rsid w:val="007160C5"/>
    <w:rsid w:val="007223C3"/>
    <w:rsid w:val="007275B7"/>
    <w:rsid w:val="0073122C"/>
    <w:rsid w:val="007315FF"/>
    <w:rsid w:val="007332E0"/>
    <w:rsid w:val="007352B8"/>
    <w:rsid w:val="00740583"/>
    <w:rsid w:val="00740622"/>
    <w:rsid w:val="0074097A"/>
    <w:rsid w:val="007416C1"/>
    <w:rsid w:val="00741DF0"/>
    <w:rsid w:val="007433F0"/>
    <w:rsid w:val="00744269"/>
    <w:rsid w:val="0074444A"/>
    <w:rsid w:val="00745EAF"/>
    <w:rsid w:val="00746060"/>
    <w:rsid w:val="007504BA"/>
    <w:rsid w:val="007505AB"/>
    <w:rsid w:val="00750A2A"/>
    <w:rsid w:val="00750EA2"/>
    <w:rsid w:val="00751A39"/>
    <w:rsid w:val="00753DB5"/>
    <w:rsid w:val="00755073"/>
    <w:rsid w:val="00756F2A"/>
    <w:rsid w:val="0075739B"/>
    <w:rsid w:val="00757AD0"/>
    <w:rsid w:val="00762498"/>
    <w:rsid w:val="0076390D"/>
    <w:rsid w:val="00763E2F"/>
    <w:rsid w:val="00765159"/>
    <w:rsid w:val="00770780"/>
    <w:rsid w:val="00770F92"/>
    <w:rsid w:val="00772C1F"/>
    <w:rsid w:val="00775FBA"/>
    <w:rsid w:val="00780C6D"/>
    <w:rsid w:val="007819C4"/>
    <w:rsid w:val="00782E6F"/>
    <w:rsid w:val="00785565"/>
    <w:rsid w:val="00785C43"/>
    <w:rsid w:val="007871FD"/>
    <w:rsid w:val="007876DD"/>
    <w:rsid w:val="00791D16"/>
    <w:rsid w:val="00796209"/>
    <w:rsid w:val="00796479"/>
    <w:rsid w:val="007A09B9"/>
    <w:rsid w:val="007A252A"/>
    <w:rsid w:val="007A343B"/>
    <w:rsid w:val="007A5BD9"/>
    <w:rsid w:val="007B1ABA"/>
    <w:rsid w:val="007B5585"/>
    <w:rsid w:val="007C28BF"/>
    <w:rsid w:val="007C44CC"/>
    <w:rsid w:val="007C678E"/>
    <w:rsid w:val="007C7A1C"/>
    <w:rsid w:val="007D3EAE"/>
    <w:rsid w:val="007D4306"/>
    <w:rsid w:val="007D48C9"/>
    <w:rsid w:val="007D50C1"/>
    <w:rsid w:val="007D688D"/>
    <w:rsid w:val="007E14F1"/>
    <w:rsid w:val="007E17F9"/>
    <w:rsid w:val="007E33F6"/>
    <w:rsid w:val="007E37CD"/>
    <w:rsid w:val="007F0ABD"/>
    <w:rsid w:val="007F24F2"/>
    <w:rsid w:val="007F616E"/>
    <w:rsid w:val="007F7BE0"/>
    <w:rsid w:val="00800043"/>
    <w:rsid w:val="00800250"/>
    <w:rsid w:val="00800621"/>
    <w:rsid w:val="00803988"/>
    <w:rsid w:val="00804BC9"/>
    <w:rsid w:val="00807864"/>
    <w:rsid w:val="00807946"/>
    <w:rsid w:val="008111DC"/>
    <w:rsid w:val="00813316"/>
    <w:rsid w:val="0081351D"/>
    <w:rsid w:val="00813657"/>
    <w:rsid w:val="00815CB0"/>
    <w:rsid w:val="00821838"/>
    <w:rsid w:val="00822721"/>
    <w:rsid w:val="00824EFE"/>
    <w:rsid w:val="008259C3"/>
    <w:rsid w:val="008269A4"/>
    <w:rsid w:val="008314EA"/>
    <w:rsid w:val="008320E8"/>
    <w:rsid w:val="00833EEE"/>
    <w:rsid w:val="0084286D"/>
    <w:rsid w:val="008438C1"/>
    <w:rsid w:val="0084512C"/>
    <w:rsid w:val="0084669B"/>
    <w:rsid w:val="00850658"/>
    <w:rsid w:val="00850E3D"/>
    <w:rsid w:val="00852C5D"/>
    <w:rsid w:val="00852EAB"/>
    <w:rsid w:val="0085548C"/>
    <w:rsid w:val="00856216"/>
    <w:rsid w:val="00857CC6"/>
    <w:rsid w:val="00862C6C"/>
    <w:rsid w:val="00863B45"/>
    <w:rsid w:val="00865FFB"/>
    <w:rsid w:val="00870777"/>
    <w:rsid w:val="008755FE"/>
    <w:rsid w:val="00876EC0"/>
    <w:rsid w:val="00880146"/>
    <w:rsid w:val="008814F6"/>
    <w:rsid w:val="00881669"/>
    <w:rsid w:val="00881D95"/>
    <w:rsid w:val="00884810"/>
    <w:rsid w:val="00891664"/>
    <w:rsid w:val="0089231B"/>
    <w:rsid w:val="00892DFA"/>
    <w:rsid w:val="00894532"/>
    <w:rsid w:val="00895886"/>
    <w:rsid w:val="00895989"/>
    <w:rsid w:val="008A0588"/>
    <w:rsid w:val="008A13B2"/>
    <w:rsid w:val="008A1984"/>
    <w:rsid w:val="008A3476"/>
    <w:rsid w:val="008A3C13"/>
    <w:rsid w:val="008A71BB"/>
    <w:rsid w:val="008B0FF2"/>
    <w:rsid w:val="008B1071"/>
    <w:rsid w:val="008B12A3"/>
    <w:rsid w:val="008B6580"/>
    <w:rsid w:val="008B6582"/>
    <w:rsid w:val="008C0222"/>
    <w:rsid w:val="008C04EA"/>
    <w:rsid w:val="008C19D3"/>
    <w:rsid w:val="008C26AA"/>
    <w:rsid w:val="008C2E8E"/>
    <w:rsid w:val="008C35C3"/>
    <w:rsid w:val="008C47BD"/>
    <w:rsid w:val="008C7AEF"/>
    <w:rsid w:val="008D0766"/>
    <w:rsid w:val="008D0D44"/>
    <w:rsid w:val="008D0FB0"/>
    <w:rsid w:val="008D2AFA"/>
    <w:rsid w:val="008D5264"/>
    <w:rsid w:val="008D79CB"/>
    <w:rsid w:val="008E090F"/>
    <w:rsid w:val="008E1248"/>
    <w:rsid w:val="008E3936"/>
    <w:rsid w:val="008E45F3"/>
    <w:rsid w:val="008E4652"/>
    <w:rsid w:val="008E4EFB"/>
    <w:rsid w:val="008F0BE8"/>
    <w:rsid w:val="008F2667"/>
    <w:rsid w:val="008F2B61"/>
    <w:rsid w:val="008F314A"/>
    <w:rsid w:val="008F4B3E"/>
    <w:rsid w:val="008F7601"/>
    <w:rsid w:val="0090124A"/>
    <w:rsid w:val="009016EA"/>
    <w:rsid w:val="00901DF0"/>
    <w:rsid w:val="00903089"/>
    <w:rsid w:val="00905B55"/>
    <w:rsid w:val="009063CE"/>
    <w:rsid w:val="00906EBE"/>
    <w:rsid w:val="0091179E"/>
    <w:rsid w:val="00912809"/>
    <w:rsid w:val="00913CD1"/>
    <w:rsid w:val="009149A4"/>
    <w:rsid w:val="0092567B"/>
    <w:rsid w:val="00936FC4"/>
    <w:rsid w:val="00937AB1"/>
    <w:rsid w:val="009416E3"/>
    <w:rsid w:val="009441CD"/>
    <w:rsid w:val="00944610"/>
    <w:rsid w:val="0094553B"/>
    <w:rsid w:val="00945A4C"/>
    <w:rsid w:val="0094649C"/>
    <w:rsid w:val="009479F2"/>
    <w:rsid w:val="00950A8E"/>
    <w:rsid w:val="00954558"/>
    <w:rsid w:val="0095619D"/>
    <w:rsid w:val="00961CF9"/>
    <w:rsid w:val="0096272A"/>
    <w:rsid w:val="00965201"/>
    <w:rsid w:val="00970F8C"/>
    <w:rsid w:val="00972087"/>
    <w:rsid w:val="009739C5"/>
    <w:rsid w:val="00974031"/>
    <w:rsid w:val="00975444"/>
    <w:rsid w:val="009800F5"/>
    <w:rsid w:val="00981454"/>
    <w:rsid w:val="009830CF"/>
    <w:rsid w:val="0098377E"/>
    <w:rsid w:val="00984CF7"/>
    <w:rsid w:val="00985197"/>
    <w:rsid w:val="0098565C"/>
    <w:rsid w:val="009908BF"/>
    <w:rsid w:val="00991A23"/>
    <w:rsid w:val="00992BF3"/>
    <w:rsid w:val="0099357F"/>
    <w:rsid w:val="0099598A"/>
    <w:rsid w:val="00997DB3"/>
    <w:rsid w:val="009A1578"/>
    <w:rsid w:val="009A1715"/>
    <w:rsid w:val="009A26B4"/>
    <w:rsid w:val="009A2F40"/>
    <w:rsid w:val="009A31B2"/>
    <w:rsid w:val="009A3DE5"/>
    <w:rsid w:val="009A58CE"/>
    <w:rsid w:val="009A5F85"/>
    <w:rsid w:val="009B4437"/>
    <w:rsid w:val="009B5007"/>
    <w:rsid w:val="009B72D8"/>
    <w:rsid w:val="009C1923"/>
    <w:rsid w:val="009C2B04"/>
    <w:rsid w:val="009C4103"/>
    <w:rsid w:val="009C47FA"/>
    <w:rsid w:val="009C4FB6"/>
    <w:rsid w:val="009C5072"/>
    <w:rsid w:val="009C62A4"/>
    <w:rsid w:val="009D16C6"/>
    <w:rsid w:val="009D19C1"/>
    <w:rsid w:val="009D283A"/>
    <w:rsid w:val="009D343B"/>
    <w:rsid w:val="009D4EF0"/>
    <w:rsid w:val="009D67A2"/>
    <w:rsid w:val="009D6D67"/>
    <w:rsid w:val="009D748D"/>
    <w:rsid w:val="009E1A4A"/>
    <w:rsid w:val="009E24F1"/>
    <w:rsid w:val="009E4881"/>
    <w:rsid w:val="009E52A2"/>
    <w:rsid w:val="009F0043"/>
    <w:rsid w:val="009F0B17"/>
    <w:rsid w:val="009F0FC7"/>
    <w:rsid w:val="009F2FA5"/>
    <w:rsid w:val="009F4E1D"/>
    <w:rsid w:val="009F4F3D"/>
    <w:rsid w:val="009F613B"/>
    <w:rsid w:val="009F650B"/>
    <w:rsid w:val="00A01503"/>
    <w:rsid w:val="00A0218F"/>
    <w:rsid w:val="00A0388D"/>
    <w:rsid w:val="00A03B32"/>
    <w:rsid w:val="00A06C80"/>
    <w:rsid w:val="00A076C4"/>
    <w:rsid w:val="00A07A6E"/>
    <w:rsid w:val="00A07D83"/>
    <w:rsid w:val="00A11B66"/>
    <w:rsid w:val="00A12B0D"/>
    <w:rsid w:val="00A12EF8"/>
    <w:rsid w:val="00A13689"/>
    <w:rsid w:val="00A137D4"/>
    <w:rsid w:val="00A13B2B"/>
    <w:rsid w:val="00A171EA"/>
    <w:rsid w:val="00A17C02"/>
    <w:rsid w:val="00A20DC3"/>
    <w:rsid w:val="00A22918"/>
    <w:rsid w:val="00A23275"/>
    <w:rsid w:val="00A2370D"/>
    <w:rsid w:val="00A25725"/>
    <w:rsid w:val="00A26735"/>
    <w:rsid w:val="00A27E17"/>
    <w:rsid w:val="00A307BA"/>
    <w:rsid w:val="00A30B9B"/>
    <w:rsid w:val="00A318F4"/>
    <w:rsid w:val="00A34CCF"/>
    <w:rsid w:val="00A34F38"/>
    <w:rsid w:val="00A36552"/>
    <w:rsid w:val="00A4021C"/>
    <w:rsid w:val="00A41A80"/>
    <w:rsid w:val="00A42C2C"/>
    <w:rsid w:val="00A432A5"/>
    <w:rsid w:val="00A4340A"/>
    <w:rsid w:val="00A4398B"/>
    <w:rsid w:val="00A443B8"/>
    <w:rsid w:val="00A4488C"/>
    <w:rsid w:val="00A44C06"/>
    <w:rsid w:val="00A46289"/>
    <w:rsid w:val="00A5030E"/>
    <w:rsid w:val="00A506F3"/>
    <w:rsid w:val="00A50BC7"/>
    <w:rsid w:val="00A52AB4"/>
    <w:rsid w:val="00A53BBF"/>
    <w:rsid w:val="00A53E5B"/>
    <w:rsid w:val="00A61D05"/>
    <w:rsid w:val="00A63919"/>
    <w:rsid w:val="00A643EB"/>
    <w:rsid w:val="00A648C9"/>
    <w:rsid w:val="00A719DE"/>
    <w:rsid w:val="00A720F3"/>
    <w:rsid w:val="00A73A00"/>
    <w:rsid w:val="00A75ADE"/>
    <w:rsid w:val="00A76FBD"/>
    <w:rsid w:val="00A823B6"/>
    <w:rsid w:val="00A83650"/>
    <w:rsid w:val="00A8574F"/>
    <w:rsid w:val="00A870B6"/>
    <w:rsid w:val="00A905F0"/>
    <w:rsid w:val="00A9274B"/>
    <w:rsid w:val="00A93355"/>
    <w:rsid w:val="00A937CC"/>
    <w:rsid w:val="00A93A65"/>
    <w:rsid w:val="00A97F84"/>
    <w:rsid w:val="00AA01AC"/>
    <w:rsid w:val="00AA4A57"/>
    <w:rsid w:val="00AA54FD"/>
    <w:rsid w:val="00AA5A0B"/>
    <w:rsid w:val="00AA6ADD"/>
    <w:rsid w:val="00AA76E9"/>
    <w:rsid w:val="00AA7724"/>
    <w:rsid w:val="00AB0F98"/>
    <w:rsid w:val="00AB1ED0"/>
    <w:rsid w:val="00AC1ED5"/>
    <w:rsid w:val="00AC3A3D"/>
    <w:rsid w:val="00AC3C95"/>
    <w:rsid w:val="00AC4798"/>
    <w:rsid w:val="00AC4853"/>
    <w:rsid w:val="00AC6B21"/>
    <w:rsid w:val="00AC7BEB"/>
    <w:rsid w:val="00AD0009"/>
    <w:rsid w:val="00AD279B"/>
    <w:rsid w:val="00AD4B41"/>
    <w:rsid w:val="00AE0E01"/>
    <w:rsid w:val="00AE0FEA"/>
    <w:rsid w:val="00AE364B"/>
    <w:rsid w:val="00AE4C13"/>
    <w:rsid w:val="00AE51C4"/>
    <w:rsid w:val="00AF0CC6"/>
    <w:rsid w:val="00AF25BA"/>
    <w:rsid w:val="00AF3A8A"/>
    <w:rsid w:val="00AF60EC"/>
    <w:rsid w:val="00AF662A"/>
    <w:rsid w:val="00AF6919"/>
    <w:rsid w:val="00AF7F58"/>
    <w:rsid w:val="00B02D9B"/>
    <w:rsid w:val="00B02EA5"/>
    <w:rsid w:val="00B03DCD"/>
    <w:rsid w:val="00B041E2"/>
    <w:rsid w:val="00B0566D"/>
    <w:rsid w:val="00B06B68"/>
    <w:rsid w:val="00B10696"/>
    <w:rsid w:val="00B11299"/>
    <w:rsid w:val="00B116CD"/>
    <w:rsid w:val="00B118E7"/>
    <w:rsid w:val="00B12461"/>
    <w:rsid w:val="00B12C45"/>
    <w:rsid w:val="00B247EB"/>
    <w:rsid w:val="00B2729C"/>
    <w:rsid w:val="00B34167"/>
    <w:rsid w:val="00B43453"/>
    <w:rsid w:val="00B434A7"/>
    <w:rsid w:val="00B458FA"/>
    <w:rsid w:val="00B459AD"/>
    <w:rsid w:val="00B50E14"/>
    <w:rsid w:val="00B5181D"/>
    <w:rsid w:val="00B52130"/>
    <w:rsid w:val="00B52342"/>
    <w:rsid w:val="00B536E1"/>
    <w:rsid w:val="00B53B76"/>
    <w:rsid w:val="00B56DA1"/>
    <w:rsid w:val="00B57C84"/>
    <w:rsid w:val="00B6122F"/>
    <w:rsid w:val="00B6205B"/>
    <w:rsid w:val="00B63975"/>
    <w:rsid w:val="00B63F27"/>
    <w:rsid w:val="00B64D5C"/>
    <w:rsid w:val="00B6651D"/>
    <w:rsid w:val="00B666B9"/>
    <w:rsid w:val="00B70267"/>
    <w:rsid w:val="00B70F2C"/>
    <w:rsid w:val="00B723A1"/>
    <w:rsid w:val="00B734F1"/>
    <w:rsid w:val="00B763D1"/>
    <w:rsid w:val="00B803F5"/>
    <w:rsid w:val="00B81F61"/>
    <w:rsid w:val="00B8230D"/>
    <w:rsid w:val="00B86DFD"/>
    <w:rsid w:val="00B87EBC"/>
    <w:rsid w:val="00B9051E"/>
    <w:rsid w:val="00B90C92"/>
    <w:rsid w:val="00B912A1"/>
    <w:rsid w:val="00B945FE"/>
    <w:rsid w:val="00B955F9"/>
    <w:rsid w:val="00B9725A"/>
    <w:rsid w:val="00B97D69"/>
    <w:rsid w:val="00BA0736"/>
    <w:rsid w:val="00BA11FB"/>
    <w:rsid w:val="00BA434F"/>
    <w:rsid w:val="00BA4F13"/>
    <w:rsid w:val="00BA57E2"/>
    <w:rsid w:val="00BA5961"/>
    <w:rsid w:val="00BA7685"/>
    <w:rsid w:val="00BA793C"/>
    <w:rsid w:val="00BB13E9"/>
    <w:rsid w:val="00BB1706"/>
    <w:rsid w:val="00BB1B2D"/>
    <w:rsid w:val="00BB3653"/>
    <w:rsid w:val="00BB6E35"/>
    <w:rsid w:val="00BC0AF0"/>
    <w:rsid w:val="00BC1064"/>
    <w:rsid w:val="00BC12BC"/>
    <w:rsid w:val="00BC50F5"/>
    <w:rsid w:val="00BC621A"/>
    <w:rsid w:val="00BC64CC"/>
    <w:rsid w:val="00BC6F3A"/>
    <w:rsid w:val="00BC6F4D"/>
    <w:rsid w:val="00BC7758"/>
    <w:rsid w:val="00BD1D7C"/>
    <w:rsid w:val="00BD370F"/>
    <w:rsid w:val="00BD4145"/>
    <w:rsid w:val="00BD48F8"/>
    <w:rsid w:val="00BD7153"/>
    <w:rsid w:val="00BE1903"/>
    <w:rsid w:val="00BE31A9"/>
    <w:rsid w:val="00BE44F6"/>
    <w:rsid w:val="00BF25DE"/>
    <w:rsid w:val="00BF3786"/>
    <w:rsid w:val="00BF46D2"/>
    <w:rsid w:val="00BF6760"/>
    <w:rsid w:val="00BF6D09"/>
    <w:rsid w:val="00BF7E92"/>
    <w:rsid w:val="00C01599"/>
    <w:rsid w:val="00C0178C"/>
    <w:rsid w:val="00C02402"/>
    <w:rsid w:val="00C02B41"/>
    <w:rsid w:val="00C044B3"/>
    <w:rsid w:val="00C064AE"/>
    <w:rsid w:val="00C06621"/>
    <w:rsid w:val="00C06815"/>
    <w:rsid w:val="00C11F50"/>
    <w:rsid w:val="00C12277"/>
    <w:rsid w:val="00C13908"/>
    <w:rsid w:val="00C1520A"/>
    <w:rsid w:val="00C17194"/>
    <w:rsid w:val="00C171CB"/>
    <w:rsid w:val="00C20B88"/>
    <w:rsid w:val="00C23637"/>
    <w:rsid w:val="00C23CC8"/>
    <w:rsid w:val="00C2657D"/>
    <w:rsid w:val="00C271A4"/>
    <w:rsid w:val="00C276F8"/>
    <w:rsid w:val="00C31BFF"/>
    <w:rsid w:val="00C324BB"/>
    <w:rsid w:val="00C34B15"/>
    <w:rsid w:val="00C34BA4"/>
    <w:rsid w:val="00C3723F"/>
    <w:rsid w:val="00C40ACF"/>
    <w:rsid w:val="00C437A8"/>
    <w:rsid w:val="00C46A99"/>
    <w:rsid w:val="00C479A8"/>
    <w:rsid w:val="00C50731"/>
    <w:rsid w:val="00C53BB3"/>
    <w:rsid w:val="00C55D70"/>
    <w:rsid w:val="00C57945"/>
    <w:rsid w:val="00C61E7A"/>
    <w:rsid w:val="00C65CA9"/>
    <w:rsid w:val="00C707BD"/>
    <w:rsid w:val="00C70DA9"/>
    <w:rsid w:val="00C77E3D"/>
    <w:rsid w:val="00C77E94"/>
    <w:rsid w:val="00C77F24"/>
    <w:rsid w:val="00C81405"/>
    <w:rsid w:val="00C820CB"/>
    <w:rsid w:val="00C8240F"/>
    <w:rsid w:val="00C82444"/>
    <w:rsid w:val="00C8420A"/>
    <w:rsid w:val="00C843DF"/>
    <w:rsid w:val="00C853AB"/>
    <w:rsid w:val="00C85AE6"/>
    <w:rsid w:val="00C864F1"/>
    <w:rsid w:val="00C91896"/>
    <w:rsid w:val="00C92F3E"/>
    <w:rsid w:val="00C93499"/>
    <w:rsid w:val="00C95782"/>
    <w:rsid w:val="00C96899"/>
    <w:rsid w:val="00C96935"/>
    <w:rsid w:val="00CA326C"/>
    <w:rsid w:val="00CA72D3"/>
    <w:rsid w:val="00CA731A"/>
    <w:rsid w:val="00CB4B6D"/>
    <w:rsid w:val="00CC006E"/>
    <w:rsid w:val="00CC074A"/>
    <w:rsid w:val="00CC14E1"/>
    <w:rsid w:val="00CC20C1"/>
    <w:rsid w:val="00CC3754"/>
    <w:rsid w:val="00CC3B20"/>
    <w:rsid w:val="00CC5913"/>
    <w:rsid w:val="00CC5A25"/>
    <w:rsid w:val="00CC6699"/>
    <w:rsid w:val="00CC6DC5"/>
    <w:rsid w:val="00CC7303"/>
    <w:rsid w:val="00CC7563"/>
    <w:rsid w:val="00CD2B0F"/>
    <w:rsid w:val="00CD4AE8"/>
    <w:rsid w:val="00CD544D"/>
    <w:rsid w:val="00CD6F35"/>
    <w:rsid w:val="00CE0458"/>
    <w:rsid w:val="00CE4560"/>
    <w:rsid w:val="00CE46CA"/>
    <w:rsid w:val="00CE5162"/>
    <w:rsid w:val="00CE51D1"/>
    <w:rsid w:val="00CE580B"/>
    <w:rsid w:val="00CE60A4"/>
    <w:rsid w:val="00CE6971"/>
    <w:rsid w:val="00CF056B"/>
    <w:rsid w:val="00CF0DB9"/>
    <w:rsid w:val="00CF28CE"/>
    <w:rsid w:val="00CF39A9"/>
    <w:rsid w:val="00CF5368"/>
    <w:rsid w:val="00CF5DF8"/>
    <w:rsid w:val="00D000B8"/>
    <w:rsid w:val="00D0076C"/>
    <w:rsid w:val="00D02D87"/>
    <w:rsid w:val="00D0305C"/>
    <w:rsid w:val="00D128CC"/>
    <w:rsid w:val="00D12B74"/>
    <w:rsid w:val="00D12DAD"/>
    <w:rsid w:val="00D13649"/>
    <w:rsid w:val="00D13A13"/>
    <w:rsid w:val="00D14B07"/>
    <w:rsid w:val="00D150E7"/>
    <w:rsid w:val="00D1538C"/>
    <w:rsid w:val="00D15796"/>
    <w:rsid w:val="00D21A00"/>
    <w:rsid w:val="00D23C5F"/>
    <w:rsid w:val="00D245DE"/>
    <w:rsid w:val="00D25709"/>
    <w:rsid w:val="00D26C1A"/>
    <w:rsid w:val="00D26E4B"/>
    <w:rsid w:val="00D31C88"/>
    <w:rsid w:val="00D3233E"/>
    <w:rsid w:val="00D32E8F"/>
    <w:rsid w:val="00D33565"/>
    <w:rsid w:val="00D33AEA"/>
    <w:rsid w:val="00D33C69"/>
    <w:rsid w:val="00D36A04"/>
    <w:rsid w:val="00D3748D"/>
    <w:rsid w:val="00D37C51"/>
    <w:rsid w:val="00D40FE6"/>
    <w:rsid w:val="00D4157A"/>
    <w:rsid w:val="00D41D5D"/>
    <w:rsid w:val="00D43B6B"/>
    <w:rsid w:val="00D44CE4"/>
    <w:rsid w:val="00D46369"/>
    <w:rsid w:val="00D46B57"/>
    <w:rsid w:val="00D473BE"/>
    <w:rsid w:val="00D50B22"/>
    <w:rsid w:val="00D55A31"/>
    <w:rsid w:val="00D55F6A"/>
    <w:rsid w:val="00D561CE"/>
    <w:rsid w:val="00D5635A"/>
    <w:rsid w:val="00D61B4A"/>
    <w:rsid w:val="00D628C5"/>
    <w:rsid w:val="00D6467E"/>
    <w:rsid w:val="00D64BCB"/>
    <w:rsid w:val="00D71897"/>
    <w:rsid w:val="00D72A5E"/>
    <w:rsid w:val="00D72E6F"/>
    <w:rsid w:val="00D764DE"/>
    <w:rsid w:val="00D77A36"/>
    <w:rsid w:val="00D83BAA"/>
    <w:rsid w:val="00D86450"/>
    <w:rsid w:val="00D951AD"/>
    <w:rsid w:val="00D96142"/>
    <w:rsid w:val="00D96FD0"/>
    <w:rsid w:val="00D97240"/>
    <w:rsid w:val="00DA15BC"/>
    <w:rsid w:val="00DA4727"/>
    <w:rsid w:val="00DB12DA"/>
    <w:rsid w:val="00DB249D"/>
    <w:rsid w:val="00DB3286"/>
    <w:rsid w:val="00DB3B01"/>
    <w:rsid w:val="00DB40A9"/>
    <w:rsid w:val="00DB579B"/>
    <w:rsid w:val="00DC0DD6"/>
    <w:rsid w:val="00DC1988"/>
    <w:rsid w:val="00DC304D"/>
    <w:rsid w:val="00DC3358"/>
    <w:rsid w:val="00DC4431"/>
    <w:rsid w:val="00DC4B1B"/>
    <w:rsid w:val="00DC63D0"/>
    <w:rsid w:val="00DC7AA1"/>
    <w:rsid w:val="00DD1C2E"/>
    <w:rsid w:val="00DD4A6B"/>
    <w:rsid w:val="00DD645C"/>
    <w:rsid w:val="00DE2BFA"/>
    <w:rsid w:val="00DE3814"/>
    <w:rsid w:val="00DE5F91"/>
    <w:rsid w:val="00DF1B95"/>
    <w:rsid w:val="00DF29D3"/>
    <w:rsid w:val="00DF4C16"/>
    <w:rsid w:val="00DF7501"/>
    <w:rsid w:val="00E0271C"/>
    <w:rsid w:val="00E04C01"/>
    <w:rsid w:val="00E04F64"/>
    <w:rsid w:val="00E05020"/>
    <w:rsid w:val="00E062B8"/>
    <w:rsid w:val="00E0718C"/>
    <w:rsid w:val="00E077F2"/>
    <w:rsid w:val="00E07EB6"/>
    <w:rsid w:val="00E1153D"/>
    <w:rsid w:val="00E141E2"/>
    <w:rsid w:val="00E1614F"/>
    <w:rsid w:val="00E1747B"/>
    <w:rsid w:val="00E20236"/>
    <w:rsid w:val="00E223C2"/>
    <w:rsid w:val="00E22991"/>
    <w:rsid w:val="00E22E35"/>
    <w:rsid w:val="00E23B56"/>
    <w:rsid w:val="00E241CC"/>
    <w:rsid w:val="00E27CC2"/>
    <w:rsid w:val="00E36D89"/>
    <w:rsid w:val="00E4164B"/>
    <w:rsid w:val="00E43D0C"/>
    <w:rsid w:val="00E444E0"/>
    <w:rsid w:val="00E465E9"/>
    <w:rsid w:val="00E479A5"/>
    <w:rsid w:val="00E47A7C"/>
    <w:rsid w:val="00E47D7F"/>
    <w:rsid w:val="00E543F2"/>
    <w:rsid w:val="00E5459C"/>
    <w:rsid w:val="00E56E69"/>
    <w:rsid w:val="00E62E0C"/>
    <w:rsid w:val="00E6375E"/>
    <w:rsid w:val="00E63F16"/>
    <w:rsid w:val="00E64664"/>
    <w:rsid w:val="00E65373"/>
    <w:rsid w:val="00E67611"/>
    <w:rsid w:val="00E676D9"/>
    <w:rsid w:val="00E677DD"/>
    <w:rsid w:val="00E67952"/>
    <w:rsid w:val="00E75B7B"/>
    <w:rsid w:val="00E76985"/>
    <w:rsid w:val="00E77FBD"/>
    <w:rsid w:val="00E8214D"/>
    <w:rsid w:val="00E826A1"/>
    <w:rsid w:val="00E83F4C"/>
    <w:rsid w:val="00E84247"/>
    <w:rsid w:val="00E86454"/>
    <w:rsid w:val="00E91ED1"/>
    <w:rsid w:val="00E93606"/>
    <w:rsid w:val="00E943A6"/>
    <w:rsid w:val="00EA0440"/>
    <w:rsid w:val="00EA0FF9"/>
    <w:rsid w:val="00EA27E1"/>
    <w:rsid w:val="00EA3B98"/>
    <w:rsid w:val="00EA61F8"/>
    <w:rsid w:val="00EA6413"/>
    <w:rsid w:val="00EB3223"/>
    <w:rsid w:val="00EB34A8"/>
    <w:rsid w:val="00EB40F8"/>
    <w:rsid w:val="00EB43A2"/>
    <w:rsid w:val="00EB46EA"/>
    <w:rsid w:val="00EB7E94"/>
    <w:rsid w:val="00EC0579"/>
    <w:rsid w:val="00EC52AD"/>
    <w:rsid w:val="00EC5442"/>
    <w:rsid w:val="00EC6D1D"/>
    <w:rsid w:val="00ED2DD6"/>
    <w:rsid w:val="00ED2F2D"/>
    <w:rsid w:val="00ED3DD8"/>
    <w:rsid w:val="00ED5F7E"/>
    <w:rsid w:val="00ED64CD"/>
    <w:rsid w:val="00ED6903"/>
    <w:rsid w:val="00ED7E54"/>
    <w:rsid w:val="00EE5E62"/>
    <w:rsid w:val="00EF0CFC"/>
    <w:rsid w:val="00EF326D"/>
    <w:rsid w:val="00EF3385"/>
    <w:rsid w:val="00EF7D06"/>
    <w:rsid w:val="00F00A96"/>
    <w:rsid w:val="00F0172A"/>
    <w:rsid w:val="00F03890"/>
    <w:rsid w:val="00F04BFA"/>
    <w:rsid w:val="00F053D5"/>
    <w:rsid w:val="00F1099C"/>
    <w:rsid w:val="00F11738"/>
    <w:rsid w:val="00F11A93"/>
    <w:rsid w:val="00F12548"/>
    <w:rsid w:val="00F136D1"/>
    <w:rsid w:val="00F138E4"/>
    <w:rsid w:val="00F13BDA"/>
    <w:rsid w:val="00F16CBE"/>
    <w:rsid w:val="00F1768E"/>
    <w:rsid w:val="00F21E05"/>
    <w:rsid w:val="00F25C47"/>
    <w:rsid w:val="00F272FB"/>
    <w:rsid w:val="00F333A5"/>
    <w:rsid w:val="00F34306"/>
    <w:rsid w:val="00F346C8"/>
    <w:rsid w:val="00F37330"/>
    <w:rsid w:val="00F37787"/>
    <w:rsid w:val="00F4171D"/>
    <w:rsid w:val="00F46111"/>
    <w:rsid w:val="00F51750"/>
    <w:rsid w:val="00F52D98"/>
    <w:rsid w:val="00F53C04"/>
    <w:rsid w:val="00F53D8F"/>
    <w:rsid w:val="00F6069B"/>
    <w:rsid w:val="00F63581"/>
    <w:rsid w:val="00F646AD"/>
    <w:rsid w:val="00F650AB"/>
    <w:rsid w:val="00F713A2"/>
    <w:rsid w:val="00F75E20"/>
    <w:rsid w:val="00F82ECB"/>
    <w:rsid w:val="00F84529"/>
    <w:rsid w:val="00F85231"/>
    <w:rsid w:val="00F87E27"/>
    <w:rsid w:val="00F900B4"/>
    <w:rsid w:val="00F9238B"/>
    <w:rsid w:val="00F93504"/>
    <w:rsid w:val="00F9367D"/>
    <w:rsid w:val="00F93C93"/>
    <w:rsid w:val="00F96F0B"/>
    <w:rsid w:val="00FA0874"/>
    <w:rsid w:val="00FA09C7"/>
    <w:rsid w:val="00FA134F"/>
    <w:rsid w:val="00FA26A9"/>
    <w:rsid w:val="00FA36DE"/>
    <w:rsid w:val="00FA43BF"/>
    <w:rsid w:val="00FA541C"/>
    <w:rsid w:val="00FA61FA"/>
    <w:rsid w:val="00FB2645"/>
    <w:rsid w:val="00FB38B4"/>
    <w:rsid w:val="00FB5418"/>
    <w:rsid w:val="00FB5E89"/>
    <w:rsid w:val="00FB5EA2"/>
    <w:rsid w:val="00FB721F"/>
    <w:rsid w:val="00FC0852"/>
    <w:rsid w:val="00FC10CA"/>
    <w:rsid w:val="00FC1B15"/>
    <w:rsid w:val="00FC25A1"/>
    <w:rsid w:val="00FC301F"/>
    <w:rsid w:val="00FC3085"/>
    <w:rsid w:val="00FC3D37"/>
    <w:rsid w:val="00FC5316"/>
    <w:rsid w:val="00FC56AB"/>
    <w:rsid w:val="00FC75E6"/>
    <w:rsid w:val="00FC7BD9"/>
    <w:rsid w:val="00FC7F2D"/>
    <w:rsid w:val="00FD2655"/>
    <w:rsid w:val="00FD2C76"/>
    <w:rsid w:val="00FD40A3"/>
    <w:rsid w:val="00FD4DBD"/>
    <w:rsid w:val="00FE045A"/>
    <w:rsid w:val="00FE3396"/>
    <w:rsid w:val="00FE3D50"/>
    <w:rsid w:val="00FE4793"/>
    <w:rsid w:val="00FE5BF5"/>
    <w:rsid w:val="00FE6F8D"/>
    <w:rsid w:val="00FE70FD"/>
    <w:rsid w:val="00FE7DFB"/>
    <w:rsid w:val="00FF7002"/>
    <w:rsid w:val="00FF7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4F9E5"/>
  <w15:chartTrackingRefBased/>
  <w15:docId w15:val="{278F9AFF-630E-402A-9306-88ACEEF1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4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4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4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40"/>
    <w:rPr>
      <w:rFonts w:eastAsiaTheme="majorEastAsia" w:cstheme="majorBidi"/>
      <w:color w:val="272727" w:themeColor="text1" w:themeTint="D8"/>
    </w:rPr>
  </w:style>
  <w:style w:type="paragraph" w:styleId="Title">
    <w:name w:val="Title"/>
    <w:basedOn w:val="Normal"/>
    <w:next w:val="Normal"/>
    <w:link w:val="TitleChar"/>
    <w:uiPriority w:val="10"/>
    <w:qFormat/>
    <w:rsid w:val="00EA04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40"/>
    <w:pPr>
      <w:spacing w:before="160"/>
      <w:jc w:val="center"/>
    </w:pPr>
    <w:rPr>
      <w:i/>
      <w:iCs/>
      <w:color w:val="404040" w:themeColor="text1" w:themeTint="BF"/>
    </w:rPr>
  </w:style>
  <w:style w:type="character" w:customStyle="1" w:styleId="QuoteChar">
    <w:name w:val="Quote Char"/>
    <w:basedOn w:val="DefaultParagraphFont"/>
    <w:link w:val="Quote"/>
    <w:uiPriority w:val="29"/>
    <w:rsid w:val="00EA0440"/>
    <w:rPr>
      <w:i/>
      <w:iCs/>
      <w:color w:val="404040" w:themeColor="text1" w:themeTint="BF"/>
    </w:rPr>
  </w:style>
  <w:style w:type="paragraph" w:styleId="ListParagraph">
    <w:name w:val="List Paragraph"/>
    <w:basedOn w:val="Normal"/>
    <w:uiPriority w:val="34"/>
    <w:qFormat/>
    <w:rsid w:val="00EA0440"/>
    <w:pPr>
      <w:ind w:left="720"/>
      <w:contextualSpacing/>
    </w:pPr>
  </w:style>
  <w:style w:type="character" w:styleId="IntenseEmphasis">
    <w:name w:val="Intense Emphasis"/>
    <w:basedOn w:val="DefaultParagraphFont"/>
    <w:uiPriority w:val="21"/>
    <w:qFormat/>
    <w:rsid w:val="00EA0440"/>
    <w:rPr>
      <w:i/>
      <w:iCs/>
      <w:color w:val="0F4761" w:themeColor="accent1" w:themeShade="BF"/>
    </w:rPr>
  </w:style>
  <w:style w:type="paragraph" w:styleId="IntenseQuote">
    <w:name w:val="Intense Quote"/>
    <w:basedOn w:val="Normal"/>
    <w:next w:val="Normal"/>
    <w:link w:val="IntenseQuoteChar"/>
    <w:uiPriority w:val="30"/>
    <w:qFormat/>
    <w:rsid w:val="00EA04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40"/>
    <w:rPr>
      <w:i/>
      <w:iCs/>
      <w:color w:val="0F4761" w:themeColor="accent1" w:themeShade="BF"/>
    </w:rPr>
  </w:style>
  <w:style w:type="character" w:styleId="IntenseReference">
    <w:name w:val="Intense Reference"/>
    <w:basedOn w:val="DefaultParagraphFont"/>
    <w:uiPriority w:val="32"/>
    <w:qFormat/>
    <w:rsid w:val="00EA0440"/>
    <w:rPr>
      <w:b/>
      <w:bCs/>
      <w:smallCaps/>
      <w:color w:val="0F4761" w:themeColor="accent1" w:themeShade="BF"/>
      <w:spacing w:val="5"/>
    </w:rPr>
  </w:style>
  <w:style w:type="paragraph" w:styleId="BodyText">
    <w:name w:val="Body Text"/>
    <w:basedOn w:val="Normal"/>
    <w:link w:val="BodyTextChar"/>
    <w:uiPriority w:val="1"/>
    <w:unhideWhenUsed/>
    <w:qFormat/>
    <w:rsid w:val="00151579"/>
    <w:pPr>
      <w:widowControl w:val="0"/>
      <w:autoSpaceDE w:val="0"/>
      <w:autoSpaceDN w:val="0"/>
      <w:spacing w:after="0" w:line="240" w:lineRule="auto"/>
    </w:pPr>
    <w:rPr>
      <w:rFonts w:ascii="Arial" w:eastAsia="Calibri Light" w:hAnsi="Arial" w:cs="Calibri Light"/>
      <w:kern w:val="0"/>
      <w:sz w:val="22"/>
      <w:szCs w:val="22"/>
      <w:lang w:bidi="en-GB"/>
      <w14:ligatures w14:val="none"/>
    </w:rPr>
  </w:style>
  <w:style w:type="character" w:customStyle="1" w:styleId="BodyTextChar">
    <w:name w:val="Body Text Char"/>
    <w:basedOn w:val="DefaultParagraphFont"/>
    <w:link w:val="BodyText"/>
    <w:uiPriority w:val="1"/>
    <w:rsid w:val="00151579"/>
    <w:rPr>
      <w:rFonts w:ascii="Arial" w:eastAsia="Calibri Light" w:hAnsi="Arial" w:cs="Calibri Light"/>
      <w:kern w:val="0"/>
      <w:sz w:val="22"/>
      <w:szCs w:val="22"/>
      <w:lang w:bidi="en-GB"/>
      <w14:ligatures w14:val="none"/>
    </w:rPr>
  </w:style>
  <w:style w:type="paragraph" w:customStyle="1" w:styleId="paragraph">
    <w:name w:val="paragraph"/>
    <w:basedOn w:val="Normal"/>
    <w:rsid w:val="00151579"/>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151579"/>
  </w:style>
  <w:style w:type="character" w:customStyle="1" w:styleId="eop">
    <w:name w:val="eop"/>
    <w:basedOn w:val="DefaultParagraphFont"/>
    <w:rsid w:val="00151579"/>
  </w:style>
  <w:style w:type="character" w:customStyle="1" w:styleId="s1">
    <w:name w:val="s1"/>
    <w:basedOn w:val="DefaultParagraphFont"/>
    <w:rsid w:val="00151579"/>
  </w:style>
  <w:style w:type="paragraph" w:customStyle="1" w:styleId="p1">
    <w:name w:val="p1"/>
    <w:basedOn w:val="Normal"/>
    <w:rsid w:val="00151579"/>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15157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51579"/>
  </w:style>
  <w:style w:type="paragraph" w:styleId="Header">
    <w:name w:val="header"/>
    <w:basedOn w:val="Normal"/>
    <w:link w:val="HeaderChar"/>
    <w:uiPriority w:val="99"/>
    <w:unhideWhenUsed/>
    <w:rsid w:val="001A1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E48"/>
  </w:style>
  <w:style w:type="paragraph" w:styleId="Footer">
    <w:name w:val="footer"/>
    <w:basedOn w:val="Normal"/>
    <w:link w:val="FooterChar"/>
    <w:uiPriority w:val="99"/>
    <w:unhideWhenUsed/>
    <w:rsid w:val="001A1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E48"/>
  </w:style>
  <w:style w:type="paragraph" w:customStyle="1" w:styleId="p3">
    <w:name w:val="p3"/>
    <w:basedOn w:val="Normal"/>
    <w:rsid w:val="0074062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740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64035">
      <w:bodyDiv w:val="1"/>
      <w:marLeft w:val="0"/>
      <w:marRight w:val="0"/>
      <w:marTop w:val="0"/>
      <w:marBottom w:val="0"/>
      <w:divBdr>
        <w:top w:val="none" w:sz="0" w:space="0" w:color="auto"/>
        <w:left w:val="none" w:sz="0" w:space="0" w:color="auto"/>
        <w:bottom w:val="none" w:sz="0" w:space="0" w:color="auto"/>
        <w:right w:val="none" w:sz="0" w:space="0" w:color="auto"/>
      </w:divBdr>
    </w:div>
    <w:div w:id="353532402">
      <w:bodyDiv w:val="1"/>
      <w:marLeft w:val="0"/>
      <w:marRight w:val="0"/>
      <w:marTop w:val="0"/>
      <w:marBottom w:val="0"/>
      <w:divBdr>
        <w:top w:val="none" w:sz="0" w:space="0" w:color="auto"/>
        <w:left w:val="none" w:sz="0" w:space="0" w:color="auto"/>
        <w:bottom w:val="none" w:sz="0" w:space="0" w:color="auto"/>
        <w:right w:val="none" w:sz="0" w:space="0" w:color="auto"/>
      </w:divBdr>
    </w:div>
    <w:div w:id="358700412">
      <w:bodyDiv w:val="1"/>
      <w:marLeft w:val="0"/>
      <w:marRight w:val="0"/>
      <w:marTop w:val="0"/>
      <w:marBottom w:val="0"/>
      <w:divBdr>
        <w:top w:val="none" w:sz="0" w:space="0" w:color="auto"/>
        <w:left w:val="none" w:sz="0" w:space="0" w:color="auto"/>
        <w:bottom w:val="none" w:sz="0" w:space="0" w:color="auto"/>
        <w:right w:val="none" w:sz="0" w:space="0" w:color="auto"/>
      </w:divBdr>
      <w:divsChild>
        <w:div w:id="216207781">
          <w:marLeft w:val="0"/>
          <w:marRight w:val="0"/>
          <w:marTop w:val="0"/>
          <w:marBottom w:val="0"/>
          <w:divBdr>
            <w:top w:val="none" w:sz="0" w:space="0" w:color="auto"/>
            <w:left w:val="none" w:sz="0" w:space="0" w:color="auto"/>
            <w:bottom w:val="none" w:sz="0" w:space="0" w:color="auto"/>
            <w:right w:val="none" w:sz="0" w:space="0" w:color="auto"/>
          </w:divBdr>
        </w:div>
      </w:divsChild>
    </w:div>
    <w:div w:id="813596154">
      <w:bodyDiv w:val="1"/>
      <w:marLeft w:val="0"/>
      <w:marRight w:val="0"/>
      <w:marTop w:val="0"/>
      <w:marBottom w:val="0"/>
      <w:divBdr>
        <w:top w:val="none" w:sz="0" w:space="0" w:color="auto"/>
        <w:left w:val="none" w:sz="0" w:space="0" w:color="auto"/>
        <w:bottom w:val="none" w:sz="0" w:space="0" w:color="auto"/>
        <w:right w:val="none" w:sz="0" w:space="0" w:color="auto"/>
      </w:divBdr>
    </w:div>
    <w:div w:id="826289561">
      <w:bodyDiv w:val="1"/>
      <w:marLeft w:val="0"/>
      <w:marRight w:val="0"/>
      <w:marTop w:val="0"/>
      <w:marBottom w:val="0"/>
      <w:divBdr>
        <w:top w:val="none" w:sz="0" w:space="0" w:color="auto"/>
        <w:left w:val="none" w:sz="0" w:space="0" w:color="auto"/>
        <w:bottom w:val="none" w:sz="0" w:space="0" w:color="auto"/>
        <w:right w:val="none" w:sz="0" w:space="0" w:color="auto"/>
      </w:divBdr>
    </w:div>
    <w:div w:id="833960354">
      <w:bodyDiv w:val="1"/>
      <w:marLeft w:val="0"/>
      <w:marRight w:val="0"/>
      <w:marTop w:val="0"/>
      <w:marBottom w:val="0"/>
      <w:divBdr>
        <w:top w:val="none" w:sz="0" w:space="0" w:color="auto"/>
        <w:left w:val="none" w:sz="0" w:space="0" w:color="auto"/>
        <w:bottom w:val="none" w:sz="0" w:space="0" w:color="auto"/>
        <w:right w:val="none" w:sz="0" w:space="0" w:color="auto"/>
      </w:divBdr>
    </w:div>
    <w:div w:id="914902650">
      <w:bodyDiv w:val="1"/>
      <w:marLeft w:val="0"/>
      <w:marRight w:val="0"/>
      <w:marTop w:val="0"/>
      <w:marBottom w:val="0"/>
      <w:divBdr>
        <w:top w:val="none" w:sz="0" w:space="0" w:color="auto"/>
        <w:left w:val="none" w:sz="0" w:space="0" w:color="auto"/>
        <w:bottom w:val="none" w:sz="0" w:space="0" w:color="auto"/>
        <w:right w:val="none" w:sz="0" w:space="0" w:color="auto"/>
      </w:divBdr>
    </w:div>
    <w:div w:id="971708770">
      <w:bodyDiv w:val="1"/>
      <w:marLeft w:val="0"/>
      <w:marRight w:val="0"/>
      <w:marTop w:val="0"/>
      <w:marBottom w:val="0"/>
      <w:divBdr>
        <w:top w:val="none" w:sz="0" w:space="0" w:color="auto"/>
        <w:left w:val="none" w:sz="0" w:space="0" w:color="auto"/>
        <w:bottom w:val="none" w:sz="0" w:space="0" w:color="auto"/>
        <w:right w:val="none" w:sz="0" w:space="0" w:color="auto"/>
      </w:divBdr>
    </w:div>
    <w:div w:id="1090661334">
      <w:bodyDiv w:val="1"/>
      <w:marLeft w:val="0"/>
      <w:marRight w:val="0"/>
      <w:marTop w:val="0"/>
      <w:marBottom w:val="0"/>
      <w:divBdr>
        <w:top w:val="none" w:sz="0" w:space="0" w:color="auto"/>
        <w:left w:val="none" w:sz="0" w:space="0" w:color="auto"/>
        <w:bottom w:val="none" w:sz="0" w:space="0" w:color="auto"/>
        <w:right w:val="none" w:sz="0" w:space="0" w:color="auto"/>
      </w:divBdr>
    </w:div>
    <w:div w:id="1277709887">
      <w:bodyDiv w:val="1"/>
      <w:marLeft w:val="0"/>
      <w:marRight w:val="0"/>
      <w:marTop w:val="0"/>
      <w:marBottom w:val="0"/>
      <w:divBdr>
        <w:top w:val="none" w:sz="0" w:space="0" w:color="auto"/>
        <w:left w:val="none" w:sz="0" w:space="0" w:color="auto"/>
        <w:bottom w:val="none" w:sz="0" w:space="0" w:color="auto"/>
        <w:right w:val="none" w:sz="0" w:space="0" w:color="auto"/>
      </w:divBdr>
      <w:divsChild>
        <w:div w:id="572354911">
          <w:marLeft w:val="0"/>
          <w:marRight w:val="0"/>
          <w:marTop w:val="0"/>
          <w:marBottom w:val="0"/>
          <w:divBdr>
            <w:top w:val="none" w:sz="0" w:space="0" w:color="auto"/>
            <w:left w:val="none" w:sz="0" w:space="0" w:color="auto"/>
            <w:bottom w:val="none" w:sz="0" w:space="0" w:color="auto"/>
            <w:right w:val="none" w:sz="0" w:space="0" w:color="auto"/>
          </w:divBdr>
        </w:div>
        <w:div w:id="865796449">
          <w:marLeft w:val="0"/>
          <w:marRight w:val="0"/>
          <w:marTop w:val="0"/>
          <w:marBottom w:val="0"/>
          <w:divBdr>
            <w:top w:val="none" w:sz="0" w:space="0" w:color="auto"/>
            <w:left w:val="none" w:sz="0" w:space="0" w:color="auto"/>
            <w:bottom w:val="none" w:sz="0" w:space="0" w:color="auto"/>
            <w:right w:val="none" w:sz="0" w:space="0" w:color="auto"/>
          </w:divBdr>
        </w:div>
      </w:divsChild>
    </w:div>
    <w:div w:id="1343624452">
      <w:bodyDiv w:val="1"/>
      <w:marLeft w:val="0"/>
      <w:marRight w:val="0"/>
      <w:marTop w:val="0"/>
      <w:marBottom w:val="0"/>
      <w:divBdr>
        <w:top w:val="none" w:sz="0" w:space="0" w:color="auto"/>
        <w:left w:val="none" w:sz="0" w:space="0" w:color="auto"/>
        <w:bottom w:val="none" w:sz="0" w:space="0" w:color="auto"/>
        <w:right w:val="none" w:sz="0" w:space="0" w:color="auto"/>
      </w:divBdr>
    </w:div>
    <w:div w:id="1402562617">
      <w:bodyDiv w:val="1"/>
      <w:marLeft w:val="0"/>
      <w:marRight w:val="0"/>
      <w:marTop w:val="0"/>
      <w:marBottom w:val="0"/>
      <w:divBdr>
        <w:top w:val="none" w:sz="0" w:space="0" w:color="auto"/>
        <w:left w:val="none" w:sz="0" w:space="0" w:color="auto"/>
        <w:bottom w:val="none" w:sz="0" w:space="0" w:color="auto"/>
        <w:right w:val="none" w:sz="0" w:space="0" w:color="auto"/>
      </w:divBdr>
    </w:div>
    <w:div w:id="1425374242">
      <w:bodyDiv w:val="1"/>
      <w:marLeft w:val="0"/>
      <w:marRight w:val="0"/>
      <w:marTop w:val="0"/>
      <w:marBottom w:val="0"/>
      <w:divBdr>
        <w:top w:val="none" w:sz="0" w:space="0" w:color="auto"/>
        <w:left w:val="none" w:sz="0" w:space="0" w:color="auto"/>
        <w:bottom w:val="none" w:sz="0" w:space="0" w:color="auto"/>
        <w:right w:val="none" w:sz="0" w:space="0" w:color="auto"/>
      </w:divBdr>
      <w:divsChild>
        <w:div w:id="43524947">
          <w:marLeft w:val="0"/>
          <w:marRight w:val="0"/>
          <w:marTop w:val="0"/>
          <w:marBottom w:val="0"/>
          <w:divBdr>
            <w:top w:val="none" w:sz="0" w:space="0" w:color="auto"/>
            <w:left w:val="none" w:sz="0" w:space="0" w:color="auto"/>
            <w:bottom w:val="none" w:sz="0" w:space="0" w:color="auto"/>
            <w:right w:val="none" w:sz="0" w:space="0" w:color="auto"/>
          </w:divBdr>
        </w:div>
        <w:div w:id="326637830">
          <w:marLeft w:val="0"/>
          <w:marRight w:val="0"/>
          <w:marTop w:val="0"/>
          <w:marBottom w:val="0"/>
          <w:divBdr>
            <w:top w:val="none" w:sz="0" w:space="0" w:color="auto"/>
            <w:left w:val="none" w:sz="0" w:space="0" w:color="auto"/>
            <w:bottom w:val="none" w:sz="0" w:space="0" w:color="auto"/>
            <w:right w:val="none" w:sz="0" w:space="0" w:color="auto"/>
          </w:divBdr>
        </w:div>
        <w:div w:id="607852260">
          <w:marLeft w:val="0"/>
          <w:marRight w:val="0"/>
          <w:marTop w:val="0"/>
          <w:marBottom w:val="0"/>
          <w:divBdr>
            <w:top w:val="none" w:sz="0" w:space="0" w:color="auto"/>
            <w:left w:val="none" w:sz="0" w:space="0" w:color="auto"/>
            <w:bottom w:val="none" w:sz="0" w:space="0" w:color="auto"/>
            <w:right w:val="none" w:sz="0" w:space="0" w:color="auto"/>
          </w:divBdr>
        </w:div>
        <w:div w:id="686175868">
          <w:marLeft w:val="0"/>
          <w:marRight w:val="0"/>
          <w:marTop w:val="0"/>
          <w:marBottom w:val="0"/>
          <w:divBdr>
            <w:top w:val="none" w:sz="0" w:space="0" w:color="auto"/>
            <w:left w:val="none" w:sz="0" w:space="0" w:color="auto"/>
            <w:bottom w:val="none" w:sz="0" w:space="0" w:color="auto"/>
            <w:right w:val="none" w:sz="0" w:space="0" w:color="auto"/>
          </w:divBdr>
        </w:div>
        <w:div w:id="1031568839">
          <w:marLeft w:val="0"/>
          <w:marRight w:val="0"/>
          <w:marTop w:val="0"/>
          <w:marBottom w:val="0"/>
          <w:divBdr>
            <w:top w:val="none" w:sz="0" w:space="0" w:color="auto"/>
            <w:left w:val="none" w:sz="0" w:space="0" w:color="auto"/>
            <w:bottom w:val="none" w:sz="0" w:space="0" w:color="auto"/>
            <w:right w:val="none" w:sz="0" w:space="0" w:color="auto"/>
          </w:divBdr>
        </w:div>
        <w:div w:id="1111239763">
          <w:marLeft w:val="0"/>
          <w:marRight w:val="0"/>
          <w:marTop w:val="0"/>
          <w:marBottom w:val="0"/>
          <w:divBdr>
            <w:top w:val="none" w:sz="0" w:space="0" w:color="auto"/>
            <w:left w:val="none" w:sz="0" w:space="0" w:color="auto"/>
            <w:bottom w:val="none" w:sz="0" w:space="0" w:color="auto"/>
            <w:right w:val="none" w:sz="0" w:space="0" w:color="auto"/>
          </w:divBdr>
        </w:div>
        <w:div w:id="1758558531">
          <w:marLeft w:val="0"/>
          <w:marRight w:val="0"/>
          <w:marTop w:val="0"/>
          <w:marBottom w:val="0"/>
          <w:divBdr>
            <w:top w:val="none" w:sz="0" w:space="0" w:color="auto"/>
            <w:left w:val="none" w:sz="0" w:space="0" w:color="auto"/>
            <w:bottom w:val="none" w:sz="0" w:space="0" w:color="auto"/>
            <w:right w:val="none" w:sz="0" w:space="0" w:color="auto"/>
          </w:divBdr>
        </w:div>
        <w:div w:id="2095277932">
          <w:marLeft w:val="0"/>
          <w:marRight w:val="0"/>
          <w:marTop w:val="0"/>
          <w:marBottom w:val="0"/>
          <w:divBdr>
            <w:top w:val="none" w:sz="0" w:space="0" w:color="auto"/>
            <w:left w:val="none" w:sz="0" w:space="0" w:color="auto"/>
            <w:bottom w:val="none" w:sz="0" w:space="0" w:color="auto"/>
            <w:right w:val="none" w:sz="0" w:space="0" w:color="auto"/>
          </w:divBdr>
        </w:div>
      </w:divsChild>
    </w:div>
    <w:div w:id="1450471728">
      <w:bodyDiv w:val="1"/>
      <w:marLeft w:val="0"/>
      <w:marRight w:val="0"/>
      <w:marTop w:val="0"/>
      <w:marBottom w:val="0"/>
      <w:divBdr>
        <w:top w:val="none" w:sz="0" w:space="0" w:color="auto"/>
        <w:left w:val="none" w:sz="0" w:space="0" w:color="auto"/>
        <w:bottom w:val="none" w:sz="0" w:space="0" w:color="auto"/>
        <w:right w:val="none" w:sz="0" w:space="0" w:color="auto"/>
      </w:divBdr>
    </w:div>
    <w:div w:id="1460149970">
      <w:bodyDiv w:val="1"/>
      <w:marLeft w:val="0"/>
      <w:marRight w:val="0"/>
      <w:marTop w:val="0"/>
      <w:marBottom w:val="0"/>
      <w:divBdr>
        <w:top w:val="none" w:sz="0" w:space="0" w:color="auto"/>
        <w:left w:val="none" w:sz="0" w:space="0" w:color="auto"/>
        <w:bottom w:val="none" w:sz="0" w:space="0" w:color="auto"/>
        <w:right w:val="none" w:sz="0" w:space="0" w:color="auto"/>
      </w:divBdr>
    </w:div>
    <w:div w:id="1471441584">
      <w:bodyDiv w:val="1"/>
      <w:marLeft w:val="0"/>
      <w:marRight w:val="0"/>
      <w:marTop w:val="0"/>
      <w:marBottom w:val="0"/>
      <w:divBdr>
        <w:top w:val="none" w:sz="0" w:space="0" w:color="auto"/>
        <w:left w:val="none" w:sz="0" w:space="0" w:color="auto"/>
        <w:bottom w:val="none" w:sz="0" w:space="0" w:color="auto"/>
        <w:right w:val="none" w:sz="0" w:space="0" w:color="auto"/>
      </w:divBdr>
    </w:div>
    <w:div w:id="1479226601">
      <w:bodyDiv w:val="1"/>
      <w:marLeft w:val="0"/>
      <w:marRight w:val="0"/>
      <w:marTop w:val="0"/>
      <w:marBottom w:val="0"/>
      <w:divBdr>
        <w:top w:val="none" w:sz="0" w:space="0" w:color="auto"/>
        <w:left w:val="none" w:sz="0" w:space="0" w:color="auto"/>
        <w:bottom w:val="none" w:sz="0" w:space="0" w:color="auto"/>
        <w:right w:val="none" w:sz="0" w:space="0" w:color="auto"/>
      </w:divBdr>
      <w:divsChild>
        <w:div w:id="114953548">
          <w:marLeft w:val="0"/>
          <w:marRight w:val="0"/>
          <w:marTop w:val="0"/>
          <w:marBottom w:val="0"/>
          <w:divBdr>
            <w:top w:val="none" w:sz="0" w:space="0" w:color="auto"/>
            <w:left w:val="none" w:sz="0" w:space="0" w:color="auto"/>
            <w:bottom w:val="none" w:sz="0" w:space="0" w:color="auto"/>
            <w:right w:val="none" w:sz="0" w:space="0" w:color="auto"/>
          </w:divBdr>
        </w:div>
      </w:divsChild>
    </w:div>
    <w:div w:id="1706128317">
      <w:bodyDiv w:val="1"/>
      <w:marLeft w:val="0"/>
      <w:marRight w:val="0"/>
      <w:marTop w:val="0"/>
      <w:marBottom w:val="0"/>
      <w:divBdr>
        <w:top w:val="none" w:sz="0" w:space="0" w:color="auto"/>
        <w:left w:val="none" w:sz="0" w:space="0" w:color="auto"/>
        <w:bottom w:val="none" w:sz="0" w:space="0" w:color="auto"/>
        <w:right w:val="none" w:sz="0" w:space="0" w:color="auto"/>
      </w:divBdr>
    </w:div>
    <w:div w:id="1741437717">
      <w:bodyDiv w:val="1"/>
      <w:marLeft w:val="0"/>
      <w:marRight w:val="0"/>
      <w:marTop w:val="0"/>
      <w:marBottom w:val="0"/>
      <w:divBdr>
        <w:top w:val="none" w:sz="0" w:space="0" w:color="auto"/>
        <w:left w:val="none" w:sz="0" w:space="0" w:color="auto"/>
        <w:bottom w:val="none" w:sz="0" w:space="0" w:color="auto"/>
        <w:right w:val="none" w:sz="0" w:space="0" w:color="auto"/>
      </w:divBdr>
      <w:divsChild>
        <w:div w:id="160046408">
          <w:marLeft w:val="0"/>
          <w:marRight w:val="0"/>
          <w:marTop w:val="0"/>
          <w:marBottom w:val="0"/>
          <w:divBdr>
            <w:top w:val="none" w:sz="0" w:space="0" w:color="auto"/>
            <w:left w:val="none" w:sz="0" w:space="0" w:color="auto"/>
            <w:bottom w:val="none" w:sz="0" w:space="0" w:color="auto"/>
            <w:right w:val="none" w:sz="0" w:space="0" w:color="auto"/>
          </w:divBdr>
        </w:div>
        <w:div w:id="477039815">
          <w:marLeft w:val="0"/>
          <w:marRight w:val="0"/>
          <w:marTop w:val="0"/>
          <w:marBottom w:val="0"/>
          <w:divBdr>
            <w:top w:val="none" w:sz="0" w:space="0" w:color="auto"/>
            <w:left w:val="none" w:sz="0" w:space="0" w:color="auto"/>
            <w:bottom w:val="none" w:sz="0" w:space="0" w:color="auto"/>
            <w:right w:val="none" w:sz="0" w:space="0" w:color="auto"/>
          </w:divBdr>
        </w:div>
        <w:div w:id="1174497348">
          <w:marLeft w:val="0"/>
          <w:marRight w:val="0"/>
          <w:marTop w:val="0"/>
          <w:marBottom w:val="0"/>
          <w:divBdr>
            <w:top w:val="none" w:sz="0" w:space="0" w:color="auto"/>
            <w:left w:val="none" w:sz="0" w:space="0" w:color="auto"/>
            <w:bottom w:val="none" w:sz="0" w:space="0" w:color="auto"/>
            <w:right w:val="none" w:sz="0" w:space="0" w:color="auto"/>
          </w:divBdr>
          <w:divsChild>
            <w:div w:id="1761097085">
              <w:marLeft w:val="0"/>
              <w:marRight w:val="0"/>
              <w:marTop w:val="0"/>
              <w:marBottom w:val="0"/>
              <w:divBdr>
                <w:top w:val="none" w:sz="0" w:space="0" w:color="auto"/>
                <w:left w:val="none" w:sz="0" w:space="0" w:color="auto"/>
                <w:bottom w:val="none" w:sz="0" w:space="0" w:color="auto"/>
                <w:right w:val="none" w:sz="0" w:space="0" w:color="auto"/>
              </w:divBdr>
            </w:div>
          </w:divsChild>
        </w:div>
        <w:div w:id="1690253268">
          <w:marLeft w:val="0"/>
          <w:marRight w:val="0"/>
          <w:marTop w:val="0"/>
          <w:marBottom w:val="0"/>
          <w:divBdr>
            <w:top w:val="none" w:sz="0" w:space="0" w:color="auto"/>
            <w:left w:val="none" w:sz="0" w:space="0" w:color="auto"/>
            <w:bottom w:val="none" w:sz="0" w:space="0" w:color="auto"/>
            <w:right w:val="none" w:sz="0" w:space="0" w:color="auto"/>
          </w:divBdr>
        </w:div>
        <w:div w:id="2013222391">
          <w:marLeft w:val="0"/>
          <w:marRight w:val="0"/>
          <w:marTop w:val="0"/>
          <w:marBottom w:val="0"/>
          <w:divBdr>
            <w:top w:val="none" w:sz="0" w:space="0" w:color="auto"/>
            <w:left w:val="none" w:sz="0" w:space="0" w:color="auto"/>
            <w:bottom w:val="none" w:sz="0" w:space="0" w:color="auto"/>
            <w:right w:val="none" w:sz="0" w:space="0" w:color="auto"/>
          </w:divBdr>
        </w:div>
        <w:div w:id="2114284323">
          <w:marLeft w:val="0"/>
          <w:marRight w:val="0"/>
          <w:marTop w:val="0"/>
          <w:marBottom w:val="0"/>
          <w:divBdr>
            <w:top w:val="none" w:sz="0" w:space="0" w:color="auto"/>
            <w:left w:val="none" w:sz="0" w:space="0" w:color="auto"/>
            <w:bottom w:val="none" w:sz="0" w:space="0" w:color="auto"/>
            <w:right w:val="none" w:sz="0" w:space="0" w:color="auto"/>
          </w:divBdr>
        </w:div>
      </w:divsChild>
    </w:div>
    <w:div w:id="1743866644">
      <w:bodyDiv w:val="1"/>
      <w:marLeft w:val="0"/>
      <w:marRight w:val="0"/>
      <w:marTop w:val="0"/>
      <w:marBottom w:val="0"/>
      <w:divBdr>
        <w:top w:val="none" w:sz="0" w:space="0" w:color="auto"/>
        <w:left w:val="none" w:sz="0" w:space="0" w:color="auto"/>
        <w:bottom w:val="none" w:sz="0" w:space="0" w:color="auto"/>
        <w:right w:val="none" w:sz="0" w:space="0" w:color="auto"/>
      </w:divBdr>
    </w:div>
    <w:div w:id="1744060286">
      <w:bodyDiv w:val="1"/>
      <w:marLeft w:val="0"/>
      <w:marRight w:val="0"/>
      <w:marTop w:val="0"/>
      <w:marBottom w:val="0"/>
      <w:divBdr>
        <w:top w:val="none" w:sz="0" w:space="0" w:color="auto"/>
        <w:left w:val="none" w:sz="0" w:space="0" w:color="auto"/>
        <w:bottom w:val="none" w:sz="0" w:space="0" w:color="auto"/>
        <w:right w:val="none" w:sz="0" w:space="0" w:color="auto"/>
      </w:divBdr>
      <w:divsChild>
        <w:div w:id="1667591608">
          <w:marLeft w:val="0"/>
          <w:marRight w:val="0"/>
          <w:marTop w:val="0"/>
          <w:marBottom w:val="0"/>
          <w:divBdr>
            <w:top w:val="none" w:sz="0" w:space="0" w:color="auto"/>
            <w:left w:val="none" w:sz="0" w:space="0" w:color="auto"/>
            <w:bottom w:val="none" w:sz="0" w:space="0" w:color="auto"/>
            <w:right w:val="none" w:sz="0" w:space="0" w:color="auto"/>
          </w:divBdr>
        </w:div>
      </w:divsChild>
    </w:div>
    <w:div w:id="1753313980">
      <w:bodyDiv w:val="1"/>
      <w:marLeft w:val="0"/>
      <w:marRight w:val="0"/>
      <w:marTop w:val="0"/>
      <w:marBottom w:val="0"/>
      <w:divBdr>
        <w:top w:val="none" w:sz="0" w:space="0" w:color="auto"/>
        <w:left w:val="none" w:sz="0" w:space="0" w:color="auto"/>
        <w:bottom w:val="none" w:sz="0" w:space="0" w:color="auto"/>
        <w:right w:val="none" w:sz="0" w:space="0" w:color="auto"/>
      </w:divBdr>
    </w:div>
    <w:div w:id="1802991638">
      <w:bodyDiv w:val="1"/>
      <w:marLeft w:val="0"/>
      <w:marRight w:val="0"/>
      <w:marTop w:val="0"/>
      <w:marBottom w:val="0"/>
      <w:divBdr>
        <w:top w:val="none" w:sz="0" w:space="0" w:color="auto"/>
        <w:left w:val="none" w:sz="0" w:space="0" w:color="auto"/>
        <w:bottom w:val="none" w:sz="0" w:space="0" w:color="auto"/>
        <w:right w:val="none" w:sz="0" w:space="0" w:color="auto"/>
      </w:divBdr>
    </w:div>
    <w:div w:id="1879856606">
      <w:bodyDiv w:val="1"/>
      <w:marLeft w:val="0"/>
      <w:marRight w:val="0"/>
      <w:marTop w:val="0"/>
      <w:marBottom w:val="0"/>
      <w:divBdr>
        <w:top w:val="none" w:sz="0" w:space="0" w:color="auto"/>
        <w:left w:val="none" w:sz="0" w:space="0" w:color="auto"/>
        <w:bottom w:val="none" w:sz="0" w:space="0" w:color="auto"/>
        <w:right w:val="none" w:sz="0" w:space="0" w:color="auto"/>
      </w:divBdr>
    </w:div>
    <w:div w:id="2008946615">
      <w:bodyDiv w:val="1"/>
      <w:marLeft w:val="0"/>
      <w:marRight w:val="0"/>
      <w:marTop w:val="0"/>
      <w:marBottom w:val="0"/>
      <w:divBdr>
        <w:top w:val="none" w:sz="0" w:space="0" w:color="auto"/>
        <w:left w:val="none" w:sz="0" w:space="0" w:color="auto"/>
        <w:bottom w:val="none" w:sz="0" w:space="0" w:color="auto"/>
        <w:right w:val="none" w:sz="0" w:space="0" w:color="auto"/>
      </w:divBdr>
      <w:divsChild>
        <w:div w:id="302583335">
          <w:marLeft w:val="0"/>
          <w:marRight w:val="0"/>
          <w:marTop w:val="0"/>
          <w:marBottom w:val="0"/>
          <w:divBdr>
            <w:top w:val="none" w:sz="0" w:space="0" w:color="auto"/>
            <w:left w:val="none" w:sz="0" w:space="0" w:color="auto"/>
            <w:bottom w:val="none" w:sz="0" w:space="0" w:color="auto"/>
            <w:right w:val="none" w:sz="0" w:space="0" w:color="auto"/>
          </w:divBdr>
        </w:div>
        <w:div w:id="640843606">
          <w:marLeft w:val="0"/>
          <w:marRight w:val="0"/>
          <w:marTop w:val="0"/>
          <w:marBottom w:val="0"/>
          <w:divBdr>
            <w:top w:val="none" w:sz="0" w:space="0" w:color="auto"/>
            <w:left w:val="none" w:sz="0" w:space="0" w:color="auto"/>
            <w:bottom w:val="none" w:sz="0" w:space="0" w:color="auto"/>
            <w:right w:val="none" w:sz="0" w:space="0" w:color="auto"/>
          </w:divBdr>
        </w:div>
      </w:divsChild>
    </w:div>
    <w:div w:id="209100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4895</Words>
  <Characters>27902</Characters>
  <Application>Microsoft Office Word</Application>
  <DocSecurity>4</DocSecurity>
  <Lines>232</Lines>
  <Paragraphs>65</Paragraphs>
  <ScaleCrop>false</ScaleCrop>
  <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712</cp:revision>
  <dcterms:created xsi:type="dcterms:W3CDTF">2026-03-14T02:19:00Z</dcterms:created>
  <dcterms:modified xsi:type="dcterms:W3CDTF">2026-03-24T22:01:00Z</dcterms:modified>
</cp:coreProperties>
</file>