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739863" cy="1220644"/>
            <wp:effectExtent b="0" l="0" r="0" t="0"/>
            <wp:docPr id="16"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2739863" cy="122064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FACULTY OF BUSINESS </w:t>
      </w:r>
    </w:p>
    <w:p w:rsidR="00000000" w:rsidDel="00000000" w:rsidP="00000000" w:rsidRDefault="00000000" w:rsidRPr="00000000" w14:paraId="00000003">
      <w:pPr>
        <w:spacing w:after="16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UNIVERSITY OF WALES TRINITY SAINT DAVID</w:t>
      </w:r>
    </w:p>
    <w:p w:rsidR="00000000" w:rsidDel="00000000" w:rsidP="00000000" w:rsidRDefault="00000000" w:rsidRPr="00000000" w14:paraId="00000004">
      <w:pPr>
        <w:spacing w:after="160"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5">
      <w:pPr>
        <w:spacing w:after="16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IUBA6005</w:t>
      </w:r>
    </w:p>
    <w:p w:rsidR="00000000" w:rsidDel="00000000" w:rsidP="00000000" w:rsidRDefault="00000000" w:rsidRPr="00000000" w14:paraId="00000006">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LEADING AND DEVELOPING PEOPLE</w:t>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PREPARED FOR:</w:t>
      </w:r>
      <w:r w:rsidDel="00000000" w:rsidR="00000000" w:rsidRPr="00000000">
        <w:rPr>
          <w:rtl w:val="0"/>
        </w:rPr>
      </w:r>
    </w:p>
    <w:p w:rsidR="00000000" w:rsidDel="00000000" w:rsidP="00000000" w:rsidRDefault="00000000" w:rsidRPr="00000000" w14:paraId="00000009">
      <w:pPr>
        <w:spacing w:after="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EMMA ROBERTS</w:t>
      </w:r>
    </w:p>
    <w:p w:rsidR="00000000" w:rsidDel="00000000" w:rsidP="00000000" w:rsidRDefault="00000000" w:rsidRPr="00000000" w14:paraId="0000000A">
      <w:pPr>
        <w:spacing w:after="240"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after="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TITLE:</w:t>
      </w:r>
    </w:p>
    <w:p w:rsidR="00000000" w:rsidDel="00000000" w:rsidP="00000000" w:rsidRDefault="00000000" w:rsidRPr="00000000" w14:paraId="0000000C">
      <w:pPr>
        <w:spacing w:after="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Comparative Analysis of People and Leadership Strategies in McDonald's and Marrybrown</w:t>
      </w:r>
    </w:p>
    <w:p w:rsidR="00000000" w:rsidDel="00000000" w:rsidP="00000000" w:rsidRDefault="00000000" w:rsidRPr="00000000" w14:paraId="0000000D">
      <w:pPr>
        <w:spacing w:after="240"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E">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PREPARED BY:</w:t>
      </w: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7921.0" w:type="dxa"/>
        <w:jc w:val="center"/>
        <w:tblLayout w:type="fixed"/>
        <w:tblLook w:val="0400"/>
      </w:tblPr>
      <w:tblGrid>
        <w:gridCol w:w="5750"/>
        <w:gridCol w:w="2171"/>
        <w:tblGridChange w:id="0">
          <w:tblGrid>
            <w:gridCol w:w="5750"/>
            <w:gridCol w:w="2171"/>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1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NAME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1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STUDENT ID</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1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NUR ARFAH NIZA BINTI ABDUL HALIM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1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2334431</w:t>
            </w:r>
          </w:p>
        </w:tc>
      </w:tr>
    </w:tbl>
    <w:p w:rsidR="00000000" w:rsidDel="00000000" w:rsidP="00000000" w:rsidRDefault="00000000" w:rsidRPr="00000000" w14:paraId="00000014">
      <w:pPr>
        <w:spacing w:after="160" w:line="259" w:lineRule="auto"/>
        <w:jc w:val="both"/>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5">
      <w:pPr>
        <w:spacing w:after="160" w:line="259" w:lineRule="auto"/>
        <w:jc w:val="both"/>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24"/>
          <w:szCs w:val="24"/>
          <w:rtl w:val="0"/>
        </w:rPr>
        <w:t xml:space="preserve">Link to video presentation: </w:t>
      </w:r>
      <w:hyperlink r:id="rId7">
        <w:r w:rsidDel="00000000" w:rsidR="00000000" w:rsidRPr="00000000">
          <w:rPr>
            <w:rFonts w:ascii="Times New Roman" w:cs="Times New Roman" w:eastAsia="Times New Roman" w:hAnsi="Times New Roman"/>
            <w:color w:val="1155cc"/>
            <w:u w:val="single"/>
            <w:rtl w:val="0"/>
          </w:rPr>
          <w:t xml:space="preserve">https://drive.google.com/file/d/1TjnLyon645-CWl6jBs3GlOJJ9UMXINge/view?usp=share_link</w:t>
        </w:r>
      </w:hyperlink>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0" distT="0" distL="0" distR="0">
            <wp:extent cx="4697141" cy="743654"/>
            <wp:effectExtent b="0" l="0" r="0" t="0"/>
            <wp:docPr id="18"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697141" cy="743654"/>
                    </a:xfrm>
                    <a:prstGeom prst="rect"/>
                    <a:ln/>
                  </pic:spPr>
                </pic:pic>
              </a:graphicData>
            </a:graphic>
          </wp:inline>
        </w:drawing>
      </w:r>
      <w:r w:rsidDel="00000000" w:rsidR="00000000" w:rsidRPr="00000000">
        <w:rPr>
          <w:rtl w:val="0"/>
        </w:rPr>
      </w:r>
    </w:p>
    <w:tbl>
      <w:tblPr>
        <w:tblStyle w:val="Table2"/>
        <w:tblW w:w="10290.0" w:type="dxa"/>
        <w:jc w:val="center"/>
        <w:tblLayout w:type="fixed"/>
        <w:tblLook w:val="0400"/>
      </w:tblPr>
      <w:tblGrid>
        <w:gridCol w:w="5955"/>
        <w:gridCol w:w="2220"/>
        <w:gridCol w:w="1800"/>
        <w:gridCol w:w="315"/>
        <w:tblGridChange w:id="0">
          <w:tblGrid>
            <w:gridCol w:w="5955"/>
            <w:gridCol w:w="2220"/>
            <w:gridCol w:w="1800"/>
            <w:gridCol w:w="315"/>
          </w:tblGrid>
        </w:tblGridChange>
      </w:tblGrid>
      <w:tr>
        <w:trPr>
          <w:cantSplit w:val="0"/>
          <w:trHeight w:val="615" w:hRule="atLeast"/>
          <w:tblHeader w:val="0"/>
        </w:trPr>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1B">
            <w:pPr>
              <w:spacing w:line="276" w:lineRule="auto"/>
              <w:jc w:val="both"/>
              <w:rPr>
                <w:rFonts w:ascii="Times New Roman" w:cs="Times New Roman" w:eastAsia="Times New Roman" w:hAnsi="Times New Roman"/>
                <w:b w:val="1"/>
                <w:bCs w:val="1"/>
                <w:sz w:val="20"/>
                <w:szCs w:val="20"/>
              </w:rPr>
            </w:pPr>
            <w:bookmarkStart w:colFirst="0" w:colLast="0" w:name="_qfn8od29z74g" w:id="0"/>
            <w:bookmarkEnd w:id="0"/>
            <w:r w:rsidDel="00000000" w:rsidR="00000000" w:rsidRPr="00000000">
              <w:rPr>
                <w:rFonts w:ascii="Times New Roman" w:cs="Times New Roman" w:eastAsia="Times New Roman" w:hAnsi="Times New Roman"/>
                <w:b w:val="1"/>
                <w:bCs w:val="1"/>
                <w:sz w:val="20"/>
                <w:szCs w:val="20"/>
                <w:rtl w:val="0"/>
              </w:rPr>
              <w:t xml:space="preserve">Generic Assessment Criteria </w:t>
            </w:r>
          </w:p>
        </w:tc>
        <w:tc>
          <w:tcPr>
            <w:tcBorders>
              <w:top w:color="000000" w:space="0" w:sz="4" w:val="single"/>
              <w:left w:color="000000" w:space="0" w:sz="4" w:val="single"/>
              <w:bottom w:color="000000" w:space="0" w:sz="4" w:val="single"/>
              <w:right w:color="000000" w:space="0" w:sz="4" w:val="single"/>
            </w:tcBorders>
            <w:shd w:fill="bfbfbf" w:val="clear"/>
          </w:tcPr>
          <w:p w:rsidR="00000000" w:rsidDel="00000000" w:rsidP="00000000" w:rsidRDefault="00000000" w:rsidRPr="00000000" w14:paraId="0000001C">
            <w:pPr>
              <w:spacing w:line="276" w:lineRule="auto"/>
              <w:ind w:left="113" w:right="113" w:firstLine="0"/>
              <w:jc w:val="center"/>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Marks </w:t>
            </w:r>
          </w:p>
          <w:p w:rsidR="00000000" w:rsidDel="00000000" w:rsidP="00000000" w:rsidRDefault="00000000" w:rsidRPr="00000000" w14:paraId="0000001D">
            <w:pPr>
              <w:spacing w:line="276" w:lineRule="auto"/>
              <w:ind w:left="113" w:right="113" w:firstLine="0"/>
              <w:jc w:val="center"/>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1E">
            <w:pPr>
              <w:spacing w:line="276" w:lineRule="auto"/>
              <w:ind w:left="113" w:right="113" w:firstLine="0"/>
              <w:jc w:val="center"/>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Marks </w:t>
            </w:r>
          </w:p>
          <w:p w:rsidR="00000000" w:rsidDel="00000000" w:rsidP="00000000" w:rsidRDefault="00000000" w:rsidRPr="00000000" w14:paraId="0000001F">
            <w:pPr>
              <w:spacing w:line="276" w:lineRule="auto"/>
              <w:ind w:left="113" w:right="113" w:firstLine="0"/>
              <w:jc w:val="center"/>
              <w:rPr>
                <w:rFonts w:ascii="Times New Roman" w:cs="Times New Roman" w:eastAsia="Times New Roman" w:hAnsi="Times New Roman"/>
                <w:b w:val="1"/>
                <w:bCs w:val="1"/>
                <w:sz w:val="18"/>
                <w:szCs w:val="18"/>
              </w:rPr>
            </w:pPr>
            <w:r w:rsidDel="00000000" w:rsidR="00000000" w:rsidRPr="00000000">
              <w:rPr>
                <w:rFonts w:ascii="Times New Roman" w:cs="Times New Roman" w:eastAsia="Times New Roman" w:hAnsi="Times New Roman"/>
                <w:b w:val="1"/>
                <w:bCs w:val="1"/>
                <w:sz w:val="18"/>
                <w:szCs w:val="18"/>
                <w:rtl w:val="0"/>
              </w:rPr>
              <w:t xml:space="preserve">awarded</w:t>
            </w:r>
          </w:p>
        </w:tc>
      </w:tr>
      <w:tr>
        <w:trPr>
          <w:cantSplit w:val="0"/>
          <w:trHeight w:val="56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0">
            <w:pPr>
              <w:spacing w:line="276" w:lineRule="auto"/>
              <w:jc w:val="both"/>
              <w:rPr>
                <w:rFonts w:ascii="Times New Roman" w:cs="Times New Roman" w:eastAsia="Times New Roman" w:hAnsi="Times New Roman"/>
                <w:b w:val="1"/>
                <w:bCs w:val="1"/>
                <w:sz w:val="20"/>
                <w:szCs w:val="20"/>
              </w:rPr>
            </w:pPr>
            <w:r w:rsidDel="00000000" w:rsidR="00000000" w:rsidRPr="00000000">
              <w:rPr>
                <w:rFonts w:ascii="Times New Roman" w:cs="Times New Roman" w:eastAsia="Times New Roman" w:hAnsi="Times New Roman"/>
                <w:b w:val="1"/>
                <w:bCs w:val="1"/>
                <w:sz w:val="20"/>
                <w:szCs w:val="20"/>
                <w:rtl w:val="0"/>
              </w:rPr>
              <w:t xml:space="preserve">1. Engagement with Literature Skills</w:t>
            </w:r>
          </w:p>
          <w:p w:rsidR="00000000" w:rsidDel="00000000" w:rsidP="00000000" w:rsidRDefault="00000000" w:rsidRPr="00000000" w14:paraId="00000021">
            <w:pPr>
              <w:spacing w:line="276" w:lineRule="auto"/>
              <w:jc w:val="both"/>
              <w:rPr>
                <w:rFonts w:ascii="Times New Roman" w:cs="Times New Roman" w:eastAsia="Times New Roman" w:hAnsi="Times New Roman"/>
                <w:sz w:val="14"/>
                <w:szCs w:val="14"/>
              </w:rPr>
            </w:pPr>
            <w:r w:rsidDel="00000000" w:rsidR="00000000" w:rsidRPr="00000000">
              <w:rPr>
                <w:rFonts w:ascii="Times New Roman" w:cs="Times New Roman" w:eastAsia="Times New Roman" w:hAnsi="Times New Roman"/>
                <w:sz w:val="14"/>
                <w:szCs w:val="1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2">
            <w:pPr>
              <w:spacing w:line="276"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15</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3">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4">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25">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26">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27">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28">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9">
            <w:pPr>
              <w:spacing w:line="276" w:lineRule="auto"/>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A">
            <w:pPr>
              <w:widowControl w:val="0"/>
              <w:rPr>
                <w:rFonts w:ascii="Times New Roman" w:cs="Times New Roman" w:eastAsia="Times New Roman" w:hAnsi="Times New Roman"/>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2B">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C">
            <w:pPr>
              <w:widowControl w:val="0"/>
              <w:rPr>
                <w:rFonts w:ascii="Times New Roman" w:cs="Times New Roman" w:eastAsia="Times New Roman" w:hAnsi="Times New Roman"/>
                <w:sz w:val="32"/>
                <w:szCs w:val="32"/>
              </w:rPr>
            </w:pPr>
            <w:r w:rsidDel="00000000" w:rsidR="00000000" w:rsidRPr="00000000">
              <w:rPr>
                <w:rtl w:val="0"/>
              </w:rPr>
            </w:r>
          </w:p>
        </w:tc>
      </w:tr>
      <w:tr>
        <w:trPr>
          <w:cantSplit w:val="0"/>
          <w:trHeight w:val="56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D">
            <w:pPr>
              <w:spacing w:line="276" w:lineRule="auto"/>
              <w:jc w:val="both"/>
              <w:rPr>
                <w:rFonts w:ascii="Times New Roman" w:cs="Times New Roman" w:eastAsia="Times New Roman" w:hAnsi="Times New Roman"/>
                <w:b w:val="1"/>
                <w:bCs w:val="1"/>
                <w:sz w:val="20"/>
                <w:szCs w:val="20"/>
              </w:rPr>
            </w:pPr>
            <w:r w:rsidDel="00000000" w:rsidR="00000000" w:rsidRPr="00000000">
              <w:rPr>
                <w:rFonts w:ascii="Times New Roman" w:cs="Times New Roman" w:eastAsia="Times New Roman" w:hAnsi="Times New Roman"/>
                <w:b w:val="1"/>
                <w:bCs w:val="1"/>
                <w:sz w:val="20"/>
                <w:szCs w:val="20"/>
                <w:rtl w:val="0"/>
              </w:rPr>
              <w:t xml:space="preserve">2. Knowledge and Understanding Skills</w:t>
            </w:r>
          </w:p>
          <w:p w:rsidR="00000000" w:rsidDel="00000000" w:rsidP="00000000" w:rsidRDefault="00000000" w:rsidRPr="00000000" w14:paraId="0000002E">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F">
            <w:pPr>
              <w:spacing w:line="276"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30">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1">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32">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33">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34">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35">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6">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7">
            <w:pPr>
              <w:widowControl w:val="0"/>
              <w:rPr>
                <w:rFonts w:ascii="Times New Roman" w:cs="Times New Roman" w:eastAsia="Times New Roman" w:hAnsi="Times New Roman"/>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38">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9">
            <w:pPr>
              <w:widowControl w:val="0"/>
              <w:rPr>
                <w:rFonts w:ascii="Times New Roman" w:cs="Times New Roman" w:eastAsia="Times New Roman" w:hAnsi="Times New Roman"/>
                <w:sz w:val="32"/>
                <w:szCs w:val="32"/>
              </w:rPr>
            </w:pPr>
            <w:r w:rsidDel="00000000" w:rsidR="00000000" w:rsidRPr="00000000">
              <w:rPr>
                <w:rtl w:val="0"/>
              </w:rPr>
            </w:r>
          </w:p>
        </w:tc>
      </w:tr>
      <w:tr>
        <w:trPr>
          <w:cantSplit w:val="0"/>
          <w:trHeight w:val="56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3A">
            <w:pPr>
              <w:spacing w:line="276" w:lineRule="auto"/>
              <w:jc w:val="both"/>
              <w:rPr>
                <w:rFonts w:ascii="Times New Roman" w:cs="Times New Roman" w:eastAsia="Times New Roman" w:hAnsi="Times New Roman"/>
                <w:b w:val="1"/>
                <w:bCs w:val="1"/>
                <w:sz w:val="20"/>
                <w:szCs w:val="20"/>
              </w:rPr>
            </w:pPr>
            <w:r w:rsidDel="00000000" w:rsidR="00000000" w:rsidRPr="00000000">
              <w:rPr>
                <w:rFonts w:ascii="Times New Roman" w:cs="Times New Roman" w:eastAsia="Times New Roman" w:hAnsi="Times New Roman"/>
                <w:b w:val="1"/>
                <w:bCs w:val="1"/>
                <w:sz w:val="20"/>
                <w:szCs w:val="20"/>
                <w:rtl w:val="0"/>
              </w:rPr>
              <w:t xml:space="preserve">3. Cognitive and Intellectual Skills</w:t>
            </w:r>
          </w:p>
          <w:p w:rsidR="00000000" w:rsidDel="00000000" w:rsidP="00000000" w:rsidRDefault="00000000" w:rsidRPr="00000000" w14:paraId="0000003B">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3C">
            <w:pPr>
              <w:spacing w:line="276"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3D">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3E">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3F">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40">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1">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2">
            <w:pPr>
              <w:widowControl w:val="0"/>
              <w:rPr>
                <w:rFonts w:ascii="Times New Roman" w:cs="Times New Roman" w:eastAsia="Times New Roman" w:hAnsi="Times New Roman"/>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43">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4">
            <w:pPr>
              <w:widowControl w:val="0"/>
              <w:rPr>
                <w:rFonts w:ascii="Times New Roman" w:cs="Times New Roman" w:eastAsia="Times New Roman" w:hAnsi="Times New Roman"/>
                <w:sz w:val="32"/>
                <w:szCs w:val="32"/>
              </w:rPr>
            </w:pPr>
            <w:r w:rsidDel="00000000" w:rsidR="00000000" w:rsidRPr="00000000">
              <w:rPr>
                <w:rtl w:val="0"/>
              </w:rPr>
            </w:r>
          </w:p>
        </w:tc>
      </w:tr>
      <w:tr>
        <w:trPr>
          <w:cantSplit w:val="0"/>
          <w:trHeight w:val="56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45">
            <w:pPr>
              <w:spacing w:line="276" w:lineRule="auto"/>
              <w:jc w:val="both"/>
              <w:rPr>
                <w:rFonts w:ascii="Times New Roman" w:cs="Times New Roman" w:eastAsia="Times New Roman" w:hAnsi="Times New Roman"/>
                <w:b w:val="1"/>
                <w:bCs w:val="1"/>
                <w:sz w:val="20"/>
                <w:szCs w:val="20"/>
              </w:rPr>
            </w:pPr>
            <w:r w:rsidDel="00000000" w:rsidR="00000000" w:rsidRPr="00000000">
              <w:rPr>
                <w:rFonts w:ascii="Times New Roman" w:cs="Times New Roman" w:eastAsia="Times New Roman" w:hAnsi="Times New Roman"/>
                <w:b w:val="1"/>
                <w:bCs w:val="1"/>
                <w:sz w:val="20"/>
                <w:szCs w:val="20"/>
                <w:rtl w:val="0"/>
              </w:rPr>
              <w:t xml:space="preserve">4. Practical Application Skills</w:t>
            </w:r>
          </w:p>
          <w:p w:rsidR="00000000" w:rsidDel="00000000" w:rsidP="00000000" w:rsidRDefault="00000000" w:rsidRPr="00000000" w14:paraId="00000046">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47">
            <w:pPr>
              <w:spacing w:line="276"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25</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48">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9">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4A">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4B">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4C">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4D">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4E">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F">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0">
            <w:pPr>
              <w:widowControl w:val="0"/>
              <w:rPr>
                <w:rFonts w:ascii="Times New Roman" w:cs="Times New Roman" w:eastAsia="Times New Roman" w:hAnsi="Times New Roman"/>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51">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2">
            <w:pPr>
              <w:widowControl w:val="0"/>
              <w:rPr>
                <w:rFonts w:ascii="Times New Roman" w:cs="Times New Roman" w:eastAsia="Times New Roman" w:hAnsi="Times New Roman"/>
                <w:sz w:val="32"/>
                <w:szCs w:val="32"/>
              </w:rPr>
            </w:pPr>
            <w:r w:rsidDel="00000000" w:rsidR="00000000" w:rsidRPr="00000000">
              <w:rPr>
                <w:rtl w:val="0"/>
              </w:rPr>
            </w:r>
          </w:p>
        </w:tc>
      </w:tr>
      <w:tr>
        <w:trPr>
          <w:cantSplit w:val="0"/>
          <w:trHeight w:val="56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53">
            <w:pPr>
              <w:spacing w:line="276" w:lineRule="auto"/>
              <w:jc w:val="both"/>
              <w:rPr>
                <w:rFonts w:ascii="Times New Roman" w:cs="Times New Roman" w:eastAsia="Times New Roman" w:hAnsi="Times New Roman"/>
                <w:b w:val="1"/>
                <w:bCs w:val="1"/>
                <w:sz w:val="20"/>
                <w:szCs w:val="20"/>
              </w:rPr>
            </w:pPr>
            <w:r w:rsidDel="00000000" w:rsidR="00000000" w:rsidRPr="00000000">
              <w:rPr>
                <w:rFonts w:ascii="Times New Roman" w:cs="Times New Roman" w:eastAsia="Times New Roman" w:hAnsi="Times New Roman"/>
                <w:b w:val="1"/>
                <w:bCs w:val="1"/>
                <w:sz w:val="20"/>
                <w:szCs w:val="20"/>
                <w:rtl w:val="0"/>
              </w:rPr>
              <w:t xml:space="preserve">5. Transferable Skills for Life and Professional Practice</w:t>
            </w:r>
          </w:p>
          <w:p w:rsidR="00000000" w:rsidDel="00000000" w:rsidP="00000000" w:rsidRDefault="00000000" w:rsidRPr="00000000" w14:paraId="00000054">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55">
            <w:pPr>
              <w:spacing w:line="276"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56">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7">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58">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59">
            <w:pPr>
              <w:spacing w:line="276" w:lineRule="auto"/>
              <w:jc w:val="both"/>
              <w:rPr>
                <w:rFonts w:ascii="Times New Roman" w:cs="Times New Roman" w:eastAsia="Times New Roman" w:hAnsi="Times New Roman"/>
                <w:sz w:val="14"/>
                <w:szCs w:val="14"/>
              </w:rPr>
            </w:pPr>
            <w:r w:rsidDel="00000000" w:rsidR="00000000" w:rsidRPr="00000000">
              <w:rPr>
                <w:rtl w:val="0"/>
              </w:rPr>
            </w:r>
          </w:p>
          <w:p w:rsidR="00000000" w:rsidDel="00000000" w:rsidP="00000000" w:rsidRDefault="00000000" w:rsidRPr="00000000" w14:paraId="0000005A">
            <w:pPr>
              <w:spacing w:line="276" w:lineRule="auto"/>
              <w:jc w:val="both"/>
              <w:rPr>
                <w:rFonts w:ascii="Times New Roman" w:cs="Times New Roman" w:eastAsia="Times New Roman" w:hAnsi="Times New Roman"/>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5B">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C">
            <w:pPr>
              <w:spacing w:line="276" w:lineRule="auto"/>
              <w:jc w:val="center"/>
              <w:rPr>
                <w:rFonts w:ascii="Times New Roman" w:cs="Times New Roman" w:eastAsia="Times New Roman" w:hAnsi="Times New Roman"/>
                <w:sz w:val="32"/>
                <w:szCs w:val="32"/>
              </w:rPr>
            </w:pPr>
            <w:r w:rsidDel="00000000" w:rsidR="00000000" w:rsidRPr="00000000">
              <w:rPr>
                <w:rtl w:val="0"/>
              </w:rPr>
            </w:r>
          </w:p>
        </w:tc>
      </w:tr>
      <w:tr>
        <w:trPr>
          <w:cantSplit w:val="0"/>
          <w:trHeight w:val="453.5433070866142" w:hRule="atLeast"/>
          <w:tblHeader w:val="0"/>
        </w:trPr>
        <w:tc>
          <w:tcPr>
            <w:vMerge w:val="continue"/>
            <w:tcBorders>
              <w:top w:color="000000" w:space="0" w:sz="4" w:val="single"/>
              <w:left w:color="000000" w:space="0" w:sz="4" w:val="single"/>
              <w:bottom w:color="000000" w:space="0" w:sz="8" w:val="single"/>
              <w:right w:color="000000" w:space="0" w:sz="4" w:val="single"/>
            </w:tcBorders>
          </w:tcPr>
          <w:p w:rsidR="00000000" w:rsidDel="00000000" w:rsidP="00000000" w:rsidRDefault="00000000" w:rsidRPr="00000000" w14:paraId="0000005D">
            <w:pPr>
              <w:widowControl w:val="0"/>
              <w:rPr>
                <w:rFonts w:ascii="Times New Roman" w:cs="Times New Roman" w:eastAsia="Times New Roman" w:hAnsi="Times New Roman"/>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5E">
            <w:pPr>
              <w:spacing w:line="276" w:lineRule="auto"/>
              <w:jc w:val="center"/>
              <w:rPr>
                <w:rFonts w:ascii="Times New Roman" w:cs="Times New Roman" w:eastAsia="Times New Roman" w:hAnsi="Times New Roman"/>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F">
            <w:pPr>
              <w:widowControl w:val="0"/>
              <w:rPr>
                <w:rFonts w:ascii="Times New Roman" w:cs="Times New Roman" w:eastAsia="Times New Roman" w:hAnsi="Times New Roman"/>
                <w:sz w:val="32"/>
                <w:szCs w:val="32"/>
              </w:rPr>
            </w:pPr>
            <w:r w:rsidDel="00000000" w:rsidR="00000000" w:rsidRPr="00000000">
              <w:rPr>
                <w:rtl w:val="0"/>
              </w:rPr>
            </w:r>
          </w:p>
        </w:tc>
      </w:tr>
      <w:tr>
        <w:trPr>
          <w:cantSplit w:val="1"/>
          <w:trHeight w:val="423" w:hRule="atLeast"/>
          <w:tblHeader w:val="0"/>
        </w:trPr>
        <w:tc>
          <w:tcPr>
            <w:vMerge w:val="restart"/>
            <w:tcBorders>
              <w:top w:color="000000" w:space="0" w:sz="8" w:val="single"/>
              <w:left w:color="000000" w:space="0" w:sz="8" w:val="single"/>
              <w:bottom w:color="000000" w:space="0" w:sz="8" w:val="single"/>
              <w:right w:color="000000" w:space="0" w:sz="8" w:val="single"/>
            </w:tcBorders>
            <w:shd w:fill="d9d9d9" w:val="clear"/>
            <w:vAlign w:val="center"/>
          </w:tcPr>
          <w:p w:rsidR="00000000" w:rsidDel="00000000" w:rsidP="00000000" w:rsidRDefault="00000000" w:rsidRPr="00000000" w14:paraId="00000060">
            <w:pPr>
              <w:spacing w:line="276" w:lineRule="auto"/>
              <w:jc w:val="both"/>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b w:val="1"/>
                <w:bCs w:val="1"/>
                <w:sz w:val="20"/>
                <w:szCs w:val="20"/>
                <w:rtl w:val="0"/>
              </w:rPr>
              <w:t xml:space="preserve">Assessment Mark </w:t>
            </w:r>
            <w:r w:rsidDel="00000000" w:rsidR="00000000" w:rsidRPr="00000000">
              <w:rPr>
                <w:rFonts w:ascii="Times New Roman" w:cs="Times New Roman" w:eastAsia="Times New Roman" w:hAnsi="Times New Roman"/>
                <w:sz w:val="20"/>
                <w:szCs w:val="20"/>
                <w:rtl w:val="0"/>
              </w:rPr>
              <w:t xml:space="preserve">(</w:t>
            </w:r>
            <w:r w:rsidDel="00000000" w:rsidR="00000000" w:rsidRPr="00000000">
              <w:rPr>
                <w:rFonts w:ascii="Times New Roman" w:cs="Times New Roman" w:eastAsia="Times New Roman" w:hAnsi="Times New Roman"/>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top w:color="000000" w:space="0" w:sz="4" w:val="single"/>
              <w:left w:color="000000" w:space="0" w:sz="8" w:val="single"/>
              <w:bottom w:color="000000" w:space="0" w:sz="4" w:val="single"/>
            </w:tcBorders>
            <w:shd w:fill="d9d9d9" w:val="clear"/>
            <w:vAlign w:val="bottom"/>
          </w:tcPr>
          <w:p w:rsidR="00000000" w:rsidDel="00000000" w:rsidP="00000000" w:rsidRDefault="00000000" w:rsidRPr="00000000" w14:paraId="00000061">
            <w:pPr>
              <w:spacing w:line="276" w:lineRule="auto"/>
              <w:jc w:val="both"/>
              <w:rPr>
                <w:rFonts w:ascii="Times New Roman" w:cs="Times New Roman" w:eastAsia="Times New Roman" w:hAnsi="Times New Roman"/>
                <w:b w:val="1"/>
                <w:bCs w:val="1"/>
                <w:sz w:val="16"/>
                <w:szCs w:val="16"/>
              </w:rPr>
            </w:pPr>
            <w:r w:rsidDel="00000000" w:rsidR="00000000" w:rsidRPr="00000000">
              <w:rPr>
                <w:rFonts w:ascii="Times New Roman" w:cs="Times New Roman" w:eastAsia="Times New Roman" w:hAnsi="Times New Roman"/>
                <w:b w:val="1"/>
                <w:bCs w:val="1"/>
                <w:sz w:val="16"/>
                <w:szCs w:val="16"/>
                <w:rtl w:val="0"/>
              </w:rPr>
              <w:t xml:space="preserve">Late Submission Penalties (tick if appropriate)</w:t>
            </w:r>
          </w:p>
        </w:tc>
        <w:tc>
          <w:tcPr>
            <w:vMerge w:val="restart"/>
            <w:tcBorders>
              <w:left w:color="000000" w:space="0" w:sz="8" w:val="single"/>
            </w:tcBorders>
            <w:vAlign w:val="center"/>
          </w:tcPr>
          <w:p w:rsidR="00000000" w:rsidDel="00000000" w:rsidP="00000000" w:rsidRDefault="00000000" w:rsidRPr="00000000" w14:paraId="00000063">
            <w:pPr>
              <w:spacing w:line="276" w:lineRule="auto"/>
              <w:jc w:val="right"/>
              <w:rPr>
                <w:rFonts w:ascii="Times New Roman" w:cs="Times New Roman" w:eastAsia="Times New Roman" w:hAnsi="Times New Roman"/>
                <w:b w:val="1"/>
                <w:bCs w:val="1"/>
                <w:sz w:val="20"/>
                <w:szCs w:val="20"/>
              </w:rPr>
            </w:pPr>
            <w:r w:rsidDel="00000000" w:rsidR="00000000" w:rsidRPr="00000000">
              <w:rPr>
                <w:rFonts w:ascii="Times New Roman" w:cs="Times New Roman" w:eastAsia="Times New Roman" w:hAnsi="Times New Roman"/>
                <w:b w:val="1"/>
                <w:bCs w:val="1"/>
                <w:sz w:val="20"/>
                <w:szCs w:val="20"/>
                <w:rtl w:val="0"/>
              </w:rPr>
              <w:t xml:space="preserve">%</w:t>
            </w:r>
          </w:p>
        </w:tc>
      </w:tr>
      <w:tr>
        <w:trPr>
          <w:cantSplit w:val="1"/>
          <w:trHeight w:val="145.13385826771656" w:hRule="atLeast"/>
          <w:tblHeader w:val="0"/>
        </w:trPr>
        <w:tc>
          <w:tcPr>
            <w:vMerge w:val="continue"/>
            <w:tcBorders>
              <w:top w:color="000000" w:space="0" w:sz="8" w:val="single"/>
              <w:left w:color="000000" w:space="0" w:sz="8" w:val="single"/>
              <w:right w:color="000000" w:space="0" w:sz="8" w:val="single"/>
            </w:tcBorders>
            <w:shd w:fill="d9d9d9" w:val="clear"/>
            <w:vAlign w:val="center"/>
          </w:tcPr>
          <w:p w:rsidR="00000000" w:rsidDel="00000000" w:rsidP="00000000" w:rsidRDefault="00000000" w:rsidRPr="00000000" w14:paraId="00000064">
            <w:pPr>
              <w:spacing w:line="276" w:lineRule="auto"/>
              <w:jc w:val="both"/>
              <w:rPr>
                <w:rFonts w:ascii="Times New Roman" w:cs="Times New Roman" w:eastAsia="Times New Roman" w:hAnsi="Times New Roman"/>
                <w:b w:val="1"/>
                <w:bCs w:val="1"/>
                <w:sz w:val="20"/>
                <w:szCs w:val="20"/>
              </w:rPr>
            </w:pPr>
            <w:r w:rsidDel="00000000" w:rsidR="00000000" w:rsidRPr="00000000">
              <w:rPr>
                <w:rtl w:val="0"/>
              </w:rPr>
            </w:r>
          </w:p>
        </w:tc>
        <w:tc>
          <w:tcPr>
            <w:gridSpan w:val="2"/>
            <w:tcBorders>
              <w:top w:color="000000" w:space="0" w:sz="4" w:val="single"/>
              <w:left w:color="000000" w:space="0" w:sz="8" w:val="single"/>
              <w:bottom w:color="000000" w:space="0" w:sz="4" w:val="single"/>
            </w:tcBorders>
            <w:shd w:fill="ffffff" w:val="clear"/>
            <w:vAlign w:val="center"/>
          </w:tcPr>
          <w:p w:rsidR="00000000" w:rsidDel="00000000" w:rsidP="00000000" w:rsidRDefault="00000000" w:rsidRPr="00000000" w14:paraId="00000065">
            <w:pPr>
              <w:spacing w:line="276" w:lineRule="auto"/>
              <w:jc w:val="both"/>
              <w:rPr>
                <w:rFonts w:ascii="Times New Roman" w:cs="Times New Roman" w:eastAsia="Times New Roman" w:hAnsi="Times New Roman"/>
                <w:b w:val="1"/>
                <w:bCs w:val="1"/>
                <w:sz w:val="16"/>
                <w:szCs w:val="16"/>
              </w:rPr>
            </w:pPr>
            <w:r w:rsidDel="00000000" w:rsidR="00000000" w:rsidRPr="00000000">
              <w:rPr>
                <w:rFonts w:ascii="Times New Roman" w:cs="Times New Roman" w:eastAsia="Times New Roman" w:hAnsi="Times New Roman"/>
                <w:sz w:val="16"/>
                <w:szCs w:val="16"/>
                <w:rtl w:val="0"/>
              </w:rPr>
              <w:t xml:space="preserve">Up to 1 week late (</w:t>
            </w:r>
            <w:r w:rsidDel="00000000" w:rsidR="00000000" w:rsidRPr="00000000">
              <w:rPr>
                <w:rFonts w:ascii="Times New Roman" w:cs="Times New Roman" w:eastAsia="Times New Roman" w:hAnsi="Times New Roman"/>
                <w:sz w:val="12"/>
                <w:szCs w:val="12"/>
                <w:rtl w:val="0"/>
              </w:rPr>
              <w:t xml:space="preserve">40% Max)</w:t>
            </w:r>
            <w:r w:rsidDel="00000000" w:rsidR="00000000" w:rsidRPr="00000000">
              <w:rPr>
                <w:rtl w:val="0"/>
              </w:rPr>
            </w:r>
          </w:p>
        </w:tc>
        <w:tc>
          <w:tcPr>
            <w:vMerge w:val="continue"/>
            <w:tcBorders>
              <w:left w:color="000000" w:space="0" w:sz="8" w:val="single"/>
            </w:tcBorders>
            <w:vAlign w:val="center"/>
          </w:tcPr>
          <w:p w:rsidR="00000000" w:rsidDel="00000000" w:rsidP="00000000" w:rsidRDefault="00000000" w:rsidRPr="00000000" w14:paraId="00000067">
            <w:pPr>
              <w:spacing w:line="276" w:lineRule="auto"/>
              <w:jc w:val="right"/>
              <w:rPr>
                <w:rFonts w:ascii="Times New Roman" w:cs="Times New Roman" w:eastAsia="Times New Roman" w:hAnsi="Times New Roman"/>
                <w:b w:val="1"/>
                <w:bCs w:val="1"/>
                <w:sz w:val="20"/>
                <w:szCs w:val="20"/>
              </w:rPr>
            </w:pPr>
            <w:r w:rsidDel="00000000" w:rsidR="00000000" w:rsidRPr="00000000">
              <w:rPr>
                <w:rtl w:val="0"/>
              </w:rPr>
            </w:r>
          </w:p>
        </w:tc>
      </w:tr>
      <w:tr>
        <w:trPr>
          <w:cantSplit w:val="1"/>
          <w:trHeight w:val="145" w:hRule="atLeast"/>
          <w:tblHeader w:val="0"/>
        </w:trPr>
        <w:tc>
          <w:tcPr>
            <w:vMerge w:val="continue"/>
            <w:tcBorders>
              <w:left w:color="000000" w:space="0" w:sz="8" w:val="single"/>
              <w:bottom w:color="000000" w:space="0" w:sz="8" w:val="single"/>
              <w:right w:color="000000" w:space="0" w:sz="8" w:val="single"/>
            </w:tcBorders>
            <w:shd w:fill="d9d9d9" w:val="clear"/>
            <w:vAlign w:val="center"/>
          </w:tcPr>
          <w:p w:rsidR="00000000" w:rsidDel="00000000" w:rsidP="00000000" w:rsidRDefault="00000000" w:rsidRPr="00000000" w14:paraId="00000068">
            <w:pPr>
              <w:widowControl w:val="0"/>
              <w:rPr>
                <w:rFonts w:ascii="Times New Roman" w:cs="Times New Roman" w:eastAsia="Times New Roman" w:hAnsi="Times New Roman"/>
                <w:b w:val="1"/>
                <w:bCs w:val="1"/>
                <w:sz w:val="20"/>
                <w:szCs w:val="20"/>
              </w:rPr>
            </w:pPr>
            <w:r w:rsidDel="00000000" w:rsidR="00000000" w:rsidRPr="00000000">
              <w:rPr>
                <w:rtl w:val="0"/>
              </w:rPr>
            </w:r>
          </w:p>
        </w:tc>
        <w:tc>
          <w:tcPr>
            <w:tcBorders>
              <w:top w:color="000000" w:space="0" w:sz="4" w:val="single"/>
              <w:left w:color="000000" w:space="0" w:sz="8" w:val="single"/>
              <w:bottom w:color="000000" w:space="0" w:sz="8" w:val="single"/>
            </w:tcBorders>
            <w:vAlign w:val="bottom"/>
          </w:tcPr>
          <w:p w:rsidR="00000000" w:rsidDel="00000000" w:rsidP="00000000" w:rsidRDefault="00000000" w:rsidRPr="00000000" w14:paraId="00000069">
            <w:pPr>
              <w:spacing w:line="276" w:lineRule="auto"/>
              <w:jc w:val="both"/>
              <w:rPr>
                <w:rFonts w:ascii="Times New Roman" w:cs="Times New Roman" w:eastAsia="Times New Roman" w:hAnsi="Times New Roman"/>
                <w:b w:val="1"/>
                <w:bCs w:val="1"/>
                <w:sz w:val="16"/>
                <w:szCs w:val="16"/>
              </w:rPr>
            </w:pPr>
            <w:r w:rsidDel="00000000" w:rsidR="00000000" w:rsidRPr="00000000">
              <w:rPr>
                <w:rFonts w:ascii="Times New Roman" w:cs="Times New Roman" w:eastAsia="Times New Roman" w:hAnsi="Times New Roman"/>
                <w:sz w:val="16"/>
                <w:szCs w:val="16"/>
                <w:rtl w:val="0"/>
              </w:rPr>
              <w:t xml:space="preserve">Over 1 week late (</w:t>
            </w:r>
            <w:r w:rsidDel="00000000" w:rsidR="00000000" w:rsidRPr="00000000">
              <w:rPr>
                <w:rFonts w:ascii="Times New Roman" w:cs="Times New Roman" w:eastAsia="Times New Roman" w:hAnsi="Times New Roman"/>
                <w:sz w:val="12"/>
                <w:szCs w:val="12"/>
                <w:rtl w:val="0"/>
              </w:rPr>
              <w:t xml:space="preserve">0%)</w:t>
            </w:r>
            <w:r w:rsidDel="00000000" w:rsidR="00000000" w:rsidRPr="00000000">
              <w:rPr>
                <w:rtl w:val="0"/>
              </w:rPr>
            </w:r>
          </w:p>
        </w:tc>
        <w:tc>
          <w:tcPr>
            <w:tcBorders>
              <w:top w:color="000000" w:space="0" w:sz="4" w:val="single"/>
              <w:bottom w:color="000000" w:space="0" w:sz="8" w:val="single"/>
              <w:right w:color="000000" w:space="0" w:sz="8" w:val="single"/>
            </w:tcBorders>
            <w:vAlign w:val="bottom"/>
          </w:tcPr>
          <w:p w:rsidR="00000000" w:rsidDel="00000000" w:rsidP="00000000" w:rsidRDefault="00000000" w:rsidRPr="00000000" w14:paraId="0000006A">
            <w:pPr>
              <w:spacing w:line="276" w:lineRule="auto"/>
              <w:jc w:val="center"/>
              <w:rPr>
                <w:rFonts w:ascii="Times New Roman" w:cs="Times New Roman" w:eastAsia="Times New Roman" w:hAnsi="Times New Roman"/>
                <w:sz w:val="12"/>
                <w:szCs w:val="12"/>
              </w:rPr>
            </w:pPr>
            <w:r w:rsidDel="00000000" w:rsidR="00000000" w:rsidRPr="00000000">
              <w:rPr>
                <w:rtl w:val="0"/>
              </w:rPr>
            </w:r>
          </w:p>
        </w:tc>
        <w:tc>
          <w:tcPr>
            <w:vMerge w:val="continue"/>
            <w:tcBorders>
              <w:left w:color="000000" w:space="0" w:sz="8" w:val="single"/>
            </w:tcBorders>
            <w:vAlign w:val="center"/>
          </w:tcPr>
          <w:p w:rsidR="00000000" w:rsidDel="00000000" w:rsidP="00000000" w:rsidRDefault="00000000" w:rsidRPr="00000000" w14:paraId="0000006B">
            <w:pPr>
              <w:widowControl w:val="0"/>
              <w:rPr>
                <w:rFonts w:ascii="Times New Roman" w:cs="Times New Roman" w:eastAsia="Times New Roman" w:hAnsi="Times New Roman"/>
                <w:sz w:val="12"/>
                <w:szCs w:val="12"/>
              </w:rPr>
            </w:pPr>
            <w:r w:rsidDel="00000000" w:rsidR="00000000" w:rsidRPr="00000000">
              <w:rPr>
                <w:rtl w:val="0"/>
              </w:rPr>
            </w:r>
          </w:p>
        </w:tc>
      </w:tr>
    </w:tbl>
    <w:p w:rsidR="00000000" w:rsidDel="00000000" w:rsidP="00000000" w:rsidRDefault="00000000" w:rsidRPr="00000000" w14:paraId="0000006C">
      <w:pPr>
        <w:spacing w:after="160" w:line="259"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6D">
      <w:pPr>
        <w:spacing w:line="360" w:lineRule="auto"/>
        <w:rPr>
          <w:rFonts w:ascii="Times New Roman" w:cs="Times New Roman" w:eastAsia="Times New Roman" w:hAnsi="Times New Roman"/>
          <w:b w:val="1"/>
          <w:bCs w:val="1"/>
          <w:sz w:val="20"/>
          <w:szCs w:val="20"/>
        </w:rPr>
      </w:pPr>
      <w:r w:rsidDel="00000000" w:rsidR="00000000" w:rsidRPr="00000000">
        <w:rPr>
          <w:rtl w:val="0"/>
        </w:rPr>
      </w:r>
    </w:p>
    <w:p w:rsidR="00000000" w:rsidDel="00000000" w:rsidP="00000000" w:rsidRDefault="00000000" w:rsidRPr="00000000" w14:paraId="0000006E">
      <w:pPr>
        <w:spacing w:line="360" w:lineRule="auto"/>
        <w:rPr>
          <w:rFonts w:ascii="Times New Roman" w:cs="Times New Roman" w:eastAsia="Times New Roman" w:hAnsi="Times New Roman"/>
          <w:b w:val="1"/>
          <w:bCs w:val="1"/>
          <w:sz w:val="20"/>
          <w:szCs w:val="20"/>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b w:val="1"/>
          <w:bCs w:val="1"/>
          <w:sz w:val="20"/>
          <w:szCs w:val="20"/>
        </w:rPr>
      </w:pPr>
      <w:r w:rsidDel="00000000" w:rsidR="00000000" w:rsidRPr="00000000">
        <w:rPr>
          <w:rtl w:val="0"/>
        </w:rPr>
      </w:r>
    </w:p>
    <w:p w:rsidR="00000000" w:rsidDel="00000000" w:rsidP="00000000" w:rsidRDefault="00000000" w:rsidRPr="00000000" w14:paraId="00000070">
      <w:pPr>
        <w:spacing w:line="360" w:lineRule="auto"/>
        <w:rPr>
          <w:rFonts w:ascii="Times New Roman" w:cs="Times New Roman" w:eastAsia="Times New Roman" w:hAnsi="Times New Roman"/>
          <w:b w:val="1"/>
          <w:bCs w:val="1"/>
          <w:sz w:val="20"/>
          <w:szCs w:val="20"/>
        </w:rPr>
      </w:pPr>
      <w:r w:rsidDel="00000000" w:rsidR="00000000" w:rsidRPr="00000000">
        <w:rPr>
          <w:rtl w:val="0"/>
        </w:rPr>
      </w:r>
    </w:p>
    <w:p w:rsidR="00000000" w:rsidDel="00000000" w:rsidP="00000000" w:rsidRDefault="00000000" w:rsidRPr="00000000" w14:paraId="00000071">
      <w:pPr>
        <w:spacing w:line="360" w:lineRule="auto"/>
        <w:rPr>
          <w:rFonts w:ascii="Times New Roman" w:cs="Times New Roman" w:eastAsia="Times New Roman" w:hAnsi="Times New Roman"/>
          <w:b w:val="1"/>
          <w:bCs w:val="1"/>
          <w:sz w:val="20"/>
          <w:szCs w:val="20"/>
        </w:rPr>
      </w:pPr>
      <w:r w:rsidDel="00000000" w:rsidR="00000000" w:rsidRPr="00000000">
        <w:rPr>
          <w:rtl w:val="0"/>
        </w:rPr>
      </w:r>
    </w:p>
    <w:p w:rsidR="00000000" w:rsidDel="00000000" w:rsidP="00000000" w:rsidRDefault="00000000" w:rsidRPr="00000000" w14:paraId="00000072">
      <w:pPr>
        <w:spacing w:line="360" w:lineRule="auto"/>
        <w:rPr>
          <w:rFonts w:ascii="Times New Roman" w:cs="Times New Roman" w:eastAsia="Times New Roman" w:hAnsi="Times New Roman"/>
          <w:b w:val="1"/>
          <w:bCs w:val="1"/>
          <w:sz w:val="20"/>
          <w:szCs w:val="20"/>
        </w:rPr>
      </w:pPr>
      <w:r w:rsidDel="00000000" w:rsidR="00000000" w:rsidRPr="00000000">
        <w:rPr>
          <w:rtl w:val="0"/>
        </w:rPr>
      </w:r>
    </w:p>
    <w:p w:rsidR="00000000" w:rsidDel="00000000" w:rsidP="00000000" w:rsidRDefault="00000000" w:rsidRPr="00000000" w14:paraId="00000073">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Table of Content</w:t>
      </w:r>
    </w:p>
    <w:p w:rsidR="00000000" w:rsidDel="00000000" w:rsidP="00000000" w:rsidRDefault="00000000" w:rsidRPr="00000000" w14:paraId="00000074">
      <w:pPr>
        <w:spacing w:line="360" w:lineRule="auto"/>
        <w:rPr>
          <w:rFonts w:ascii="Times New Roman" w:cs="Times New Roman" w:eastAsia="Times New Roman" w:hAnsi="Times New Roman"/>
          <w:b w:val="1"/>
          <w:bCs w:val="1"/>
        </w:rPr>
      </w:pPr>
      <w:r w:rsidDel="00000000" w:rsidR="00000000" w:rsidRPr="00000000">
        <w:rPr>
          <w:rtl w:val="0"/>
        </w:rPr>
      </w:r>
    </w:p>
    <w:sdt>
      <w:sdtPr>
        <w:id w:val="-934412719"/>
        <w:docPartObj>
          <w:docPartGallery w:val="Table of Contents"/>
          <w:docPartUnique w:val="1"/>
        </w:docPartObj>
      </w:sdtPr>
      <w:sdtContent>
        <w:p w:rsidR="00000000" w:rsidDel="00000000" w:rsidP="00000000" w:rsidRDefault="00000000" w:rsidRPr="00000000" w14:paraId="00000075">
          <w:pPr>
            <w:widowControl w:val="0"/>
            <w:tabs>
              <w:tab w:val="right" w:leader="underscore" w:pos="12000"/>
            </w:tabs>
            <w:spacing w:before="60" w:line="36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w8ral4hwus09">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1.0 Introduction and Key Concepts</w:t>
              <w:tab/>
              <w:t xml:space="preserve">3</w:t>
            </w:r>
          </w:hyperlink>
          <w:r w:rsidDel="00000000" w:rsidR="00000000" w:rsidRPr="00000000">
            <w:rPr>
              <w:rtl w:val="0"/>
            </w:rPr>
          </w:r>
        </w:p>
        <w:p w:rsidR="00000000" w:rsidDel="00000000" w:rsidP="00000000" w:rsidRDefault="00000000" w:rsidRPr="00000000" w14:paraId="00000076">
          <w:pPr>
            <w:widowControl w:val="0"/>
            <w:tabs>
              <w:tab w:val="right" w:leader="underscore" w:pos="12000"/>
            </w:tabs>
            <w:spacing w:before="6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87k0qgwssjh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2.0 Overview of the Organisations and Why They Were Selected</w:t>
              <w:tab/>
              <w:t xml:space="preserve">3</w:t>
            </w:r>
          </w:hyperlink>
          <w:r w:rsidDel="00000000" w:rsidR="00000000" w:rsidRPr="00000000">
            <w:rPr>
              <w:rtl w:val="0"/>
            </w:rPr>
          </w:r>
        </w:p>
        <w:p w:rsidR="00000000" w:rsidDel="00000000" w:rsidP="00000000" w:rsidRDefault="00000000" w:rsidRPr="00000000" w14:paraId="00000077">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z66ezh4o8lj9">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2.1 McDonald's</w:t>
              <w:tab/>
              <w:t xml:space="preserve">3</w:t>
            </w:r>
          </w:hyperlink>
          <w:r w:rsidDel="00000000" w:rsidR="00000000" w:rsidRPr="00000000">
            <w:rPr>
              <w:rtl w:val="0"/>
            </w:rPr>
          </w:r>
        </w:p>
        <w:p w:rsidR="00000000" w:rsidDel="00000000" w:rsidP="00000000" w:rsidRDefault="00000000" w:rsidRPr="00000000" w14:paraId="00000078">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cj2zl9ado4mx">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2.2 Marrybrown</w:t>
              <w:tab/>
              <w:t xml:space="preserve">4</w:t>
            </w:r>
          </w:hyperlink>
          <w:r w:rsidDel="00000000" w:rsidR="00000000" w:rsidRPr="00000000">
            <w:rPr>
              <w:rtl w:val="0"/>
            </w:rPr>
          </w:r>
        </w:p>
        <w:p w:rsidR="00000000" w:rsidDel="00000000" w:rsidP="00000000" w:rsidRDefault="00000000" w:rsidRPr="00000000" w14:paraId="00000079">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jepgokqmdlxi">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2.3 Why the Companies Were Selected</w:t>
              <w:tab/>
              <w:t xml:space="preserve">5</w:t>
            </w:r>
          </w:hyperlink>
          <w:r w:rsidDel="00000000" w:rsidR="00000000" w:rsidRPr="00000000">
            <w:rPr>
              <w:rtl w:val="0"/>
            </w:rPr>
          </w:r>
        </w:p>
        <w:p w:rsidR="00000000" w:rsidDel="00000000" w:rsidP="00000000" w:rsidRDefault="00000000" w:rsidRPr="00000000" w14:paraId="0000007A">
          <w:pPr>
            <w:widowControl w:val="0"/>
            <w:tabs>
              <w:tab w:val="right" w:leader="underscore" w:pos="12000"/>
            </w:tabs>
            <w:spacing w:before="6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ahixbqmss8wk">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3.0 Diversity and Equality</w:t>
              <w:tab/>
              <w:t xml:space="preserve">5</w:t>
            </w:r>
          </w:hyperlink>
          <w:r w:rsidDel="00000000" w:rsidR="00000000" w:rsidRPr="00000000">
            <w:rPr>
              <w:rtl w:val="0"/>
            </w:rPr>
          </w:r>
        </w:p>
        <w:p w:rsidR="00000000" w:rsidDel="00000000" w:rsidP="00000000" w:rsidRDefault="00000000" w:rsidRPr="00000000" w14:paraId="0000007B">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i0d7lbd8wgn0">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3.1 McDonald's</w:t>
              <w:tab/>
              <w:t xml:space="preserve">5</w:t>
            </w:r>
          </w:hyperlink>
          <w:r w:rsidDel="00000000" w:rsidR="00000000" w:rsidRPr="00000000">
            <w:rPr>
              <w:rtl w:val="0"/>
            </w:rPr>
          </w:r>
        </w:p>
        <w:p w:rsidR="00000000" w:rsidDel="00000000" w:rsidP="00000000" w:rsidRDefault="00000000" w:rsidRPr="00000000" w14:paraId="0000007C">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x9q1d6vntr8i">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3.2 Marrybrown</w:t>
              <w:tab/>
              <w:t xml:space="preserve">7</w:t>
            </w:r>
          </w:hyperlink>
          <w:r w:rsidDel="00000000" w:rsidR="00000000" w:rsidRPr="00000000">
            <w:rPr>
              <w:rtl w:val="0"/>
            </w:rPr>
          </w:r>
        </w:p>
        <w:p w:rsidR="00000000" w:rsidDel="00000000" w:rsidP="00000000" w:rsidRDefault="00000000" w:rsidRPr="00000000" w14:paraId="0000007D">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qcrp8jlam6im">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3.3 Analysis of Diversity and Equality</w:t>
              <w:tab/>
              <w:t xml:space="preserve">9</w:t>
            </w:r>
          </w:hyperlink>
          <w:r w:rsidDel="00000000" w:rsidR="00000000" w:rsidRPr="00000000">
            <w:rPr>
              <w:rtl w:val="0"/>
            </w:rPr>
          </w:r>
        </w:p>
        <w:p w:rsidR="00000000" w:rsidDel="00000000" w:rsidP="00000000" w:rsidRDefault="00000000" w:rsidRPr="00000000" w14:paraId="0000007E">
          <w:pPr>
            <w:widowControl w:val="0"/>
            <w:tabs>
              <w:tab w:val="right" w:leader="underscore" w:pos="12000"/>
            </w:tabs>
            <w:spacing w:before="6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56e9a36vxy5q">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4.0 Recruitment</w:t>
              <w:tab/>
              <w:t xml:space="preserve">9</w:t>
            </w:r>
          </w:hyperlink>
          <w:r w:rsidDel="00000000" w:rsidR="00000000" w:rsidRPr="00000000">
            <w:rPr>
              <w:rtl w:val="0"/>
            </w:rPr>
          </w:r>
        </w:p>
        <w:p w:rsidR="00000000" w:rsidDel="00000000" w:rsidP="00000000" w:rsidRDefault="00000000" w:rsidRPr="00000000" w14:paraId="0000007F">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10rikkkd6svd">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4.1 McDonald's</w:t>
              <w:tab/>
              <w:t xml:space="preserve">9</w:t>
            </w:r>
          </w:hyperlink>
          <w:r w:rsidDel="00000000" w:rsidR="00000000" w:rsidRPr="00000000">
            <w:rPr>
              <w:rtl w:val="0"/>
            </w:rPr>
          </w:r>
        </w:p>
        <w:p w:rsidR="00000000" w:rsidDel="00000000" w:rsidP="00000000" w:rsidRDefault="00000000" w:rsidRPr="00000000" w14:paraId="00000080">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2tkgl8c85if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4.2 Marrybrown</w:t>
              <w:tab/>
              <w:t xml:space="preserve">10</w:t>
            </w:r>
          </w:hyperlink>
          <w:r w:rsidDel="00000000" w:rsidR="00000000" w:rsidRPr="00000000">
            <w:rPr>
              <w:rtl w:val="0"/>
            </w:rPr>
          </w:r>
        </w:p>
        <w:p w:rsidR="00000000" w:rsidDel="00000000" w:rsidP="00000000" w:rsidRDefault="00000000" w:rsidRPr="00000000" w14:paraId="00000081">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6lhssujag6cm">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4.3 Analysis of Recruitment</w:t>
              <w:tab/>
              <w:t xml:space="preserve">11</w:t>
            </w:r>
          </w:hyperlink>
          <w:r w:rsidDel="00000000" w:rsidR="00000000" w:rsidRPr="00000000">
            <w:rPr>
              <w:rtl w:val="0"/>
            </w:rPr>
          </w:r>
        </w:p>
        <w:p w:rsidR="00000000" w:rsidDel="00000000" w:rsidP="00000000" w:rsidRDefault="00000000" w:rsidRPr="00000000" w14:paraId="00000082">
          <w:pPr>
            <w:widowControl w:val="0"/>
            <w:tabs>
              <w:tab w:val="right" w:leader="underscore" w:pos="12000"/>
            </w:tabs>
            <w:spacing w:before="6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q2oov8tkx8b">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5.0 Training and Development</w:t>
              <w:tab/>
              <w:t xml:space="preserve">12</w:t>
            </w:r>
          </w:hyperlink>
          <w:r w:rsidDel="00000000" w:rsidR="00000000" w:rsidRPr="00000000">
            <w:rPr>
              <w:rtl w:val="0"/>
            </w:rPr>
          </w:r>
        </w:p>
        <w:p w:rsidR="00000000" w:rsidDel="00000000" w:rsidP="00000000" w:rsidRDefault="00000000" w:rsidRPr="00000000" w14:paraId="00000083">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izvikmwkzdc3">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5.1 McDonald's</w:t>
              <w:tab/>
              <w:t xml:space="preserve">12</w:t>
            </w:r>
          </w:hyperlink>
          <w:r w:rsidDel="00000000" w:rsidR="00000000" w:rsidRPr="00000000">
            <w:rPr>
              <w:rtl w:val="0"/>
            </w:rPr>
          </w:r>
        </w:p>
        <w:p w:rsidR="00000000" w:rsidDel="00000000" w:rsidP="00000000" w:rsidRDefault="00000000" w:rsidRPr="00000000" w14:paraId="00000084">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5oayqs74alam">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5.2 Marrybrown</w:t>
              <w:tab/>
              <w:t xml:space="preserve">13</w:t>
            </w:r>
          </w:hyperlink>
          <w:r w:rsidDel="00000000" w:rsidR="00000000" w:rsidRPr="00000000">
            <w:rPr>
              <w:rtl w:val="0"/>
            </w:rPr>
          </w:r>
        </w:p>
        <w:p w:rsidR="00000000" w:rsidDel="00000000" w:rsidP="00000000" w:rsidRDefault="00000000" w:rsidRPr="00000000" w14:paraId="00000085">
          <w:pPr>
            <w:widowControl w:val="0"/>
            <w:tabs>
              <w:tab w:val="right" w:leader="underscore" w:pos="12000"/>
            </w:tabs>
            <w:spacing w:before="6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24hnwzx7orq4">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5.3 Analysis of Training and Development</w:t>
              <w:tab/>
              <w:t xml:space="preserve">15</w:t>
            </w:r>
          </w:hyperlink>
          <w:r w:rsidDel="00000000" w:rsidR="00000000" w:rsidRPr="00000000">
            <w:rPr>
              <w:rtl w:val="0"/>
            </w:rPr>
          </w:r>
        </w:p>
        <w:p w:rsidR="00000000" w:rsidDel="00000000" w:rsidP="00000000" w:rsidRDefault="00000000" w:rsidRPr="00000000" w14:paraId="00000086">
          <w:pPr>
            <w:widowControl w:val="0"/>
            <w:tabs>
              <w:tab w:val="right" w:leader="underscore" w:pos="12000"/>
            </w:tabs>
            <w:spacing w:before="6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7rnlb8laxbqy">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6.0 Conclusion</w:t>
              <w:tab/>
              <w:t xml:space="preserve">15</w:t>
            </w:r>
          </w:hyperlink>
          <w:r w:rsidDel="00000000" w:rsidR="00000000" w:rsidRPr="00000000">
            <w:rPr>
              <w:rtl w:val="0"/>
            </w:rPr>
          </w:r>
        </w:p>
        <w:p w:rsidR="00000000" w:rsidDel="00000000" w:rsidP="00000000" w:rsidRDefault="00000000" w:rsidRPr="00000000" w14:paraId="00000087">
          <w:pPr>
            <w:widowControl w:val="0"/>
            <w:tabs>
              <w:tab w:val="right" w:leader="underscore" w:pos="12000"/>
            </w:tabs>
            <w:spacing w:before="6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z3lhpafmwmqe">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7.0 References</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88">
      <w:pPr>
        <w:spacing w:line="360" w:lineRule="auto"/>
        <w:rPr>
          <w:rFonts w:ascii="Times New Roman" w:cs="Times New Roman" w:eastAsia="Times New Roman" w:hAnsi="Times New Roman"/>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89">
      <w:pPr>
        <w:pStyle w:val="Heading1"/>
        <w:spacing w:line="360" w:lineRule="auto"/>
        <w:rPr>
          <w:sz w:val="22"/>
          <w:szCs w:val="22"/>
        </w:rPr>
      </w:pPr>
      <w:bookmarkStart w:colFirst="0" w:colLast="0" w:name="_w8ral4hwus09" w:id="1"/>
      <w:bookmarkEnd w:id="1"/>
      <w:r w:rsidDel="00000000" w:rsidR="00000000" w:rsidRPr="00000000">
        <w:rPr>
          <w:sz w:val="22"/>
          <w:szCs w:val="22"/>
          <w:rtl w:val="0"/>
        </w:rPr>
        <w:t xml:space="preserve">1.0 Introduction and Key Concepts</w:t>
      </w:r>
    </w:p>
    <w:p w:rsidR="00000000" w:rsidDel="00000000" w:rsidP="00000000" w:rsidRDefault="00000000" w:rsidRPr="00000000" w14:paraId="0000008A">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Employees are crucial assets of an organisation as they are directly involved in the daily activities, customer service and organisational performance. Thus, people and leadership are significant in the attainment of the goals of organisations. Leadership can be considered as a tool that can shape the way an organisation utilises its resources and directs its employees to achieve its objectives (Okolie et al., 2021). Leaders may take different approaches to leadership based on their organisation, size and business environment.</w:t>
      </w:r>
    </w:p>
    <w:p w:rsidR="00000000" w:rsidDel="00000000" w:rsidP="00000000" w:rsidRDefault="00000000" w:rsidRPr="00000000" w14:paraId="0000008B">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and Marrybrown were chosen as case-study organisations because both are fast-food companies and are experiencing similar issues such as competition from other brands like KFC, Pizza Hut and Burger King, as well as changing customer preferences, trends and cultures. Both businesses are also people-intensive as they have frontline employees who are responsible for preparing food, serving customers and maintaining service quality. Good teamwork is therefore essential for smooth running and to minimise errors.</w:t>
      </w:r>
    </w:p>
    <w:p w:rsidR="00000000" w:rsidDel="00000000" w:rsidP="00000000" w:rsidRDefault="00000000" w:rsidRPr="00000000" w14:paraId="0000008C">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However, the two organisations are different in terms of their leadership and people management approaches. McDonald's people practices can be associated with elements of transformational leadership through its emphasis on employee development, training and career progression, while also having a standardised and centralised system, high technology use and cost leadership (Pahlefy and Putri, 2025). On the other hand, Marrybrown's people practices can be viewed as demonstrating adaptive leadership characteristics which are consistent in focusing more on flexibility, innovation, local relevance and adaptation to various markets. These similarities and differences are useful for exploring the use of different leadership and people strategies to address organisational needs.</w:t>
      </w:r>
      <w:r w:rsidDel="00000000" w:rsidR="00000000" w:rsidRPr="00000000">
        <w:rPr>
          <w:rtl w:val="0"/>
        </w:rPr>
      </w:r>
    </w:p>
    <w:p w:rsidR="00000000" w:rsidDel="00000000" w:rsidP="00000000" w:rsidRDefault="00000000" w:rsidRPr="00000000" w14:paraId="0000008D">
      <w:pPr>
        <w:pStyle w:val="Heading1"/>
        <w:spacing w:before="0" w:line="360" w:lineRule="auto"/>
        <w:jc w:val="both"/>
        <w:rPr>
          <w:sz w:val="22"/>
          <w:szCs w:val="22"/>
        </w:rPr>
      </w:pPr>
      <w:bookmarkStart w:colFirst="0" w:colLast="0" w:name="_87k0qgwssjhr" w:id="2"/>
      <w:bookmarkEnd w:id="2"/>
      <w:r w:rsidDel="00000000" w:rsidR="00000000" w:rsidRPr="00000000">
        <w:rPr>
          <w:sz w:val="22"/>
          <w:szCs w:val="22"/>
          <w:rtl w:val="0"/>
        </w:rPr>
        <w:t xml:space="preserve">2.0 Overview of the Organisations and Why They Were Selected</w:t>
      </w:r>
    </w:p>
    <w:p w:rsidR="00000000" w:rsidDel="00000000" w:rsidP="00000000" w:rsidRDefault="00000000" w:rsidRPr="00000000" w14:paraId="0000008E">
      <w:pPr>
        <w:pStyle w:val="Heading2"/>
        <w:spacing w:after="80" w:before="0" w:line="360" w:lineRule="auto"/>
        <w:jc w:val="both"/>
        <w:rPr>
          <w:sz w:val="22"/>
          <w:szCs w:val="22"/>
        </w:rPr>
      </w:pPr>
      <w:bookmarkStart w:colFirst="0" w:colLast="0" w:name="_z66ezh4o8lj9" w:id="3"/>
      <w:bookmarkEnd w:id="3"/>
      <w:r w:rsidDel="00000000" w:rsidR="00000000" w:rsidRPr="00000000">
        <w:rPr>
          <w:sz w:val="22"/>
          <w:szCs w:val="22"/>
          <w:rtl w:val="0"/>
        </w:rPr>
        <w:t xml:space="preserve">2.1 McDonald's</w:t>
      </w:r>
    </w:p>
    <w:p w:rsidR="00000000" w:rsidDel="00000000" w:rsidP="00000000" w:rsidRDefault="00000000" w:rsidRPr="00000000" w14:paraId="0000008F">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b w:val="1"/>
          <w:bCs w:val="1"/>
          <w:rtl w:val="0"/>
        </w:rPr>
        <w:t xml:space="preserve">McDonald brothers San Bernardino McDonald's restaurant 1948-1955.</w:t>
      </w:r>
    </w:p>
    <w:p w:rsidR="00000000" w:rsidDel="00000000" w:rsidP="00000000" w:rsidRDefault="00000000" w:rsidRPr="00000000" w14:paraId="00000090">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180201" cy="1449778"/>
            <wp:effectExtent b="0" l="0" r="0" t="0"/>
            <wp:docPr id="19"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2180201" cy="1449778"/>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n.d.</w:t>
      </w:r>
    </w:p>
    <w:p w:rsidR="00000000" w:rsidDel="00000000" w:rsidP="00000000" w:rsidRDefault="00000000" w:rsidRPr="00000000" w14:paraId="00000092">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is one of the most recognised fast-food companies in the world. It was established in 1940 in San Bernardino, California by Richard and Maurice McDonald. In 1948, the brothers launched the Speedee Service System, which made food preparation more efficient and enabled customers to get their meals faster. Later, Ray Kroc became a franchise agent for the business and in 1955, he established the McDonald's Corporation and opened the first restaurant in Des Plaines, Illinois (McDonald's, n.d.).</w:t>
      </w:r>
    </w:p>
    <w:p w:rsidR="00000000" w:rsidDel="00000000" w:rsidP="00000000" w:rsidRDefault="00000000" w:rsidRPr="00000000" w14:paraId="00000093">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has grown into a large, multinational company. By 2025, it employed over 150,000 corporate employees globally, with about 70% of its workforce based outside the U.S. Furthermore, over 2 million people are employed in McDonald's restaurants worldwide through its franchise network. There are also 45,356 McDonald's restaurants in over 100 countries including 372 restaurants in Malaysia (McDonald's n.d.).</w:t>
      </w:r>
    </w:p>
    <w:p w:rsidR="00000000" w:rsidDel="00000000" w:rsidP="00000000" w:rsidRDefault="00000000" w:rsidRPr="00000000" w14:paraId="00000094">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standardised operating procedures and emphasis on efficiency can be linked to principles of Taylorism, which emphasises improving work efficiency through standardisation and the systematic organisation of work (Biscontini, 2022). It can help to minimise wasted time and enhance operational efficiency through its use of technology and standardised systems. </w:t>
      </w:r>
      <w:r w:rsidDel="00000000" w:rsidR="00000000" w:rsidRPr="00000000">
        <w:rPr>
          <w:rtl w:val="0"/>
        </w:rPr>
      </w:r>
    </w:p>
    <w:p w:rsidR="00000000" w:rsidDel="00000000" w:rsidP="00000000" w:rsidRDefault="00000000" w:rsidRPr="00000000" w14:paraId="00000095">
      <w:pPr>
        <w:pStyle w:val="Heading2"/>
        <w:spacing w:after="80" w:line="360" w:lineRule="auto"/>
        <w:jc w:val="both"/>
        <w:rPr>
          <w:sz w:val="22"/>
          <w:szCs w:val="22"/>
        </w:rPr>
      </w:pPr>
      <w:bookmarkStart w:colFirst="0" w:colLast="0" w:name="_cj2zl9ado4mx" w:id="4"/>
      <w:bookmarkEnd w:id="4"/>
      <w:r w:rsidDel="00000000" w:rsidR="00000000" w:rsidRPr="00000000">
        <w:rPr>
          <w:sz w:val="22"/>
          <w:szCs w:val="22"/>
          <w:rtl w:val="0"/>
        </w:rPr>
        <w:t xml:space="preserve">2.2 Marrybrown</w:t>
      </w:r>
    </w:p>
    <w:p w:rsidR="00000000" w:rsidDel="00000000" w:rsidP="00000000" w:rsidRDefault="00000000" w:rsidRPr="00000000" w14:paraId="00000096">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2: Marrybrown first outlet in 1981</w:t>
      </w:r>
    </w:p>
    <w:p w:rsidR="00000000" w:rsidDel="00000000" w:rsidP="00000000" w:rsidRDefault="00000000" w:rsidRPr="00000000" w14:paraId="00000097">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252663" cy="1268526"/>
            <wp:effectExtent b="0" l="0" r="0" t="0"/>
            <wp:docPr id="24" name="image15.png"/>
            <a:graphic>
              <a:graphicData uri="http://schemas.openxmlformats.org/drawingml/2006/picture">
                <pic:pic>
                  <pic:nvPicPr>
                    <pic:cNvPr id="0" name="image15.png"/>
                    <pic:cNvPicPr preferRelativeResize="0"/>
                  </pic:nvPicPr>
                  <pic:blipFill>
                    <a:blip r:embed="rId10"/>
                    <a:srcRect b="0" l="0" r="0" t="0"/>
                    <a:stretch>
                      <a:fillRect/>
                    </a:stretch>
                  </pic:blipFill>
                  <pic:spPr>
                    <a:xfrm>
                      <a:off x="0" y="0"/>
                      <a:ext cx="2252663" cy="1268526"/>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Gempak (2022)</w:t>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is a fast-food company founded by Malaysian entrepreneurs Dato Lawrence Liew and Datin Nancy Liew in Johor Bahru in 1981. Its first outlet was opened at Jalan Wong Ah Fook Street. Since then, Marrybrown has grown worldwide and developed into a halal fast-food chain (Marrybrown, n.d.).</w:t>
      </w:r>
    </w:p>
    <w:p w:rsidR="00000000" w:rsidDel="00000000" w:rsidP="00000000" w:rsidRDefault="00000000" w:rsidRPr="00000000" w14:paraId="0000009A">
      <w:pPr>
        <w:spacing w:after="240" w:before="240" w:line="360" w:lineRule="auto"/>
        <w:jc w:val="center"/>
        <w:rPr>
          <w:rFonts w:ascii="Times New Roman" w:cs="Times New Roman" w:eastAsia="Times New Roman" w:hAnsi="Times New Roman"/>
          <w:b w:val="1"/>
          <w:bCs w:val="1"/>
        </w:rPr>
        <w:sectPr>
          <w:headerReference r:id="rId11" w:type="default"/>
          <w:footerReference r:id="rId12" w:type="default"/>
          <w:footerReference r:id="rId13" w:type="first"/>
          <w:pgSz w:h="16834" w:w="11909" w:orient="portrait"/>
          <w:pgMar w:bottom="1440" w:top="1440" w:left="1440" w:right="1440" w:header="720" w:footer="720"/>
          <w:pgNumType w:start="0"/>
          <w:titlePg w:val="1"/>
        </w:sectPr>
      </w:pPr>
      <w:r w:rsidDel="00000000" w:rsidR="00000000" w:rsidRPr="00000000">
        <w:rPr>
          <w:rtl w:val="0"/>
        </w:rPr>
      </w:r>
    </w:p>
    <w:p w:rsidR="00000000" w:rsidDel="00000000" w:rsidP="00000000" w:rsidRDefault="00000000" w:rsidRPr="00000000" w14:paraId="0000009B">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3: Marrybrown brings local Malaysian cuisine to other countries.</w:t>
      </w:r>
    </w:p>
    <w:p w:rsidR="00000000" w:rsidDel="00000000" w:rsidP="00000000" w:rsidRDefault="00000000" w:rsidRPr="00000000" w14:paraId="0000009C">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057205" cy="1500188"/>
            <wp:effectExtent b="0" l="0" r="0" t="0"/>
            <wp:docPr id="8" name="image23.png"/>
            <a:graphic>
              <a:graphicData uri="http://schemas.openxmlformats.org/drawingml/2006/picture">
                <pic:pic>
                  <pic:nvPicPr>
                    <pic:cNvPr id="0" name="image23.png"/>
                    <pic:cNvPicPr preferRelativeResize="0"/>
                  </pic:nvPicPr>
                  <pic:blipFill>
                    <a:blip r:embed="rId14"/>
                    <a:srcRect b="0" l="0" r="0" t="0"/>
                    <a:stretch>
                      <a:fillRect/>
                    </a:stretch>
                  </pic:blipFill>
                  <pic:spPr>
                    <a:xfrm>
                      <a:off x="0" y="0"/>
                      <a:ext cx="2057205" cy="1500188"/>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2024</w:t>
      </w:r>
    </w:p>
    <w:p w:rsidR="00000000" w:rsidDel="00000000" w:rsidP="00000000" w:rsidRDefault="00000000" w:rsidRPr="00000000" w14:paraId="0000009E">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now has over 500 outlets in 16 countries, such as Malaysia, Australia, Sweden and Myanmar, and has over 10,000 employees. The Malaysian heritage and the halal positioning are the areas in which Marrybrown stands out. It also offers local cuisine such as Nasi Lemak to maintain its Malaysian identity in different markets (Marrybrown, 2024).</w:t>
      </w:r>
    </w:p>
    <w:p w:rsidR="00000000" w:rsidDel="00000000" w:rsidP="00000000" w:rsidRDefault="00000000" w:rsidRPr="00000000" w14:paraId="0000009F">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Compared with McDonald's highly standardised approach, Marrybrown's documented practices place greater emphasis on innovation, local relevance and adaptation to different markets. Its way of doing things can be related to differentiation as the company differentiates itself from competitors by using its Malaysian identity, local menu items and halal positioning.</w:t>
      </w:r>
      <w:r w:rsidDel="00000000" w:rsidR="00000000" w:rsidRPr="00000000">
        <w:rPr>
          <w:rtl w:val="0"/>
        </w:rPr>
      </w:r>
    </w:p>
    <w:p w:rsidR="00000000" w:rsidDel="00000000" w:rsidP="00000000" w:rsidRDefault="00000000" w:rsidRPr="00000000" w14:paraId="000000A0">
      <w:pPr>
        <w:pStyle w:val="Heading2"/>
        <w:spacing w:after="80" w:line="360" w:lineRule="auto"/>
        <w:jc w:val="both"/>
        <w:rPr>
          <w:sz w:val="22"/>
          <w:szCs w:val="22"/>
        </w:rPr>
      </w:pPr>
      <w:bookmarkStart w:colFirst="0" w:colLast="0" w:name="_jepgokqmdlxi" w:id="5"/>
      <w:bookmarkEnd w:id="5"/>
      <w:r w:rsidDel="00000000" w:rsidR="00000000" w:rsidRPr="00000000">
        <w:rPr>
          <w:sz w:val="22"/>
          <w:szCs w:val="22"/>
          <w:rtl w:val="0"/>
        </w:rPr>
        <w:t xml:space="preserve">2.3 Why the Companies Were Selected</w:t>
      </w:r>
    </w:p>
    <w:p w:rsidR="00000000" w:rsidDel="00000000" w:rsidP="00000000" w:rsidRDefault="00000000" w:rsidRPr="00000000" w14:paraId="000000A1">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companies were chosen because they are in the same industry, are subject to similar external pressures, have different organisational backgrounds and management approaches. They are both reliant on staff to run their businesses and serve customers, and both offer opportunities for staff to build their skills through training and increased responsibility.</w:t>
      </w:r>
    </w:p>
    <w:p w:rsidR="00000000" w:rsidDel="00000000" w:rsidP="00000000" w:rsidRDefault="00000000" w:rsidRPr="00000000" w14:paraId="000000A2">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Meanwhile, McDonald's is a global enterprise with a very standardised approach, while Marrybrown is a local organisation founded by Malaysians that has gone global while retaining its local identity. Thus, the comparison of the two companies offers the opportunity to look at the application of different leadership and people strategies in relation to the organisational context.</w:t>
      </w:r>
      <w:r w:rsidDel="00000000" w:rsidR="00000000" w:rsidRPr="00000000">
        <w:rPr>
          <w:rtl w:val="0"/>
        </w:rPr>
      </w:r>
    </w:p>
    <w:p w:rsidR="00000000" w:rsidDel="00000000" w:rsidP="00000000" w:rsidRDefault="00000000" w:rsidRPr="00000000" w14:paraId="000000A3">
      <w:pPr>
        <w:pStyle w:val="Heading1"/>
        <w:spacing w:before="0" w:line="360" w:lineRule="auto"/>
        <w:jc w:val="both"/>
        <w:rPr>
          <w:sz w:val="22"/>
          <w:szCs w:val="22"/>
        </w:rPr>
      </w:pPr>
      <w:bookmarkStart w:colFirst="0" w:colLast="0" w:name="_ahixbqmss8wk" w:id="6"/>
      <w:bookmarkEnd w:id="6"/>
      <w:r w:rsidDel="00000000" w:rsidR="00000000" w:rsidRPr="00000000">
        <w:rPr>
          <w:sz w:val="22"/>
          <w:szCs w:val="22"/>
          <w:rtl w:val="0"/>
        </w:rPr>
        <w:t xml:space="preserve">3.0 Diversity and Equality</w:t>
      </w:r>
    </w:p>
    <w:p w:rsidR="00000000" w:rsidDel="00000000" w:rsidP="00000000" w:rsidRDefault="00000000" w:rsidRPr="00000000" w14:paraId="000000A4">
      <w:pPr>
        <w:pStyle w:val="Heading2"/>
        <w:spacing w:after="80" w:before="0" w:line="360" w:lineRule="auto"/>
        <w:jc w:val="both"/>
        <w:rPr>
          <w:sz w:val="22"/>
          <w:szCs w:val="22"/>
        </w:rPr>
      </w:pPr>
      <w:bookmarkStart w:colFirst="0" w:colLast="0" w:name="_i0d7lbd8wgn0" w:id="7"/>
      <w:bookmarkEnd w:id="7"/>
      <w:r w:rsidDel="00000000" w:rsidR="00000000" w:rsidRPr="00000000">
        <w:rPr>
          <w:sz w:val="22"/>
          <w:szCs w:val="22"/>
          <w:rtl w:val="0"/>
        </w:rPr>
        <w:t xml:space="preserve">3.1 McDonald's</w:t>
      </w:r>
    </w:p>
    <w:p w:rsidR="00000000" w:rsidDel="00000000" w:rsidP="00000000" w:rsidRDefault="00000000" w:rsidRPr="00000000" w14:paraId="000000A5">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has a formal Diversity, Equity and Inclusion (DEI) strategy in its Jobs, Inclusion and Empowerment commitments and Human Rights Policy. These policies provide a foundation for non-discrimination, prevention of harassment and respect for human rights. The company's Golden Rule is to treat everyone with dignity, fairness and respect. These policies also emphasise access to opportunities for employees and other stakeholders. (McDonald's, n.d.).</w:t>
      </w:r>
      <w:r w:rsidDel="00000000" w:rsidR="00000000" w:rsidRPr="00000000">
        <w:rPr>
          <w:rtl w:val="0"/>
        </w:rPr>
      </w:r>
    </w:p>
    <w:p w:rsidR="00000000" w:rsidDel="00000000" w:rsidP="00000000" w:rsidRDefault="00000000" w:rsidRPr="00000000" w14:paraId="000000A6">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3 and 4: McDonald's commitment to inclusion</w:t>
      </w:r>
    </w:p>
    <w:p w:rsidR="00000000" w:rsidDel="00000000" w:rsidP="00000000" w:rsidRDefault="00000000" w:rsidRPr="00000000" w14:paraId="000000A7">
      <w:pPr>
        <w:spacing w:after="240" w:before="24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2058825" cy="1494997"/>
            <wp:effectExtent b="0" l="0" r="0" t="0"/>
            <wp:docPr id="20" name="image17.png"/>
            <a:graphic>
              <a:graphicData uri="http://schemas.openxmlformats.org/drawingml/2006/picture">
                <pic:pic>
                  <pic:nvPicPr>
                    <pic:cNvPr id="0" name="image17.png"/>
                    <pic:cNvPicPr preferRelativeResize="0"/>
                  </pic:nvPicPr>
                  <pic:blipFill>
                    <a:blip r:embed="rId15"/>
                    <a:srcRect b="0" l="0" r="0" t="0"/>
                    <a:stretch>
                      <a:fillRect/>
                    </a:stretch>
                  </pic:blipFill>
                  <pic:spPr>
                    <a:xfrm>
                      <a:off x="0" y="0"/>
                      <a:ext cx="2058825" cy="1494997"/>
                    </a:xfrm>
                    <a:prstGeom prst="rect"/>
                    <a:ln/>
                  </pic:spPr>
                </pic:pic>
              </a:graphicData>
            </a:graphic>
          </wp:inline>
        </w:drawing>
      </w:r>
      <w:r w:rsidDel="00000000" w:rsidR="00000000" w:rsidRPr="00000000">
        <w:rPr>
          <w:rFonts w:ascii="Times New Roman" w:cs="Times New Roman" w:eastAsia="Times New Roman" w:hAnsi="Times New Roman"/>
        </w:rPr>
        <w:drawing>
          <wp:inline distB="114300" distT="114300" distL="114300" distR="114300">
            <wp:extent cx="3098963" cy="748626"/>
            <wp:effectExtent b="0" l="0" r="0" t="0"/>
            <wp:docPr id="5" name="image11.png"/>
            <a:graphic>
              <a:graphicData uri="http://schemas.openxmlformats.org/drawingml/2006/picture">
                <pic:pic>
                  <pic:nvPicPr>
                    <pic:cNvPr id="0" name="image11.png"/>
                    <pic:cNvPicPr preferRelativeResize="0"/>
                  </pic:nvPicPr>
                  <pic:blipFill>
                    <a:blip r:embed="rId16"/>
                    <a:srcRect b="0" l="0" r="0" t="0"/>
                    <a:stretch>
                      <a:fillRect/>
                    </a:stretch>
                  </pic:blipFill>
                  <pic:spPr>
                    <a:xfrm>
                      <a:off x="0" y="0"/>
                      <a:ext cx="3098963" cy="748626"/>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(n.d)</w:t>
      </w:r>
    </w:p>
    <w:p w:rsidR="00000000" w:rsidDel="00000000" w:rsidP="00000000" w:rsidRDefault="00000000" w:rsidRPr="00000000" w14:paraId="000000A9">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Diversity is also incorporated into the recruitment process. AI tools are employed to develop gender-neutral and inclusive job descriptions, and structured interviews and interview guides are utilised to ensure fairness in the selection process. In 2022, the company also launched an Inclusive Leadership course for employees from Director level and above (McDonald's, n.d.).</w:t>
      </w:r>
      <w:r w:rsidDel="00000000" w:rsidR="00000000" w:rsidRPr="00000000">
        <w:rPr>
          <w:rtl w:val="0"/>
        </w:rPr>
      </w:r>
    </w:p>
    <w:p w:rsidR="00000000" w:rsidDel="00000000" w:rsidP="00000000" w:rsidRDefault="00000000" w:rsidRPr="00000000" w14:paraId="000000AA">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5, 6 and 7: Statistic of representation of gender and underrepresented groups in 2024</w:t>
      </w:r>
    </w:p>
    <w:p w:rsidR="00000000" w:rsidDel="00000000" w:rsidP="00000000" w:rsidRDefault="00000000" w:rsidRPr="00000000" w14:paraId="000000AB">
      <w:pPr>
        <w:spacing w:after="240" w:before="24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1843088" cy="1797010"/>
            <wp:effectExtent b="0" l="0" r="0" t="0"/>
            <wp:docPr id="21"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1843088" cy="1797010"/>
                    </a:xfrm>
                    <a:prstGeom prst="rect"/>
                    <a:ln/>
                  </pic:spPr>
                </pic:pic>
              </a:graphicData>
            </a:graphic>
          </wp:inline>
        </w:drawing>
      </w:r>
      <w:r w:rsidDel="00000000" w:rsidR="00000000" w:rsidRPr="00000000">
        <w:rPr>
          <w:rFonts w:ascii="Times New Roman" w:cs="Times New Roman" w:eastAsia="Times New Roman" w:hAnsi="Times New Roman"/>
        </w:rPr>
        <w:drawing>
          <wp:inline distB="114300" distT="114300" distL="114300" distR="114300">
            <wp:extent cx="1766888" cy="1779287"/>
            <wp:effectExtent b="0" l="0" r="0" t="0"/>
            <wp:docPr id="9" name="image12.png"/>
            <a:graphic>
              <a:graphicData uri="http://schemas.openxmlformats.org/drawingml/2006/picture">
                <pic:pic>
                  <pic:nvPicPr>
                    <pic:cNvPr id="0" name="image12.png"/>
                    <pic:cNvPicPr preferRelativeResize="0"/>
                  </pic:nvPicPr>
                  <pic:blipFill>
                    <a:blip r:embed="rId18"/>
                    <a:srcRect b="0" l="0" r="0" t="0"/>
                    <a:stretch>
                      <a:fillRect/>
                    </a:stretch>
                  </pic:blipFill>
                  <pic:spPr>
                    <a:xfrm>
                      <a:off x="0" y="0"/>
                      <a:ext cx="1766888" cy="1779287"/>
                    </a:xfrm>
                    <a:prstGeom prst="rect"/>
                    <a:ln/>
                  </pic:spPr>
                </pic:pic>
              </a:graphicData>
            </a:graphic>
          </wp:inline>
        </w:drawing>
      </w:r>
      <w:r w:rsidDel="00000000" w:rsidR="00000000" w:rsidRPr="00000000">
        <w:rPr>
          <w:rFonts w:ascii="Times New Roman" w:cs="Times New Roman" w:eastAsia="Times New Roman" w:hAnsi="Times New Roman"/>
        </w:rPr>
        <w:drawing>
          <wp:inline distB="114300" distT="114300" distL="114300" distR="114300">
            <wp:extent cx="1782600" cy="1782600"/>
            <wp:effectExtent b="0" l="0" r="0" t="0"/>
            <wp:docPr id="14" name="image3.png"/>
            <a:graphic>
              <a:graphicData uri="http://schemas.openxmlformats.org/drawingml/2006/picture">
                <pic:pic>
                  <pic:nvPicPr>
                    <pic:cNvPr id="0" name="image3.png"/>
                    <pic:cNvPicPr preferRelativeResize="0"/>
                  </pic:nvPicPr>
                  <pic:blipFill>
                    <a:blip r:embed="rId19"/>
                    <a:srcRect b="0" l="0" r="0" t="0"/>
                    <a:stretch>
                      <a:fillRect/>
                    </a:stretch>
                  </pic:blipFill>
                  <pic:spPr>
                    <a:xfrm>
                      <a:off x="0" y="0"/>
                      <a:ext cx="1782600" cy="17826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(2026)</w:t>
      </w:r>
    </w:p>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reported figures demonstrate the representation of women and underrepresented groups across different levels of the organisation. Women accounted for 44% of McDonald's global leadership at Senior Director level and above in 2024, up from 43% in 2022. Women held 59% of the roles of managers and 54% of Shift Managers and Crew at company-owned and operated restaurants worldwide. Underrepresented groups made up 31% of Senior Director level and above and 41% of corporate staff in the United States (McDonald's, 2026) .</w:t>
      </w:r>
      <w:r w:rsidDel="00000000" w:rsidR="00000000" w:rsidRPr="00000000">
        <w:rPr>
          <w:rtl w:val="0"/>
        </w:rPr>
      </w:r>
    </w:p>
    <w:p w:rsidR="00000000" w:rsidDel="00000000" w:rsidP="00000000" w:rsidRDefault="00000000" w:rsidRPr="00000000" w14:paraId="000000AE">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8: Pay equity analysis of McDonald's</w:t>
      </w:r>
    </w:p>
    <w:p w:rsidR="00000000" w:rsidDel="00000000" w:rsidP="00000000" w:rsidRDefault="00000000" w:rsidRPr="00000000" w14:paraId="000000AF">
      <w:pPr>
        <w:spacing w:after="240" w:before="24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2224088" cy="1001209"/>
            <wp:effectExtent b="0" l="0" r="0" t="0"/>
            <wp:docPr id="10" name="image10.png"/>
            <a:graphic>
              <a:graphicData uri="http://schemas.openxmlformats.org/drawingml/2006/picture">
                <pic:pic>
                  <pic:nvPicPr>
                    <pic:cNvPr id="0" name="image10.png"/>
                    <pic:cNvPicPr preferRelativeResize="0"/>
                  </pic:nvPicPr>
                  <pic:blipFill>
                    <a:blip r:embed="rId20"/>
                    <a:srcRect b="0" l="0" r="0" t="0"/>
                    <a:stretch>
                      <a:fillRect/>
                    </a:stretch>
                  </pic:blipFill>
                  <pic:spPr>
                    <a:xfrm>
                      <a:off x="0" y="0"/>
                      <a:ext cx="2224088" cy="1001209"/>
                    </a:xfrm>
                    <a:prstGeom prst="rect"/>
                    <a:ln/>
                  </pic:spPr>
                </pic:pic>
              </a:graphicData>
            </a:graphic>
          </wp:inline>
        </w:drawing>
      </w:r>
      <w:r w:rsidDel="00000000" w:rsidR="00000000" w:rsidRPr="00000000">
        <w:rPr>
          <w:rtl w:val="0"/>
        </w:rPr>
      </w:r>
    </w:p>
    <w:p w:rsidR="00000000" w:rsidDel="00000000" w:rsidP="00000000" w:rsidRDefault="00000000" w:rsidRPr="00000000" w14:paraId="000000B0">
      <w:pPr>
        <w:spacing w:after="240" w:before="24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Source: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b w:val="1"/>
          <w:bCs w:val="1"/>
          <w:rtl w:val="0"/>
        </w:rPr>
        <w:t xml:space="preserve">McDonald's (2026)</w:t>
      </w:r>
      <w:r w:rsidDel="00000000" w:rsidR="00000000" w:rsidRPr="00000000">
        <w:rPr>
          <w:rtl w:val="0"/>
        </w:rPr>
      </w:r>
    </w:p>
    <w:p w:rsidR="00000000" w:rsidDel="00000000" w:rsidP="00000000" w:rsidRDefault="00000000" w:rsidRPr="00000000" w14:paraId="000000B1">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9: Pulse Survey and Inclusion Index in 2024</w:t>
      </w:r>
    </w:p>
    <w:p w:rsidR="00000000" w:rsidDel="00000000" w:rsidP="00000000" w:rsidRDefault="00000000" w:rsidRPr="00000000" w14:paraId="000000B2">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3195638" cy="716630"/>
            <wp:effectExtent b="0" l="0" r="0" t="0"/>
            <wp:docPr id="4" name="image5.png"/>
            <a:graphic>
              <a:graphicData uri="http://schemas.openxmlformats.org/drawingml/2006/picture">
                <pic:pic>
                  <pic:nvPicPr>
                    <pic:cNvPr id="0" name="image5.png"/>
                    <pic:cNvPicPr preferRelativeResize="0"/>
                  </pic:nvPicPr>
                  <pic:blipFill>
                    <a:blip r:embed="rId21"/>
                    <a:srcRect b="0" l="0" r="0" t="0"/>
                    <a:stretch>
                      <a:fillRect/>
                    </a:stretch>
                  </pic:blipFill>
                  <pic:spPr>
                    <a:xfrm>
                      <a:off x="0" y="0"/>
                      <a:ext cx="3195638" cy="716630"/>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(2025)</w:t>
      </w:r>
    </w:p>
    <w:p w:rsidR="00000000" w:rsidDel="00000000" w:rsidP="00000000" w:rsidRDefault="00000000" w:rsidRPr="00000000" w14:paraId="000000B4">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is also dedicated to equal pay. In 2024, the company reported gender pay equity at all levels and across all markets, with women earning 99.93 cents for every $1 earned by men for comparable work on average (McDonald's, 2026). Its Pulse Survey and Inclusion Index are also used to assess employee inclusion. 84% of employees reported that McDonald's enabled them to be themselves and 78% scored positively on the Inclusion Index in 2024 (McDonald's, 2025).</w:t>
      </w:r>
      <w:r w:rsidDel="00000000" w:rsidR="00000000" w:rsidRPr="00000000">
        <w:rPr>
          <w:rtl w:val="0"/>
        </w:rPr>
      </w:r>
    </w:p>
    <w:p w:rsidR="00000000" w:rsidDel="00000000" w:rsidP="00000000" w:rsidRDefault="00000000" w:rsidRPr="00000000" w14:paraId="000000B5">
      <w:pPr>
        <w:pStyle w:val="Heading2"/>
        <w:spacing w:after="80" w:line="360" w:lineRule="auto"/>
        <w:jc w:val="both"/>
        <w:rPr>
          <w:sz w:val="22"/>
          <w:szCs w:val="22"/>
        </w:rPr>
      </w:pPr>
      <w:bookmarkStart w:colFirst="0" w:colLast="0" w:name="_x9q1d6vntr8i" w:id="8"/>
      <w:bookmarkEnd w:id="8"/>
      <w:r w:rsidDel="00000000" w:rsidR="00000000" w:rsidRPr="00000000">
        <w:rPr>
          <w:sz w:val="22"/>
          <w:szCs w:val="22"/>
          <w:rtl w:val="0"/>
        </w:rPr>
        <w:t xml:space="preserve">3.2 Marrybrown</w:t>
      </w:r>
    </w:p>
    <w:p w:rsidR="00000000" w:rsidDel="00000000" w:rsidP="00000000" w:rsidRDefault="00000000" w:rsidRPr="00000000" w14:paraId="000000B6">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10: #BreaktheBias themed International Women’s Day</w:t>
      </w:r>
      <w:r w:rsidDel="00000000" w:rsidR="00000000" w:rsidRPr="00000000">
        <w:rPr>
          <w:rtl w:val="0"/>
        </w:rPr>
      </w:r>
    </w:p>
    <w:p w:rsidR="00000000" w:rsidDel="00000000" w:rsidP="00000000" w:rsidRDefault="00000000" w:rsidRPr="00000000" w14:paraId="000000B7">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252663" cy="1597819"/>
            <wp:effectExtent b="0" l="0" r="0" t="0"/>
            <wp:docPr id="3" name="image16.png"/>
            <a:graphic>
              <a:graphicData uri="http://schemas.openxmlformats.org/drawingml/2006/picture">
                <pic:pic>
                  <pic:nvPicPr>
                    <pic:cNvPr id="0" name="image16.png"/>
                    <pic:cNvPicPr preferRelativeResize="0"/>
                  </pic:nvPicPr>
                  <pic:blipFill>
                    <a:blip r:embed="rId22"/>
                    <a:srcRect b="0" l="0" r="0" t="0"/>
                    <a:stretch>
                      <a:fillRect/>
                    </a:stretch>
                  </pic:blipFill>
                  <pic:spPr>
                    <a:xfrm>
                      <a:off x="0" y="0"/>
                      <a:ext cx="2252663" cy="1597819"/>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(2022)</w:t>
      </w:r>
    </w:p>
    <w:p w:rsidR="00000000" w:rsidDel="00000000" w:rsidP="00000000" w:rsidRDefault="00000000" w:rsidRPr="00000000" w14:paraId="000000B9">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Marrybrown's diversity and equality policy is based on the principles of equal opportunities, fair treatment and inclusion in the workplace. In 2022, Datin Nancy Liew emphasised the need to challenge traditional gender roles for International Women's Day with the theme #BreakTheBias. She stressed the need to provide equal opportunities to employees, irrespective of gender (Marrybrown, 2022).</w:t>
      </w:r>
      <w:r w:rsidDel="00000000" w:rsidR="00000000" w:rsidRPr="00000000">
        <w:rPr>
          <w:rtl w:val="0"/>
        </w:rPr>
      </w:r>
    </w:p>
    <w:p w:rsidR="00000000" w:rsidDel="00000000" w:rsidP="00000000" w:rsidRDefault="00000000" w:rsidRPr="00000000" w14:paraId="000000BA">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11: Marrybrown Support Team Organisational Chart</w:t>
      </w:r>
    </w:p>
    <w:p w:rsidR="00000000" w:rsidDel="00000000" w:rsidP="00000000" w:rsidRDefault="00000000" w:rsidRPr="00000000" w14:paraId="000000BB">
      <w:pPr>
        <w:spacing w:after="240" w:before="24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1830225" cy="1386534"/>
            <wp:effectExtent b="0" l="0" r="0" t="0"/>
            <wp:docPr id="11" name="image14.png"/>
            <a:graphic>
              <a:graphicData uri="http://schemas.openxmlformats.org/drawingml/2006/picture">
                <pic:pic>
                  <pic:nvPicPr>
                    <pic:cNvPr id="0" name="image14.png"/>
                    <pic:cNvPicPr preferRelativeResize="0"/>
                  </pic:nvPicPr>
                  <pic:blipFill>
                    <a:blip r:embed="rId23"/>
                    <a:srcRect b="0" l="0" r="0" t="0"/>
                    <a:stretch>
                      <a:fillRect/>
                    </a:stretch>
                  </pic:blipFill>
                  <pic:spPr>
                    <a:xfrm>
                      <a:off x="0" y="0"/>
                      <a:ext cx="1830225" cy="1386534"/>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(2025)</w:t>
      </w:r>
    </w:p>
    <w:p w:rsidR="00000000" w:rsidDel="00000000" w:rsidP="00000000" w:rsidRDefault="00000000" w:rsidRPr="00000000" w14:paraId="000000BD">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company's MB Support Team organisational chart also highlights the presence of women in various roles, including senior roles such as Chief Operating Officer and Chief Marketing Officer. There are 26 people in the chart, 15 of whom are male (57.7%) and 11 of whom are female (42.3%) (Marrybrown, 2025).</w:t>
      </w:r>
      <w:r w:rsidDel="00000000" w:rsidR="00000000" w:rsidRPr="00000000">
        <w:rPr>
          <w:rtl w:val="0"/>
        </w:rPr>
      </w:r>
    </w:p>
    <w:p w:rsidR="00000000" w:rsidDel="00000000" w:rsidP="00000000" w:rsidRDefault="00000000" w:rsidRPr="00000000" w14:paraId="000000BE">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12: Marrybrown to be part of Human Resources Development Corp’s (HRD Corp) invitation for International Day of PWD</w:t>
      </w:r>
    </w:p>
    <w:p w:rsidR="00000000" w:rsidDel="00000000" w:rsidP="00000000" w:rsidRDefault="00000000" w:rsidRPr="00000000" w14:paraId="000000BF">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100263" cy="1315281"/>
            <wp:effectExtent b="0" l="0" r="0" t="0"/>
            <wp:docPr id="2" name="image19.png"/>
            <a:graphic>
              <a:graphicData uri="http://schemas.openxmlformats.org/drawingml/2006/picture">
                <pic:pic>
                  <pic:nvPicPr>
                    <pic:cNvPr id="0" name="image19.png"/>
                    <pic:cNvPicPr preferRelativeResize="0"/>
                  </pic:nvPicPr>
                  <pic:blipFill>
                    <a:blip r:embed="rId24"/>
                    <a:srcRect b="0" l="0" r="0" t="0"/>
                    <a:stretch>
                      <a:fillRect/>
                    </a:stretch>
                  </pic:blipFill>
                  <pic:spPr>
                    <a:xfrm>
                      <a:off x="0" y="0"/>
                      <a:ext cx="2100263" cy="1315281"/>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(2025)</w:t>
      </w:r>
    </w:p>
    <w:p w:rsidR="00000000" w:rsidDel="00000000" w:rsidP="00000000" w:rsidRDefault="00000000" w:rsidRPr="00000000" w14:paraId="000000C1">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13: Marrybrown being certified as a Great Place to Work® in Qatar</w:t>
      </w:r>
    </w:p>
    <w:p w:rsidR="00000000" w:rsidDel="00000000" w:rsidP="00000000" w:rsidRDefault="00000000" w:rsidRPr="00000000" w14:paraId="000000C2">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081213" cy="1192721"/>
            <wp:effectExtent b="0" l="0" r="0" t="0"/>
            <wp:docPr id="15" name="image18.png"/>
            <a:graphic>
              <a:graphicData uri="http://schemas.openxmlformats.org/drawingml/2006/picture">
                <pic:pic>
                  <pic:nvPicPr>
                    <pic:cNvPr id="0" name="image18.png"/>
                    <pic:cNvPicPr preferRelativeResize="0"/>
                  </pic:nvPicPr>
                  <pic:blipFill>
                    <a:blip r:embed="rId25"/>
                    <a:srcRect b="0" l="0" r="0" t="0"/>
                    <a:stretch>
                      <a:fillRect/>
                    </a:stretch>
                  </pic:blipFill>
                  <pic:spPr>
                    <a:xfrm>
                      <a:off x="0" y="0"/>
                      <a:ext cx="2081213" cy="1192721"/>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(2025)</w:t>
      </w:r>
    </w:p>
    <w:p w:rsidR="00000000" w:rsidDel="00000000" w:rsidP="00000000" w:rsidRDefault="00000000" w:rsidRPr="00000000" w14:paraId="000000C4">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also supports the inclusion of persons with disabilities through its support for HRD Corp's International Day of Persons with Disabilities in December 2025 (Marrybrown, 2025). Moreover, Marrybrown is a people-first organisation and has been awarded Great Place to Work certification in Qatar, reflecting its focus on creating a positive workplace for employees  (Marrybrown, 2025).</w:t>
      </w:r>
      <w:r w:rsidDel="00000000" w:rsidR="00000000" w:rsidRPr="00000000">
        <w:rPr>
          <w:rtl w:val="0"/>
        </w:rPr>
      </w:r>
    </w:p>
    <w:p w:rsidR="00000000" w:rsidDel="00000000" w:rsidP="00000000" w:rsidRDefault="00000000" w:rsidRPr="00000000" w14:paraId="000000C5">
      <w:pPr>
        <w:pStyle w:val="Heading2"/>
        <w:spacing w:after="80" w:line="360" w:lineRule="auto"/>
        <w:jc w:val="both"/>
        <w:rPr>
          <w:sz w:val="22"/>
          <w:szCs w:val="22"/>
        </w:rPr>
      </w:pPr>
      <w:bookmarkStart w:colFirst="0" w:colLast="0" w:name="_qcrp8jlam6im" w:id="9"/>
      <w:bookmarkEnd w:id="9"/>
      <w:r w:rsidDel="00000000" w:rsidR="00000000" w:rsidRPr="00000000">
        <w:rPr>
          <w:sz w:val="22"/>
          <w:szCs w:val="22"/>
          <w:rtl w:val="0"/>
        </w:rPr>
        <w:t xml:space="preserve">3.3 Analysis of Diversity and Equality</w:t>
      </w:r>
    </w:p>
    <w:p w:rsidR="00000000" w:rsidDel="00000000" w:rsidP="00000000" w:rsidRDefault="00000000" w:rsidRPr="00000000" w14:paraId="000000C6">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Both organisations show that diversity and equality are important aspects of employee management but in different ways depending on the context of their organisations. McDonald's has a more structured approach, having policies, recruitment practices, leadership training and measurable workforce and pay-equity data. This is suitable for a big international business where uniformity is relevant in various markets.</w:t>
      </w:r>
    </w:p>
    <w:p w:rsidR="00000000" w:rsidDel="00000000" w:rsidP="00000000" w:rsidRDefault="00000000" w:rsidRPr="00000000" w14:paraId="000000C7">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Equality and inclusion are also priorities for Marrybrown, but the information available is more about equal opportunities, representation, disability inclusion and a supportive workplace culture. This is in line with its people-centred and adaptive characteristics demonstrated by its documented practices. Both organisations address similar employee needs but use different approaches based on the structure and context of their organisations.</w:t>
      </w:r>
      <w:r w:rsidDel="00000000" w:rsidR="00000000" w:rsidRPr="00000000">
        <w:rPr>
          <w:rtl w:val="0"/>
        </w:rPr>
      </w:r>
    </w:p>
    <w:p w:rsidR="00000000" w:rsidDel="00000000" w:rsidP="00000000" w:rsidRDefault="00000000" w:rsidRPr="00000000" w14:paraId="000000C8">
      <w:pPr>
        <w:pStyle w:val="Heading1"/>
        <w:spacing w:before="0" w:line="360" w:lineRule="auto"/>
        <w:jc w:val="both"/>
        <w:rPr>
          <w:sz w:val="22"/>
          <w:szCs w:val="22"/>
        </w:rPr>
      </w:pPr>
      <w:bookmarkStart w:colFirst="0" w:colLast="0" w:name="_56e9a36vxy5q" w:id="10"/>
      <w:bookmarkEnd w:id="10"/>
      <w:r w:rsidDel="00000000" w:rsidR="00000000" w:rsidRPr="00000000">
        <w:rPr>
          <w:sz w:val="22"/>
          <w:szCs w:val="22"/>
          <w:rtl w:val="0"/>
        </w:rPr>
        <w:t xml:space="preserve">4.0 Recruitment</w:t>
      </w:r>
    </w:p>
    <w:p w:rsidR="00000000" w:rsidDel="00000000" w:rsidP="00000000" w:rsidRDefault="00000000" w:rsidRPr="00000000" w14:paraId="000000C9">
      <w:pPr>
        <w:pStyle w:val="Heading2"/>
        <w:spacing w:after="80" w:before="0" w:line="360" w:lineRule="auto"/>
        <w:jc w:val="both"/>
        <w:rPr>
          <w:sz w:val="22"/>
          <w:szCs w:val="22"/>
        </w:rPr>
      </w:pPr>
      <w:bookmarkStart w:colFirst="0" w:colLast="0" w:name="_10rikkkd6svd" w:id="11"/>
      <w:bookmarkEnd w:id="11"/>
      <w:r w:rsidDel="00000000" w:rsidR="00000000" w:rsidRPr="00000000">
        <w:rPr>
          <w:sz w:val="22"/>
          <w:szCs w:val="22"/>
          <w:rtl w:val="0"/>
        </w:rPr>
        <w:t xml:space="preserve">4.1 McDonald's</w:t>
      </w:r>
    </w:p>
    <w:p w:rsidR="00000000" w:rsidDel="00000000" w:rsidP="00000000" w:rsidRDefault="00000000" w:rsidRPr="00000000" w14:paraId="000000CA">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14: McDonald's Employee Value Proposition</w:t>
      </w:r>
    </w:p>
    <w:p w:rsidR="00000000" w:rsidDel="00000000" w:rsidP="00000000" w:rsidRDefault="00000000" w:rsidRPr="00000000" w14:paraId="000000CB">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767013" cy="1537229"/>
            <wp:effectExtent b="0" l="0" r="0" t="0"/>
            <wp:docPr id="12" name="image2.png"/>
            <a:graphic>
              <a:graphicData uri="http://schemas.openxmlformats.org/drawingml/2006/picture">
                <pic:pic>
                  <pic:nvPicPr>
                    <pic:cNvPr id="0" name="image2.png"/>
                    <pic:cNvPicPr preferRelativeResize="0"/>
                  </pic:nvPicPr>
                  <pic:blipFill>
                    <a:blip r:embed="rId26"/>
                    <a:srcRect b="0" l="0" r="0" t="0"/>
                    <a:stretch>
                      <a:fillRect/>
                    </a:stretch>
                  </pic:blipFill>
                  <pic:spPr>
                    <a:xfrm>
                      <a:off x="0" y="0"/>
                      <a:ext cx="2767013" cy="1537229"/>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(n.d.)</w:t>
      </w:r>
    </w:p>
    <w:p w:rsidR="00000000" w:rsidDel="00000000" w:rsidP="00000000" w:rsidRDefault="00000000" w:rsidRPr="00000000" w14:paraId="000000CD">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Recruitment is crucial to McDonald's as it has a large network of restaurants and needs a large number of people to operate its extensive network. McDonald's Malaysia has a 100% local hiring policy and has over 16,000 Malaysian employees (McDonald's Malaysia, 2026). It has an Employee Value Proposition that highlights Family &amp; Friends, Flexibility and Future, all of which are to attract, retain and develop staff (McDonald's Malaysia, n.d.).</w:t>
      </w:r>
    </w:p>
    <w:p w:rsidR="00000000" w:rsidDel="00000000" w:rsidP="00000000" w:rsidRDefault="00000000" w:rsidRPr="00000000" w14:paraId="000000CE">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its expansion plans, McDonald's Malaysia also targeted to create 50,000 jobs in 2026 (McDonald's Malaysia, n.d.). This indicates that recruitment is linked not only to filling up positions, but also it is connected to the future development of the organisation. It also has a policy of inclusivity in recruitment, such as gender-neutral job descriptions and structured interviews, which help to support fairness in hiring.</w:t>
      </w:r>
      <w:r w:rsidDel="00000000" w:rsidR="00000000" w:rsidRPr="00000000">
        <w:rPr>
          <w:rtl w:val="0"/>
        </w:rPr>
      </w:r>
    </w:p>
    <w:p w:rsidR="00000000" w:rsidDel="00000000" w:rsidP="00000000" w:rsidRDefault="00000000" w:rsidRPr="00000000" w14:paraId="000000CF">
      <w:pPr>
        <w:pStyle w:val="Heading2"/>
        <w:spacing w:after="80" w:line="360" w:lineRule="auto"/>
        <w:jc w:val="both"/>
        <w:rPr>
          <w:sz w:val="22"/>
          <w:szCs w:val="22"/>
        </w:rPr>
      </w:pPr>
      <w:bookmarkStart w:colFirst="0" w:colLast="0" w:name="_2tkgl8c85ifr" w:id="12"/>
      <w:bookmarkEnd w:id="12"/>
      <w:r w:rsidDel="00000000" w:rsidR="00000000" w:rsidRPr="00000000">
        <w:rPr>
          <w:sz w:val="22"/>
          <w:szCs w:val="22"/>
          <w:rtl w:val="0"/>
        </w:rPr>
        <w:t xml:space="preserve">4.2 Marrybrown</w:t>
      </w:r>
    </w:p>
    <w:p w:rsidR="00000000" w:rsidDel="00000000" w:rsidP="00000000" w:rsidRDefault="00000000" w:rsidRPr="00000000" w14:paraId="000000D0">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15:Training Standard of Marrybrown</w:t>
      </w:r>
    </w:p>
    <w:p w:rsidR="00000000" w:rsidDel="00000000" w:rsidP="00000000" w:rsidRDefault="00000000" w:rsidRPr="00000000" w14:paraId="000000D1">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950109" cy="1730139"/>
            <wp:effectExtent b="0" l="0" r="0" t="0"/>
            <wp:docPr id="17" name="image20.png"/>
            <a:graphic>
              <a:graphicData uri="http://schemas.openxmlformats.org/drawingml/2006/picture">
                <pic:pic>
                  <pic:nvPicPr>
                    <pic:cNvPr id="0" name="image20.png"/>
                    <pic:cNvPicPr preferRelativeResize="0"/>
                  </pic:nvPicPr>
                  <pic:blipFill>
                    <a:blip r:embed="rId27"/>
                    <a:srcRect b="0" l="0" r="0" t="0"/>
                    <a:stretch>
                      <a:fillRect/>
                    </a:stretch>
                  </pic:blipFill>
                  <pic:spPr>
                    <a:xfrm>
                      <a:off x="0" y="0"/>
                      <a:ext cx="2950109" cy="1730139"/>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(2025)</w:t>
      </w:r>
    </w:p>
    <w:p w:rsidR="00000000" w:rsidDel="00000000" w:rsidP="00000000" w:rsidRDefault="00000000" w:rsidRPr="00000000" w14:paraId="000000D3">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hires staff in a formal application process, with an official job application form asking for applicants' personal, educational and employment details. After being hired, staff are trained to be ready for restaurant work. Training is a priority as it is essential that their operations are carried out by employees who know the products and can undertake standard operating procedures quickly and accurately, says Marrybrown. It also helps the company achieve its Quality, Service, Cleanliness and Value (QSCV) standards in its training (Marrybrown, 2025).</w:t>
      </w:r>
    </w:p>
    <w:p w:rsidR="00000000" w:rsidDel="00000000" w:rsidP="00000000" w:rsidRDefault="00000000" w:rsidRPr="00000000" w14:paraId="000000D4">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is an example of recruitment and employee development being integrated since Marrybrown does  not solely rely on employees’ existing skills. Rather, training is employed to build operational knowledge and skills of employees following recruitment. This is especially important in the fast-food business where workers must adhere to standard protocols while keeping the service and cleanliness up to standard.</w:t>
      </w:r>
    </w:p>
    <w:p w:rsidR="00000000" w:rsidDel="00000000" w:rsidP="00000000" w:rsidRDefault="00000000" w:rsidRPr="00000000" w14:paraId="000000D5">
      <w:pPr>
        <w:spacing w:after="240" w:before="240" w:line="360" w:lineRule="auto"/>
        <w:jc w:val="center"/>
        <w:rPr>
          <w:rFonts w:ascii="Times New Roman" w:cs="Times New Roman" w:eastAsia="Times New Roman" w:hAnsi="Times New Roman"/>
          <w:b w:val="1"/>
          <w:bCs w:val="1"/>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D6">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16: Marrybrown collaboration with UiTM</w:t>
      </w:r>
    </w:p>
    <w:p w:rsidR="00000000" w:rsidDel="00000000" w:rsidP="00000000" w:rsidRDefault="00000000" w:rsidRPr="00000000" w14:paraId="000000D7">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624138" cy="1726177"/>
            <wp:effectExtent b="0" l="0" r="0" t="0"/>
            <wp:docPr id="25" name="image21.png"/>
            <a:graphic>
              <a:graphicData uri="http://schemas.openxmlformats.org/drawingml/2006/picture">
                <pic:pic>
                  <pic:nvPicPr>
                    <pic:cNvPr id="0" name="image21.png"/>
                    <pic:cNvPicPr preferRelativeResize="0"/>
                  </pic:nvPicPr>
                  <pic:blipFill>
                    <a:blip r:embed="rId28"/>
                    <a:srcRect b="0" l="0" r="0" t="0"/>
                    <a:stretch>
                      <a:fillRect/>
                    </a:stretch>
                  </pic:blipFill>
                  <pic:spPr>
                    <a:xfrm>
                      <a:off x="0" y="0"/>
                      <a:ext cx="2624138" cy="1726177"/>
                    </a:xfrm>
                    <a:prstGeom prst="rect"/>
                    <a:ln/>
                  </pic:spPr>
                </pic:pic>
              </a:graphicData>
            </a:graphic>
          </wp:inline>
        </w:drawing>
      </w:r>
      <w:r w:rsidDel="00000000" w:rsidR="00000000" w:rsidRPr="00000000">
        <w:rPr>
          <w:rFonts w:ascii="Times New Roman" w:cs="Times New Roman" w:eastAsia="Times New Roman" w:hAnsi="Times New Roman"/>
          <w:b w:val="1"/>
          <w:bCs w:val="1"/>
          <w:rtl w:val="0"/>
        </w:rPr>
        <w:t xml:space="preserve"> </w:t>
      </w:r>
    </w:p>
    <w:p w:rsidR="00000000" w:rsidDel="00000000" w:rsidP="00000000" w:rsidRDefault="00000000" w:rsidRPr="00000000" w14:paraId="000000D8">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(2024)</w:t>
      </w:r>
    </w:p>
    <w:p w:rsidR="00000000" w:rsidDel="00000000" w:rsidP="00000000" w:rsidRDefault="00000000" w:rsidRPr="00000000" w14:paraId="000000D9">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collaboration between UiTM and Marrybrown to enhance the restaurant training programmes further exemplifies Marrybrown's commitment to upskilling employees and building its talent pipeline (Marrybrown, 2024).</w:t>
      </w:r>
      <w:r w:rsidDel="00000000" w:rsidR="00000000" w:rsidRPr="00000000">
        <w:rPr>
          <w:rtl w:val="0"/>
        </w:rPr>
      </w:r>
    </w:p>
    <w:p w:rsidR="00000000" w:rsidDel="00000000" w:rsidP="00000000" w:rsidRDefault="00000000" w:rsidRPr="00000000" w14:paraId="000000DA">
      <w:pPr>
        <w:pStyle w:val="Heading2"/>
        <w:spacing w:after="80" w:line="360" w:lineRule="auto"/>
        <w:jc w:val="both"/>
        <w:rPr>
          <w:sz w:val="22"/>
          <w:szCs w:val="22"/>
        </w:rPr>
      </w:pPr>
      <w:bookmarkStart w:colFirst="0" w:colLast="0" w:name="_6lhssujag6cm" w:id="13"/>
      <w:bookmarkEnd w:id="13"/>
      <w:r w:rsidDel="00000000" w:rsidR="00000000" w:rsidRPr="00000000">
        <w:rPr>
          <w:sz w:val="22"/>
          <w:szCs w:val="22"/>
          <w:rtl w:val="0"/>
        </w:rPr>
        <w:t xml:space="preserve">4.3 Analysis of Recruitment</w:t>
      </w:r>
    </w:p>
    <w:p w:rsidR="00000000" w:rsidDel="00000000" w:rsidP="00000000" w:rsidRDefault="00000000" w:rsidRPr="00000000" w14:paraId="000000DB">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two companies have different approaches to recruitment, depending on their size and organisational requirements. McDonald's has a more formalised approach to hiring due to the need for a large number of employees to maintain its many restaurants and support future expansion plans. It also has an Employee Value Proposition that demonstrates the link between recruitment, retention and future development.</w:t>
      </w:r>
    </w:p>
    <w:p w:rsidR="00000000" w:rsidDel="00000000" w:rsidP="00000000" w:rsidRDefault="00000000" w:rsidRPr="00000000" w14:paraId="000000DC">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Marrybrown's recruitment process is closely connected with practical training after employees join the organisation. This helps the organisation adapt because employees can learn the skills needed for changing operational requirements. Thus, both approaches have a role in supporting the staffing needs of organisations, but McDonald's has a greater emphasis on structured recruitment at scale, whilst Marrybrown has a greater emphasis on recruitment followed by practical development.</w:t>
      </w:r>
      <w:r w:rsidDel="00000000" w:rsidR="00000000" w:rsidRPr="00000000">
        <w:rPr>
          <w:rtl w:val="0"/>
        </w:rPr>
      </w:r>
    </w:p>
    <w:p w:rsidR="00000000" w:rsidDel="00000000" w:rsidP="00000000" w:rsidRDefault="00000000" w:rsidRPr="00000000" w14:paraId="000000DD">
      <w:pPr>
        <w:pStyle w:val="Heading1"/>
        <w:spacing w:before="0" w:line="360" w:lineRule="auto"/>
        <w:jc w:val="both"/>
        <w:rPr>
          <w:sz w:val="22"/>
          <w:szCs w:val="22"/>
        </w:rPr>
        <w:sectPr>
          <w:type w:val="nextPage"/>
          <w:pgSz w:h="16834" w:w="11909" w:orient="portrait"/>
          <w:pgMar w:bottom="1440" w:top="1440" w:left="1440" w:right="1440" w:header="720" w:footer="720"/>
        </w:sectPr>
      </w:pPr>
      <w:bookmarkStart w:colFirst="0" w:colLast="0" w:name="_nt44mu8gmdia" w:id="14"/>
      <w:bookmarkEnd w:id="14"/>
      <w:r w:rsidDel="00000000" w:rsidR="00000000" w:rsidRPr="00000000">
        <w:rPr>
          <w:rtl w:val="0"/>
        </w:rPr>
      </w:r>
    </w:p>
    <w:p w:rsidR="00000000" w:rsidDel="00000000" w:rsidP="00000000" w:rsidRDefault="00000000" w:rsidRPr="00000000" w14:paraId="000000DE">
      <w:pPr>
        <w:pStyle w:val="Heading1"/>
        <w:spacing w:before="0" w:line="360" w:lineRule="auto"/>
        <w:jc w:val="both"/>
        <w:rPr>
          <w:sz w:val="22"/>
          <w:szCs w:val="22"/>
        </w:rPr>
      </w:pPr>
      <w:bookmarkStart w:colFirst="0" w:colLast="0" w:name="_q2oov8tkx8b" w:id="15"/>
      <w:bookmarkEnd w:id="15"/>
      <w:r w:rsidDel="00000000" w:rsidR="00000000" w:rsidRPr="00000000">
        <w:rPr>
          <w:sz w:val="22"/>
          <w:szCs w:val="22"/>
          <w:rtl w:val="0"/>
        </w:rPr>
        <w:t xml:space="preserve">5.0 Training and Development</w:t>
      </w:r>
    </w:p>
    <w:p w:rsidR="00000000" w:rsidDel="00000000" w:rsidP="00000000" w:rsidRDefault="00000000" w:rsidRPr="00000000" w14:paraId="000000DF">
      <w:pPr>
        <w:pStyle w:val="Heading2"/>
        <w:spacing w:after="80" w:before="0" w:line="360" w:lineRule="auto"/>
        <w:jc w:val="both"/>
        <w:rPr>
          <w:sz w:val="22"/>
          <w:szCs w:val="22"/>
        </w:rPr>
      </w:pPr>
      <w:bookmarkStart w:colFirst="0" w:colLast="0" w:name="_izvikmwkzdc3" w:id="16"/>
      <w:bookmarkEnd w:id="16"/>
      <w:r w:rsidDel="00000000" w:rsidR="00000000" w:rsidRPr="00000000">
        <w:rPr>
          <w:sz w:val="22"/>
          <w:szCs w:val="22"/>
          <w:rtl w:val="0"/>
        </w:rPr>
        <w:t xml:space="preserve">5.1 McDonald's</w:t>
      </w:r>
    </w:p>
    <w:p w:rsidR="00000000" w:rsidDel="00000000" w:rsidP="00000000" w:rsidRDefault="00000000" w:rsidRPr="00000000" w14:paraId="000000E0">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17: McDonald's Hamburger University</w:t>
      </w:r>
    </w:p>
    <w:p w:rsidR="00000000" w:rsidDel="00000000" w:rsidP="00000000" w:rsidRDefault="00000000" w:rsidRPr="00000000" w14:paraId="000000E1">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4611525" cy="1256092"/>
            <wp:effectExtent b="0" l="0" r="0" t="0"/>
            <wp:docPr id="23" name="image6.png"/>
            <a:graphic>
              <a:graphicData uri="http://schemas.openxmlformats.org/drawingml/2006/picture">
                <pic:pic>
                  <pic:nvPicPr>
                    <pic:cNvPr id="0" name="image6.png"/>
                    <pic:cNvPicPr preferRelativeResize="0"/>
                  </pic:nvPicPr>
                  <pic:blipFill>
                    <a:blip r:embed="rId29"/>
                    <a:srcRect b="0" l="0" r="0" t="0"/>
                    <a:stretch>
                      <a:fillRect/>
                    </a:stretch>
                  </pic:blipFill>
                  <pic:spPr>
                    <a:xfrm>
                      <a:off x="0" y="0"/>
                      <a:ext cx="4611525" cy="1256092"/>
                    </a:xfrm>
                    <a:prstGeom prst="rect"/>
                    <a:ln/>
                  </pic:spPr>
                </pic:pic>
              </a:graphicData>
            </a:graphic>
          </wp:inline>
        </w:drawing>
      </w:r>
      <w:r w:rsidDel="00000000" w:rsidR="00000000" w:rsidRPr="00000000">
        <w:rPr>
          <w:rtl w:val="0"/>
        </w:rPr>
      </w:r>
    </w:p>
    <w:p w:rsidR="00000000" w:rsidDel="00000000" w:rsidP="00000000" w:rsidRDefault="00000000" w:rsidRPr="00000000" w14:paraId="000000E2">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(2026)</w:t>
      </w:r>
    </w:p>
    <w:p w:rsidR="00000000" w:rsidDel="00000000" w:rsidP="00000000" w:rsidRDefault="00000000" w:rsidRPr="00000000" w14:paraId="000000E3">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Hamburger University, McDonald's global training centre, is an important part of the company in terms of training and career development. The programme combines structured classroom components, hands-on experience, networking and mentoring, preparing employees for greater responsibilities. Restaurant employees completed over 20 million training courses while corporate employees completed 188,850 training courses in 2024.</w:t>
      </w:r>
    </w:p>
    <w:p w:rsidR="00000000" w:rsidDel="00000000" w:rsidP="00000000" w:rsidRDefault="00000000" w:rsidRPr="00000000" w14:paraId="000000E4">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18: McDonald's contribution to education through Archway to Opportunity</w:t>
      </w:r>
    </w:p>
    <w:p w:rsidR="00000000" w:rsidDel="00000000" w:rsidP="00000000" w:rsidRDefault="00000000" w:rsidRPr="00000000" w14:paraId="000000E5">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1862138" cy="1790993"/>
            <wp:effectExtent b="0" l="0" r="0" t="0"/>
            <wp:docPr id="1" name="image8.png"/>
            <a:graphic>
              <a:graphicData uri="http://schemas.openxmlformats.org/drawingml/2006/picture">
                <pic:pic>
                  <pic:nvPicPr>
                    <pic:cNvPr id="0" name="image8.png"/>
                    <pic:cNvPicPr preferRelativeResize="0"/>
                  </pic:nvPicPr>
                  <pic:blipFill>
                    <a:blip r:embed="rId30"/>
                    <a:srcRect b="0" l="0" r="0" t="0"/>
                    <a:stretch>
                      <a:fillRect/>
                    </a:stretch>
                  </pic:blipFill>
                  <pic:spPr>
                    <a:xfrm>
                      <a:off x="0" y="0"/>
                      <a:ext cx="1862138" cy="1790993"/>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(2026)</w:t>
      </w:r>
    </w:p>
    <w:p w:rsidR="00000000" w:rsidDel="00000000" w:rsidP="00000000" w:rsidRDefault="00000000" w:rsidRPr="00000000" w14:paraId="000000E7">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also supports employee education through programmes such as Archways to Opportunity. Its global education programmes have supported employees in 25 countries. In the United States, the programme has helped nearly 69,000 restaurant employees receive more than $230 million in tuition assistance. It has also supported more than 2,000 students graduating from Career Online High School and more than 10,500 students graduating from Archways programmes.</w:t>
      </w:r>
    </w:p>
    <w:p w:rsidR="00000000" w:rsidDel="00000000" w:rsidP="00000000" w:rsidRDefault="00000000" w:rsidRPr="00000000" w14:paraId="000000E8">
      <w:pPr>
        <w:spacing w:after="240" w:before="240" w:line="360" w:lineRule="auto"/>
        <w:jc w:val="cente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E9">
      <w:pPr>
        <w:spacing w:after="240" w:before="240" w:line="360" w:lineRule="auto"/>
        <w:jc w:val="cente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EA">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19: McDonald's Malaysia Vocational Academy </w:t>
      </w:r>
    </w:p>
    <w:p w:rsidR="00000000" w:rsidDel="00000000" w:rsidP="00000000" w:rsidRDefault="00000000" w:rsidRPr="00000000" w14:paraId="000000EB">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Read as: McDonald's Vocational Academy Opens Career Pathways for Youth</w:t>
      </w:r>
    </w:p>
    <w:p w:rsidR="00000000" w:rsidDel="00000000" w:rsidP="00000000" w:rsidRDefault="00000000" w:rsidRPr="00000000" w14:paraId="000000EC">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043113" cy="1733550"/>
            <wp:effectExtent b="0" l="0" r="0" t="0"/>
            <wp:docPr id="7" name="image25.png"/>
            <a:graphic>
              <a:graphicData uri="http://schemas.openxmlformats.org/drawingml/2006/picture">
                <pic:pic>
                  <pic:nvPicPr>
                    <pic:cNvPr id="0" name="image25.png"/>
                    <pic:cNvPicPr preferRelativeResize="0"/>
                  </pic:nvPicPr>
                  <pic:blipFill>
                    <a:blip r:embed="rId31"/>
                    <a:srcRect b="0" l="0" r="0" t="0"/>
                    <a:stretch>
                      <a:fillRect/>
                    </a:stretch>
                  </pic:blipFill>
                  <pic:spPr>
                    <a:xfrm>
                      <a:off x="0" y="0"/>
                      <a:ext cx="2043113" cy="1733550"/>
                    </a:xfrm>
                    <a:prstGeom prst="rect"/>
                    <a:ln/>
                  </pic:spPr>
                </pic:pic>
              </a:graphicData>
            </a:graphic>
          </wp:inline>
        </w:drawing>
      </w:r>
      <w:r w:rsidDel="00000000" w:rsidR="00000000" w:rsidRPr="00000000">
        <w:rPr>
          <w:rtl w:val="0"/>
        </w:rPr>
      </w:r>
    </w:p>
    <w:p w:rsidR="00000000" w:rsidDel="00000000" w:rsidP="00000000" w:rsidRDefault="00000000" w:rsidRPr="00000000" w14:paraId="000000ED">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McDonald's Malaysia (2025)</w:t>
      </w:r>
    </w:p>
    <w:p w:rsidR="00000000" w:rsidDel="00000000" w:rsidP="00000000" w:rsidRDefault="00000000" w:rsidRPr="00000000" w14:paraId="000000EE">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McDonald's Vocational Apprentice Programme is another instance of employee development in Malaysia. It is a government-recognised dual training system of 30% theory and 70% practical training carried out in McDonald's restaurants (McDonald's Malaysia, 2026). This enables participants to acquire both theoretical knowledge and practical skills.</w:t>
      </w:r>
      <w:r w:rsidDel="00000000" w:rsidR="00000000" w:rsidRPr="00000000">
        <w:rPr>
          <w:rtl w:val="0"/>
        </w:rPr>
      </w:r>
    </w:p>
    <w:p w:rsidR="00000000" w:rsidDel="00000000" w:rsidP="00000000" w:rsidRDefault="00000000" w:rsidRPr="00000000" w14:paraId="000000EF">
      <w:pPr>
        <w:pStyle w:val="Heading2"/>
        <w:spacing w:after="80" w:line="360" w:lineRule="auto"/>
        <w:jc w:val="both"/>
        <w:rPr>
          <w:sz w:val="22"/>
          <w:szCs w:val="22"/>
        </w:rPr>
      </w:pPr>
      <w:bookmarkStart w:colFirst="0" w:colLast="0" w:name="_5oayqs74alam" w:id="17"/>
      <w:bookmarkEnd w:id="17"/>
      <w:r w:rsidDel="00000000" w:rsidR="00000000" w:rsidRPr="00000000">
        <w:rPr>
          <w:sz w:val="22"/>
          <w:szCs w:val="22"/>
          <w:rtl w:val="0"/>
        </w:rPr>
        <w:t xml:space="preserve">5.2 Marrybrown</w:t>
      </w:r>
    </w:p>
    <w:p w:rsidR="00000000" w:rsidDel="00000000" w:rsidP="00000000" w:rsidRDefault="00000000" w:rsidRPr="00000000" w14:paraId="000000F0">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20: Newly certified trainers under the Human Resources Development Corp (HRD Corp)</w:t>
      </w:r>
    </w:p>
    <w:p w:rsidR="00000000" w:rsidDel="00000000" w:rsidP="00000000" w:rsidRDefault="00000000" w:rsidRPr="00000000" w14:paraId="000000F1">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1947863" cy="1239255"/>
            <wp:effectExtent b="0" l="0" r="0" t="0"/>
            <wp:docPr id="22" name="image24.png"/>
            <a:graphic>
              <a:graphicData uri="http://schemas.openxmlformats.org/drawingml/2006/picture">
                <pic:pic>
                  <pic:nvPicPr>
                    <pic:cNvPr id="0" name="image24.png"/>
                    <pic:cNvPicPr preferRelativeResize="0"/>
                  </pic:nvPicPr>
                  <pic:blipFill>
                    <a:blip r:embed="rId32"/>
                    <a:srcRect b="0" l="0" r="0" t="0"/>
                    <a:stretch>
                      <a:fillRect/>
                    </a:stretch>
                  </pic:blipFill>
                  <pic:spPr>
                    <a:xfrm>
                      <a:off x="0" y="0"/>
                      <a:ext cx="1947863" cy="1239255"/>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keepNext w:val="0"/>
        <w:keepLines w:val="0"/>
        <w:spacing w:after="8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Marrybrown (2025)</w:t>
      </w:r>
    </w:p>
    <w:p w:rsidR="00000000" w:rsidDel="00000000" w:rsidP="00000000" w:rsidRDefault="00000000" w:rsidRPr="00000000" w14:paraId="000000F3">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Employee training and development is also a priority for Marrybrown. Marrybrown has developed HRD Corp-certified trainers through the Train-the-Trainer programme, which focuses on learning principles, leadership confidence, facilitation and presentation skills.</w:t>
      </w:r>
    </w:p>
    <w:p w:rsidR="00000000" w:rsidDel="00000000" w:rsidP="00000000" w:rsidRDefault="00000000" w:rsidRPr="00000000" w14:paraId="000000F4">
      <w:pPr>
        <w:spacing w:after="240" w:before="240" w:line="360" w:lineRule="auto"/>
        <w:jc w:val="center"/>
        <w:rPr>
          <w:rFonts w:ascii="Times New Roman" w:cs="Times New Roman" w:eastAsia="Times New Roman" w:hAnsi="Times New Roman"/>
          <w:b w:val="1"/>
          <w:bCs w:val="1"/>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F5">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21: Signation of Memorandum of Understanding (MoU) with Universiti Tunku Abdul Rahman (UTAR)</w:t>
      </w:r>
    </w:p>
    <w:p w:rsidR="00000000" w:rsidDel="00000000" w:rsidP="00000000" w:rsidRDefault="00000000" w:rsidRPr="00000000" w14:paraId="000000F6">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2347913" cy="1384944"/>
            <wp:effectExtent b="0" l="0" r="0" t="0"/>
            <wp:docPr id="13" name="image13.png"/>
            <a:graphic>
              <a:graphicData uri="http://schemas.openxmlformats.org/drawingml/2006/picture">
                <pic:pic>
                  <pic:nvPicPr>
                    <pic:cNvPr id="0" name="image13.png"/>
                    <pic:cNvPicPr preferRelativeResize="0"/>
                  </pic:nvPicPr>
                  <pic:blipFill>
                    <a:blip r:embed="rId33"/>
                    <a:srcRect b="0" l="0" r="0" t="0"/>
                    <a:stretch>
                      <a:fillRect/>
                    </a:stretch>
                  </pic:blipFill>
                  <pic:spPr>
                    <a:xfrm>
                      <a:off x="0" y="0"/>
                      <a:ext cx="2347913" cy="1384944"/>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Source: Universiti Tunku Abdul Rahman (2024)</w:t>
      </w:r>
    </w:p>
    <w:p w:rsidR="00000000" w:rsidDel="00000000" w:rsidP="00000000" w:rsidRDefault="00000000" w:rsidRPr="00000000" w14:paraId="000000F8">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has also established relationships with universities to support skills development, continued education and career pathways. In 2024, it signed a Memorandum of Understanding with Universiti Tunku Abdul Rahman (UTAR), which included skill training, continued education, professional growth and career development opportunities. </w:t>
      </w:r>
    </w:p>
    <w:p w:rsidR="00000000" w:rsidDel="00000000" w:rsidP="00000000" w:rsidRDefault="00000000" w:rsidRPr="00000000" w14:paraId="000000F9">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December 2024, Marrybrown collaborated with Universiti Teknologi MARA (UiTM) to enhance its Restaurant Training Programmes and facilitate upskilling and the building of a robust talent pipeline (Marrybrown 2024). </w:t>
      </w:r>
    </w:p>
    <w:p w:rsidR="00000000" w:rsidDel="00000000" w:rsidP="00000000" w:rsidRDefault="00000000" w:rsidRPr="00000000" w14:paraId="000000FA">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Figure 22: Marrybrown at Universiti Teknologi MARA’s 103rd Convocation </w:t>
      </w:r>
    </w:p>
    <w:p w:rsidR="00000000" w:rsidDel="00000000" w:rsidP="00000000" w:rsidRDefault="00000000" w:rsidRPr="00000000" w14:paraId="000000FB">
      <w:pPr>
        <w:spacing w:after="240" w:before="240"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Pr>
        <w:drawing>
          <wp:inline distB="114300" distT="114300" distL="114300" distR="114300">
            <wp:extent cx="3047550" cy="1923703"/>
            <wp:effectExtent b="0" l="0" r="0" t="0"/>
            <wp:docPr id="6" name="image22.png"/>
            <a:graphic>
              <a:graphicData uri="http://schemas.openxmlformats.org/drawingml/2006/picture">
                <pic:pic>
                  <pic:nvPicPr>
                    <pic:cNvPr id="0" name="image22.png"/>
                    <pic:cNvPicPr preferRelativeResize="0"/>
                  </pic:nvPicPr>
                  <pic:blipFill>
                    <a:blip r:embed="rId34"/>
                    <a:srcRect b="0" l="0" r="0" t="0"/>
                    <a:stretch>
                      <a:fillRect/>
                    </a:stretch>
                  </pic:blipFill>
                  <pic:spPr>
                    <a:xfrm>
                      <a:off x="0" y="0"/>
                      <a:ext cx="3047550" cy="1923703"/>
                    </a:xfrm>
                    <a:prstGeom prst="rect"/>
                    <a:ln/>
                  </pic:spPr>
                </pic:pic>
              </a:graphicData>
            </a:graphic>
          </wp:inline>
        </w:drawing>
      </w:r>
      <w:r w:rsidDel="00000000" w:rsidR="00000000" w:rsidRPr="00000000">
        <w:rPr>
          <w:rtl w:val="0"/>
        </w:rPr>
      </w:r>
    </w:p>
    <w:p w:rsidR="00000000" w:rsidDel="00000000" w:rsidP="00000000" w:rsidRDefault="00000000" w:rsidRPr="00000000" w14:paraId="000000FC">
      <w:pPr>
        <w:spacing w:after="240" w:before="24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Source: Marrybrown (2025)</w:t>
      </w:r>
      <w:r w:rsidDel="00000000" w:rsidR="00000000" w:rsidRPr="00000000">
        <w:rPr>
          <w:rtl w:val="0"/>
        </w:rPr>
      </w:r>
    </w:p>
    <w:p w:rsidR="00000000" w:rsidDel="00000000" w:rsidP="00000000" w:rsidRDefault="00000000" w:rsidRPr="00000000" w14:paraId="000000FD">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also provides opportunities for future talent in the food service industry. The company also awarded the Marrybrown Award to the best student of the Degree in Food Service and Entrepreneurship at the 103rd Convocation of the Universiti Teknologi MARA (UiTM) and gave vouchers to the top students to encourage their future success (Marrybrown, 2025).This means that Marrybrown's people development strategy is not limited to their current employees, but also includes students who could be future talent in the food service sector.</w:t>
      </w:r>
      <w:r w:rsidDel="00000000" w:rsidR="00000000" w:rsidRPr="00000000">
        <w:rPr>
          <w:rtl w:val="0"/>
        </w:rPr>
      </w:r>
    </w:p>
    <w:p w:rsidR="00000000" w:rsidDel="00000000" w:rsidP="00000000" w:rsidRDefault="00000000" w:rsidRPr="00000000" w14:paraId="000000FE">
      <w:pPr>
        <w:pStyle w:val="Heading2"/>
        <w:spacing w:after="80" w:line="360" w:lineRule="auto"/>
        <w:jc w:val="both"/>
        <w:rPr>
          <w:sz w:val="22"/>
          <w:szCs w:val="22"/>
        </w:rPr>
      </w:pPr>
      <w:bookmarkStart w:colFirst="0" w:colLast="0" w:name="_24hnwzx7orq4" w:id="18"/>
      <w:bookmarkEnd w:id="18"/>
      <w:r w:rsidDel="00000000" w:rsidR="00000000" w:rsidRPr="00000000">
        <w:rPr>
          <w:sz w:val="22"/>
          <w:szCs w:val="22"/>
          <w:rtl w:val="0"/>
        </w:rPr>
        <w:t xml:space="preserve">5.3 Analysis of Training and Development</w:t>
      </w:r>
    </w:p>
    <w:p w:rsidR="00000000" w:rsidDel="00000000" w:rsidP="00000000" w:rsidRDefault="00000000" w:rsidRPr="00000000" w14:paraId="000000FF">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While both companies invest in employee development, their approaches are different. Hamburger University, education programmes and vocational training are all part of McDonald's highly structured training system. These programmes enable workers to build on their current abilities and qualifications and to advance their careers. This supports the company's focus on employee development, while its structured training and use of technology also support operational efficiency.</w:t>
      </w:r>
    </w:p>
    <w:p w:rsidR="00000000" w:rsidDel="00000000" w:rsidP="00000000" w:rsidRDefault="00000000" w:rsidRPr="00000000" w14:paraId="00000100">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Unlike McDonald's, which has Hamburger University as a dedicated global training centre, Marrybrown's documented training approach includes on-the-job training, HRD Corp Train-the-Trainer programmes and partnerships with universities. This demonstrates characteristics of an adaptive approach, as staff can acquire new skills in real working environments and the organisation can adapt to them and respond to changing work needs. Training also plays a role in Marrybrown's differentiation strategy, specifically by building knowledge and skills needed for its operations and growth.</w:t>
      </w:r>
      <w:r w:rsidDel="00000000" w:rsidR="00000000" w:rsidRPr="00000000">
        <w:rPr>
          <w:rtl w:val="0"/>
        </w:rPr>
      </w:r>
    </w:p>
    <w:p w:rsidR="00000000" w:rsidDel="00000000" w:rsidP="00000000" w:rsidRDefault="00000000" w:rsidRPr="00000000" w14:paraId="00000101">
      <w:pPr>
        <w:pStyle w:val="Heading1"/>
        <w:rPr>
          <w:sz w:val="22"/>
          <w:szCs w:val="22"/>
        </w:rPr>
      </w:pPr>
      <w:bookmarkStart w:colFirst="0" w:colLast="0" w:name="_7rnlb8laxbqy" w:id="19"/>
      <w:bookmarkEnd w:id="19"/>
      <w:r w:rsidDel="00000000" w:rsidR="00000000" w:rsidRPr="00000000">
        <w:rPr>
          <w:sz w:val="22"/>
          <w:szCs w:val="22"/>
          <w:rtl w:val="0"/>
        </w:rPr>
        <w:t xml:space="preserve">6.0 Conclusion</w:t>
      </w:r>
    </w:p>
    <w:p w:rsidR="00000000" w:rsidDel="00000000" w:rsidP="00000000" w:rsidRDefault="00000000" w:rsidRPr="00000000" w14:paraId="00000102">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both McDonald's and Marrybrown employ people and leadership strategies to meet their organisational needs, but the strategies vary in terms of their size, structure and business strategies. Both organisations value diversity and equality, recruitment, and training and development of employees.</w:t>
      </w:r>
    </w:p>
    <w:p w:rsidR="00000000" w:rsidDel="00000000" w:rsidP="00000000" w:rsidRDefault="00000000" w:rsidRPr="00000000" w14:paraId="00000103">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has a more structured and standardised approach, which is consistent with its large scale and emphasis on employee development and cost leadership strategy. It has formal DEI policies, structured recruitment practices, Hamburger University, education programmes and vocational training, all of which support employee development and consistency across the organisation.</w:t>
      </w:r>
    </w:p>
    <w:p w:rsidR="00000000" w:rsidDel="00000000" w:rsidP="00000000" w:rsidRDefault="00000000" w:rsidRPr="00000000" w14:paraId="00000104">
      <w:pPr>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Marrybrown's documented people practices show greater emphasis on practical development, local relevance and flexibility, which are aligned with its international growth, Malaysian identity and differentiation strategy. It focuses on equal opportunities and local recruitment while adapting to evolving organisational needs through practical training, university collaborations and employee development.</w:t>
      </w:r>
    </w:p>
    <w:p w:rsidR="00000000" w:rsidDel="00000000" w:rsidP="00000000" w:rsidRDefault="00000000" w:rsidRPr="00000000" w14:paraId="00000105">
      <w:pPr>
        <w:spacing w:after="240" w:before="240" w:line="360" w:lineRule="auto"/>
        <w:jc w:val="both"/>
        <w:rPr>
          <w:sz w:val="22"/>
          <w:szCs w:val="22"/>
        </w:rPr>
      </w:pPr>
      <w:r w:rsidDel="00000000" w:rsidR="00000000" w:rsidRPr="00000000">
        <w:rPr>
          <w:rFonts w:ascii="Times New Roman" w:cs="Times New Roman" w:eastAsia="Times New Roman" w:hAnsi="Times New Roman"/>
          <w:rtl w:val="0"/>
        </w:rPr>
        <w:t xml:space="preserve">So the two companies demonstrate that people strategies must be congruent with the context of the organisation. While both organisations employ people practices to develop their employees and support their business, the people and leadership approaches differ in each company even when they operate in the same fast-food industry. In general, the comparison illustrates how organisations in the same industry can implement different leadership strategies based on their organisational structure, business strategy and operating environment.</w:t>
      </w:r>
      <w:r w:rsidDel="00000000" w:rsidR="00000000" w:rsidRPr="00000000">
        <w:rPr>
          <w:rtl w:val="0"/>
        </w:rPr>
      </w:r>
    </w:p>
    <w:p w:rsidR="00000000" w:rsidDel="00000000" w:rsidP="00000000" w:rsidRDefault="00000000" w:rsidRPr="00000000" w14:paraId="000001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07">
      <w:pPr>
        <w:pStyle w:val="Heading1"/>
        <w:spacing w:after="0" w:before="0" w:line="360" w:lineRule="auto"/>
        <w:jc w:val="both"/>
        <w:rPr>
          <w:sz w:val="22"/>
          <w:szCs w:val="22"/>
        </w:rPr>
      </w:pPr>
      <w:bookmarkStart w:colFirst="0" w:colLast="0" w:name="_7fp2dl5q6ht3" w:id="20"/>
      <w:bookmarkEnd w:id="20"/>
      <w:r w:rsidDel="00000000" w:rsidR="00000000" w:rsidRPr="00000000">
        <w:br w:type="page"/>
      </w:r>
      <w:r w:rsidDel="00000000" w:rsidR="00000000" w:rsidRPr="00000000">
        <w:rPr>
          <w:rtl w:val="0"/>
        </w:rPr>
      </w:r>
    </w:p>
    <w:p w:rsidR="00000000" w:rsidDel="00000000" w:rsidP="00000000" w:rsidRDefault="00000000" w:rsidRPr="00000000" w14:paraId="00000108">
      <w:pPr>
        <w:pStyle w:val="Heading1"/>
        <w:spacing w:after="0" w:before="0" w:line="360" w:lineRule="auto"/>
        <w:jc w:val="both"/>
        <w:rPr>
          <w:sz w:val="22"/>
          <w:szCs w:val="22"/>
        </w:rPr>
      </w:pPr>
      <w:bookmarkStart w:colFirst="0" w:colLast="0" w:name="_z3lhpafmwmqe" w:id="21"/>
      <w:bookmarkEnd w:id="21"/>
      <w:r w:rsidDel="00000000" w:rsidR="00000000" w:rsidRPr="00000000">
        <w:rPr>
          <w:sz w:val="22"/>
          <w:szCs w:val="22"/>
          <w:rtl w:val="0"/>
        </w:rPr>
        <w:t xml:space="preserve">7.0 References</w:t>
      </w:r>
    </w:p>
    <w:p w:rsidR="00000000" w:rsidDel="00000000" w:rsidP="00000000" w:rsidRDefault="00000000" w:rsidRPr="00000000" w14:paraId="00000109">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Biscontini, Tyler. (2022). Taylorism. Retrieved from </w:t>
      </w:r>
      <w:hyperlink r:id="rId35">
        <w:r w:rsidDel="00000000" w:rsidR="00000000" w:rsidRPr="00000000">
          <w:rPr>
            <w:rFonts w:ascii="Times New Roman" w:cs="Times New Roman" w:eastAsia="Times New Roman" w:hAnsi="Times New Roman"/>
            <w:color w:val="1155cc"/>
            <w:u w:val="single"/>
            <w:rtl w:val="0"/>
          </w:rPr>
          <w:t xml:space="preserve">https://www.ebsco.com/research-starters/business-and-management/taylorism/</w:t>
        </w:r>
      </w:hyperlink>
      <w:r w:rsidDel="00000000" w:rsidR="00000000" w:rsidRPr="00000000">
        <w:rPr>
          <w:rtl w:val="0"/>
        </w:rPr>
      </w:r>
    </w:p>
    <w:p w:rsidR="00000000" w:rsidDel="00000000" w:rsidP="00000000" w:rsidRDefault="00000000" w:rsidRPr="00000000" w14:paraId="0000010A">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(2022) MB International Women’s Day #BreakTheBias Video &amp; RM3.80 Meals. Retrieved from </w:t>
      </w:r>
      <w:hyperlink r:id="rId36">
        <w:r w:rsidDel="00000000" w:rsidR="00000000" w:rsidRPr="00000000">
          <w:rPr>
            <w:rFonts w:ascii="Times New Roman" w:cs="Times New Roman" w:eastAsia="Times New Roman" w:hAnsi="Times New Roman"/>
            <w:color w:val="1155cc"/>
            <w:u w:val="single"/>
            <w:rtl w:val="0"/>
          </w:rPr>
          <w:t xml:space="preserve">https://marrybrown.com/corporate/promotion/mb-international-womens-day-breakthebias-video-rm3-80-meals/</w:t>
        </w:r>
      </w:hyperlink>
      <w:r w:rsidDel="00000000" w:rsidR="00000000" w:rsidRPr="00000000">
        <w:rPr>
          <w:rtl w:val="0"/>
        </w:rPr>
      </w:r>
    </w:p>
    <w:p w:rsidR="00000000" w:rsidDel="00000000" w:rsidP="00000000" w:rsidRDefault="00000000" w:rsidRPr="00000000" w14:paraId="0000010B">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(2024) Marrybrown Brings Local Delicious Goodness to Cambodia And Uzbekistan. Retrieved from </w:t>
      </w:r>
      <w:hyperlink r:id="rId37">
        <w:r w:rsidDel="00000000" w:rsidR="00000000" w:rsidRPr="00000000">
          <w:rPr>
            <w:rFonts w:ascii="Times New Roman" w:cs="Times New Roman" w:eastAsia="Times New Roman" w:hAnsi="Times New Roman"/>
            <w:color w:val="1155cc"/>
            <w:u w:val="single"/>
            <w:rtl w:val="0"/>
          </w:rPr>
          <w:t xml:space="preserve">https://marrybrown.com/corporate/news-events/marrybrown-brings-local-delicious-goodness-to-cambodia-and-uzbekistan/</w:t>
        </w:r>
      </w:hyperlink>
      <w:r w:rsidDel="00000000" w:rsidR="00000000" w:rsidRPr="00000000">
        <w:rPr>
          <w:rtl w:val="0"/>
        </w:rPr>
      </w:r>
    </w:p>
    <w:p w:rsidR="00000000" w:rsidDel="00000000" w:rsidP="00000000" w:rsidRDefault="00000000" w:rsidRPr="00000000" w14:paraId="0000010C">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(2024) Marrybrown Partners with UiTM to Elevate Restaurant Training Standard. </w:t>
      </w:r>
      <w:hyperlink r:id="rId38">
        <w:r w:rsidDel="00000000" w:rsidR="00000000" w:rsidRPr="00000000">
          <w:rPr>
            <w:rFonts w:ascii="Times New Roman" w:cs="Times New Roman" w:eastAsia="Times New Roman" w:hAnsi="Times New Roman"/>
            <w:color w:val="1155cc"/>
            <w:u w:val="single"/>
            <w:rtl w:val="0"/>
          </w:rPr>
          <w:t xml:space="preserve">https://marrybrown.com/corporate/news-events/marrybrown-partners-with-uitm-to-elevate-restaurant-training-standard/</w:t>
        </w:r>
      </w:hyperlink>
      <w:r w:rsidDel="00000000" w:rsidR="00000000" w:rsidRPr="00000000">
        <w:rPr>
          <w:rtl w:val="0"/>
        </w:rPr>
      </w:r>
    </w:p>
    <w:p w:rsidR="00000000" w:rsidDel="00000000" w:rsidP="00000000" w:rsidRDefault="00000000" w:rsidRPr="00000000" w14:paraId="0000010D">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(2025) Great Place to Work® Certified Qatar. Retrieved from </w:t>
      </w:r>
      <w:hyperlink r:id="rId39">
        <w:r w:rsidDel="00000000" w:rsidR="00000000" w:rsidRPr="00000000">
          <w:rPr>
            <w:rFonts w:ascii="Times New Roman" w:cs="Times New Roman" w:eastAsia="Times New Roman" w:hAnsi="Times New Roman"/>
            <w:color w:val="1155cc"/>
            <w:u w:val="single"/>
            <w:rtl w:val="0"/>
          </w:rPr>
          <w:t xml:space="preserve">https://marrybrown.com/corporate/news-events/great-place-to-work-certified-qatar/</w:t>
        </w:r>
      </w:hyperlink>
      <w:r w:rsidDel="00000000" w:rsidR="00000000" w:rsidRPr="00000000">
        <w:rPr>
          <w:rtl w:val="0"/>
        </w:rPr>
      </w:r>
    </w:p>
    <w:p w:rsidR="00000000" w:rsidDel="00000000" w:rsidP="00000000" w:rsidRDefault="00000000" w:rsidRPr="00000000" w14:paraId="0000010E">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(2025) Marrybrown Proudly Supports HRD Corp’s International Day of Persons with Disabilities. Retrieved from </w:t>
      </w:r>
      <w:hyperlink r:id="rId40">
        <w:r w:rsidDel="00000000" w:rsidR="00000000" w:rsidRPr="00000000">
          <w:rPr>
            <w:rFonts w:ascii="Times New Roman" w:cs="Times New Roman" w:eastAsia="Times New Roman" w:hAnsi="Times New Roman"/>
            <w:color w:val="1155cc"/>
            <w:u w:val="single"/>
            <w:rtl w:val="0"/>
          </w:rPr>
          <w:t xml:space="preserve">https://marrybrown.com/corporate/news-events/marrybrown-proudly-supports-hrd-corps-international-day-of-persons-with-disabilities/</w:t>
        </w:r>
      </w:hyperlink>
      <w:r w:rsidDel="00000000" w:rsidR="00000000" w:rsidRPr="00000000">
        <w:rPr>
          <w:rtl w:val="0"/>
        </w:rPr>
      </w:r>
    </w:p>
    <w:p w:rsidR="00000000" w:rsidDel="00000000" w:rsidP="00000000" w:rsidRDefault="00000000" w:rsidRPr="00000000" w14:paraId="0000010F">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(2025) MB-U-I December 2025. Retrieved from </w:t>
      </w:r>
      <w:hyperlink r:id="rId41">
        <w:r w:rsidDel="00000000" w:rsidR="00000000" w:rsidRPr="00000000">
          <w:rPr>
            <w:rFonts w:ascii="Times New Roman" w:cs="Times New Roman" w:eastAsia="Times New Roman" w:hAnsi="Times New Roman"/>
            <w:color w:val="1155cc"/>
            <w:u w:val="single"/>
            <w:rtl w:val="0"/>
          </w:rPr>
          <w:t xml:space="preserve">december 2025Marrybrownhttps://marrybrown.com › MB-U-I-DEC-2025</w:t>
        </w:r>
      </w:hyperlink>
      <w:r w:rsidDel="00000000" w:rsidR="00000000" w:rsidRPr="00000000">
        <w:rPr>
          <w:rtl w:val="0"/>
        </w:rPr>
      </w:r>
    </w:p>
    <w:p w:rsidR="00000000" w:rsidDel="00000000" w:rsidP="00000000" w:rsidRDefault="00000000" w:rsidRPr="00000000" w14:paraId="00000110">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(2025) Recognition of Marrybrown’s Newly Certified HRD Corp Trainers. Retrieved from </w:t>
      </w:r>
      <w:hyperlink r:id="rId42">
        <w:r w:rsidDel="00000000" w:rsidR="00000000" w:rsidRPr="00000000">
          <w:rPr>
            <w:rFonts w:ascii="Times New Roman" w:cs="Times New Roman" w:eastAsia="Times New Roman" w:hAnsi="Times New Roman"/>
            <w:color w:val="1155cc"/>
            <w:u w:val="single"/>
            <w:rtl w:val="0"/>
          </w:rPr>
          <w:t xml:space="preserve">https://marrybrown.com/corporate/news-events/recognition-of-marrybrowns-newly-certified-hrd-corp-trainers/</w:t>
        </w:r>
      </w:hyperlink>
      <w:r w:rsidDel="00000000" w:rsidR="00000000" w:rsidRPr="00000000">
        <w:rPr>
          <w:rtl w:val="0"/>
        </w:rPr>
      </w:r>
    </w:p>
    <w:p w:rsidR="00000000" w:rsidDel="00000000" w:rsidP="00000000" w:rsidRDefault="00000000" w:rsidRPr="00000000" w14:paraId="00000111">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Marrybrown. (n.d.) Halal Fast-Food &amp; Franchise Since 1981- Marrybrown. Retrieved from </w:t>
      </w:r>
      <w:hyperlink r:id="rId43">
        <w:r w:rsidDel="00000000" w:rsidR="00000000" w:rsidRPr="00000000">
          <w:rPr>
            <w:rFonts w:ascii="Times New Roman" w:cs="Times New Roman" w:eastAsia="Times New Roman" w:hAnsi="Times New Roman"/>
            <w:color w:val="1155cc"/>
            <w:u w:val="single"/>
            <w:rtl w:val="0"/>
          </w:rPr>
          <w:t xml:space="preserve">Halal Fast-Food &amp; Franchise Since 1981 - MarrybrownMarrybrownhttps://marrybrown.com › corporate</w:t>
        </w:r>
      </w:hyperlink>
      <w:r w:rsidDel="00000000" w:rsidR="00000000" w:rsidRPr="00000000">
        <w:rPr>
          <w:rtl w:val="0"/>
        </w:rPr>
      </w:r>
    </w:p>
    <w:p w:rsidR="00000000" w:rsidDel="00000000" w:rsidP="00000000" w:rsidRDefault="00000000" w:rsidRPr="00000000" w14:paraId="00000112">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Malaysia. (2026) Akademi Vokasional McDonald's Buka Laluan Kerjaya untuk Golongan Belia. Retrieved from </w:t>
      </w:r>
      <w:hyperlink r:id="rId44">
        <w:r w:rsidDel="00000000" w:rsidR="00000000" w:rsidRPr="00000000">
          <w:rPr>
            <w:rFonts w:ascii="Times New Roman" w:cs="Times New Roman" w:eastAsia="Times New Roman" w:hAnsi="Times New Roman"/>
            <w:color w:val="1155cc"/>
            <w:u w:val="single"/>
            <w:rtl w:val="0"/>
          </w:rPr>
          <w:t xml:space="preserve">https://www.mcdonalds.com.my/company/news/akademi-vokasional-mcdonalds-buka-laluan-kerjaya-untuk-golongan-belia</w:t>
        </w:r>
      </w:hyperlink>
      <w:r w:rsidDel="00000000" w:rsidR="00000000" w:rsidRPr="00000000">
        <w:rPr>
          <w:rtl w:val="0"/>
        </w:rPr>
      </w:r>
    </w:p>
    <w:p w:rsidR="00000000" w:rsidDel="00000000" w:rsidP="00000000" w:rsidRDefault="00000000" w:rsidRPr="00000000" w14:paraId="00000113">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Malaysia. (2026) McDonald's Malaysia Announces RM1 Billion Investment to Power Nationwide Growth and Youth Development. Retrieved from </w:t>
      </w:r>
      <w:hyperlink r:id="rId45">
        <w:r w:rsidDel="00000000" w:rsidR="00000000" w:rsidRPr="00000000">
          <w:rPr>
            <w:rFonts w:ascii="Times New Roman" w:cs="Times New Roman" w:eastAsia="Times New Roman" w:hAnsi="Times New Roman"/>
            <w:color w:val="1155cc"/>
            <w:u w:val="single"/>
            <w:rtl w:val="0"/>
          </w:rPr>
          <w:t xml:space="preserve">https://www.mcdonalds.com.my/company/news/mcdonalds-malaysia-announces-rm1-billion-investment-to-power-nationwide-growth-and-youth-development</w:t>
        </w:r>
      </w:hyperlink>
      <w:r w:rsidDel="00000000" w:rsidR="00000000" w:rsidRPr="00000000">
        <w:rPr>
          <w:rtl w:val="0"/>
        </w:rPr>
      </w:r>
    </w:p>
    <w:p w:rsidR="00000000" w:rsidDel="00000000" w:rsidP="00000000" w:rsidRDefault="00000000" w:rsidRPr="00000000" w14:paraId="00000114">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(2025) Our Commitment to Inclusion at McDonald's. Retrieved from </w:t>
      </w:r>
      <w:hyperlink r:id="rId46">
        <w:r w:rsidDel="00000000" w:rsidR="00000000" w:rsidRPr="00000000">
          <w:rPr>
            <w:rFonts w:ascii="Times New Roman" w:cs="Times New Roman" w:eastAsia="Times New Roman" w:hAnsi="Times New Roman"/>
            <w:color w:val="1155cc"/>
            <w:u w:val="single"/>
            <w:rtl w:val="0"/>
          </w:rPr>
          <w:t xml:space="preserve">https://corporate.mcdonalds.com/corpmcd/our-stories/article/our-commitment-to-inclusion.html</w:t>
        </w:r>
      </w:hyperlink>
      <w:r w:rsidDel="00000000" w:rsidR="00000000" w:rsidRPr="00000000">
        <w:rPr>
          <w:rtl w:val="0"/>
        </w:rPr>
      </w:r>
    </w:p>
    <w:p w:rsidR="00000000" w:rsidDel="00000000" w:rsidP="00000000" w:rsidRDefault="00000000" w:rsidRPr="00000000" w14:paraId="00000115">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(2026) Purpose and Impact Report 2024-2025. Retrieved from </w:t>
      </w:r>
      <w:hyperlink r:id="rId47">
        <w:r w:rsidDel="00000000" w:rsidR="00000000" w:rsidRPr="00000000">
          <w:rPr>
            <w:rFonts w:ascii="Times New Roman" w:cs="Times New Roman" w:eastAsia="Times New Roman" w:hAnsi="Times New Roman"/>
            <w:color w:val="1155cc"/>
            <w:u w:val="single"/>
            <w:rtl w:val="0"/>
          </w:rPr>
          <w:t xml:space="preserve">https://corporate.mcdonalds.com/content/dam/sites/corp/nfl/pdf/McDonalds_PurposeImpact_ProgressReport_2024_2025.pdf</w:t>
        </w:r>
      </w:hyperlink>
      <w:r w:rsidDel="00000000" w:rsidR="00000000" w:rsidRPr="00000000">
        <w:rPr>
          <w:rtl w:val="0"/>
        </w:rPr>
      </w:r>
    </w:p>
    <w:p w:rsidR="00000000" w:rsidDel="00000000" w:rsidP="00000000" w:rsidRDefault="00000000" w:rsidRPr="00000000" w14:paraId="00000116">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(n.d.) Career Path &amp; Training. Retrieved from </w:t>
      </w:r>
      <w:hyperlink r:id="rId48">
        <w:r w:rsidDel="00000000" w:rsidR="00000000" w:rsidRPr="00000000">
          <w:rPr>
            <w:rFonts w:ascii="Times New Roman" w:cs="Times New Roman" w:eastAsia="Times New Roman" w:hAnsi="Times New Roman"/>
            <w:color w:val="1155cc"/>
            <w:u w:val="single"/>
            <w:rtl w:val="0"/>
          </w:rPr>
          <w:t xml:space="preserve">https://www.mcdonalds.com.my/career</w:t>
        </w:r>
      </w:hyperlink>
      <w:r w:rsidDel="00000000" w:rsidR="00000000" w:rsidRPr="00000000">
        <w:rPr>
          <w:rtl w:val="0"/>
        </w:rPr>
      </w:r>
    </w:p>
    <w:p w:rsidR="00000000" w:rsidDel="00000000" w:rsidP="00000000" w:rsidRDefault="00000000" w:rsidRPr="00000000" w14:paraId="00000117">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(n.d.) McDonald's History. Retrieved from </w:t>
      </w:r>
      <w:hyperlink r:id="rId49">
        <w:r w:rsidDel="00000000" w:rsidR="00000000" w:rsidRPr="00000000">
          <w:rPr>
            <w:rFonts w:ascii="Times New Roman" w:cs="Times New Roman" w:eastAsia="Times New Roman" w:hAnsi="Times New Roman"/>
            <w:color w:val="1155cc"/>
            <w:u w:val="single"/>
            <w:rtl w:val="0"/>
          </w:rPr>
          <w:t xml:space="preserve">https://corporate.mcdonalds.com/corpmcd/our-company/who-we-are/our-history.html</w:t>
        </w:r>
      </w:hyperlink>
      <w:r w:rsidDel="00000000" w:rsidR="00000000" w:rsidRPr="00000000">
        <w:rPr>
          <w:rtl w:val="0"/>
        </w:rPr>
      </w:r>
    </w:p>
    <w:p w:rsidR="00000000" w:rsidDel="00000000" w:rsidP="00000000" w:rsidRDefault="00000000" w:rsidRPr="00000000" w14:paraId="00000118">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(n.d.) Our Commitment to Inclusion. Retrieved from </w:t>
      </w:r>
      <w:hyperlink r:id="rId50">
        <w:r w:rsidDel="00000000" w:rsidR="00000000" w:rsidRPr="00000000">
          <w:rPr>
            <w:rFonts w:ascii="Times New Roman" w:cs="Times New Roman" w:eastAsia="Times New Roman" w:hAnsi="Times New Roman"/>
            <w:color w:val="1155cc"/>
            <w:u w:val="single"/>
            <w:rtl w:val="0"/>
          </w:rPr>
          <w:t xml:space="preserve">https://corporate.mcdonalds.com/corpmcd/our-purpose-and-impact/jobs-inclusion-and-empowerment/commitment-to-inclusion.html</w:t>
        </w:r>
      </w:hyperlink>
      <w:r w:rsidDel="00000000" w:rsidR="00000000" w:rsidRPr="00000000">
        <w:rPr>
          <w:rtl w:val="0"/>
        </w:rPr>
      </w:r>
    </w:p>
    <w:p w:rsidR="00000000" w:rsidDel="00000000" w:rsidP="00000000" w:rsidRDefault="00000000" w:rsidRPr="00000000" w14:paraId="00000119">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McDonald's. (n.d.) Restaurants by Market 2025. Retrieved from </w:t>
      </w:r>
      <w:hyperlink r:id="rId51">
        <w:r w:rsidDel="00000000" w:rsidR="00000000" w:rsidRPr="00000000">
          <w:rPr>
            <w:rFonts w:ascii="Times New Roman" w:cs="Times New Roman" w:eastAsia="Times New Roman" w:hAnsi="Times New Roman"/>
            <w:color w:val="1155cc"/>
            <w:u w:val="single"/>
            <w:rtl w:val="0"/>
          </w:rPr>
          <w:t xml:space="preserve">https://corporate.mcdonalds.com/content/dam/sites/corp/nfl/pdf/Restaurants%20by%20Market%202025.pdf</w:t>
        </w:r>
      </w:hyperlink>
      <w:r w:rsidDel="00000000" w:rsidR="00000000" w:rsidRPr="00000000">
        <w:rPr>
          <w:rtl w:val="0"/>
        </w:rPr>
      </w:r>
    </w:p>
    <w:p w:rsidR="00000000" w:rsidDel="00000000" w:rsidP="00000000" w:rsidRDefault="00000000" w:rsidRPr="00000000" w14:paraId="0000011A">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color w:val="222222"/>
          <w:rtl w:val="0"/>
        </w:rPr>
        <w:t xml:space="preserve">Okolie, U. C., Omole, O. G., &amp; Yakubu, A. (2021). Leadership and effective human resource management in organization. </w:t>
      </w:r>
      <w:r w:rsidDel="00000000" w:rsidR="00000000" w:rsidRPr="00000000">
        <w:rPr>
          <w:rFonts w:ascii="Times New Roman" w:cs="Times New Roman" w:eastAsia="Times New Roman" w:hAnsi="Times New Roman"/>
          <w:i w:val="1"/>
          <w:iCs w:val="1"/>
          <w:color w:val="222222"/>
          <w:rtl w:val="0"/>
        </w:rPr>
        <w:t xml:space="preserve">RUDN Journal of Public Administration</w:t>
      </w:r>
      <w:r w:rsidDel="00000000" w:rsidR="00000000" w:rsidRPr="00000000">
        <w:rPr>
          <w:rFonts w:ascii="Times New Roman" w:cs="Times New Roman" w:eastAsia="Times New Roman" w:hAnsi="Times New Roman"/>
          <w:color w:val="222222"/>
          <w:rtl w:val="0"/>
        </w:rPr>
        <w:t xml:space="preserve">, </w:t>
      </w:r>
      <w:r w:rsidDel="00000000" w:rsidR="00000000" w:rsidRPr="00000000">
        <w:rPr>
          <w:rFonts w:ascii="Times New Roman" w:cs="Times New Roman" w:eastAsia="Times New Roman" w:hAnsi="Times New Roman"/>
          <w:i w:val="1"/>
          <w:iCs w:val="1"/>
          <w:color w:val="222222"/>
          <w:rtl w:val="0"/>
        </w:rPr>
        <w:t xml:space="preserve">8</w:t>
      </w:r>
      <w:r w:rsidDel="00000000" w:rsidR="00000000" w:rsidRPr="00000000">
        <w:rPr>
          <w:rFonts w:ascii="Times New Roman" w:cs="Times New Roman" w:eastAsia="Times New Roman" w:hAnsi="Times New Roman"/>
          <w:color w:val="222222"/>
          <w:rtl w:val="0"/>
        </w:rPr>
        <w:t xml:space="preserve">(3), 277-296. Retrieved from </w:t>
      </w:r>
      <w:hyperlink r:id="rId52">
        <w:r w:rsidDel="00000000" w:rsidR="00000000" w:rsidRPr="00000000">
          <w:rPr>
            <w:rFonts w:ascii="Times New Roman" w:cs="Times New Roman" w:eastAsia="Times New Roman" w:hAnsi="Times New Roman"/>
            <w:color w:val="1155cc"/>
            <w:u w:val="single"/>
            <w:rtl w:val="0"/>
          </w:rPr>
          <w:t xml:space="preserve">[PDF] </w:t>
        </w:r>
      </w:hyperlink>
      <w:hyperlink r:id="rId53">
        <w:r w:rsidDel="00000000" w:rsidR="00000000" w:rsidRPr="00000000">
          <w:rPr>
            <w:rFonts w:ascii="Times New Roman" w:cs="Times New Roman" w:eastAsia="Times New Roman" w:hAnsi="Times New Roman"/>
            <w:color w:val="1155cc"/>
            <w:u w:val="single"/>
            <w:rtl w:val="0"/>
          </w:rPr>
          <w:t xml:space="preserve">http://rudn.ru</w:t>
        </w:r>
      </w:hyperlink>
      <w:r w:rsidDel="00000000" w:rsidR="00000000" w:rsidRPr="00000000">
        <w:rPr>
          <w:rtl w:val="0"/>
        </w:rPr>
      </w:r>
    </w:p>
    <w:p w:rsidR="00000000" w:rsidDel="00000000" w:rsidP="00000000" w:rsidRDefault="00000000" w:rsidRPr="00000000" w14:paraId="0000011B">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Pahlefy, M. R., &amp; Putri, T. A. (2025). Influence tactics of leaders: The role of Ray Kroc’s transformational leadership in shaping McDonald's organizational culture and global success. Jurnal Riset Multidisiplin Edukasi, 2(1), 223-240. Retrieved from </w:t>
      </w:r>
      <w:hyperlink r:id="rId54">
        <w:r w:rsidDel="00000000" w:rsidR="00000000" w:rsidRPr="00000000">
          <w:rPr>
            <w:rFonts w:ascii="Times New Roman" w:cs="Times New Roman" w:eastAsia="Times New Roman" w:hAnsi="Times New Roman"/>
            <w:color w:val="1155cc"/>
            <w:u w:val="single"/>
            <w:rtl w:val="0"/>
          </w:rPr>
          <w:t xml:space="preserve">[PDF] hasbhttps://journal.hasbaedukasi.co.id/index.php/jurmie/article/download/30/49aedukasi.co.id</w:t>
        </w:r>
      </w:hyperlink>
      <w:r w:rsidDel="00000000" w:rsidR="00000000" w:rsidRPr="00000000">
        <w:rPr>
          <w:rtl w:val="0"/>
        </w:rPr>
      </w:r>
    </w:p>
    <w:p w:rsidR="00000000" w:rsidDel="00000000" w:rsidP="00000000" w:rsidRDefault="00000000" w:rsidRPr="00000000" w14:paraId="0000011C">
      <w:pPr>
        <w:spacing w:after="200" w:before="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Universiti Tunku Abdul Rahman. (2024) UTAR and Marrybrown forge strategic MoU to elevate student career pathways. Retrieved from </w:t>
      </w:r>
      <w:hyperlink r:id="rId55">
        <w:r w:rsidDel="00000000" w:rsidR="00000000" w:rsidRPr="00000000">
          <w:rPr>
            <w:rFonts w:ascii="Times New Roman" w:cs="Times New Roman" w:eastAsia="Times New Roman" w:hAnsi="Times New Roman"/>
            <w:color w:val="1155cc"/>
            <w:u w:val="single"/>
            <w:rtl w:val="0"/>
          </w:rPr>
          <w:t xml:space="preserve">https://news.utar.edu.my/news/2024/Nov/06/01/01.html</w:t>
        </w:r>
      </w:hyperlink>
      <w:r w:rsidDel="00000000" w:rsidR="00000000" w:rsidRPr="00000000">
        <w:rPr>
          <w:rtl w:val="0"/>
        </w:rPr>
      </w:r>
    </w:p>
    <w:p w:rsidR="00000000" w:rsidDel="00000000" w:rsidP="00000000" w:rsidRDefault="00000000" w:rsidRPr="00000000" w14:paraId="0000011D">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E">
      <w:pPr>
        <w:spacing w:line="360" w:lineRule="auto"/>
        <w:jc w:val="both"/>
        <w:rPr>
          <w:rFonts w:ascii="Times New Roman" w:cs="Times New Roman" w:eastAsia="Times New Roman" w:hAnsi="Times New Roman"/>
          <w:sz w:val="20"/>
          <w:szCs w:val="20"/>
        </w:rPr>
      </w:pPr>
      <w:r w:rsidDel="00000000" w:rsidR="00000000" w:rsidRPr="00000000">
        <w:rPr>
          <w:rtl w:val="0"/>
        </w:rPr>
      </w:r>
    </w:p>
    <w:sectPr>
      <w:type w:val="nextPage"/>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0">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1">
    <w:pPr>
      <w:jc w:val="righ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00" w:line="360" w:lineRule="auto"/>
      <w:jc w:val="both"/>
    </w:pPr>
    <w:rPr>
      <w:rFonts w:ascii="Times New Roman" w:cs="Times New Roman" w:eastAsia="Times New Roman" w:hAnsi="Times New Roman"/>
      <w:b w:val="1"/>
      <w:bCs w:val="1"/>
      <w:sz w:val="20"/>
      <w:szCs w:val="20"/>
    </w:rPr>
  </w:style>
  <w:style w:type="paragraph" w:styleId="Heading2">
    <w:name w:val="heading 2"/>
    <w:basedOn w:val="Normal"/>
    <w:next w:val="Normal"/>
    <w:pPr>
      <w:keepNext w:val="1"/>
      <w:keepLines w:val="1"/>
      <w:spacing w:before="480" w:line="360" w:lineRule="auto"/>
      <w:jc w:val="both"/>
    </w:pPr>
    <w:rPr>
      <w:rFonts w:ascii="Times New Roman" w:cs="Times New Roman" w:eastAsia="Times New Roman" w:hAnsi="Times New Roman"/>
      <w:b w:val="1"/>
      <w:bCs w:val="1"/>
      <w:sz w:val="20"/>
      <w:szCs w:val="20"/>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marrybrown.com/corporate/news-events/marrybrown-proudly-supports-hrd-corps-international-day-of-persons-with-disabilities/" TargetMode="External"/><Relationship Id="rId42" Type="http://schemas.openxmlformats.org/officeDocument/2006/relationships/hyperlink" Target="https://marrybrown.com/corporate/news-events/recognition-of-marrybrowns-newly-certified-hrd-corp-trainers/" TargetMode="External"/><Relationship Id="rId41" Type="http://schemas.openxmlformats.org/officeDocument/2006/relationships/hyperlink" Target="https://marrybrown.com/corporate/wp-content/uploads/2026/01/MB-U-I-DEC-2025.pdf" TargetMode="External"/><Relationship Id="rId44" Type="http://schemas.openxmlformats.org/officeDocument/2006/relationships/hyperlink" Target="https://www.mcdonalds.com.my/company/news/akademi-vokasional-mcdonalds-buka-laluan-kerjaya-untuk-golongan-belia" TargetMode="External"/><Relationship Id="rId43" Type="http://schemas.openxmlformats.org/officeDocument/2006/relationships/hyperlink" Target="https://marrybrown.com/corporate/" TargetMode="External"/><Relationship Id="rId46" Type="http://schemas.openxmlformats.org/officeDocument/2006/relationships/hyperlink" Target="https://corporate.mcdonalds.com/corpmcd/our-stories/article/our-commitment-to-inclusion.html" TargetMode="External"/><Relationship Id="rId45" Type="http://schemas.openxmlformats.org/officeDocument/2006/relationships/hyperlink" Target="https://www.mcdonalds.com.my/company/news/mcdonalds-malaysia-announces-rm1-billion-investment-to-power-nationwide-growth-and-youth-develop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48" Type="http://schemas.openxmlformats.org/officeDocument/2006/relationships/hyperlink" Target="https://www.mcdonalds.com.my/career" TargetMode="External"/><Relationship Id="rId47" Type="http://schemas.openxmlformats.org/officeDocument/2006/relationships/hyperlink" Target="https://corporate.mcdonalds.com/content/dam/sites/corp/nfl/pdf/McDonalds_PurposeImpact_ProgressReport_2024_2025.pdf" TargetMode="External"/><Relationship Id="rId49" Type="http://schemas.openxmlformats.org/officeDocument/2006/relationships/hyperlink" Target="https://corporate.mcdonalds.com/corpmcd/our-company/who-we-are/our-history.html" TargetMode="External"/><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hyperlink" Target="https://drive.google.com/file/d/1TjnLyon645-CWl6jBs3GlOJJ9UMXINge/view?usp=share_link" TargetMode="External"/><Relationship Id="rId8" Type="http://schemas.openxmlformats.org/officeDocument/2006/relationships/image" Target="media/image1.png"/><Relationship Id="rId31" Type="http://schemas.openxmlformats.org/officeDocument/2006/relationships/image" Target="media/image25.png"/><Relationship Id="rId30" Type="http://schemas.openxmlformats.org/officeDocument/2006/relationships/image" Target="media/image8.png"/><Relationship Id="rId33" Type="http://schemas.openxmlformats.org/officeDocument/2006/relationships/image" Target="media/image13.png"/><Relationship Id="rId32" Type="http://schemas.openxmlformats.org/officeDocument/2006/relationships/image" Target="media/image24.png"/><Relationship Id="rId35" Type="http://schemas.openxmlformats.org/officeDocument/2006/relationships/hyperlink" Target="https://www.ebsco.com/research-starters/business-and-management/taylorism/" TargetMode="External"/><Relationship Id="rId34" Type="http://schemas.openxmlformats.org/officeDocument/2006/relationships/image" Target="media/image22.png"/><Relationship Id="rId37" Type="http://schemas.openxmlformats.org/officeDocument/2006/relationships/hyperlink" Target="https://marrybrown.com/corporate/news-events/marrybrown-brings-local-delicious-goodness-to-cambodia-and-uzbekistan/" TargetMode="External"/><Relationship Id="rId36" Type="http://schemas.openxmlformats.org/officeDocument/2006/relationships/hyperlink" Target="https://marrybrown.com/corporate/promotion/mb-international-womens-day-breakthebias-video-rm3-80-meals/" TargetMode="External"/><Relationship Id="rId39" Type="http://schemas.openxmlformats.org/officeDocument/2006/relationships/hyperlink" Target="https://marrybrown.com/corporate/news-events/great-place-to-work-certified-qatar/" TargetMode="External"/><Relationship Id="rId38" Type="http://schemas.openxmlformats.org/officeDocument/2006/relationships/hyperlink" Target="https://marrybrown.com/corporate/news-events/marrybrown-partners-with-uitm-to-elevate-restaurant-training-standard/" TargetMode="External"/><Relationship Id="rId20" Type="http://schemas.openxmlformats.org/officeDocument/2006/relationships/image" Target="media/image10.png"/><Relationship Id="rId22" Type="http://schemas.openxmlformats.org/officeDocument/2006/relationships/image" Target="media/image16.png"/><Relationship Id="rId21" Type="http://schemas.openxmlformats.org/officeDocument/2006/relationships/image" Target="media/image5.png"/><Relationship Id="rId24" Type="http://schemas.openxmlformats.org/officeDocument/2006/relationships/image" Target="media/image19.png"/><Relationship Id="rId23" Type="http://schemas.openxmlformats.org/officeDocument/2006/relationships/image" Target="media/image14.png"/><Relationship Id="rId26" Type="http://schemas.openxmlformats.org/officeDocument/2006/relationships/image" Target="media/image2.png"/><Relationship Id="rId25" Type="http://schemas.openxmlformats.org/officeDocument/2006/relationships/image" Target="media/image18.png"/><Relationship Id="rId28" Type="http://schemas.openxmlformats.org/officeDocument/2006/relationships/image" Target="media/image21.png"/><Relationship Id="rId27" Type="http://schemas.openxmlformats.org/officeDocument/2006/relationships/image" Target="media/image20.png"/><Relationship Id="rId29" Type="http://schemas.openxmlformats.org/officeDocument/2006/relationships/image" Target="media/image6.png"/><Relationship Id="rId51" Type="http://schemas.openxmlformats.org/officeDocument/2006/relationships/hyperlink" Target="https://corporate.mcdonalds.com/content/dam/sites/corp/nfl/pdf/Restaurants%20by%20Market%202025.pdf" TargetMode="External"/><Relationship Id="rId50" Type="http://schemas.openxmlformats.org/officeDocument/2006/relationships/hyperlink" Target="https://corporate.mcdonalds.com/corpmcd/our-purpose-and-impact/jobs-inclusion-and-empowerment/commitment-to-inclusion.html" TargetMode="External"/><Relationship Id="rId53" Type="http://schemas.openxmlformats.org/officeDocument/2006/relationships/hyperlink" Target="http://rudn.ru" TargetMode="External"/><Relationship Id="rId52" Type="http://schemas.openxmlformats.org/officeDocument/2006/relationships/hyperlink" Target="https://journals.rudn.ru/public-administration/article/download/27247/19687" TargetMode="External"/><Relationship Id="rId11" Type="http://schemas.openxmlformats.org/officeDocument/2006/relationships/header" Target="header1.xml"/><Relationship Id="rId55" Type="http://schemas.openxmlformats.org/officeDocument/2006/relationships/hyperlink" Target="https://news.utar.edu.my/news/2024/Nov/06/01/01.html" TargetMode="External"/><Relationship Id="rId10" Type="http://schemas.openxmlformats.org/officeDocument/2006/relationships/image" Target="media/image15.png"/><Relationship Id="rId54" Type="http://schemas.openxmlformats.org/officeDocument/2006/relationships/hyperlink" Target="https://journal.hasbaedukasi.co.id/index.php/jurmie/article/download/30/49" TargetMode="External"/><Relationship Id="rId13" Type="http://schemas.openxmlformats.org/officeDocument/2006/relationships/footer" Target="footer1.xml"/><Relationship Id="rId12" Type="http://schemas.openxmlformats.org/officeDocument/2006/relationships/footer" Target="footer2.xml"/><Relationship Id="rId15" Type="http://schemas.openxmlformats.org/officeDocument/2006/relationships/image" Target="media/image17.png"/><Relationship Id="rId14" Type="http://schemas.openxmlformats.org/officeDocument/2006/relationships/image" Target="media/image23.png"/><Relationship Id="rId17" Type="http://schemas.openxmlformats.org/officeDocument/2006/relationships/image" Target="media/image4.png"/><Relationship Id="rId16" Type="http://schemas.openxmlformats.org/officeDocument/2006/relationships/image" Target="media/image11.png"/><Relationship Id="rId19" Type="http://schemas.openxmlformats.org/officeDocument/2006/relationships/image" Target="media/image3.png"/><Relationship Id="rId1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