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A5DD69B" w14:paraId="5E5787A5" wp14:textId="3CB9756B">
      <w:pPr>
        <w:jc w:val="center"/>
        <w:rPr>
          <w:rFonts w:ascii="Arial" w:hAnsi="Arial" w:eastAsia="Arial" w:cs="Arial"/>
          <w:sz w:val="36"/>
          <w:szCs w:val="36"/>
        </w:rPr>
      </w:pPr>
      <w:r w:rsidRPr="5A5DD69B" w:rsidR="5A5DD69B">
        <w:rPr>
          <w:rFonts w:ascii="Arial" w:hAnsi="Arial" w:eastAsia="Arial" w:cs="Arial"/>
          <w:sz w:val="36"/>
          <w:szCs w:val="36"/>
        </w:rPr>
        <w:t>Police, Policing and Society</w:t>
      </w:r>
    </w:p>
    <w:p w:rsidR="5A5DD69B" w:rsidP="5A5DD69B" w:rsidRDefault="5A5DD69B" w14:paraId="44EAF1A9" w14:textId="5333D70A">
      <w:pPr>
        <w:pStyle w:val="Normal"/>
        <w:jc w:val="center"/>
        <w:rPr>
          <w:rFonts w:ascii="Arial" w:hAnsi="Arial" w:eastAsia="Arial" w:cs="Arial"/>
          <w:sz w:val="36"/>
          <w:szCs w:val="36"/>
        </w:rPr>
      </w:pPr>
    </w:p>
    <w:p w:rsidR="5A5DD69B" w:rsidP="5A5DD69B" w:rsidRDefault="5A5DD69B" w14:paraId="551F8951" w14:textId="23607E4F">
      <w:pPr>
        <w:pStyle w:val="Normal"/>
        <w:jc w:val="center"/>
        <w:rPr>
          <w:rFonts w:ascii="Arial" w:hAnsi="Arial" w:eastAsia="Arial" w:cs="Arial"/>
          <w:sz w:val="36"/>
          <w:szCs w:val="36"/>
        </w:rPr>
      </w:pPr>
      <w:r w:rsidRPr="5A5DD69B" w:rsidR="5A5DD69B">
        <w:rPr>
          <w:rFonts w:ascii="Arial" w:hAnsi="Arial" w:eastAsia="Arial" w:cs="Arial"/>
          <w:sz w:val="36"/>
          <w:szCs w:val="36"/>
        </w:rPr>
        <w:t>BMLW5002</w:t>
      </w:r>
    </w:p>
    <w:p w:rsidR="5A5DD69B" w:rsidP="5A5DD69B" w:rsidRDefault="5A5DD69B" w14:paraId="4FA620AE" w14:textId="12BE86C0">
      <w:pPr>
        <w:pStyle w:val="Normal"/>
        <w:jc w:val="center"/>
        <w:rPr>
          <w:rFonts w:ascii="Arial" w:hAnsi="Arial" w:eastAsia="Arial" w:cs="Arial"/>
          <w:sz w:val="36"/>
          <w:szCs w:val="36"/>
        </w:rPr>
      </w:pPr>
    </w:p>
    <w:p w:rsidR="5A5DD69B" w:rsidP="5A5DD69B" w:rsidRDefault="5A5DD69B" w14:paraId="1E05DB03" w14:textId="795F9327">
      <w:pPr>
        <w:pStyle w:val="Normal"/>
        <w:jc w:val="center"/>
        <w:rPr>
          <w:rFonts w:ascii="Arial" w:hAnsi="Arial" w:eastAsia="Arial" w:cs="Arial"/>
          <w:sz w:val="36"/>
          <w:szCs w:val="36"/>
        </w:rPr>
      </w:pPr>
      <w:r w:rsidRPr="5A5DD69B" w:rsidR="5A5DD69B">
        <w:rPr>
          <w:rFonts w:ascii="Arial" w:hAnsi="Arial" w:eastAsia="Arial" w:cs="Arial"/>
          <w:sz w:val="36"/>
          <w:szCs w:val="36"/>
        </w:rPr>
        <w:t>Assignment – 2 – Support Paper</w:t>
      </w:r>
    </w:p>
    <w:p w:rsidR="5A5DD69B" w:rsidP="5A5DD69B" w:rsidRDefault="5A5DD69B" w14:paraId="7B8640F2" w14:textId="34C0DC0E">
      <w:pPr>
        <w:pStyle w:val="Normal"/>
        <w:jc w:val="center"/>
        <w:rPr>
          <w:rFonts w:ascii="Arial" w:hAnsi="Arial" w:eastAsia="Arial" w:cs="Arial"/>
          <w:sz w:val="36"/>
          <w:szCs w:val="36"/>
        </w:rPr>
      </w:pPr>
    </w:p>
    <w:p w:rsidR="5A5DD69B" w:rsidP="5A5DD69B" w:rsidRDefault="5A5DD69B" w14:paraId="3634194E" w14:textId="3EFD244E">
      <w:pPr>
        <w:pStyle w:val="Normal"/>
        <w:jc w:val="center"/>
        <w:rPr>
          <w:rFonts w:ascii="Arial" w:hAnsi="Arial" w:eastAsia="Arial" w:cs="Arial"/>
          <w:sz w:val="36"/>
          <w:szCs w:val="36"/>
        </w:rPr>
      </w:pPr>
      <w:r w:rsidRPr="5A5DD69B" w:rsidR="5A5DD69B">
        <w:rPr>
          <w:rFonts w:ascii="Arial" w:hAnsi="Arial" w:eastAsia="Arial" w:cs="Arial"/>
          <w:sz w:val="36"/>
          <w:szCs w:val="36"/>
        </w:rPr>
        <w:t>Osian Matthews</w:t>
      </w:r>
    </w:p>
    <w:p w:rsidR="5A5DD69B" w:rsidP="5A5DD69B" w:rsidRDefault="5A5DD69B" w14:paraId="05821415" w14:textId="7EB8C2A6">
      <w:pPr>
        <w:pStyle w:val="Normal"/>
        <w:jc w:val="center"/>
        <w:rPr>
          <w:rFonts w:ascii="Arial" w:hAnsi="Arial" w:eastAsia="Arial" w:cs="Arial"/>
          <w:sz w:val="36"/>
          <w:szCs w:val="36"/>
        </w:rPr>
      </w:pPr>
    </w:p>
    <w:p w:rsidR="5A5DD69B" w:rsidP="5A5DD69B" w:rsidRDefault="5A5DD69B" w14:paraId="1D49FEFC" w14:textId="784857D3">
      <w:pPr>
        <w:pStyle w:val="Normal"/>
        <w:jc w:val="center"/>
        <w:rPr>
          <w:rFonts w:ascii="Arial" w:hAnsi="Arial" w:eastAsia="Arial" w:cs="Arial"/>
          <w:sz w:val="36"/>
          <w:szCs w:val="36"/>
        </w:rPr>
      </w:pPr>
    </w:p>
    <w:p w:rsidR="5A5DD69B" w:rsidP="5A5DD69B" w:rsidRDefault="5A5DD69B" w14:paraId="6AFD7040" w14:textId="1BA7A36B">
      <w:pPr>
        <w:pStyle w:val="Normal"/>
        <w:jc w:val="center"/>
        <w:rPr>
          <w:rFonts w:ascii="Arial" w:hAnsi="Arial" w:eastAsia="Arial" w:cs="Arial"/>
          <w:sz w:val="36"/>
          <w:szCs w:val="36"/>
        </w:rPr>
      </w:pPr>
    </w:p>
    <w:p w:rsidR="5A5DD69B" w:rsidP="5A5DD69B" w:rsidRDefault="5A5DD69B" w14:paraId="33ED2D6D" w14:textId="5E26A3CD">
      <w:pPr>
        <w:pStyle w:val="Normal"/>
        <w:jc w:val="center"/>
        <w:rPr>
          <w:rFonts w:ascii="Arial" w:hAnsi="Arial" w:eastAsia="Arial" w:cs="Arial"/>
          <w:sz w:val="36"/>
          <w:szCs w:val="36"/>
        </w:rPr>
      </w:pPr>
    </w:p>
    <w:p w:rsidR="5A5DD69B" w:rsidP="5A5DD69B" w:rsidRDefault="5A5DD69B" w14:paraId="112D7149" w14:textId="64FADB82">
      <w:pPr>
        <w:pStyle w:val="Normal"/>
        <w:jc w:val="center"/>
        <w:rPr>
          <w:rFonts w:ascii="Arial" w:hAnsi="Arial" w:eastAsia="Arial" w:cs="Arial"/>
          <w:sz w:val="36"/>
          <w:szCs w:val="36"/>
        </w:rPr>
      </w:pPr>
    </w:p>
    <w:p w:rsidR="5A5DD69B" w:rsidP="5A5DD69B" w:rsidRDefault="5A5DD69B" w14:paraId="3E4E6644" w14:textId="5A5D5241">
      <w:pPr>
        <w:pStyle w:val="Normal"/>
        <w:jc w:val="center"/>
        <w:rPr>
          <w:rFonts w:ascii="Arial" w:hAnsi="Arial" w:eastAsia="Arial" w:cs="Arial"/>
          <w:sz w:val="36"/>
          <w:szCs w:val="36"/>
        </w:rPr>
      </w:pPr>
    </w:p>
    <w:p w:rsidR="5A5DD69B" w:rsidP="5A5DD69B" w:rsidRDefault="5A5DD69B" w14:paraId="0AED3543" w14:textId="2CF57E84">
      <w:pPr>
        <w:pStyle w:val="Normal"/>
        <w:jc w:val="center"/>
        <w:rPr>
          <w:rFonts w:ascii="Arial" w:hAnsi="Arial" w:eastAsia="Arial" w:cs="Arial"/>
          <w:sz w:val="36"/>
          <w:szCs w:val="36"/>
        </w:rPr>
      </w:pPr>
    </w:p>
    <w:p w:rsidR="5A5DD69B" w:rsidP="5A5DD69B" w:rsidRDefault="5A5DD69B" w14:paraId="3E9AB22B" w14:textId="559BCDD6">
      <w:pPr>
        <w:pStyle w:val="Normal"/>
        <w:jc w:val="center"/>
        <w:rPr>
          <w:rFonts w:ascii="Arial" w:hAnsi="Arial" w:eastAsia="Arial" w:cs="Arial"/>
          <w:sz w:val="36"/>
          <w:szCs w:val="36"/>
        </w:rPr>
      </w:pPr>
    </w:p>
    <w:p w:rsidR="5A5DD69B" w:rsidP="5A5DD69B" w:rsidRDefault="5A5DD69B" w14:paraId="7A6D61C4" w14:textId="006B7254">
      <w:pPr>
        <w:pStyle w:val="Normal"/>
        <w:jc w:val="center"/>
        <w:rPr>
          <w:rFonts w:ascii="Arial" w:hAnsi="Arial" w:eastAsia="Arial" w:cs="Arial"/>
          <w:sz w:val="36"/>
          <w:szCs w:val="36"/>
        </w:rPr>
      </w:pPr>
    </w:p>
    <w:p w:rsidR="5A5DD69B" w:rsidP="5A5DD69B" w:rsidRDefault="5A5DD69B" w14:paraId="06A0E029" w14:textId="4252952E">
      <w:pPr>
        <w:pStyle w:val="Normal"/>
        <w:jc w:val="center"/>
        <w:rPr>
          <w:rFonts w:ascii="Arial" w:hAnsi="Arial" w:eastAsia="Arial" w:cs="Arial"/>
          <w:sz w:val="36"/>
          <w:szCs w:val="36"/>
        </w:rPr>
      </w:pPr>
    </w:p>
    <w:p w:rsidR="5A5DD69B" w:rsidP="5A5DD69B" w:rsidRDefault="5A5DD69B" w14:paraId="6451E760" w14:textId="7F4E1E47">
      <w:pPr>
        <w:pStyle w:val="Normal"/>
        <w:jc w:val="center"/>
        <w:rPr>
          <w:rFonts w:ascii="Arial" w:hAnsi="Arial" w:eastAsia="Arial" w:cs="Arial"/>
          <w:sz w:val="36"/>
          <w:szCs w:val="36"/>
        </w:rPr>
      </w:pPr>
    </w:p>
    <w:p w:rsidR="5A5DD69B" w:rsidP="5A5DD69B" w:rsidRDefault="5A5DD69B" w14:paraId="695C375C" w14:textId="38FCB8F4">
      <w:pPr>
        <w:pStyle w:val="Normal"/>
        <w:jc w:val="center"/>
        <w:rPr>
          <w:rFonts w:ascii="Arial" w:hAnsi="Arial" w:eastAsia="Arial" w:cs="Arial"/>
          <w:sz w:val="36"/>
          <w:szCs w:val="36"/>
        </w:rPr>
      </w:pPr>
    </w:p>
    <w:p w:rsidR="5A5DD69B" w:rsidP="5A5DD69B" w:rsidRDefault="5A5DD69B" w14:paraId="45C583A0" w14:textId="7170718E">
      <w:pPr>
        <w:pStyle w:val="Normal"/>
        <w:jc w:val="center"/>
        <w:rPr>
          <w:rFonts w:ascii="Arial" w:hAnsi="Arial" w:eastAsia="Arial" w:cs="Arial"/>
          <w:sz w:val="36"/>
          <w:szCs w:val="36"/>
        </w:rPr>
      </w:pPr>
    </w:p>
    <w:p w:rsidR="5A5DD69B" w:rsidP="5A5DD69B" w:rsidRDefault="5A5DD69B" w14:paraId="0DDDC186" w14:textId="60A1A035">
      <w:pPr>
        <w:pStyle w:val="Normal"/>
        <w:jc w:val="center"/>
        <w:rPr>
          <w:rFonts w:ascii="Arial" w:hAnsi="Arial" w:eastAsia="Arial" w:cs="Arial"/>
          <w:sz w:val="36"/>
          <w:szCs w:val="36"/>
        </w:rPr>
      </w:pPr>
    </w:p>
    <w:p w:rsidR="5A5DD69B" w:rsidP="5A5DD69B" w:rsidRDefault="5A5DD69B" w14:paraId="2195661E" w14:textId="16DB635A">
      <w:pPr>
        <w:pStyle w:val="Normal"/>
        <w:jc w:val="center"/>
        <w:rPr>
          <w:rFonts w:ascii="Arial" w:hAnsi="Arial" w:eastAsia="Arial" w:cs="Arial"/>
          <w:sz w:val="36"/>
          <w:szCs w:val="36"/>
        </w:rPr>
      </w:pPr>
    </w:p>
    <w:p w:rsidR="5A5DD69B" w:rsidP="5A5DD69B" w:rsidRDefault="5A5DD69B" w14:paraId="0B36F1F4" w14:textId="5F8FD142">
      <w:pPr>
        <w:pStyle w:val="Normal"/>
        <w:jc w:val="left"/>
        <w:rPr>
          <w:rFonts w:ascii="Arial" w:hAnsi="Arial" w:eastAsia="Arial" w:cs="Arial"/>
          <w:sz w:val="24"/>
          <w:szCs w:val="24"/>
        </w:rPr>
      </w:pPr>
    </w:p>
    <w:p w:rsidR="5A5DD69B" w:rsidP="5A5DD69B" w:rsidRDefault="5A5DD69B" w14:paraId="790F4F00" w14:textId="0CFABF82">
      <w:pPr>
        <w:pStyle w:val="Normal"/>
        <w:jc w:val="left"/>
        <w:rPr>
          <w:rFonts w:ascii="Arial" w:hAnsi="Arial" w:eastAsia="Arial" w:cs="Arial"/>
          <w:sz w:val="24"/>
          <w:szCs w:val="24"/>
        </w:rPr>
      </w:pPr>
    </w:p>
    <w:p w:rsidR="5A5DD69B" w:rsidP="5A5DD69B" w:rsidRDefault="5A5DD69B" w14:paraId="65C07876" w14:textId="4128E4CE">
      <w:pPr>
        <w:pStyle w:val="Normal"/>
        <w:jc w:val="left"/>
        <w:rPr>
          <w:rFonts w:ascii="Arial" w:hAnsi="Arial" w:eastAsia="Arial" w:cs="Arial"/>
          <w:sz w:val="24"/>
          <w:szCs w:val="24"/>
        </w:rPr>
      </w:pPr>
      <w:r w:rsidRPr="5A5DD69B" w:rsidR="5A5DD69B">
        <w:rPr>
          <w:rFonts w:ascii="Arial" w:hAnsi="Arial" w:eastAsia="Arial" w:cs="Arial"/>
          <w:noProof w:val="0"/>
          <w:color w:val="000000" w:themeColor="text1" w:themeTint="FF" w:themeShade="FF"/>
          <w:sz w:val="24"/>
          <w:szCs w:val="24"/>
          <w:lang w:val="en-GB"/>
        </w:rPr>
        <w:t xml:space="preserve">The police power to stop and search </w:t>
      </w:r>
      <w:proofErr w:type="gramStart"/>
      <w:r w:rsidRPr="5A5DD69B" w:rsidR="5A5DD69B">
        <w:rPr>
          <w:rFonts w:ascii="Arial" w:hAnsi="Arial" w:eastAsia="Arial" w:cs="Arial"/>
          <w:noProof w:val="0"/>
          <w:color w:val="000000" w:themeColor="text1" w:themeTint="FF" w:themeShade="FF"/>
          <w:sz w:val="24"/>
          <w:szCs w:val="24"/>
          <w:lang w:val="en-GB"/>
        </w:rPr>
        <w:t>dates back to</w:t>
      </w:r>
      <w:proofErr w:type="gramEnd"/>
      <w:r w:rsidRPr="5A5DD69B" w:rsidR="5A5DD69B">
        <w:rPr>
          <w:rFonts w:ascii="Arial" w:hAnsi="Arial" w:eastAsia="Arial" w:cs="Arial"/>
          <w:noProof w:val="0"/>
          <w:color w:val="000000" w:themeColor="text1" w:themeTint="FF" w:themeShade="FF"/>
          <w:sz w:val="24"/>
          <w:szCs w:val="24"/>
          <w:lang w:val="en-GB"/>
        </w:rPr>
        <w:t xml:space="preserve"> the 19</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century with the Vagrancy Act 1824. This act gave officers the right to stop and search members of the public who they suspected were breaching section 4 of the act. This law went onto be known as the “Sus” law because it was used by officers who deemed people suspicious. Nowadays, the power of stop and search has evolved in order to keep up with modern life. The current legislation giving the power of stop and search is the Police and Criminal Evidence Act (1984) (PACE). </w:t>
      </w:r>
    </w:p>
    <w:p w:rsidR="5A5DD69B" w:rsidP="5A5DD69B" w:rsidRDefault="5A5DD69B" w14:paraId="382181EE" w14:textId="02797A31">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Pace allows an officer to search any person or vehicle provided they have reasonable grounds to do so. Reasonable grounds refer to the officer believing they will find a prohibited item such as drugs or an object for use in a crime such as a crowbar, as Collage of Policing (2022) describes, a fair stop is one where the suspect feels they have been treated fairly and with respect as well as the search being necessary, and the most appropriate action taken. For a stop and search to be lawful and fair according to PACE. The officer must provide an explanation on what reasonable grounds they have, they must also explain the object they are looking for. The officer must give their name and badge number to the suspect as well as the station they belong to. To conduct a search an officer must inform the suspect that they are detained and what legal power they are using for example s.2 of PACE. And finally, they must provide the suspect with a copy of the search record if one of these is not done the search becomes unlawful and illegal. </w:t>
      </w:r>
    </w:p>
    <w:p w:rsidR="5A5DD69B" w:rsidP="5A5DD69B" w:rsidRDefault="5A5DD69B" w14:paraId="580DF0D1" w14:textId="0262D47A">
      <w:pPr>
        <w:spacing w:line="257" w:lineRule="exact"/>
        <w:jc w:val="left"/>
      </w:pPr>
      <w:r w:rsidRPr="5A5DD69B" w:rsidR="5A5DD69B">
        <w:rPr>
          <w:rFonts w:ascii="Arial" w:hAnsi="Arial" w:eastAsia="Arial" w:cs="Arial"/>
          <w:noProof w:val="0"/>
          <w:color w:val="000000" w:themeColor="text1" w:themeTint="FF" w:themeShade="FF"/>
          <w:sz w:val="24"/>
          <w:szCs w:val="24"/>
          <w:lang w:val="en-GB"/>
        </w:rPr>
        <w:t>Stop and search is used to confirm an officer's suspicions without having to make an arrest as reported by MET Police (2022) stop and search is used to prevent crime and identify offenders.</w:t>
      </w:r>
    </w:p>
    <w:p w:rsidR="5A5DD69B" w:rsidP="5A5DD69B" w:rsidRDefault="5A5DD69B" w14:paraId="7CA7B8B5" w14:textId="7BB4374E">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Another form of stop and search is a section 60. A section 60 refers to section 60 of the Criminal Justice and Public Order Act (1994) which gives the power to stop and search in anticipation of a crime. Section 60’s can be put in place in certain areas as explained by Nottinghamshire Police (2022) section 60’s allows police to search anyone within an area without reasonable grounds. Section 60’s can only be in place for a limited time. </w:t>
      </w:r>
    </w:p>
    <w:p w:rsidR="5A5DD69B" w:rsidP="5A5DD69B" w:rsidRDefault="5A5DD69B" w14:paraId="23220715" w14:textId="77645671">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Stop and Search has been used for decades however, there has always been controversy surrounding its use particularly accusations of disproportionate use as reported by Her Majesty’s Inspectorate of Constabulary and Fire &amp; Rescue Services (HMICFRS) (2021) in 2019/20, Black, Asian and Minority Ethnic (BAME) people were 4x more likely to be stopped and searched than white people, Furthermore, Black people alone were almost 9x more likely to be stopped and searched. Suggesting the powers were used wrong and racially motivated. These statistics relate to S.1 of PACE. However, S.60 stop and searches have similar issues as Black people were 18x more likely to be stopped and searched under a S.60. these statistics are extremely concerning especially when as reported by House of Commons Library (2021) personal factors such as race, religion and sexual orientation should </w:t>
      </w:r>
      <w:r w:rsidRPr="5A5DD69B" w:rsidR="5A5DD69B">
        <w:rPr>
          <w:rFonts w:ascii="Arial" w:hAnsi="Arial" w:eastAsia="Arial" w:cs="Arial"/>
          <w:b w:val="1"/>
          <w:bCs w:val="1"/>
          <w:noProof w:val="0"/>
          <w:color w:val="000000" w:themeColor="text1" w:themeTint="FF" w:themeShade="FF"/>
          <w:sz w:val="24"/>
          <w:szCs w:val="24"/>
          <w:lang w:val="en-GB"/>
        </w:rPr>
        <w:t>never</w:t>
      </w:r>
      <w:r w:rsidRPr="5A5DD69B" w:rsidR="5A5DD69B">
        <w:rPr>
          <w:rFonts w:ascii="Arial" w:hAnsi="Arial" w:eastAsia="Arial" w:cs="Arial"/>
          <w:noProof w:val="0"/>
          <w:color w:val="000000" w:themeColor="text1" w:themeTint="FF" w:themeShade="FF"/>
          <w:sz w:val="24"/>
          <w:szCs w:val="24"/>
          <w:lang w:val="en-GB"/>
        </w:rPr>
        <w:t xml:space="preserve"> constitute conducting a search. The issues do not stop there HMICFRS (2021) also report based on their records in almost 20% of stop and searches there was no reasonable grounds to be had indicating officers do not know how to properly and lawfully conducted a stop and search in addition, of the stop and searches that did have reasonable suspicion 25% of the reasons were assessed as weak reinforcing the notion that the officers conducting these stop and searches are untrained.</w:t>
      </w:r>
    </w:p>
    <w:p w:rsidR="5A5DD69B" w:rsidP="5A5DD69B" w:rsidRDefault="5A5DD69B" w14:paraId="5630E0C2" w14:textId="3B0152F1">
      <w:pPr>
        <w:spacing w:line="257" w:lineRule="exact"/>
        <w:jc w:val="left"/>
      </w:pPr>
      <w:r w:rsidRPr="5A5DD69B" w:rsidR="5A5DD69B">
        <w:rPr>
          <w:rFonts w:ascii="Arial" w:hAnsi="Arial" w:eastAsia="Arial" w:cs="Arial"/>
          <w:noProof w:val="0"/>
          <w:color w:val="000000" w:themeColor="text1" w:themeTint="FF" w:themeShade="FF"/>
          <w:sz w:val="24"/>
          <w:szCs w:val="24"/>
          <w:lang w:val="en-GB"/>
        </w:rPr>
        <w:t>The controversy of stop and searches does not stop there, s.60 particularly are viewed as unfair as innocent people are almost always stopped and searched, moreover according to Criminal Justice Alliance (2020) less than 1% of s.60’s carried out between 2006 and 2019 resulted in an arrest for a weapon.</w:t>
      </w:r>
    </w:p>
    <w:p w:rsidR="5A5DD69B" w:rsidP="5A5DD69B" w:rsidRDefault="5A5DD69B" w14:paraId="489A6785" w14:textId="2A0F1785">
      <w:pPr>
        <w:spacing w:line="257" w:lineRule="exact"/>
        <w:jc w:val="left"/>
      </w:pPr>
      <w:r w:rsidRPr="5A5DD69B" w:rsidR="5A5DD69B">
        <w:rPr>
          <w:rFonts w:ascii="Arial" w:hAnsi="Arial" w:eastAsia="Arial" w:cs="Arial"/>
          <w:noProof w:val="0"/>
          <w:color w:val="000000" w:themeColor="text1" w:themeTint="FF" w:themeShade="FF"/>
          <w:sz w:val="24"/>
          <w:szCs w:val="24"/>
          <w:lang w:val="en-GB"/>
        </w:rPr>
        <w:t>There have also been questions raised to the effectiveness of stop and search as a deterrent, research by Tiratelli (2018) suggests stop and search is mostly effective at stopping drug offences and does not deter crime overall furthermore, research indicates stop and search has never been particularly effective at controlling crime therefore its use and popularity among police officers seems unjustified. It is argued that stop and search is seen as an effective tool to fight crime simply because it is used to often, rather it is not very effective but is better than nothing.</w:t>
      </w:r>
    </w:p>
    <w:p w:rsidR="5A5DD69B" w:rsidP="5A5DD69B" w:rsidRDefault="5A5DD69B" w14:paraId="22819CFB" w14:textId="512B6803">
      <w:pPr>
        <w:spacing w:line="257" w:lineRule="exact"/>
        <w:jc w:val="left"/>
      </w:pPr>
      <w:r w:rsidRPr="5A5DD69B" w:rsidR="5A5DD69B">
        <w:rPr>
          <w:rFonts w:ascii="Arial" w:hAnsi="Arial" w:eastAsia="Arial" w:cs="Arial"/>
          <w:noProof w:val="0"/>
          <w:color w:val="000000" w:themeColor="text1" w:themeTint="FF" w:themeShade="FF"/>
          <w:sz w:val="24"/>
          <w:szCs w:val="24"/>
          <w:lang w:val="en-GB"/>
        </w:rPr>
        <w:t>To conclude, Stop and search is inevitable despite its controversy and allegations of racism and questions raised about its effectiveness it still preservers and is used often by police officers. Evidence suggests it is extremely useful at reducing drug offences and nothing more. However, this is a positive. If officers receive improved training to further understand how to use stop and search adequately, lawfully and most importantly, fairly. It can become the tool that police officer think it is. There are already recommendations around improved training with officers in order to improve the effectiveness of stop and search which will hopefully improve its effectiveness and its impartiality. Section 60 stop and searches however, do not have many positives, if the aim was to find a weapon the person with the weapon could simply not take it on the streets with them as they would know there is a section 60 in place. Furthermore, the effectiveness of section 60’s speaks for itself, with almost 0 arrests in 13 years. There may be a case to repeal s.60 or at the very least reform it.</w:t>
      </w:r>
    </w:p>
    <w:p w:rsidR="5A5DD69B" w:rsidP="5A5DD69B" w:rsidRDefault="5A5DD69B" w14:paraId="22AE543D" w14:textId="5E6068DE">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06C4357E" w14:textId="52744647">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794C567D" w14:textId="09464F6D">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6BCCD153" w14:textId="5418DD7C">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3D325654" w14:textId="44E39362">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583BAB00" w14:textId="38A71DF4">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49249ECD" w14:textId="0BA9F45C">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7D8F6BED" w14:textId="74AC676F">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10DA94DE" w14:textId="4473E50F">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507E28F9" w14:textId="635F9778">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6270EED0" w14:textId="6B827E7B">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4E719776" w14:textId="4B7E61B2">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3D5D6C62" w14:textId="110FA439">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3497DB70" w14:textId="392064A9">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2C34F7BB" w14:textId="27E7E4CF">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7B66DB18" w14:textId="38BB1980">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Reference List</w:t>
      </w:r>
    </w:p>
    <w:p w:rsidR="5A5DD69B" w:rsidP="5A5DD69B" w:rsidRDefault="5A5DD69B" w14:paraId="1DDDB58B" w14:textId="71A5B0D6">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0D3EB1B5" w14:textId="5268471A">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Collage of Policing (2022) Stop and Search. Available at </w:t>
      </w:r>
      <w:hyperlink r:id="R58f996e4b78046fa">
        <w:r w:rsidRPr="5A5DD69B" w:rsidR="5A5DD69B">
          <w:rPr>
            <w:rStyle w:val="Hyperlink"/>
            <w:rFonts w:ascii="Arial" w:hAnsi="Arial" w:eastAsia="Arial" w:cs="Arial"/>
            <w:noProof w:val="0"/>
            <w:sz w:val="24"/>
            <w:szCs w:val="24"/>
            <w:lang w:val="en-GB"/>
          </w:rPr>
          <w:t>https://www.college.police.uk/app/stop-and-search/stop-and-search</w:t>
        </w:r>
      </w:hyperlink>
      <w:r w:rsidRPr="5A5DD69B" w:rsidR="5A5DD69B">
        <w:rPr>
          <w:rFonts w:ascii="Arial" w:hAnsi="Arial" w:eastAsia="Arial" w:cs="Arial"/>
          <w:noProof w:val="0"/>
          <w:color w:val="000000" w:themeColor="text1" w:themeTint="FF" w:themeShade="FF"/>
          <w:sz w:val="24"/>
          <w:szCs w:val="24"/>
          <w:lang w:val="en-GB"/>
        </w:rPr>
        <w:t xml:space="preserve"> (Accessed 5</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May 2022)</w:t>
      </w:r>
    </w:p>
    <w:p w:rsidR="5A5DD69B" w:rsidP="5A5DD69B" w:rsidRDefault="5A5DD69B" w14:paraId="3E25277F" w14:textId="4A15078E">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Criminal Justice Alliance (2020) More harm than good. Available at </w:t>
      </w:r>
      <w:hyperlink r:id="Rba5d4e2d2bde4a39">
        <w:r w:rsidRPr="5A5DD69B" w:rsidR="5A5DD69B">
          <w:rPr>
            <w:rStyle w:val="Hyperlink"/>
            <w:rFonts w:ascii="Arial" w:hAnsi="Arial" w:eastAsia="Arial" w:cs="Arial"/>
            <w:noProof w:val="0"/>
            <w:sz w:val="24"/>
            <w:szCs w:val="24"/>
            <w:lang w:val="en-GB"/>
          </w:rPr>
          <w:t>https://www.criminaljusticealliance.org/wp-content/uploads/CJA-super-complaint-annex-1.pdf</w:t>
        </w:r>
      </w:hyperlink>
      <w:r w:rsidRPr="5A5DD69B" w:rsidR="5A5DD69B">
        <w:rPr>
          <w:rFonts w:ascii="Arial" w:hAnsi="Arial" w:eastAsia="Arial" w:cs="Arial"/>
          <w:noProof w:val="0"/>
          <w:color w:val="000000" w:themeColor="text1" w:themeTint="FF" w:themeShade="FF"/>
          <w:sz w:val="24"/>
          <w:szCs w:val="24"/>
          <w:lang w:val="en-GB"/>
        </w:rPr>
        <w:t xml:space="preserve"> (Accessed 5th May 2022)</w:t>
      </w:r>
    </w:p>
    <w:p w:rsidR="5A5DD69B" w:rsidP="5A5DD69B" w:rsidRDefault="5A5DD69B" w14:paraId="3D1146F2" w14:textId="1579CC08">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HMICFRS (2021) Disproportionate use of police powers. Available at </w:t>
      </w:r>
      <w:hyperlink r:id="Rd81600e706854026">
        <w:r w:rsidRPr="5A5DD69B" w:rsidR="5A5DD69B">
          <w:rPr>
            <w:rStyle w:val="Hyperlink"/>
            <w:rFonts w:ascii="Arial" w:hAnsi="Arial" w:eastAsia="Arial" w:cs="Arial"/>
            <w:noProof w:val="0"/>
            <w:sz w:val="24"/>
            <w:szCs w:val="24"/>
            <w:lang w:val="en-GB"/>
          </w:rPr>
          <w:t>https://www.justiceinspectorates.gov.uk/hmicfrs/wp-content/uploads/disproportionate-use-of-police-powers-spotlight-on-stop-search-and-use-of-force.pdf</w:t>
        </w:r>
      </w:hyperlink>
      <w:r w:rsidRPr="5A5DD69B" w:rsidR="5A5DD69B">
        <w:rPr>
          <w:rFonts w:ascii="Arial" w:hAnsi="Arial" w:eastAsia="Arial" w:cs="Arial"/>
          <w:noProof w:val="0"/>
          <w:color w:val="000000" w:themeColor="text1" w:themeTint="FF" w:themeShade="FF"/>
          <w:sz w:val="24"/>
          <w:szCs w:val="24"/>
          <w:lang w:val="en-GB"/>
        </w:rPr>
        <w:t xml:space="preserve"> (Accessed 5th May 2022)</w:t>
      </w:r>
    </w:p>
    <w:p w:rsidR="5A5DD69B" w:rsidP="5A5DD69B" w:rsidRDefault="5A5DD69B" w14:paraId="38421F44" w14:textId="4E3F2727">
      <w:pPr>
        <w:pStyle w:val="Normal"/>
        <w:spacing w:line="257" w:lineRule="exact"/>
        <w:jc w:val="left"/>
        <w:rPr>
          <w:rFonts w:ascii="Arial" w:hAnsi="Arial" w:eastAsia="Arial" w:cs="Arial"/>
          <w:noProof w:val="0"/>
          <w:color w:val="000000" w:themeColor="text1" w:themeTint="FF" w:themeShade="FF"/>
          <w:sz w:val="24"/>
          <w:szCs w:val="24"/>
          <w:lang w:val="en-GB"/>
        </w:rPr>
      </w:pPr>
      <w:r w:rsidRPr="5A5DD69B" w:rsidR="5A5DD69B">
        <w:rPr>
          <w:rFonts w:ascii="Arial" w:hAnsi="Arial" w:eastAsia="Arial" w:cs="Arial"/>
          <w:noProof w:val="0"/>
          <w:color w:val="000000" w:themeColor="text1" w:themeTint="FF" w:themeShade="FF"/>
          <w:sz w:val="24"/>
          <w:szCs w:val="24"/>
          <w:lang w:val="en-GB"/>
        </w:rPr>
        <w:t xml:space="preserve">House of Commons Library (2021) Police Powers: Stop and Search. Available at </w:t>
      </w:r>
      <w:hyperlink r:id="Ra6a7b2708515497f">
        <w:r w:rsidRPr="5A5DD69B" w:rsidR="5A5DD69B">
          <w:rPr>
            <w:rStyle w:val="Hyperlink"/>
            <w:rFonts w:ascii="Arial" w:hAnsi="Arial" w:eastAsia="Arial" w:cs="Arial"/>
            <w:noProof w:val="0"/>
            <w:sz w:val="24"/>
            <w:szCs w:val="24"/>
            <w:lang w:val="en-GB"/>
          </w:rPr>
          <w:t>https://researchbriefings.files.parliament.uk/documents/SN03878/SN03878.pdf</w:t>
        </w:r>
      </w:hyperlink>
      <w:r w:rsidRPr="5A5DD69B" w:rsidR="5A5DD69B">
        <w:rPr>
          <w:rFonts w:ascii="Arial" w:hAnsi="Arial" w:eastAsia="Arial" w:cs="Arial"/>
          <w:noProof w:val="0"/>
          <w:color w:val="000000" w:themeColor="text1" w:themeTint="FF" w:themeShade="FF"/>
          <w:sz w:val="24"/>
          <w:szCs w:val="24"/>
          <w:lang w:val="en-GB"/>
        </w:rPr>
        <w:t xml:space="preserve"> (Accessed 5th May 2022)</w:t>
      </w:r>
    </w:p>
    <w:p w:rsidR="5A5DD69B" w:rsidP="5A5DD69B" w:rsidRDefault="5A5DD69B" w14:paraId="064BF769" w14:textId="78B37EA0">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Met Police (2022) How we use Stop and Search. </w:t>
      </w:r>
      <w:hyperlink r:id="Rcd1897de5bf84385">
        <w:r w:rsidRPr="5A5DD69B" w:rsidR="5A5DD69B">
          <w:rPr>
            <w:rStyle w:val="Hyperlink"/>
            <w:rFonts w:ascii="Arial" w:hAnsi="Arial" w:eastAsia="Arial" w:cs="Arial"/>
            <w:noProof w:val="0"/>
            <w:sz w:val="24"/>
            <w:szCs w:val="24"/>
            <w:lang w:val="en-GB"/>
          </w:rPr>
          <w:t>https://www.met.police.uk/advice/advice-and-information/st-s/stop-and-search/how-we-use-stop-and-search/</w:t>
        </w:r>
      </w:hyperlink>
      <w:r w:rsidRPr="5A5DD69B" w:rsidR="5A5DD69B">
        <w:rPr>
          <w:rFonts w:ascii="Arial" w:hAnsi="Arial" w:eastAsia="Arial" w:cs="Arial"/>
          <w:noProof w:val="0"/>
          <w:color w:val="000000" w:themeColor="text1" w:themeTint="FF" w:themeShade="FF"/>
          <w:sz w:val="24"/>
          <w:szCs w:val="24"/>
          <w:lang w:val="en-GB"/>
        </w:rPr>
        <w:t xml:space="preserve"> (Accessed 5</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May 2022)</w:t>
      </w:r>
    </w:p>
    <w:p w:rsidR="5A5DD69B" w:rsidP="5A5DD69B" w:rsidRDefault="5A5DD69B" w14:paraId="54788BBF" w14:textId="5EA7D8C1">
      <w:pPr>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Nottinghamshire Police (2022) What is a section 60? Available at </w:t>
      </w:r>
      <w:hyperlink r:id="R57b826eed87c48a1">
        <w:r w:rsidRPr="5A5DD69B" w:rsidR="5A5DD69B">
          <w:rPr>
            <w:rStyle w:val="Hyperlink"/>
            <w:rFonts w:ascii="Arial" w:hAnsi="Arial" w:eastAsia="Arial" w:cs="Arial"/>
            <w:noProof w:val="0"/>
            <w:sz w:val="24"/>
            <w:szCs w:val="24"/>
            <w:lang w:val="en-GB"/>
          </w:rPr>
          <w:t>https://www.nottinghamshire.police.uk/faqs/what-section-60</w:t>
        </w:r>
      </w:hyperlink>
      <w:r w:rsidRPr="5A5DD69B" w:rsidR="5A5DD69B">
        <w:rPr>
          <w:rFonts w:ascii="Arial" w:hAnsi="Arial" w:eastAsia="Arial" w:cs="Arial"/>
          <w:noProof w:val="0"/>
          <w:color w:val="000000" w:themeColor="text1" w:themeTint="FF" w:themeShade="FF"/>
          <w:sz w:val="24"/>
          <w:szCs w:val="24"/>
          <w:lang w:val="en-GB"/>
        </w:rPr>
        <w:t xml:space="preserve"> (Accessed 5</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May 2022)</w:t>
      </w:r>
    </w:p>
    <w:p w:rsidR="5A5DD69B" w:rsidP="5A5DD69B" w:rsidRDefault="5A5DD69B" w14:paraId="7F2431A9" w14:textId="593DE6E1">
      <w:pPr>
        <w:pStyle w:val="Normal"/>
        <w:spacing w:line="257" w:lineRule="exact"/>
        <w:jc w:val="left"/>
        <w:rPr>
          <w:rFonts w:ascii="Arial" w:hAnsi="Arial" w:eastAsia="Arial" w:cs="Arial"/>
          <w:noProof w:val="0"/>
          <w:color w:val="000000" w:themeColor="text1" w:themeTint="FF" w:themeShade="FF"/>
          <w:sz w:val="24"/>
          <w:szCs w:val="24"/>
          <w:lang w:val="en-GB"/>
        </w:rPr>
      </w:pPr>
      <w:r w:rsidRPr="5A5DD69B" w:rsidR="5A5DD69B">
        <w:rPr>
          <w:rFonts w:ascii="Arial" w:hAnsi="Arial" w:eastAsia="Arial" w:cs="Arial"/>
          <w:noProof w:val="0"/>
          <w:color w:val="000000" w:themeColor="text1" w:themeTint="FF" w:themeShade="FF"/>
          <w:sz w:val="24"/>
          <w:szCs w:val="24"/>
          <w:lang w:val="en-GB"/>
        </w:rPr>
        <w:t xml:space="preserve">Police and Criminal Evidence Act (1984) Available at </w:t>
      </w:r>
      <w:hyperlink r:id="Rb30aeeb8270d4b53">
        <w:r w:rsidRPr="5A5DD69B" w:rsidR="5A5DD69B">
          <w:rPr>
            <w:rStyle w:val="Hyperlink"/>
            <w:rFonts w:ascii="Arial" w:hAnsi="Arial" w:eastAsia="Arial" w:cs="Arial"/>
            <w:noProof w:val="0"/>
            <w:sz w:val="24"/>
            <w:szCs w:val="24"/>
            <w:lang w:val="en-GB"/>
          </w:rPr>
          <w:t>https://www.legislation.gov.uk/ukpga/1984/60/section/1</w:t>
        </w:r>
      </w:hyperlink>
      <w:r w:rsidRPr="5A5DD69B" w:rsidR="5A5DD69B">
        <w:rPr>
          <w:rFonts w:ascii="Arial" w:hAnsi="Arial" w:eastAsia="Arial" w:cs="Arial"/>
          <w:noProof w:val="0"/>
          <w:color w:val="000000" w:themeColor="text1" w:themeTint="FF" w:themeShade="FF"/>
          <w:sz w:val="24"/>
          <w:szCs w:val="24"/>
          <w:lang w:val="en-GB"/>
        </w:rPr>
        <w:t>(Accessed 5</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May 2022)</w:t>
      </w:r>
    </w:p>
    <w:p w:rsidR="5A5DD69B" w:rsidP="5A5DD69B" w:rsidRDefault="5A5DD69B" w14:paraId="65DF628F" w14:textId="22076138">
      <w:pPr>
        <w:pStyle w:val="Normal"/>
        <w:spacing w:line="257" w:lineRule="exact"/>
        <w:jc w:val="left"/>
      </w:pPr>
      <w:proofErr w:type="spellStart"/>
      <w:r w:rsidRPr="5A5DD69B" w:rsidR="5A5DD69B">
        <w:rPr>
          <w:rFonts w:ascii="Arial" w:hAnsi="Arial" w:eastAsia="Arial" w:cs="Arial"/>
          <w:noProof w:val="0"/>
          <w:color w:val="000000" w:themeColor="text1" w:themeTint="FF" w:themeShade="FF"/>
          <w:sz w:val="24"/>
          <w:szCs w:val="24"/>
          <w:lang w:val="en-GB"/>
        </w:rPr>
        <w:t>Tiratelli</w:t>
      </w:r>
      <w:proofErr w:type="spellEnd"/>
      <w:r w:rsidRPr="5A5DD69B" w:rsidR="5A5DD69B">
        <w:rPr>
          <w:rFonts w:ascii="Arial" w:hAnsi="Arial" w:eastAsia="Arial" w:cs="Arial"/>
          <w:noProof w:val="0"/>
          <w:color w:val="000000" w:themeColor="text1" w:themeTint="FF" w:themeShade="FF"/>
          <w:sz w:val="24"/>
          <w:szCs w:val="24"/>
          <w:lang w:val="en-GB"/>
        </w:rPr>
        <w:t xml:space="preserve"> M. (2018) Does stop and search Deter Crime? The British Journal of Criminology, vol 58. DOI:</w:t>
      </w:r>
      <w:hyperlink r:id="R9b44c3a547194d93">
        <w:r w:rsidRPr="5A5DD69B" w:rsidR="5A5DD69B">
          <w:rPr>
            <w:rStyle w:val="Hyperlink"/>
            <w:rFonts w:ascii="Source Sans Pro" w:hAnsi="Source Sans Pro" w:eastAsia="Source Sans Pro" w:cs="Source Sans Pro"/>
            <w:strike w:val="0"/>
            <w:dstrike w:val="0"/>
            <w:noProof w:val="0"/>
            <w:sz w:val="26"/>
            <w:szCs w:val="26"/>
            <w:lang w:val="en-GB"/>
          </w:rPr>
          <w:t>https://doi.org/10.1093/bjc/azx085</w:t>
        </w:r>
      </w:hyperlink>
      <w:r w:rsidRPr="5A5DD69B" w:rsidR="5A5DD69B">
        <w:rPr>
          <w:rFonts w:ascii="Calibri" w:hAnsi="Calibri" w:eastAsia="Calibri" w:cs="Calibri"/>
          <w:noProof w:val="0"/>
          <w:color w:val="000000" w:themeColor="text1" w:themeTint="FF" w:themeShade="FF"/>
          <w:sz w:val="22"/>
          <w:szCs w:val="22"/>
          <w:lang w:val="en-GB"/>
        </w:rPr>
        <w:t xml:space="preserve">     (</w:t>
      </w:r>
      <w:r w:rsidRPr="5A5DD69B" w:rsidR="5A5DD69B">
        <w:rPr>
          <w:rFonts w:ascii="Arial" w:hAnsi="Arial" w:eastAsia="Arial" w:cs="Arial"/>
          <w:noProof w:val="0"/>
          <w:color w:val="000000" w:themeColor="text1" w:themeTint="FF" w:themeShade="FF"/>
          <w:sz w:val="24"/>
          <w:szCs w:val="24"/>
          <w:lang w:val="en-GB"/>
        </w:rPr>
        <w:t>Accessed 5</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May 2022)</w:t>
      </w:r>
    </w:p>
    <w:p w:rsidR="5A5DD69B" w:rsidP="5A5DD69B" w:rsidRDefault="5A5DD69B" w14:paraId="5E077B2A" w14:textId="7C8D3655">
      <w:pPr>
        <w:pStyle w:val="Normal"/>
        <w:spacing w:line="257" w:lineRule="exact"/>
        <w:jc w:val="left"/>
      </w:pPr>
      <w:r w:rsidRPr="5A5DD69B" w:rsidR="5A5DD69B">
        <w:rPr>
          <w:rFonts w:ascii="Arial" w:hAnsi="Arial" w:eastAsia="Arial" w:cs="Arial"/>
          <w:noProof w:val="0"/>
          <w:color w:val="000000" w:themeColor="text1" w:themeTint="FF" w:themeShade="FF"/>
          <w:sz w:val="24"/>
          <w:szCs w:val="24"/>
          <w:lang w:val="en-GB"/>
        </w:rPr>
        <w:t xml:space="preserve">Vagrancy Act (1824) Available at </w:t>
      </w:r>
      <w:hyperlink r:id="R46850307eee84b73">
        <w:r w:rsidRPr="5A5DD69B" w:rsidR="5A5DD69B">
          <w:rPr>
            <w:rStyle w:val="Hyperlink"/>
            <w:rFonts w:ascii="Arial" w:hAnsi="Arial" w:eastAsia="Arial" w:cs="Arial"/>
            <w:noProof w:val="0"/>
            <w:sz w:val="24"/>
            <w:szCs w:val="24"/>
            <w:lang w:val="en-GB"/>
          </w:rPr>
          <w:t>https://www.legislation.gov.uk/ukpga/Geo4/5/83/section/4</w:t>
        </w:r>
      </w:hyperlink>
      <w:r w:rsidRPr="5A5DD69B" w:rsidR="5A5DD69B">
        <w:rPr>
          <w:rFonts w:ascii="Arial" w:hAnsi="Arial" w:eastAsia="Arial" w:cs="Arial"/>
          <w:noProof w:val="0"/>
          <w:color w:val="000000" w:themeColor="text1" w:themeTint="FF" w:themeShade="FF"/>
          <w:sz w:val="24"/>
          <w:szCs w:val="24"/>
          <w:lang w:val="en-GB"/>
        </w:rPr>
        <w:t xml:space="preserve"> (Accessed 5</w:t>
      </w:r>
      <w:r w:rsidRPr="5A5DD69B" w:rsidR="5A5DD69B">
        <w:rPr>
          <w:rFonts w:ascii="Arial" w:hAnsi="Arial" w:eastAsia="Arial" w:cs="Arial"/>
          <w:noProof w:val="0"/>
          <w:color w:val="000000" w:themeColor="text1" w:themeTint="FF" w:themeShade="FF"/>
          <w:sz w:val="24"/>
          <w:szCs w:val="24"/>
          <w:vertAlign w:val="superscript"/>
          <w:lang w:val="en-GB"/>
        </w:rPr>
        <w:t>th</w:t>
      </w:r>
      <w:r w:rsidRPr="5A5DD69B" w:rsidR="5A5DD69B">
        <w:rPr>
          <w:rFonts w:ascii="Arial" w:hAnsi="Arial" w:eastAsia="Arial" w:cs="Arial"/>
          <w:noProof w:val="0"/>
          <w:color w:val="000000" w:themeColor="text1" w:themeTint="FF" w:themeShade="FF"/>
          <w:sz w:val="24"/>
          <w:szCs w:val="24"/>
          <w:lang w:val="en-GB"/>
        </w:rPr>
        <w:t xml:space="preserve"> May 2022)</w:t>
      </w:r>
    </w:p>
    <w:p w:rsidR="5A5DD69B" w:rsidP="5A5DD69B" w:rsidRDefault="5A5DD69B" w14:paraId="61962775" w14:textId="25B13EA7">
      <w:pPr>
        <w:spacing w:line="257" w:lineRule="exact"/>
        <w:jc w:val="left"/>
        <w:rPr>
          <w:rFonts w:ascii="Arial" w:hAnsi="Arial" w:eastAsia="Arial" w:cs="Arial"/>
          <w:noProof w:val="0"/>
          <w:color w:val="000000" w:themeColor="text1" w:themeTint="FF" w:themeShade="FF"/>
          <w:sz w:val="24"/>
          <w:szCs w:val="24"/>
          <w:lang w:val="en-GB"/>
        </w:rPr>
      </w:pPr>
      <w:r w:rsidRPr="5A5DD69B" w:rsidR="5A5DD69B">
        <w:rPr>
          <w:rFonts w:ascii="Arial" w:hAnsi="Arial" w:eastAsia="Arial" w:cs="Arial"/>
          <w:noProof w:val="0"/>
          <w:color w:val="000000" w:themeColor="text1" w:themeTint="FF" w:themeShade="FF"/>
          <w:sz w:val="24"/>
          <w:szCs w:val="24"/>
          <w:lang w:val="en-GB"/>
        </w:rPr>
        <w:t xml:space="preserve"> </w:t>
      </w:r>
    </w:p>
    <w:p w:rsidR="5A5DD69B" w:rsidP="5A5DD69B" w:rsidRDefault="5A5DD69B" w14:paraId="3AA39168" w14:textId="59224636">
      <w:pPr>
        <w:spacing w:line="257" w:lineRule="exact"/>
        <w:jc w:val="left"/>
        <w:rPr>
          <w:rFonts w:ascii="Arial" w:hAnsi="Arial" w:eastAsia="Arial" w:cs="Arial"/>
          <w:noProof w:val="0"/>
          <w:color w:val="000000" w:themeColor="text1" w:themeTint="FF" w:themeShade="FF"/>
          <w:sz w:val="24"/>
          <w:szCs w:val="24"/>
          <w:lang w:val="en-GB"/>
        </w:rPr>
      </w:pPr>
    </w:p>
    <w:p w:rsidR="5A5DD69B" w:rsidP="5A5DD69B" w:rsidRDefault="5A5DD69B" w14:paraId="4DE040B8" w14:textId="3502B521">
      <w:pPr>
        <w:pStyle w:val="Normal"/>
        <w:jc w:val="left"/>
        <w:rPr>
          <w:rFonts w:ascii="Arial" w:hAnsi="Arial" w:eastAsia="Arial" w:cs="Arial"/>
          <w:sz w:val="24"/>
          <w:szCs w:val="24"/>
        </w:rPr>
      </w:pPr>
    </w:p>
    <w:p w:rsidR="5A5DD69B" w:rsidP="5A5DD69B" w:rsidRDefault="5A5DD69B" w14:paraId="03331222" w14:textId="6BE9CFC6">
      <w:pPr>
        <w:pStyle w:val="Normal"/>
        <w:jc w:val="left"/>
        <w:rPr>
          <w:rFonts w:ascii="Arial" w:hAnsi="Arial" w:eastAsia="Arial" w:cs="Arial"/>
          <w:sz w:val="24"/>
          <w:szCs w:val="24"/>
        </w:rPr>
      </w:pPr>
    </w:p>
    <w:p w:rsidR="5A5DD69B" w:rsidP="5A5DD69B" w:rsidRDefault="5A5DD69B" w14:paraId="5D5A9622" w14:textId="6FE1A127">
      <w:pPr>
        <w:pStyle w:val="Normal"/>
        <w:jc w:val="left"/>
        <w:rPr>
          <w:rFonts w:ascii="Arial" w:hAnsi="Arial" w:eastAsia="Arial" w:cs="Arial"/>
          <w:sz w:val="24"/>
          <w:szCs w:val="24"/>
        </w:rPr>
      </w:pPr>
    </w:p>
    <w:p w:rsidR="5A5DD69B" w:rsidP="5A5DD69B" w:rsidRDefault="5A5DD69B" w14:paraId="41BCCEB5" w14:textId="4DF7A5FD">
      <w:pPr>
        <w:pStyle w:val="Normal"/>
        <w:jc w:val="left"/>
        <w:rPr>
          <w:rFonts w:ascii="Arial" w:hAnsi="Arial" w:eastAsia="Arial" w:cs="Arial"/>
          <w:sz w:val="24"/>
          <w:szCs w:val="24"/>
        </w:rPr>
      </w:pPr>
    </w:p>
    <w:p w:rsidR="5A5DD69B" w:rsidP="5A5DD69B" w:rsidRDefault="5A5DD69B" w14:paraId="104FB39F" w14:textId="2B50DFAA">
      <w:pPr>
        <w:pStyle w:val="Normal"/>
        <w:jc w:val="left"/>
        <w:rPr>
          <w:rFonts w:ascii="Arial" w:hAnsi="Arial" w:eastAsia="Arial" w:cs="Arial"/>
          <w:sz w:val="24"/>
          <w:szCs w:val="24"/>
        </w:rPr>
      </w:pPr>
    </w:p>
    <w:p w:rsidR="5A5DD69B" w:rsidP="5A5DD69B" w:rsidRDefault="5A5DD69B" w14:paraId="485556CC" w14:textId="172000EF">
      <w:pPr>
        <w:pStyle w:val="Normal"/>
        <w:jc w:val="left"/>
        <w:rPr>
          <w:rFonts w:ascii="Arial" w:hAnsi="Arial" w:eastAsia="Arial" w:cs="Arial"/>
          <w:sz w:val="24"/>
          <w:szCs w:val="24"/>
        </w:rPr>
      </w:pPr>
    </w:p>
    <w:p w:rsidR="5A5DD69B" w:rsidP="5A5DD69B" w:rsidRDefault="5A5DD69B" w14:paraId="1E74B3C5" w14:textId="4D76F07F">
      <w:pPr>
        <w:pStyle w:val="Normal"/>
        <w:jc w:val="left"/>
        <w:rPr>
          <w:rFonts w:ascii="Arial" w:hAnsi="Arial" w:eastAsia="Arial" w:cs="Arial"/>
          <w:sz w:val="24"/>
          <w:szCs w:val="24"/>
        </w:rPr>
      </w:pPr>
    </w:p>
    <w:p w:rsidR="5A5DD69B" w:rsidP="5A5DD69B" w:rsidRDefault="5A5DD69B" w14:paraId="68B92A22" w14:textId="32655B01">
      <w:pPr>
        <w:pStyle w:val="Normal"/>
        <w:jc w:val="left"/>
        <w:rPr>
          <w:rFonts w:ascii="Arial" w:hAnsi="Arial" w:eastAsia="Arial" w:cs="Arial"/>
          <w:sz w:val="24"/>
          <w:szCs w:val="24"/>
        </w:rPr>
      </w:pPr>
    </w:p>
    <w:p w:rsidR="5A5DD69B" w:rsidP="5A5DD69B" w:rsidRDefault="5A5DD69B" w14:paraId="762A036A" w14:textId="5CEEF9D1">
      <w:pPr>
        <w:pStyle w:val="Normal"/>
        <w:jc w:val="left"/>
        <w:rPr>
          <w:rFonts w:ascii="Arial" w:hAnsi="Arial" w:eastAsia="Arial" w:cs="Arial"/>
          <w:sz w:val="24"/>
          <w:szCs w:val="24"/>
        </w:rPr>
      </w:pPr>
    </w:p>
    <w:p w:rsidR="5A5DD69B" w:rsidP="5A5DD69B" w:rsidRDefault="5A5DD69B" w14:paraId="669A9179" w14:textId="709DD0E9">
      <w:pPr>
        <w:pStyle w:val="Normal"/>
        <w:jc w:val="left"/>
        <w:rPr>
          <w:rFonts w:ascii="Arial" w:hAnsi="Arial" w:eastAsia="Arial" w:cs="Arial"/>
          <w:sz w:val="24"/>
          <w:szCs w:val="24"/>
        </w:rPr>
      </w:pPr>
    </w:p>
    <w:p w:rsidR="5A5DD69B" w:rsidP="5A5DD69B" w:rsidRDefault="5A5DD69B" w14:paraId="0DF42983" w14:textId="56FCD2C1">
      <w:pPr>
        <w:pStyle w:val="Normal"/>
        <w:jc w:val="left"/>
        <w:rPr>
          <w:rFonts w:ascii="Arial" w:hAnsi="Arial" w:eastAsia="Arial" w:cs="Arial"/>
          <w:sz w:val="24"/>
          <w:szCs w:val="24"/>
        </w:rPr>
      </w:pPr>
    </w:p>
    <w:p w:rsidR="5A5DD69B" w:rsidP="5A5DD69B" w:rsidRDefault="5A5DD69B" w14:paraId="5C2E6EA0" w14:textId="1AD2CDFB">
      <w:pPr>
        <w:pStyle w:val="Normal"/>
        <w:jc w:val="left"/>
        <w:rPr>
          <w:rFonts w:ascii="Arial" w:hAnsi="Arial" w:eastAsia="Arial" w:cs="Arial"/>
          <w:sz w:val="24"/>
          <w:szCs w:val="24"/>
        </w:rPr>
      </w:pPr>
    </w:p>
    <w:p w:rsidR="5A5DD69B" w:rsidP="5A5DD69B" w:rsidRDefault="5A5DD69B" w14:paraId="7886C4A9" w14:textId="6BA8623F">
      <w:pPr>
        <w:pStyle w:val="Normal"/>
        <w:jc w:val="left"/>
        <w:rPr>
          <w:rFonts w:ascii="Arial" w:hAnsi="Arial" w:eastAsia="Arial" w:cs="Arial"/>
          <w:sz w:val="24"/>
          <w:szCs w:val="24"/>
        </w:rPr>
      </w:pPr>
    </w:p>
    <w:p w:rsidR="5A5DD69B" w:rsidP="5A5DD69B" w:rsidRDefault="5A5DD69B" w14:paraId="3312BE09" w14:textId="24CFA6CA">
      <w:pPr>
        <w:pStyle w:val="Normal"/>
        <w:jc w:val="left"/>
        <w:rPr>
          <w:rFonts w:ascii="Arial" w:hAnsi="Arial" w:eastAsia="Arial" w:cs="Arial"/>
          <w:sz w:val="24"/>
          <w:szCs w:val="24"/>
        </w:rPr>
      </w:pPr>
    </w:p>
    <w:p w:rsidR="5A5DD69B" w:rsidP="5A5DD69B" w:rsidRDefault="5A5DD69B" w14:paraId="4A9BBC49" w14:textId="5D6265A2">
      <w:pPr>
        <w:pStyle w:val="Normal"/>
        <w:jc w:val="left"/>
        <w:rPr>
          <w:rFonts w:ascii="Arial" w:hAnsi="Arial" w:eastAsia="Arial" w:cs="Arial"/>
          <w:sz w:val="24"/>
          <w:szCs w:val="24"/>
        </w:rPr>
      </w:pPr>
    </w:p>
    <w:p w:rsidR="5A5DD69B" w:rsidP="5A5DD69B" w:rsidRDefault="5A5DD69B" w14:paraId="4C739573" w14:textId="3D675669">
      <w:pPr>
        <w:pStyle w:val="Normal"/>
        <w:jc w:val="left"/>
        <w:rPr>
          <w:rFonts w:ascii="Arial" w:hAnsi="Arial" w:eastAsia="Arial" w:cs="Arial"/>
          <w:sz w:val="24"/>
          <w:szCs w:val="24"/>
        </w:rPr>
      </w:pPr>
    </w:p>
    <w:p w:rsidR="5A5DD69B" w:rsidP="5A5DD69B" w:rsidRDefault="5A5DD69B" w14:paraId="6FDDC12F" w14:textId="4D01BDE7">
      <w:pPr>
        <w:pStyle w:val="Normal"/>
        <w:jc w:val="left"/>
        <w:rPr>
          <w:rFonts w:ascii="Arial" w:hAnsi="Arial" w:eastAsia="Arial" w:cs="Arial"/>
          <w:sz w:val="24"/>
          <w:szCs w:val="24"/>
        </w:rPr>
      </w:pPr>
    </w:p>
    <w:p w:rsidR="5A5DD69B" w:rsidP="5A5DD69B" w:rsidRDefault="5A5DD69B" w14:paraId="77B24518" w14:textId="1ACB367A">
      <w:pPr>
        <w:pStyle w:val="Normal"/>
        <w:jc w:val="left"/>
        <w:rPr>
          <w:rFonts w:ascii="Arial" w:hAnsi="Arial" w:eastAsia="Arial" w:cs="Arial"/>
          <w:sz w:val="24"/>
          <w:szCs w:val="24"/>
        </w:rPr>
      </w:pPr>
    </w:p>
    <w:p w:rsidR="5A5DD69B" w:rsidP="5A5DD69B" w:rsidRDefault="5A5DD69B" w14:paraId="016099AC" w14:textId="5192EBD7">
      <w:pPr>
        <w:pStyle w:val="Normal"/>
        <w:jc w:val="left"/>
        <w:rPr>
          <w:rFonts w:ascii="Arial" w:hAnsi="Arial" w:eastAsia="Arial" w:cs="Arial"/>
          <w:sz w:val="24"/>
          <w:szCs w:val="24"/>
        </w:rPr>
      </w:pPr>
    </w:p>
    <w:p w:rsidR="5A5DD69B" w:rsidP="5A5DD69B" w:rsidRDefault="5A5DD69B" w14:paraId="1F7B4D08" w14:textId="30909021">
      <w:pPr>
        <w:pStyle w:val="Normal"/>
        <w:jc w:val="left"/>
        <w:rPr>
          <w:rFonts w:ascii="Arial" w:hAnsi="Arial" w:eastAsia="Arial" w:cs="Arial"/>
          <w:sz w:val="24"/>
          <w:szCs w:val="24"/>
        </w:rPr>
      </w:pPr>
    </w:p>
    <w:p w:rsidR="5A5DD69B" w:rsidP="5A5DD69B" w:rsidRDefault="5A5DD69B" w14:paraId="5F854D50" w14:textId="60BB9C21">
      <w:pPr>
        <w:pStyle w:val="Normal"/>
        <w:jc w:val="left"/>
        <w:rPr>
          <w:rFonts w:ascii="Arial" w:hAnsi="Arial" w:eastAsia="Arial" w:cs="Arial"/>
          <w:sz w:val="24"/>
          <w:szCs w:val="24"/>
        </w:rPr>
      </w:pPr>
    </w:p>
    <w:p w:rsidR="5A5DD69B" w:rsidP="5A5DD69B" w:rsidRDefault="5A5DD69B" w14:paraId="2504C7F1" w14:textId="7B46EF5E">
      <w:pPr>
        <w:pStyle w:val="Normal"/>
        <w:jc w:val="left"/>
        <w:rPr>
          <w:rFonts w:ascii="Arial" w:hAnsi="Arial" w:eastAsia="Arial" w:cs="Arial"/>
          <w:sz w:val="24"/>
          <w:szCs w:val="24"/>
        </w:rPr>
      </w:pPr>
    </w:p>
    <w:p w:rsidR="5A5DD69B" w:rsidP="5A5DD69B" w:rsidRDefault="5A5DD69B" w14:paraId="572AEB73" w14:textId="654B06DD">
      <w:pPr>
        <w:pStyle w:val="Normal"/>
        <w:jc w:val="left"/>
        <w:rPr>
          <w:rFonts w:ascii="Arial" w:hAnsi="Arial" w:eastAsia="Arial" w:cs="Arial"/>
          <w:sz w:val="24"/>
          <w:szCs w:val="24"/>
        </w:rPr>
      </w:pPr>
    </w:p>
    <w:p w:rsidR="5A5DD69B" w:rsidP="5A5DD69B" w:rsidRDefault="5A5DD69B" w14:paraId="0D86B9C4" w14:textId="3F3A10D2">
      <w:pPr>
        <w:pStyle w:val="Normal"/>
        <w:jc w:val="left"/>
        <w:rPr>
          <w:rFonts w:ascii="Arial" w:hAnsi="Arial" w:eastAsia="Arial" w:cs="Arial"/>
          <w:sz w:val="24"/>
          <w:szCs w:val="24"/>
        </w:rPr>
      </w:pPr>
    </w:p>
    <w:p w:rsidR="5A5DD69B" w:rsidP="5A5DD69B" w:rsidRDefault="5A5DD69B" w14:paraId="2A91B4DE" w14:textId="23321E5C">
      <w:pPr>
        <w:pStyle w:val="Normal"/>
        <w:jc w:val="left"/>
        <w:rPr>
          <w:rFonts w:ascii="Arial" w:hAnsi="Arial" w:eastAsia="Arial" w:cs="Arial"/>
          <w:sz w:val="24"/>
          <w:szCs w:val="24"/>
        </w:rPr>
      </w:pPr>
    </w:p>
    <w:p w:rsidR="5A5DD69B" w:rsidP="5A5DD69B" w:rsidRDefault="5A5DD69B" w14:paraId="791C383D" w14:textId="64E74E05">
      <w:pPr>
        <w:pStyle w:val="Normal"/>
        <w:jc w:val="left"/>
        <w:rPr>
          <w:rFonts w:ascii="Arial" w:hAnsi="Arial" w:eastAsia="Arial" w:cs="Arial"/>
          <w:sz w:val="24"/>
          <w:szCs w:val="24"/>
        </w:rPr>
      </w:pPr>
    </w:p>
    <w:p w:rsidR="5A5DD69B" w:rsidP="5A5DD69B" w:rsidRDefault="5A5DD69B" w14:paraId="155A03F9" w14:textId="638BA8B5">
      <w:pPr>
        <w:pStyle w:val="Normal"/>
        <w:jc w:val="left"/>
        <w:rPr>
          <w:rFonts w:ascii="Arial" w:hAnsi="Arial" w:eastAsia="Arial" w:cs="Arial"/>
          <w:sz w:val="24"/>
          <w:szCs w:val="24"/>
        </w:rPr>
      </w:pPr>
    </w:p>
    <w:p w:rsidR="5A5DD69B" w:rsidP="5A5DD69B" w:rsidRDefault="5A5DD69B" w14:paraId="14340F60" w14:textId="550AE7FC">
      <w:pPr>
        <w:pStyle w:val="Normal"/>
        <w:jc w:val="left"/>
        <w:rPr>
          <w:rFonts w:ascii="Arial" w:hAnsi="Arial" w:eastAsia="Arial" w:cs="Arial"/>
          <w:sz w:val="24"/>
          <w:szCs w:val="24"/>
        </w:rPr>
      </w:pPr>
    </w:p>
    <w:p w:rsidR="5A5DD69B" w:rsidP="5A5DD69B" w:rsidRDefault="5A5DD69B" w14:paraId="781B857F" w14:textId="536FA2C7">
      <w:pPr>
        <w:pStyle w:val="Normal"/>
        <w:jc w:val="center"/>
        <w:rPr>
          <w:rFonts w:ascii="Arial" w:hAnsi="Arial" w:eastAsia="Arial" w:cs="Arial"/>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03B13"/>
    <w:rsid w:val="00678B83"/>
    <w:rsid w:val="00A2C4E7"/>
    <w:rsid w:val="0136D4F7"/>
    <w:rsid w:val="0224D573"/>
    <w:rsid w:val="03DA65A9"/>
    <w:rsid w:val="046E75B9"/>
    <w:rsid w:val="0492EF38"/>
    <w:rsid w:val="060A461A"/>
    <w:rsid w:val="060A461A"/>
    <w:rsid w:val="07A6167B"/>
    <w:rsid w:val="0AF05E6D"/>
    <w:rsid w:val="0AF05E6D"/>
    <w:rsid w:val="0B631194"/>
    <w:rsid w:val="0C79879E"/>
    <w:rsid w:val="0C79879E"/>
    <w:rsid w:val="0EB83B69"/>
    <w:rsid w:val="1703887D"/>
    <w:rsid w:val="1802C4CB"/>
    <w:rsid w:val="1802C4CB"/>
    <w:rsid w:val="18B22847"/>
    <w:rsid w:val="18B22847"/>
    <w:rsid w:val="1B3A658D"/>
    <w:rsid w:val="1CA2EA10"/>
    <w:rsid w:val="1CA2EA10"/>
    <w:rsid w:val="1E72064F"/>
    <w:rsid w:val="1E72064F"/>
    <w:rsid w:val="1FA49913"/>
    <w:rsid w:val="20B48DF0"/>
    <w:rsid w:val="22C31178"/>
    <w:rsid w:val="22C31178"/>
    <w:rsid w:val="2CB90DDA"/>
    <w:rsid w:val="30BFF810"/>
    <w:rsid w:val="3192A520"/>
    <w:rsid w:val="3192A520"/>
    <w:rsid w:val="31ABCD7D"/>
    <w:rsid w:val="347CF329"/>
    <w:rsid w:val="356E29CB"/>
    <w:rsid w:val="356E29CB"/>
    <w:rsid w:val="3618C38A"/>
    <w:rsid w:val="372F3994"/>
    <w:rsid w:val="3909A6F5"/>
    <w:rsid w:val="3A3C39B9"/>
    <w:rsid w:val="3C88050E"/>
    <w:rsid w:val="3E23D56F"/>
    <w:rsid w:val="3E23D56F"/>
    <w:rsid w:val="3EF6827F"/>
    <w:rsid w:val="3F2C743E"/>
    <w:rsid w:val="459BB5C2"/>
    <w:rsid w:val="47378623"/>
    <w:rsid w:val="47378623"/>
    <w:rsid w:val="4C0AF746"/>
    <w:rsid w:val="4D061047"/>
    <w:rsid w:val="4D8C33EC"/>
    <w:rsid w:val="4D974D00"/>
    <w:rsid w:val="4DA6C7A7"/>
    <w:rsid w:val="4DA6C7A7"/>
    <w:rsid w:val="4F28044D"/>
    <w:rsid w:val="4F28044D"/>
    <w:rsid w:val="4F331D61"/>
    <w:rsid w:val="52822650"/>
    <w:rsid w:val="58F167D4"/>
    <w:rsid w:val="59CDC29A"/>
    <w:rsid w:val="5A5DD69B"/>
    <w:rsid w:val="5D501767"/>
    <w:rsid w:val="61BFAC22"/>
    <w:rsid w:val="64341A7B"/>
    <w:rsid w:val="64EC33D0"/>
    <w:rsid w:val="66DDD150"/>
    <w:rsid w:val="68D7FE66"/>
    <w:rsid w:val="69BFA4F3"/>
    <w:rsid w:val="6B203B13"/>
    <w:rsid w:val="6B31131B"/>
    <w:rsid w:val="6B5B7554"/>
    <w:rsid w:val="705167B8"/>
    <w:rsid w:val="785C7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03B13"/>
  <w15:chartTrackingRefBased/>
  <w15:docId w15:val="{953479B8-2DC6-4503-A451-5D4426658D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app/stop-and-search/stop-and-search" TargetMode="External" Id="R58f996e4b78046fa" /><Relationship Type="http://schemas.openxmlformats.org/officeDocument/2006/relationships/hyperlink" Target="https://www.criminaljusticealliance.org/wp-content/uploads/CJA-super-complaint-annex-1.pdf" TargetMode="External" Id="Rba5d4e2d2bde4a39" /><Relationship Type="http://schemas.openxmlformats.org/officeDocument/2006/relationships/hyperlink" Target="https://www.justiceinspectorates.gov.uk/hmicfrs/wp-content/uploads/disproportionate-use-of-police-powers-spotlight-on-stop-search-and-use-of-force.pdf" TargetMode="External" Id="Rd81600e706854026" /><Relationship Type="http://schemas.openxmlformats.org/officeDocument/2006/relationships/hyperlink" Target="https://researchbriefings.files.parliament.uk/documents/SN03878/SN03878.pdf" TargetMode="External" Id="Ra6a7b2708515497f" /><Relationship Type="http://schemas.openxmlformats.org/officeDocument/2006/relationships/hyperlink" Target="https://www.met.police.uk/advice/advice-and-information/st-s/stop-and-search/how-we-use-stop-and-search/" TargetMode="External" Id="Rcd1897de5bf84385" /><Relationship Type="http://schemas.openxmlformats.org/officeDocument/2006/relationships/hyperlink" Target="https://www.nottinghamshire.police.uk/faqs/what-section-60" TargetMode="External" Id="R57b826eed87c48a1" /><Relationship Type="http://schemas.openxmlformats.org/officeDocument/2006/relationships/hyperlink" Target="https://www.legislation.gov.uk/ukpga/1984/60/section/1" TargetMode="External" Id="Rb30aeeb8270d4b53" /><Relationship Type="http://schemas.openxmlformats.org/officeDocument/2006/relationships/hyperlink" Target="https://doi.org/10.1093/bjc/azx085" TargetMode="External" Id="R9b44c3a547194d93" /><Relationship Type="http://schemas.openxmlformats.org/officeDocument/2006/relationships/hyperlink" Target="https://www.legislation.gov.uk/ukpga/Geo4/5/83/section/4" TargetMode="External" Id="R46850307eee84b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Osian Matthews (2004681)</dc:creator>
  <keywords/>
  <dc:description/>
  <lastModifiedBy>Osian Matthews (2004681)</lastModifiedBy>
  <revision>2</revision>
  <dcterms:created xsi:type="dcterms:W3CDTF">2022-05-05T19:08:14.7300548Z</dcterms:created>
  <dcterms:modified xsi:type="dcterms:W3CDTF">2022-05-05T21:29:06.6527150Z</dcterms:modified>
</coreProperties>
</file>