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EB9E76" w14:textId="77777777" w:rsidR="006152EF" w:rsidRDefault="006B2BA3">
      <w:pPr>
        <w:rPr>
          <w:rFonts w:cstheme="minorHAnsi"/>
          <w:b/>
          <w:bCs/>
        </w:rPr>
      </w:pPr>
      <w:r w:rsidRPr="006B2BA3">
        <w:rPr>
          <w:rFonts w:cstheme="minorHAnsi"/>
          <w:b/>
          <w:bCs/>
        </w:rPr>
        <w:t>Criminal Law</w:t>
      </w:r>
    </w:p>
    <w:p w14:paraId="4BE7C4E5" w14:textId="2C0982CC" w:rsidR="006B2BA3" w:rsidRPr="006152EF" w:rsidRDefault="006B2BA3">
      <w:pPr>
        <w:rPr>
          <w:rFonts w:cstheme="minorHAnsi"/>
          <w:b/>
          <w:bCs/>
        </w:rPr>
      </w:pPr>
      <w:r>
        <w:rPr>
          <w:rFonts w:cstheme="minorHAnsi"/>
        </w:rPr>
        <w:t>Is a body of law, that defines criminal offences which regulates apprehension, charging and trial of the suspected person. These include fixed penalties and modes of treatment</w:t>
      </w:r>
      <w:r w:rsidR="006152EF">
        <w:rPr>
          <w:rFonts w:cstheme="minorHAnsi"/>
        </w:rPr>
        <w:t xml:space="preserve"> that are most relevant to a convicted offender</w:t>
      </w:r>
    </w:p>
    <w:sectPr w:rsidR="006B2BA3" w:rsidRPr="006152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BA3"/>
    <w:rsid w:val="003E1B97"/>
    <w:rsid w:val="006152EF"/>
    <w:rsid w:val="006B2BA3"/>
    <w:rsid w:val="009B1B6C"/>
    <w:rsid w:val="00DD0B4C"/>
    <w:rsid w:val="00E60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725F1"/>
  <w15:chartTrackingRefBased/>
  <w15:docId w15:val="{DC4A98C0-8F84-4C35-912C-B3136371FF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35</Words>
  <Characters>201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Rohid Hussain</dc:creator>
  <cp:keywords/>
  <dc:description/>
  <cp:lastModifiedBy>Rohid Hussain</cp:lastModifiedBy>
  <cp:revision>1</cp:revision>
  <dcterms:created xsi:type="dcterms:W3CDTF">2022-05-19T13:58:00Z</dcterms:created>
  <dcterms:modified xsi:type="dcterms:W3CDTF">2022-05-19T14:12:00Z</dcterms:modified>
</cp:coreProperties>
</file>