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15DA71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35181">
              <w:rPr>
                <w:b/>
                <w:color w:val="auto"/>
                <w:sz w:val="32"/>
              </w:rPr>
              <w:t>Shane Black</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30FD827F" w:rsidR="00575A8F" w:rsidRDefault="00735181" w:rsidP="00E6298B">
            <w:pPr>
              <w:overflowPunct/>
              <w:autoSpaceDE/>
              <w:autoSpaceDN/>
              <w:adjustRightInd/>
              <w:ind w:right="107"/>
              <w:textAlignment w:val="auto"/>
              <w:rPr>
                <w:b/>
                <w:color w:val="auto"/>
                <w:sz w:val="32"/>
              </w:rPr>
            </w:pPr>
            <w:r>
              <w:rPr>
                <w:b/>
                <w:color w:val="auto"/>
                <w:sz w:val="32"/>
              </w:rPr>
              <w:t>2134303</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31CB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741056D"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Throughout this essay I will compare and discuss the strategies that I have used to cope with stress and develop resilience throughout the initial 6 months of my career as a Police Constable. To aid my reflective writing in this essay I will be using Driscoll’s ‘Model of Reflection’ (Driscoll, 1994). Driscoll based his reflection model on the work of Borton, Borton’s concept of ‘What? So What? Now What?’ (Borton, 1970) was expanded by Driscoll in 1994 and applied to nurses in a clinical setting recognising that nurses may work with individuals whose character can cause them to adjust their level of care or approach to tasks involving those individuals. The ‘What?’ element of Driscoll’s model directly follows the experience which requires reflection, this is a description of the event itself and then purposefully reflecting on specific aspects of that event. Next follows the ‘So What?’ stage of the model, this stage is an analysis of the event which then requires the discovery of any learning that may arise from dealing with the event, this stage can be better thought of as the reflective stage. The final stage is ‘Now What?’, up to this point the individual has experienced the event, analysed it, and reflected on any learning required, this final stage of the model is the proposed actions following the event.</w:t>
      </w:r>
    </w:p>
    <w:p w14:paraId="2479FF8A"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774D1BE8"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 xml:space="preserve">Prior to joining South Wales Police as a Constable, I was a member of staff for several years working within the custody units around the South Wales force area, during my time within this role I encountered many situations that would be deemed stressful. Until I joined as a Constable and began feeling what I believed to be stressed I had never considered my previous experiences as particularly stressful. Pearlin et al (1981, quoted in Julia A. Malia ‘Basic Concepts and Models of Family Stress’ 2007) defines stress as a process rather than a singular event. On reflection, if stress is a process rather than a single event it is possible that I did not experience a stressful process but rather a sporadic singular stressful event. Every Mind Matters (NHS 2022) describes stress as “the bodies reaction to feeling threatened or under pressure” and goes on to say that it can be motivating however extreme or prolonged exposure can lead to physical, mental, and emotional exhaustion. </w:t>
      </w:r>
    </w:p>
    <w:p w14:paraId="64349E1F"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51A2FB6E" w14:textId="34E218E1"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The Oxford dictionary defines resilience as “</w:t>
      </w:r>
      <w:r w:rsidRPr="00735181">
        <w:rPr>
          <w:rFonts w:asciiTheme="minorHAnsi" w:hAnsiTheme="minorHAnsi" w:cs="Times New Roman"/>
          <w:i/>
          <w:iCs/>
          <w:color w:val="auto"/>
          <w:sz w:val="22"/>
          <w:szCs w:val="22"/>
          <w:lang w:eastAsia="en-US"/>
        </w:rPr>
        <w:t>the ability of people and things to recover quickly after something unpleasant, such as shock, injury, etc</w:t>
      </w:r>
      <w:r w:rsidRPr="00735181">
        <w:rPr>
          <w:rFonts w:asciiTheme="minorHAnsi" w:hAnsiTheme="minorHAnsi" w:cs="Times New Roman"/>
          <w:color w:val="auto"/>
          <w:sz w:val="22"/>
          <w:szCs w:val="22"/>
          <w:lang w:eastAsia="en-US"/>
        </w:rPr>
        <w:t xml:space="preserve">”. Given the nature of the work that a Constable undertakes I believe resilience to be of great importance. In research from Mutongwizo et al (2019) the term ‘resilience policing’ is coined to better demonstrate the need for the Police Service to better help develop the resilience </w:t>
      </w:r>
      <w:r w:rsidRPr="00735181">
        <w:rPr>
          <w:rFonts w:asciiTheme="minorHAnsi" w:hAnsiTheme="minorHAnsi" w:cs="Times New Roman"/>
          <w:color w:val="auto"/>
          <w:sz w:val="22"/>
          <w:szCs w:val="22"/>
          <w:lang w:eastAsia="en-US"/>
        </w:rPr>
        <w:lastRenderedPageBreak/>
        <w:t xml:space="preserve">and manage trauma of its officers and staff due to a constantly changing ‘harmscape’ </w:t>
      </w:r>
      <w:r w:rsidR="00121E90">
        <w:t>(Holley, Mutongwizo and Shearing, 2020)</w:t>
      </w:r>
      <w:r w:rsidRPr="00735181">
        <w:rPr>
          <w:rFonts w:asciiTheme="minorHAnsi" w:hAnsiTheme="minorHAnsi" w:cs="Times New Roman"/>
          <w:color w:val="auto"/>
          <w:sz w:val="22"/>
          <w:szCs w:val="22"/>
          <w:lang w:eastAsia="en-US"/>
        </w:rPr>
        <w:t xml:space="preserve"> within our communities. </w:t>
      </w:r>
    </w:p>
    <w:p w14:paraId="74948193"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003BE3B6"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I have always found comfort in routine and to change from a shift pattern to working Monday to Friday was a stress that I had not anticipated. Bates et al (2021) wrote the article ‘Life Interrupted: Family Routines Buffer Stress during the COVID-19 Pandemic’ which highlights the importance of keeping a routine in family life to tackle and reduce stress in your personal life. To tackle this issue, I had to rely on the help of my family, as my routine was changing there was also aspects of their routine which changed. I found that although I was not home as much throughout the day to help with work around the home, I was now available more in the evenings to help with the bedtime routine for my daughter and was also now available more often on weekends to help with childcare. I focused on a new routine rather than dwelling on my previous one.</w:t>
      </w:r>
    </w:p>
    <w:p w14:paraId="149B619C"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27FC62C2"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Physical activity has always been an important part of my life and a way to ‘let loose’ when needed. In research from Rueggeberg, Wrosch and Miller (2012), a direct link between physical activity and stress reduction in adults with a high stress level was found. I have played field hockey in a competitive capacity for my local team from a young age and the shift in my routine allowed me to focus more of my time in the club and activity. The biggest benefit I saw was an increase in my physical fitness level, in turn I began sleeping better and feeling more refreshed in the mornings. I was able to have more of a social interaction with my friends from the club, many of which I have known since a very young age, and I felt more relaxed in general. The physical activity gave me an immense sense of satisfaction and I found that I was able to study better in the evenings knowing that I had a training session or a game to attend to reduce my stress levels. I am already planning how I am going to maintain this in the future when my shifts restart as a Constable and have discussed attending the gym with members of my new team before shifts.</w:t>
      </w:r>
    </w:p>
    <w:p w14:paraId="18658075"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08FDB53D"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Video gaming is another activity that I have enjoyed since I was young. Research by Hasan, Bégue and Bushman (2012) suggests that video games, particularly violent ones, actually increase stress levels. However, whilst essentially agreeing with Hasan, Bégue and Bushman (2012), Triberti (2016, cited in Porter and Goolkasian 2019) states that users are able to take positive emotions from such games by having a sense of achievement or enjoyment by playing. By finding time to play video games I have always achieve a sense of relief, I find that complicated games provide a welcomed distraction when stress levels are increasing.</w:t>
      </w:r>
    </w:p>
    <w:p w14:paraId="081EA980"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1B5939CA"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Times New Roman"/>
          <w:color w:val="auto"/>
          <w:sz w:val="22"/>
          <w:szCs w:val="22"/>
          <w:lang w:eastAsia="en-US"/>
        </w:rPr>
        <w:t>The above are my primary outlets when dealing with stress and both provided stress relief at different times and often when one or the other is unable to. If I find that physical exertion is high or that I am carrying an injury from physical activities then video gaming is a perfect way for me to unwind, however, sometimes I feel that I am mentally exhausted, and some form of physical activity will help me relieve stress. I have discovered during the 6 months of initial training that both methods working in tandem is what I needed to relieve stress and in turn increase my resilience, therefore I believe continuing with both this way will help me tremendously in the future.</w:t>
      </w:r>
    </w:p>
    <w:p w14:paraId="490ACD41" w14:textId="48928209" w:rsidR="00735181" w:rsidRPr="00735181" w:rsidRDefault="00735181" w:rsidP="00735181">
      <w:pPr>
        <w:overflowPunct/>
        <w:autoSpaceDE/>
        <w:autoSpaceDN/>
        <w:adjustRightInd/>
        <w:spacing w:after="160" w:line="259" w:lineRule="auto"/>
        <w:textAlignment w:val="auto"/>
        <w:rPr>
          <w:rFonts w:asciiTheme="minorHAnsi" w:hAnsiTheme="minorHAnsi" w:cs="Times New Roman"/>
          <w:b/>
          <w:bCs/>
          <w:color w:val="auto"/>
          <w:sz w:val="32"/>
          <w:szCs w:val="32"/>
          <w:lang w:eastAsia="en-US"/>
        </w:rPr>
      </w:pPr>
      <w:r w:rsidRPr="00735181">
        <w:rPr>
          <w:rFonts w:asciiTheme="minorHAnsi" w:hAnsiTheme="minorHAnsi" w:cs="Times New Roman"/>
          <w:b/>
          <w:bCs/>
          <w:color w:val="auto"/>
          <w:sz w:val="32"/>
          <w:szCs w:val="32"/>
          <w:lang w:eastAsia="en-US"/>
        </w:rPr>
        <w:t>Word count: 1,07</w:t>
      </w:r>
      <w:r w:rsidR="009726E8">
        <w:rPr>
          <w:rFonts w:asciiTheme="minorHAnsi" w:hAnsiTheme="minorHAnsi" w:cs="Times New Roman"/>
          <w:b/>
          <w:bCs/>
          <w:color w:val="auto"/>
          <w:sz w:val="32"/>
          <w:szCs w:val="32"/>
          <w:lang w:eastAsia="en-US"/>
        </w:rPr>
        <w:t>1</w:t>
      </w: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FFD6120"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Conflict management and policing is something that appears to go hand in hand. Prior to joining South Wales Police my understanding of the role of a constable was one that was dominated by the need to manage high levels of conflict daily. My experiences so far paint a slightly different picture than my preconceptions of the role. Coming from a policing background within the custody environment my understanding around how much conflict I would face was distorted, it is not only the amount of conflict that has taken me by surprise but also the conflict I would encounter from different members of our community who have varying beliefs or cultural backgrounds. </w:t>
      </w:r>
    </w:p>
    <w:p w14:paraId="1683FF7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0EC2ED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Reith (1956) concluded that Sir Robert Peel’s 9 principles for policing marked an approach that was “unique in history and throughout the world, because it derived, not from fear, but almost exclusively from public co-operation with the police” (Reith 1956), with conflict management in mind it becomes clear that in order to police your communities effectively you must have their support. However, it is difficult to hide from the damning headlines that have recently hit the news which would surely mean that confidence in policing is in decline, according to the 2020 Crime Survey of England and Wales published in 2021, confidence in the police has been on a steady decline between 2017 and 2020, falling from 62% in 2017 to 55% in 2020 (Brown, 2021). As I have touched upon above, so far, my experience of conflict within the communities that I police has been varied, there are some groups within the communities that immediately react to my presence in a negative way and others that are generally open to a discussion or will stop and engage with me.</w:t>
      </w:r>
    </w:p>
    <w:p w14:paraId="5FCE4AFE"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81FDE66" w14:textId="3A106FA2"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will firstly describe the incident itself that involved conflict and will then look to critically assess the situation and my involvement within the incident. The incident I will focus on happened during the early hours on a night shift, whilst out on mobile patrol with my tutor officer we were alerted by the control room </w:t>
      </w:r>
      <w:r w:rsidRPr="00735181">
        <w:rPr>
          <w:rFonts w:asciiTheme="minorHAnsi" w:hAnsiTheme="minorHAnsi" w:cs="Calibri"/>
          <w:color w:val="auto"/>
          <w:sz w:val="22"/>
          <w:szCs w:val="22"/>
          <w:lang w:eastAsia="en-US"/>
        </w:rPr>
        <w:lastRenderedPageBreak/>
        <w:t>to an intruder alarm being sounded in a nearby building site where a large block of flats is being buil</w:t>
      </w:r>
      <w:r w:rsidR="00121E90">
        <w:rPr>
          <w:rFonts w:asciiTheme="minorHAnsi" w:hAnsiTheme="minorHAnsi" w:cs="Calibri"/>
          <w:color w:val="auto"/>
          <w:sz w:val="22"/>
          <w:szCs w:val="22"/>
          <w:lang w:eastAsia="en-US"/>
        </w:rPr>
        <w:t>t</w:t>
      </w:r>
      <w:r w:rsidRPr="00735181">
        <w:rPr>
          <w:rFonts w:asciiTheme="minorHAnsi" w:hAnsiTheme="minorHAnsi" w:cs="Calibri"/>
          <w:color w:val="auto"/>
          <w:sz w:val="22"/>
          <w:szCs w:val="22"/>
          <w:lang w:eastAsia="en-US"/>
        </w:rPr>
        <w:t xml:space="preserve">. This call was graded as an emergency and due to numerous intelligence logs of the surrounding area a number of other local units attached themselves to the incident. The building site itself is large however there is a single point of entry and exit covered by a large metal gate which at the time of night we were in the area is usually locked. Surrounding the site are several residential properties and a small grocery shop which is situated around the corner and approximately 10 metres down the road onto a busy carriageway. This shop itself has numerous intelligence logs around drug dealing and other criminality in the area, it is this shop that is the scene of my incident. </w:t>
      </w:r>
    </w:p>
    <w:p w14:paraId="49A3A6A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63D25F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My tutor officer and I arrived at the intruder alarm last and were then stood down when other units present deemed that there were no obvious signs of a break in, and the key holder was on the way to allow us entry to check the perimeter. We turned the police vehicle around and drove around the corner and back towards the shop, as we turned the corner, we observed a red Volkswagen Golf hand a package through the nearside front window which was taken by a group of youths standing on the corner, the vehicle appeared to notice our presence and left the scene at speed whilst the group of youths walked around the corner and briefly out of sight. This was the perfect opportunity for a stop search.</w:t>
      </w:r>
    </w:p>
    <w:p w14:paraId="12E651A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8D6E369"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Use of stop and search powers is something that was covered several times during my initial 6 months training and with studies into the use of stop and search powers showing that Black, Asian, and Ethnic Minority (BAME) people are disproportionately targeted compared to white people (Institutional racism in the police: how entrenched has it become? Centre for Crime and Justice Studies, 2020) I was nervous for not only using the power itself but who was I about to use this power against. According to the Office of National Statistics research (Police powers and procedures: Stop and search and arrests, England and Wales, year ending 31 March 2022, 2022) based on self-defined ethnicity, individuals from a black or black British background were searched at a rate of 6.2 times higher than someone who defines themselves as from a white ethnic group. I consider myself to be very open minded around cultural, religious, or ethnic matters so was very aware of the statistics and varying opinions of the police within my basic command unit (BCU) and have been keen since starting in my BCU to not fall into the statistics and to ensure that my searches were always justified.</w:t>
      </w:r>
    </w:p>
    <w:p w14:paraId="56DEFD0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439DACC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As the van approached where the shop was located and where the group turned the corner I had a rush of adrenaline, Swink (2010) describes how a big hit of adrenaline can cause someone to lose situational awareness, our brain prepares for a fight or flight response, and we lose peripheral vision leading us to focus on what’s right in front of us. I found myself in this situation, my mind began racing back to all the training I received and what information I had to include in the search to make it lawful. Section 2 of the Police and Criminal Evidence Act (1984) highlights the information that must be provided to the person being searched, the mnemonic to remember this is GOWISLEY. In order to conduct a lawful stop search you must provide the person with the grounds for the search (G), the object of the search (O), your warrant card should you be in plain clothes or if requested (W), your identity (I), the station which you are attached to (S), the persons entitlement to receive a copy of the stop search and how to obtain it (E), the legal power which you are using to stop and search them (L), and finally you must inform then that they are detained (Y). As the police vehicle came to a stop at the location I had tunnel vision, the individual that I saw receive the package from the vehicle was firmly in my sights and I requested he come towards me and away from the shop and his </w:t>
      </w:r>
      <w:r w:rsidRPr="00735181">
        <w:rPr>
          <w:rFonts w:asciiTheme="minorHAnsi" w:hAnsiTheme="minorHAnsi" w:cs="Calibri"/>
          <w:color w:val="auto"/>
          <w:sz w:val="22"/>
          <w:szCs w:val="22"/>
          <w:lang w:eastAsia="en-US"/>
        </w:rPr>
        <w:lastRenderedPageBreak/>
        <w:t>friends, at this point I did not perceive any danger or the gravity of the situation that my actions were about to create.</w:t>
      </w:r>
    </w:p>
    <w:p w14:paraId="12F9B00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FE2A15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The individual became aggressive so I made the decision to place him in handcuffs for my own safety and to affect a more controlled search, once the handcuffs were applied, I focused solely on searching the individual, I consider myself to be a very competent searcher with extensive experience of searching people in a controlled custody environment which may have been my downfall on this occasion. This was not a controlled custody environment. I noticed a hand go into my detainee’s pocket which caused me to take hold of it and look up, no more than a couple of minutes had passed since I placed him in handcuffs but the scene had changed. The crowd size had more than doubled and all were shouting and trying to get passed my tutor officer, unbeknownst to me someone had managed to get behind me and I felt a shove to my back, this person was quickly pushed away from me by 4 other officers who had heard the commotion from up the road at the previous call and came to assist. The escalation I witnessed by the group of youths reminded me of football hooliganism and scenes you would witness on the news, researchers have found that hooliganism in the UK is “</w:t>
      </w:r>
      <w:r w:rsidRPr="00735181">
        <w:rPr>
          <w:rFonts w:asciiTheme="minorHAnsi" w:hAnsiTheme="minorHAnsi" w:cs="Calibri"/>
          <w:i/>
          <w:iCs/>
          <w:color w:val="auto"/>
          <w:sz w:val="22"/>
          <w:szCs w:val="22"/>
          <w:lang w:eastAsia="en-US"/>
        </w:rPr>
        <w:t>underpinned by shared experiences that create a brother in arms mentality</w:t>
      </w:r>
      <w:r w:rsidRPr="00735181">
        <w:rPr>
          <w:rFonts w:asciiTheme="minorHAnsi" w:hAnsiTheme="minorHAnsi" w:cs="Calibri"/>
          <w:color w:val="auto"/>
          <w:sz w:val="22"/>
          <w:szCs w:val="22"/>
          <w:lang w:eastAsia="en-US"/>
        </w:rPr>
        <w:t>” (</w:t>
      </w:r>
      <w:r w:rsidRPr="00121E90">
        <w:rPr>
          <w:rFonts w:asciiTheme="minorHAnsi" w:hAnsiTheme="minorHAnsi" w:cs="Calibri"/>
          <w:i/>
          <w:iCs/>
          <w:color w:val="auto"/>
          <w:sz w:val="22"/>
          <w:szCs w:val="22"/>
          <w:lang w:eastAsia="en-US"/>
        </w:rPr>
        <w:t>Understanding football violence could help the fight against terror</w:t>
      </w:r>
      <w:r w:rsidRPr="00735181">
        <w:rPr>
          <w:rFonts w:asciiTheme="minorHAnsi" w:hAnsiTheme="minorHAnsi" w:cs="Calibri"/>
          <w:color w:val="auto"/>
          <w:sz w:val="22"/>
          <w:szCs w:val="22"/>
          <w:lang w:eastAsia="en-US"/>
        </w:rPr>
        <w:t xml:space="preserve">, 2017). Although it was only the one person I was searching and had used force on, handcuffing, the whole group appeared to band with him and turn against our presence. </w:t>
      </w:r>
    </w:p>
    <w:p w14:paraId="04541AD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9965F3B" w14:textId="40245926"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I had completed my search and removed the handcuffs; the male now joined the large group of youths who were all threatening and aggressive. The adrenaline rush was now at its peak, and I had a decision to make, stand my ground or leave the scene, the search was negative and I could not think of grounds on the spot to search any of the others present, officers were also severely outnumbered in an area that has intelligence for drug dealing and knife crime, the decision was made for all officers to withdraw. Whilst in the vehicle leaving the scene my tutor gave me some advice on dealing with situations such as this and praised how I kept calm and conducted the search. I had to admit that I felt like a duck, I may have looked calm on the surface but below my feet were paddling furiously.</w:t>
      </w:r>
    </w:p>
    <w:p w14:paraId="08D02BF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3533217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There was not any language or ethnic elements on this occasion however I believe that culture may have played a part. The group were white males, and all were in their mid to late teens. We have already touched on how confidence in the police is on the decline in general, according to Mann (2021) 51% of respondents aged 18-24 distrust the police compared to 23% that do trust the police and Hinsliff (2022) suggests that the bond between the public and the police is “visibly unravelling” (Hinsliff, 2022) therefor it’s possible that the decline and distrust is becoming a cultural issue amongst the general public.</w:t>
      </w:r>
    </w:p>
    <w:p w14:paraId="05975BF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1AB02A76" w14:textId="119B6113"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As I have done previously, I will again use Driscoll’s ‘Model of Reflection’ (1994) to critically analyse and reflect on this experience. I have discussed the ‘What?’ element above so will now look at the ‘So What?’ element. On this occasion the subject became immediately aggressive and difficult with me, my instinct was to mirror this behaviour however I quickly realised that this was not the best course of action. I remembered “Betari Box” </w:t>
      </w:r>
      <w:r w:rsidR="009726E8">
        <w:rPr>
          <w:rFonts w:asciiTheme="minorHAnsi" w:hAnsiTheme="minorHAnsi" w:cs="Calibri"/>
          <w:color w:val="auto"/>
          <w:sz w:val="22"/>
          <w:szCs w:val="22"/>
          <w:lang w:eastAsia="en-US"/>
        </w:rPr>
        <w:t>(</w:t>
      </w:r>
      <w:r w:rsidR="009726E8" w:rsidRPr="009726E8">
        <w:rPr>
          <w:rFonts w:asciiTheme="minorHAnsi" w:hAnsiTheme="minorHAnsi" w:cs="Calibri"/>
          <w:i/>
          <w:iCs/>
          <w:color w:val="auto"/>
          <w:sz w:val="22"/>
          <w:szCs w:val="22"/>
          <w:lang w:eastAsia="en-US"/>
        </w:rPr>
        <w:t>Changing Minds</w:t>
      </w:r>
      <w:r w:rsidR="009726E8">
        <w:rPr>
          <w:rFonts w:asciiTheme="minorHAnsi" w:hAnsiTheme="minorHAnsi" w:cs="Calibri"/>
          <w:color w:val="auto"/>
          <w:sz w:val="22"/>
          <w:szCs w:val="22"/>
          <w:lang w:eastAsia="en-US"/>
        </w:rPr>
        <w:t xml:space="preserve">, 2021) </w:t>
      </w:r>
      <w:r w:rsidRPr="00735181">
        <w:rPr>
          <w:rFonts w:asciiTheme="minorHAnsi" w:hAnsiTheme="minorHAnsi" w:cs="Calibri"/>
          <w:color w:val="auto"/>
          <w:sz w:val="22"/>
          <w:szCs w:val="22"/>
          <w:lang w:eastAsia="en-US"/>
        </w:rPr>
        <w:t xml:space="preserve">which is a cyclical model that explains how people behaviours can affect each other, it summarises how my attitude affects my behaviour which in turn affects your attitude and then your behaviour. With this in mind I was keen to keep myself calm and professional despite what was being said to me by the subject, ultimately this calmness and professionalism allowed me to complete </w:t>
      </w:r>
      <w:r w:rsidRPr="00735181">
        <w:rPr>
          <w:rFonts w:asciiTheme="minorHAnsi" w:hAnsiTheme="minorHAnsi" w:cs="Calibri"/>
          <w:color w:val="auto"/>
          <w:sz w:val="22"/>
          <w:szCs w:val="22"/>
          <w:lang w:eastAsia="en-US"/>
        </w:rPr>
        <w:lastRenderedPageBreak/>
        <w:t>the search without escalation from the subject. Another conflict management model that I find works particularly well is Fisher, Ury and Patton (2011) ‘Interest-Based Relational Approach’ (IRB). Fisher, Ury and Patton (2011) argue in their book ‘</w:t>
      </w:r>
      <w:r w:rsidRPr="00735181">
        <w:rPr>
          <w:rFonts w:asciiTheme="minorHAnsi" w:hAnsiTheme="minorHAnsi" w:cs="Calibri"/>
          <w:i/>
          <w:iCs/>
          <w:color w:val="auto"/>
          <w:sz w:val="22"/>
          <w:szCs w:val="22"/>
          <w:lang w:eastAsia="en-US"/>
        </w:rPr>
        <w:t>Getting to Yes</w:t>
      </w:r>
      <w:r w:rsidRPr="00735181">
        <w:rPr>
          <w:rFonts w:asciiTheme="minorHAnsi" w:hAnsiTheme="minorHAnsi" w:cs="Calibri"/>
          <w:color w:val="auto"/>
          <w:sz w:val="22"/>
          <w:szCs w:val="22"/>
          <w:lang w:eastAsia="en-US"/>
        </w:rPr>
        <w:t>’ that you should “</w:t>
      </w:r>
      <w:r w:rsidRPr="00735181">
        <w:rPr>
          <w:rFonts w:asciiTheme="minorHAnsi" w:hAnsiTheme="minorHAnsi" w:cs="Calibri"/>
          <w:i/>
          <w:iCs/>
          <w:color w:val="auto"/>
          <w:sz w:val="22"/>
          <w:szCs w:val="22"/>
          <w:lang w:eastAsia="en-US"/>
        </w:rPr>
        <w:t>separate people and their emotions from the problem</w:t>
      </w:r>
      <w:r w:rsidRPr="00735181">
        <w:rPr>
          <w:rFonts w:asciiTheme="minorHAnsi" w:hAnsiTheme="minorHAnsi" w:cs="Calibri"/>
          <w:color w:val="auto"/>
          <w:sz w:val="22"/>
          <w:szCs w:val="22"/>
          <w:lang w:eastAsia="en-US"/>
        </w:rPr>
        <w:t xml:space="preserve">”. Reflecting on the situation I found myself in during the stop search, I had already neutralised the threat that the subject was providing by using justified and proportionate use of force and by keeping in mind ‘Betari Box’ to avoid escalating the situation, I now had to find a way to avoid the situation around me from escalating further. At that moment in time, I was fearful of the large group around me shouting and being threatening, my instinct was to protect myself and colleagues, the easy option would be to use force to attempt to get myself out of this situation, however, by separating myself and my own emotions from the problem I ensured that I remained calm and left the situation safely. </w:t>
      </w:r>
    </w:p>
    <w:p w14:paraId="7359C3E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5BCBF32"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Next comes the “What Now?” element of reflectivity. On this occasion myself and my colleagues left the incident safely and without further escalation, the stop search itself was negative however I gained much needed experience using this police power and experienced my first real conflict situation outside of the custody environment. My tutor officer gave me feedback on the situation as a whole which was positive, and I was particularly happy how I handled the conflict itself. There are elements that I believe personally I could work on and improve for next time, my situational awareness could be better, if it were not for my supportive colleagues, I could have found myself in real trouble when the size of the group increased and tensions rose, it has made me value the support of my colleagues and reinforced the understanding of what my colleagues expect of me in a similar situation. On reflection I should not have put myself between the subject and the other members of the group, by facing the group I could have observed the scene better and kept an eye on my colleague at the same time. The models of conflict that I am familiar with proved effective this time, ‘Betari Box’ is something that I have used for many years however IRB is relatively new to me, I believe it could be effective when dealing with something that is not so personal however I know I would struggle to remove my emotions from the situation when dealing with a situation more personal to me.</w:t>
      </w:r>
    </w:p>
    <w:p w14:paraId="44FFB20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05CF68E" w14:textId="2D018607" w:rsidR="00735181" w:rsidRPr="00735181" w:rsidRDefault="00735181" w:rsidP="00735181">
      <w:pPr>
        <w:overflowPunct/>
        <w:autoSpaceDE/>
        <w:autoSpaceDN/>
        <w:adjustRightInd/>
        <w:spacing w:after="160" w:line="259" w:lineRule="auto"/>
        <w:textAlignment w:val="auto"/>
        <w:rPr>
          <w:rFonts w:asciiTheme="minorHAnsi" w:hAnsiTheme="minorHAnsi" w:cs="Times New Roman"/>
          <w:b/>
          <w:bCs/>
          <w:color w:val="auto"/>
          <w:sz w:val="32"/>
          <w:szCs w:val="32"/>
          <w:lang w:eastAsia="en-US"/>
        </w:rPr>
      </w:pPr>
      <w:r w:rsidRPr="00735181">
        <w:rPr>
          <w:rFonts w:asciiTheme="minorHAnsi" w:hAnsiTheme="minorHAnsi" w:cs="Times New Roman"/>
          <w:b/>
          <w:bCs/>
          <w:color w:val="auto"/>
          <w:sz w:val="32"/>
          <w:szCs w:val="32"/>
          <w:lang w:eastAsia="en-US"/>
        </w:rPr>
        <w:t>Word count: 2,18</w:t>
      </w:r>
      <w:r w:rsidR="009726E8">
        <w:rPr>
          <w:rFonts w:asciiTheme="minorHAnsi" w:hAnsiTheme="minorHAnsi" w:cs="Times New Roman"/>
          <w:b/>
          <w:bCs/>
          <w:color w:val="auto"/>
          <w:sz w:val="32"/>
          <w:szCs w:val="32"/>
          <w:lang w:eastAsia="en-US"/>
        </w:rPr>
        <w:t>4</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77F2D34"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735181">
        <w:rPr>
          <w:rFonts w:asciiTheme="minorHAnsi" w:hAnsiTheme="minorHAnsi" w:cs="Calibri"/>
          <w:color w:val="auto"/>
          <w:sz w:val="22"/>
          <w:szCs w:val="22"/>
          <w:lang w:eastAsia="en-US"/>
        </w:rPr>
        <w:t xml:space="preserve">My previous experience within South Wales Police is one where I had little to no contact with victims, in a custody environment your focus is on the suspected offended or detained persons welfare needs. I have always had the view that the police service is victim focused with this being further enforced in our initial 6 months training, firstly by introducing me to the Victim Code (College of Policing, 2021). The Victim Code (College of Policing, 2021) was introduced following the release of the Home Offices ‘Victim Strategy’ (Home Office, 2018) where the Government highlights how they will improve support for all victims of crime. The College of Policing (CoP), in its Victim Code, states that “the Code sets out the services and minimum standards that must be provided to victims of crime by organisations, this is enshrined within 12 rights” (CoP, 2021). In this essay I will be describing and critically analysing an incident that I attended whilst on duty that involves a suspected hate crime against a 14-year-old person. I will be using </w:t>
      </w:r>
      <w:r w:rsidRPr="00735181">
        <w:rPr>
          <w:rFonts w:asciiTheme="minorHAnsi" w:hAnsiTheme="minorHAnsi" w:cs="Times New Roman"/>
          <w:color w:val="auto"/>
          <w:sz w:val="22"/>
          <w:szCs w:val="22"/>
          <w:lang w:eastAsia="en-US"/>
        </w:rPr>
        <w:t>Driscoll’s ‘Model of Reflection’ (Driscoll, 1994) to review and analysis this incident.</w:t>
      </w:r>
    </w:p>
    <w:p w14:paraId="14F601C7" w14:textId="77777777" w:rsidR="00735181" w:rsidRPr="00735181" w:rsidRDefault="00735181" w:rsidP="0073518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3CAEF99F"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was assigned a priority but non-emergency call by my shift Sergeant to attend and investigate appropriately. The main text of the call only informed me that in the early hours of the morning the victims had stones thrown at their living room windows which have caused the windows to shatter. I attended the call the same morning with a colleague and was met outside by a male who identified himself as the reporting person and owner of the property. It was clear to see from the outset that 2 windows had been smashed to the living room at the front of the house by what appears to typical red house bricks, one brick was observed outside on the floor surrounded by broken glass. My colleague and I were invited into the house where we were introduced to his wife who is also the owner of the property. We had a conversation around what has happened and how they were feeling now. The occupants explained that there was some background to the incident that is concerning for them, they believed that the damage was targeted at their </w:t>
      </w:r>
      <w:r w:rsidRPr="00735181">
        <w:rPr>
          <w:rFonts w:asciiTheme="minorHAnsi" w:hAnsiTheme="minorHAnsi" w:cs="Calibri"/>
          <w:color w:val="auto"/>
          <w:sz w:val="22"/>
          <w:szCs w:val="22"/>
          <w:lang w:eastAsia="en-US"/>
        </w:rPr>
        <w:lastRenderedPageBreak/>
        <w:t>14-year-old child due to his gender identity, there had been previous incidents in school involving bullying which they believed are now linked to this incident.</w:t>
      </w:r>
    </w:p>
    <w:p w14:paraId="1FAB29CC"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46F333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considered all investigatory lines of enquiry and made a quick note in my notebook of what was required to ensure I did not miss anything out. I noticed numerous security cameras at the front of the house when I arrived, both occupants guided us upstairs to view the footage, the incident could clearly be seen from start to finish with 2 males appearing in view holding something in their hands before they threw the objects towards the house and ran away, clothing could clearly be seen however their faces were covered. Next on my list was statements, I identified the need for 2 statements in this instance, one from the reporting person and another from the 14-year-old child due the incident appearing to be a hate crime. It was agreed with my colleague that he would take a statement from the reporting person, and I will take the other statement. Due to their age and the sensitivity of the incident I believed it appropriate that there be an appropriate adult present when taken the statement, their mother agreed to this and introduced me to them. </w:t>
      </w:r>
    </w:p>
    <w:p w14:paraId="390C1F4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1194C1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Before speaking to them it was explained to me that they identified as gender neutral and had for some time, the incidents in school had revolved around their gender identity, and the 2 people seen to throw objects at the house appeared the same age as them. I do not have much experience when dealing with individuals who identify this way which made me nervous from the start, I did not want to insult them or their family in any way and wanted to ensure that I gave 100% to this investigation. To combat my nerves, I initiated a general conversation with them around their gender identity and ensured I was addressing them correctly throughout. I also noticed a gaming computer that was switched on in the corner of the room, to build rapport I had a long conversation with them around gaming and the computer itself which is something I am also heavily interested in and spend my spare time gaming. Initially they were withdrawn and appeared apprehensive about talking to me, the initial conversations I had with them appeared to ease them greatly at which point I approached the idea of providing a statement regarding the incident I have attended for. They explained how the incident has caused them great distress to the point they did not want to attend school on that day and was weary about returning at all, they also believed that the incident targeted them due to their gender identity. Once the statement was completed, I explained what happens next and had a conversation around attending court, they were adamant that they were not willing to attend and did not want to play any further part in the investigation past provided the statement. </w:t>
      </w:r>
    </w:p>
    <w:p w14:paraId="628847D9"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1392C9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Several rights within the Victims Code were applicable in this instance. Right 4 provides victims with referrals to services that support their individual needs, right 7 gives victims the right to provide a Victim Personal Statement (VPS), right 8 gives victims the right to be given information about the trial process and their role as a witness, and right 12 gives victims the right to make a complaint should their rights under the code not be met. As they had explained in the statement that they were fearful I explained in detail how there are special measures that can be put in place at court, under the Youth Justice and Criminal Evidence Act 1999 the victim would be entitled to an enhanced service due them being considered as a vulnerable witness and victim which includes special measures in court and access to support services. On this occasion they are considered vulnerable due to being under 18 years of age and also as they are a victim of a hate crime. All support was declined, and they still not wish to attend court, I did however explain that I would be submitting a Public Protection Notice (PPN) and what this would involve which they were reciprocal to.</w:t>
      </w:r>
    </w:p>
    <w:p w14:paraId="2970981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F8862A8" w14:textId="3EAA2504"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lastRenderedPageBreak/>
        <w:t>In 2022 the Home Office released official statistics surrounding recorded hate crimes by the police in England and Wales. The data shows an increase of 26% in recorded hate crimes compared to the previous year, which is the biggest percentage increase since the year ending March 2017 (</w:t>
      </w:r>
      <w:r w:rsidRPr="009726E8">
        <w:rPr>
          <w:rFonts w:asciiTheme="minorHAnsi" w:hAnsiTheme="minorHAnsi" w:cs="Calibri"/>
          <w:i/>
          <w:iCs/>
          <w:color w:val="auto"/>
          <w:sz w:val="22"/>
          <w:szCs w:val="22"/>
          <w:lang w:eastAsia="en-US"/>
        </w:rPr>
        <w:t>Hate crime, England and Wales 2021 to 2022</w:t>
      </w:r>
      <w:r w:rsidRPr="00735181">
        <w:rPr>
          <w:rFonts w:asciiTheme="minorHAnsi" w:hAnsiTheme="minorHAnsi" w:cs="Calibri"/>
          <w:color w:val="auto"/>
          <w:sz w:val="22"/>
          <w:szCs w:val="22"/>
          <w:lang w:eastAsia="en-US"/>
        </w:rPr>
        <w:t xml:space="preserve">, 2022). When I think of hate crime I automatically think of racial or religious hatred, on reflection, my mindset has certainly changed over the past few years whereby I am now recognising other bias and hatred towards other social groups such as homophobia and transphobia, my childhood, teens, and time in university was very diverse and inclusive with many friends from different backgrounds and social groups, during these periods of my life I do not recall experiencing or witnessing any sort of hatred towards a social group which admittedly left me a little naïve to the subject. The article </w:t>
      </w:r>
      <w:r w:rsidRPr="00735181">
        <w:rPr>
          <w:rFonts w:asciiTheme="minorHAnsi" w:hAnsiTheme="minorHAnsi" w:cs="Calibri"/>
          <w:i/>
          <w:iCs/>
          <w:color w:val="auto"/>
          <w:sz w:val="22"/>
          <w:szCs w:val="22"/>
          <w:lang w:eastAsia="en-US"/>
        </w:rPr>
        <w:t>Why has there been a rise in hate crimes in the past two years?</w:t>
      </w:r>
      <w:r w:rsidRPr="00735181">
        <w:rPr>
          <w:rFonts w:asciiTheme="minorHAnsi" w:hAnsiTheme="minorHAnsi" w:cs="Calibri"/>
          <w:color w:val="auto"/>
          <w:sz w:val="22"/>
          <w:szCs w:val="22"/>
          <w:lang w:eastAsia="en-US"/>
        </w:rPr>
        <w:t xml:space="preserve"> (No date) highlights that homophobic and transphobic hate crime has been gathering momentum over the past 6 years and religious hate crime has decreased and “victims of transgender hate crimes feel the impacts of victimization most” (Williams and Tregidga, 2014</w:t>
      </w:r>
      <w:r w:rsidRPr="00735181">
        <w:rPr>
          <w:rFonts w:asciiTheme="minorHAnsi" w:hAnsiTheme="minorHAnsi" w:cs="Times New Roman"/>
          <w:color w:val="auto"/>
          <w:sz w:val="22"/>
          <w:szCs w:val="22"/>
          <w:lang w:eastAsia="en-US"/>
        </w:rPr>
        <w:t>, pp. 946–967</w:t>
      </w:r>
      <w:r w:rsidRPr="00735181">
        <w:rPr>
          <w:rFonts w:asciiTheme="minorHAnsi" w:hAnsiTheme="minorHAnsi" w:cs="Calibri"/>
          <w:color w:val="auto"/>
          <w:sz w:val="22"/>
          <w:szCs w:val="22"/>
          <w:lang w:eastAsia="en-US"/>
        </w:rPr>
        <w:t>). The nature and victims of hate crimes are changing however the definition of a hate crime covers the nature of offences against several protected characteristics. The definition of a hate crime according to the police and Crown Prosecution Service (CPS) is:</w:t>
      </w:r>
    </w:p>
    <w:p w14:paraId="0E3DA3DF"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DC45782" w14:textId="7C75263D" w:rsidR="00735181" w:rsidRPr="00735181" w:rsidRDefault="00735181" w:rsidP="00735181">
      <w:pPr>
        <w:overflowPunct/>
        <w:autoSpaceDE/>
        <w:autoSpaceDN/>
        <w:adjustRightInd/>
        <w:spacing w:after="160" w:line="259" w:lineRule="auto"/>
        <w:jc w:val="center"/>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w:t>
      </w:r>
      <w:r w:rsidRPr="00735181">
        <w:rPr>
          <w:rFonts w:asciiTheme="minorHAnsi" w:hAnsiTheme="minorHAnsi" w:cs="Calibri"/>
          <w:i/>
          <w:iCs/>
          <w:color w:val="auto"/>
          <w:sz w:val="22"/>
          <w:szCs w:val="22"/>
          <w:lang w:eastAsia="en-US"/>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RPr="00735181">
        <w:rPr>
          <w:rFonts w:asciiTheme="minorHAnsi" w:hAnsiTheme="minorHAnsi" w:cs="Calibri"/>
          <w:color w:val="auto"/>
          <w:sz w:val="22"/>
          <w:szCs w:val="22"/>
          <w:lang w:eastAsia="en-US"/>
        </w:rPr>
        <w:t>." (The Crown Prosecution Service, 2023)</w:t>
      </w:r>
    </w:p>
    <w:p w14:paraId="205E0A9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2C9202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I was initially dealing with an incident of criminal damage contrary to section 1 of the Criminal Damage Act 1971 however due to the victim perceiving the offence to be motivated by hostility or prejudice based on a persons protected characteristic this was now a hate crime. </w:t>
      </w:r>
    </w:p>
    <w:p w14:paraId="08E2E46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360859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Once the initial investigations such as statements were taken, I returned to the police vehicle with my tutor to discuss what the next steps in the investigation were and to await the attendance of an officer from the Crime Scene Investigation (CSI) team. Along with having photographs of the damage taken I had identified possible forensic opportunities on the bricks that were thrown through the windows. Further investigation could be completed at the scene such as house to house enquiries with the neighbours and identifying any further CCTV opportunities in the immediate vicinity. I discussed support opportunities for the entire family with my tutor and we agreed a comprehensive PPN would be the most appropriate place to start so that the relevant department could approach the subject in more detail, my tutor also suggested referring the incident directly to a hate crime officer within the community along with the appropriate log entries that automatically bring it to their attention. I was unsure how we should approach arrest enquiries as the 2 suspects had hidden their identity on the CCTV that we had obtained, my tutor suggested referring the matter to the local neighbourhood team to see if they could assist in any way.</w:t>
      </w:r>
    </w:p>
    <w:p w14:paraId="28F2446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71370CF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Following CSI attendance, I returned to the station to ensure I had enough time to complete a comprehensive PPN. The following day I returned to duty at 1500 to a message from our Public Service Centre (PSC), the school involved had contacted police with information that may be helpful to our enquiries, I attempted to contact the school to discuss however due to the time was unable to speak to anyone, I attempted again the following shift however was unsuccessful, I was conscious that I would be </w:t>
      </w:r>
      <w:r w:rsidRPr="00735181">
        <w:rPr>
          <w:rFonts w:asciiTheme="minorHAnsi" w:hAnsiTheme="minorHAnsi" w:cs="Calibri"/>
          <w:color w:val="auto"/>
          <w:sz w:val="22"/>
          <w:szCs w:val="22"/>
          <w:lang w:eastAsia="en-US"/>
        </w:rPr>
        <w:lastRenderedPageBreak/>
        <w:t>starting my night shifts the following day and then onto rest days so would be unable to speak to the school in a timely manner. I had to rethink my approach to progressing the investigation due to my shift pattern.</w:t>
      </w:r>
    </w:p>
    <w:p w14:paraId="67FA437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6FBFCB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Using Driscoll’s ‘Model of Reflection’ (1994) I have discussed the “What?” element above and will now reflect on the “So What?”. On my second afternoon shift whereby my attempts to contact the school were unsuccessful a second time I approach the local neighbourhood team who were already aware of ongoing issues involving the victim and other pupils at the school, they had agreed to view the occurrence and would provide any support available. The neighbourhood team also suggested approaching the school liaison officer who would be able to help contact the school. I sent a task to the school liaison officer that afternoon requesting help with the contact and advice on how to approach the enquiries with the school. During this incident I had the opportunity to deal with something from start to finish which I had not previously had the opportunity to. I realised how important it is to support and in turn work together with other departments. The following day the school liaison officer and a neighbourhood officer had progressed several enquiries on my behalf. Without this support I would not have been able to progress matters this quickly which would have potentially had an adverse effect on the victim’s confidence in the police.</w:t>
      </w:r>
    </w:p>
    <w:p w14:paraId="0C1B8879"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174F4B13"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Throughout this incident it was important to remember the values highlighted within the Police Code of Ethics (College of Policing, 2014). The Code of Ethics defines the standards of behaviour for everyone who works in policing. Although most aspects of the Code could apply here, I believe acting with authority, respect and courtesy, equality and diversity, and duties and responsibilities particularly applied here. </w:t>
      </w:r>
    </w:p>
    <w:p w14:paraId="57FFC57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A47042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Reflecting on the “Now What?” element I have seen the importance of collaborative working within the police to achieve the best possible outcome for our service users whether they are victims or witnesses. Once I returned from duty after my rest days, I was approached by the neighbourhood team who updated me on the occurrence. With the help of the school 2 suspects had been identified, arrested, and questioned. Both suspects admitted to the damage and targeting the victim directly due to their gender identity. The victim and family were now received specialist support from the relevant departments and the local neighbourhood team had agreed to adopt a strategy in the local to avoid any further incidents of this nature. Overall, I am very happy with how this occurrence came to a satisfactory conclusion for all, the case is still progressing and will eventually appear in court where I will attend and support the victims to the best of my ability once again.  </w:t>
      </w:r>
    </w:p>
    <w:p w14:paraId="61762BA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D763C7B" w14:textId="6D35FEC0" w:rsidR="00735181" w:rsidRPr="00735181" w:rsidRDefault="00735181" w:rsidP="00735181">
      <w:pPr>
        <w:overflowPunct/>
        <w:autoSpaceDE/>
        <w:autoSpaceDN/>
        <w:adjustRightInd/>
        <w:spacing w:after="160" w:line="259" w:lineRule="auto"/>
        <w:textAlignment w:val="auto"/>
        <w:rPr>
          <w:rFonts w:asciiTheme="minorHAnsi" w:hAnsiTheme="minorHAnsi" w:cs="Calibri"/>
          <w:b/>
          <w:bCs/>
          <w:color w:val="auto"/>
          <w:sz w:val="32"/>
          <w:szCs w:val="32"/>
          <w:lang w:eastAsia="en-US"/>
        </w:rPr>
      </w:pPr>
      <w:r w:rsidRPr="00735181">
        <w:rPr>
          <w:rFonts w:asciiTheme="minorHAnsi" w:hAnsiTheme="minorHAnsi" w:cs="Calibri"/>
          <w:b/>
          <w:bCs/>
          <w:color w:val="auto"/>
          <w:sz w:val="32"/>
          <w:szCs w:val="32"/>
          <w:lang w:eastAsia="en-US"/>
        </w:rPr>
        <w:t>Word count: 2,19</w:t>
      </w:r>
      <w:r w:rsidR="009726E8">
        <w:rPr>
          <w:rFonts w:asciiTheme="minorHAnsi" w:hAnsiTheme="minorHAnsi" w:cs="Calibri"/>
          <w:b/>
          <w:bCs/>
          <w:color w:val="auto"/>
          <w:sz w:val="32"/>
          <w:szCs w:val="32"/>
          <w:lang w:eastAsia="en-US"/>
        </w:rPr>
        <w:t>7</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6D8246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Decision making and the National Decision-Making Model (NDM, 2014) is not something new to me. During my time with South Wales Police before I held the post of Constable, I had extensive training using the NDM, as a member of Police Staff within the custody environment it was the NDM that we used to guide our decision making whether it was a quick dynamic decision, or a planned event. Throughout this essay I will be reflecting on and critically analysing an incident that I dealt with early into my tutorship, and that remains on my workload to progress and investigate. I will also critically review my responsibilities regarding the provision of the Criminal Procedure and Investigation Act (CPIA, 1996) whilst conducting the investigation.</w:t>
      </w:r>
    </w:p>
    <w:p w14:paraId="4CF9216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C82C5FC"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Early into my tutorship I was on mobile patrol with my tutor when an emergency call relating to a domestic incident near our location was broadcast over the air, my tutor and I requested the call be assigned to us and we made our way to the location on an emergency response. The initial details were scarce as the call was an abandoned 999 where the caller had ended the call before any details were taken, the only information we had was the location due to the telephone number being linked to an address and the sound of a female shouting and a disturbance in the background. We attended the address however there was no answer and there appeared to be nobody in the property at that time. We sat in our marked police vehicle to make some further enquiries around the address and telephone number and discovered that the number and address has numerous occurrences attached regarding domestic abuse whereby the victim is a female. I called the reporting person on my mobile which was answered however the line was silent. Minutes later a vehicle pulled up behind us and a female approached our vehicle in distress. </w:t>
      </w:r>
    </w:p>
    <w:p w14:paraId="0FF2010F"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21F4BE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lastRenderedPageBreak/>
        <w:t>We were invited into the property by the female who identified herself as the caller. She did not appear to have suffered any physical harm and confirmed the same when I enquired, however she was in a highly panicked and distressed state and peered through the curtains out of the living room window on numerous occasions. Details of the reasons for them call were not forthcoming, and she appeared to be struggling to concentrate. I was aware of the history surrounding the caller and her ex-partner but did not have time to dissect the most recent incidents reporting between them. My immediate concern was safeguarding and eventually the caller agreed for us to escort her to her parents address which was a short drive away. When at her parents she appeared to ease slightly and explained that her ex-partner had followed her in his car from her place of work and then pulled up next to her at traffic lights and made threats to “slit her throat in her sleep”. My immediate thought process was to conduct arrest enquiries and arrest for Threats to Kill contrary to section 16 of the Offences Against the Person Act (1861). We attended the suspects home address which appeared empty. I returned to the station to complete further enquiries and did not revisit the victim at this time due to agreeing to providing her with breathing space, I had agreed to call her in 2 hours to check on her welfare and arrange for a statement to be taken. Further enquiries had uncovered that the suspect was on bail with conditions not to contact the victim by any means due to another incident 3 days prior, therefor this was also a breach of bail, the initial investigation had enquiries outstanding including a download of the suspect’s phone. By initially considering the NDM (CoP, 2014) we would not be able to arrest for a breach of bail due to investigatory needs as the original officer in case was not able to send the file to the Crown Prosecution Service (CPS), and we had to consider that the decision to arrest for a new offence may not be the most appropriate response at this time. By ‘spinning’ the decision-making model I was able to firstly make a decision using the initial information that was available to me, I was then able to revisit the decision when further information had been gained.</w:t>
      </w:r>
    </w:p>
    <w:p w14:paraId="15AECFC2"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E64F0DC"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The NDM (CoP, 2014) has 6 key elements, when used it provides a cyclical decision-making model that is designed to assist all police officers and staff in their decision making. At the model’s heart is the Police Code of Ethics (CoP, 2014) which highlights the professional standards and values that all police officers and staff are expected to adhere to. The Code includes 9 policing principles and 10 standards of professional behaviour, these principles and standards underpin everything that an officer or police staff does. </w:t>
      </w:r>
    </w:p>
    <w:p w14:paraId="3179084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0B3F7C6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 xml:space="preserve">The first part of the NDM (CoP, 2014) is to gather information and intelligence. In this initial phase a decision maker must define the situation and assess the information and/or intelligence that is available to them. The second part is to assess threat and risk and to develop a working strategy, during this stage the decision maker must use the information and/or intelligence gained within the previous stage and conduct a risk assessment before developing a working strategy. When developing a working strategy, it is important to consider any potential effects on the public or others involved. Once a working strategy has been developed the decision maker can move onto the third part which is to consider the powers and policies available, any decision made must comply with the relevant legislation and local policies. Part four of the NDM is to identify options and contingencies available, should the original strategy be unsuccessful the decision maker should consider different ways to make the decision or have a contingency in place that provides the least risk of harm. The fifth and last part of this model is to take action and review what happened, this stage has 2 steps, firstly is the ‘action’ stage where the decision maker is required to implement appropriate decisions using the previous steps of the model, the second part is to ‘review’ and reflect on the incident once it has reached its conclusion. Operationally I find using this model very effective, particularly when dealing with an incident there and then when decisions must be made almost instantly. </w:t>
      </w:r>
    </w:p>
    <w:p w14:paraId="1D94A23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A1FB1D4"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lastRenderedPageBreak/>
        <w:t>The NDM was useful when dealing with this incident. I initially attended a call with very little information available and the linked address was empty, my initial risk assessment was low, powers of entry to the address were considered before I called the reporting person and made further enquiries whilst at scene. When the reporting person attended the address, I continued to ‘spin’ the NDM when factors changed, I now had more information and intelligence available for a further risk assessment, an alternative working strategy was considered, and action was decided. The NDM was then used further once new information had been gained. The final part of the NDM, review, is completed when updating my supervisor of actions taken or during a debrief of the incident in my experience, due to the nature of the NDM I have experienced the need to complete the NDM quickly at an incident which has resulted in the review stage being completed between officers there and then and often leads to the NDM being ‘spun’ again to gain a new outlook on the situation.</w:t>
      </w:r>
    </w:p>
    <w:p w14:paraId="5CF6056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53A362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I did return to the victim’s parents address shortly after and completed a statement. I explained to the victim my position regarding the incident and how I would initially be treating this as a breach of bail rather than a new offence. The victim was still in touch with the original officer in case who had made an appointment with her for an update the following day when they return to duty. The victim was initially confused and slightly annoyed by my apparent lack of action however I explained the entire situation and what action I would be taking which eased her concerns. Safeguarding was one of my main priorities, so we discussed this in depth, the victim consented to a Public Protection Notice being submitted and a victims support referral, initial safeguarding measures were agreed with her parents. Although I used my discretion on this occasion to not pursue the threats, I did explain that my tutor and I would approach our supervisor for advice regarding this and should anything change, I would notify her.</w:t>
      </w:r>
    </w:p>
    <w:p w14:paraId="053B778B"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565C405"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Taylor (2016) states that “Discretion pervades police work since it involves the continuous exercise of choice or judgement”. Since starting in my station, I have been surprised how much discretion I am able to use, although the use of discretion was covered in our initial 6 months training, I did not think it would be as prevalent in my day to day as it is. As Taylor (2016) mentioned, it involves using our own judgment which in turn involves being confident and accountable of that decision or choice or judgment, discretion is defined as “</w:t>
      </w:r>
      <w:r w:rsidRPr="00735181">
        <w:rPr>
          <w:rFonts w:asciiTheme="minorHAnsi" w:hAnsiTheme="minorHAnsi" w:cs="Calibri"/>
          <w:i/>
          <w:iCs/>
          <w:color w:val="auto"/>
          <w:sz w:val="22"/>
          <w:szCs w:val="22"/>
          <w:lang w:eastAsia="en-US"/>
        </w:rPr>
        <w:t>freedom or authority to make judgments and to act as one sees fit</w:t>
      </w:r>
      <w:r w:rsidRPr="00735181">
        <w:rPr>
          <w:rFonts w:asciiTheme="minorHAnsi" w:hAnsiTheme="minorHAnsi" w:cs="Calibri"/>
          <w:color w:val="auto"/>
          <w:sz w:val="22"/>
          <w:szCs w:val="22"/>
          <w:lang w:eastAsia="en-US"/>
        </w:rPr>
        <w:t xml:space="preserve">” (Discretion definition and meaning, Collins English Dictionary, 2023). In this instance I used my discretion based on my understanding of the relevant legislation and local policy, my tutor officer agreed with my decision and when advice was sought from my supervisor he also agreed with the decision. It was decided to treat this as a breach of bail due to the evidential difficulties we would have with the threats however this breach would add significant weight to the original charge which the suspect is on bail for. </w:t>
      </w:r>
    </w:p>
    <w:p w14:paraId="3C1DDA52"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04D41D8"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On my return to duty the next day I had a message from our Public Service Centre requesting that I contact the suspect. Neighbours had informed him that the police attended his address the previous day and he would like to know why. As this was an active investigation into the suspect, I had to be mindful of what was disclosed to him. I called the suspect as requested who wished to discuss an incident that had occurred that he suspected was the cause of my visit to his address. I listened to what he was saying but reminded him that at this time I was unable to discuss this in depth with him, before the call ended, he referred to an assault against him during the incident and a previous incident that was reported whereby he was assaulted by his ex-partner who was currently the aggrieved in this case. This information would be disclosable to the defence should the case reach court.</w:t>
      </w:r>
    </w:p>
    <w:p w14:paraId="0EE3F54E"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5A467226"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Disclosure is an important part of any investigation. The Criminal Procedure &amp; Investigation Act (CPIA, 1996) concerns how information gained is managed and used during an investigation and how it is disclosed. The Act stipulates how all information gained in the investigation must be disclosed. There are generally 3 types of evidence according to the CPIA (1996) which is used for disclosure purposes, the first is evidence which is any information being entered as evidenced and exhibited during the case, the second type is unused material which is any information gained during the investigation but is not being used as an exhibit by the prosecution, and the third type is non-relevant material which is any information gained during the investigation but deemed not relevant to the case by the prosecution. All this information must be disclosed to the defence through the disclosure process highlighted in the CPIA (1996). Disclosure in criminal proceedings is highly important and a key part of the criminal justice system, failure to disclose information correctly may lead to a case being dismissed at court as seen in R v Mouncher and others (2011) where the failure to disclose contact between the police, CPS, and key witnesses allowed the defence to undermine the confidence in the disclosure process which ultimately led to jury being directed to return not guilty verdicts by the court.</w:t>
      </w:r>
    </w:p>
    <w:p w14:paraId="5B95FA37"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23ACE4B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Although the case I have discussed in this essay has not yet reached court there was need to build a case file following a charging decision from the CPS for the original offences committed, the breach of bail, and following advice from a supervisor the male was arrested by myself for the threats and subsequently interviewed and charged with the offence.</w:t>
      </w:r>
    </w:p>
    <w:p w14:paraId="3ACF77C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44320C31"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r w:rsidRPr="00735181">
        <w:rPr>
          <w:rFonts w:asciiTheme="minorHAnsi" w:hAnsiTheme="minorHAnsi" w:cs="Calibri"/>
          <w:color w:val="auto"/>
          <w:sz w:val="22"/>
          <w:szCs w:val="22"/>
          <w:lang w:eastAsia="en-US"/>
        </w:rPr>
        <w:t>On reflection I am overall happy with my involvement and use of discretion whilst dealing with this occurrence. I have used the NDM many times in my career within South Wales Police and feel confident in using this model daily. Feedback from my supervisor following the incident did result in the decision to arrest the suspect being made whereas my initial decision was different however the feedback from my supervisor on this was positive and he understood and agreed with my decision based on the information I had to hand at the time.</w:t>
      </w:r>
    </w:p>
    <w:p w14:paraId="4F0A8EEA"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color w:val="auto"/>
          <w:sz w:val="22"/>
          <w:szCs w:val="22"/>
          <w:lang w:eastAsia="en-US"/>
        </w:rPr>
      </w:pPr>
    </w:p>
    <w:p w14:paraId="63197C0D" w14:textId="77777777" w:rsidR="00735181" w:rsidRPr="00735181" w:rsidRDefault="00735181" w:rsidP="00735181">
      <w:pPr>
        <w:overflowPunct/>
        <w:autoSpaceDE/>
        <w:autoSpaceDN/>
        <w:adjustRightInd/>
        <w:spacing w:after="160" w:line="259" w:lineRule="auto"/>
        <w:textAlignment w:val="auto"/>
        <w:rPr>
          <w:rFonts w:asciiTheme="minorHAnsi" w:hAnsiTheme="minorHAnsi" w:cs="Calibri"/>
          <w:b/>
          <w:bCs/>
          <w:color w:val="auto"/>
          <w:sz w:val="32"/>
          <w:szCs w:val="32"/>
          <w:lang w:eastAsia="en-US"/>
        </w:rPr>
      </w:pPr>
      <w:r w:rsidRPr="00735181">
        <w:rPr>
          <w:rFonts w:asciiTheme="minorHAnsi" w:hAnsiTheme="minorHAnsi" w:cs="Calibri"/>
          <w:b/>
          <w:bCs/>
          <w:color w:val="auto"/>
          <w:sz w:val="32"/>
          <w:szCs w:val="32"/>
          <w:lang w:eastAsia="en-US"/>
        </w:rPr>
        <w:t>Word count: 2,164</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6F57BEE5" w:rsidR="00575A8F" w:rsidRPr="00270EEB" w:rsidRDefault="009726E8" w:rsidP="00E6298B">
            <w:pPr>
              <w:ind w:right="107"/>
              <w:jc w:val="both"/>
              <w:rPr>
                <w:sz w:val="24"/>
                <w:szCs w:val="24"/>
              </w:rPr>
            </w:pPr>
            <w:r>
              <w:rPr>
                <w:sz w:val="24"/>
                <w:szCs w:val="24"/>
              </w:rPr>
              <w:t>Achieve a greater knowledge</w:t>
            </w:r>
            <w:r w:rsidR="007713F4">
              <w:rPr>
                <w:sz w:val="24"/>
                <w:szCs w:val="24"/>
              </w:rPr>
              <w:t xml:space="preserve"> of</w:t>
            </w:r>
            <w:r>
              <w:rPr>
                <w:sz w:val="24"/>
                <w:szCs w:val="24"/>
              </w:rPr>
              <w:t xml:space="preserve"> traffic law and offences.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8C94828" w:rsidR="00575A8F" w:rsidRPr="00270EEB" w:rsidRDefault="007713F4" w:rsidP="00E6298B">
            <w:pPr>
              <w:ind w:right="107"/>
              <w:jc w:val="both"/>
              <w:rPr>
                <w:sz w:val="24"/>
                <w:szCs w:val="24"/>
              </w:rPr>
            </w:pPr>
            <w:r>
              <w:rPr>
                <w:sz w:val="24"/>
                <w:szCs w:val="24"/>
              </w:rPr>
              <w:t xml:space="preserve">This will be achieved with a blend of independent learning and increased on the job learning. By taking the time to study traffic law in my free time and putting what I have learned into traffic. I also plan to request additional ‘ride along’ shifts with the roads policing unit in my own time when I’m able to and to complete my response driving course as soon as practicable. </w:t>
            </w:r>
          </w:p>
        </w:tc>
        <w:tc>
          <w:tcPr>
            <w:tcW w:w="2426" w:type="dxa"/>
            <w:shd w:val="clear" w:color="auto" w:fill="auto"/>
          </w:tcPr>
          <w:p w14:paraId="0DC76A76" w14:textId="77777777" w:rsidR="00575A8F" w:rsidRDefault="007713F4" w:rsidP="00E6298B">
            <w:pPr>
              <w:ind w:right="107"/>
              <w:jc w:val="both"/>
              <w:rPr>
                <w:sz w:val="24"/>
                <w:szCs w:val="24"/>
              </w:rPr>
            </w:pPr>
            <w:r>
              <w:rPr>
                <w:sz w:val="24"/>
                <w:szCs w:val="24"/>
              </w:rPr>
              <w:t xml:space="preserve">My Sergeant is keen and highly knowledgeable with traffic law therefor support is readily available to me in this specialist field of policing. </w:t>
            </w:r>
          </w:p>
          <w:p w14:paraId="1A5B406F" w14:textId="77777777" w:rsidR="007713F4" w:rsidRDefault="007713F4" w:rsidP="00E6298B">
            <w:pPr>
              <w:ind w:right="107"/>
              <w:jc w:val="both"/>
              <w:rPr>
                <w:sz w:val="24"/>
                <w:szCs w:val="24"/>
              </w:rPr>
            </w:pPr>
          </w:p>
          <w:p w14:paraId="6F2EF39C" w14:textId="36943A71" w:rsidR="007713F4" w:rsidRPr="00270EEB" w:rsidRDefault="007713F4" w:rsidP="00E6298B">
            <w:pPr>
              <w:ind w:right="107"/>
              <w:jc w:val="both"/>
              <w:rPr>
                <w:sz w:val="24"/>
                <w:szCs w:val="24"/>
              </w:rPr>
            </w:pPr>
            <w:r>
              <w:rPr>
                <w:sz w:val="24"/>
                <w:szCs w:val="24"/>
              </w:rPr>
              <w:t xml:space="preserve">The roads policing unit welcome officers to complete ‘ride along’ shifts with them and I know a number of officers from my shift have completed these. </w:t>
            </w:r>
          </w:p>
        </w:tc>
        <w:tc>
          <w:tcPr>
            <w:tcW w:w="2426" w:type="dxa"/>
            <w:shd w:val="clear" w:color="auto" w:fill="auto"/>
          </w:tcPr>
          <w:p w14:paraId="61E94A08" w14:textId="77777777" w:rsidR="28A9B94D" w:rsidRDefault="007713F4" w:rsidP="28A9B94D">
            <w:pPr>
              <w:jc w:val="both"/>
              <w:rPr>
                <w:sz w:val="24"/>
                <w:szCs w:val="24"/>
              </w:rPr>
            </w:pPr>
            <w:r>
              <w:rPr>
                <w:sz w:val="24"/>
                <w:szCs w:val="24"/>
              </w:rPr>
              <w:t xml:space="preserve">I believe this to be an ongoing area of development which will only be achieved once I am a roads policing officer. </w:t>
            </w:r>
          </w:p>
          <w:p w14:paraId="57C1BC95" w14:textId="77777777" w:rsidR="007713F4" w:rsidRDefault="007713F4" w:rsidP="28A9B94D">
            <w:pPr>
              <w:jc w:val="both"/>
              <w:rPr>
                <w:sz w:val="24"/>
                <w:szCs w:val="24"/>
              </w:rPr>
            </w:pPr>
          </w:p>
          <w:p w14:paraId="791E3274" w14:textId="5EA9EBFB" w:rsidR="007713F4" w:rsidRDefault="007713F4" w:rsidP="28A9B94D">
            <w:pPr>
              <w:jc w:val="both"/>
              <w:rPr>
                <w:sz w:val="24"/>
                <w:szCs w:val="24"/>
              </w:rPr>
            </w:pPr>
            <w:r>
              <w:rPr>
                <w:sz w:val="24"/>
                <w:szCs w:val="24"/>
              </w:rPr>
              <w:t>Initially, I would like my knowledge of traffic law to be at a level where I can readily recognise traffic offences and deal with them confidently whilst on patrol which I am confident will be achieved by the end of my 2 years’ probation.</w:t>
            </w:r>
          </w:p>
          <w:p w14:paraId="26693F15" w14:textId="77777777" w:rsidR="007713F4" w:rsidRDefault="007713F4" w:rsidP="28A9B94D">
            <w:pPr>
              <w:jc w:val="both"/>
              <w:rPr>
                <w:sz w:val="24"/>
                <w:szCs w:val="24"/>
              </w:rPr>
            </w:pPr>
          </w:p>
          <w:p w14:paraId="3851D535" w14:textId="16827904" w:rsidR="007713F4" w:rsidRDefault="007713F4" w:rsidP="28A9B94D">
            <w:pPr>
              <w:jc w:val="both"/>
              <w:rPr>
                <w:sz w:val="24"/>
                <w:szCs w:val="24"/>
              </w:rPr>
            </w:pPr>
          </w:p>
        </w:tc>
      </w:tr>
      <w:tr w:rsidR="00575A8F" w:rsidRPr="00270EEB" w14:paraId="67CEB11A" w14:textId="77777777" w:rsidTr="28A9B94D">
        <w:tc>
          <w:tcPr>
            <w:tcW w:w="2462" w:type="dxa"/>
            <w:shd w:val="clear" w:color="auto" w:fill="auto"/>
          </w:tcPr>
          <w:p w14:paraId="709C1927" w14:textId="77777777" w:rsidR="007713F4" w:rsidRDefault="007713F4" w:rsidP="00E6298B">
            <w:pPr>
              <w:ind w:right="107"/>
              <w:jc w:val="both"/>
              <w:rPr>
                <w:sz w:val="24"/>
                <w:szCs w:val="24"/>
              </w:rPr>
            </w:pPr>
            <w:r>
              <w:rPr>
                <w:sz w:val="24"/>
                <w:szCs w:val="24"/>
              </w:rPr>
              <w:t xml:space="preserve">Policing on response and other specialist departments is a physically demanding role. Throughout initial training I enjoyed the basic deployment unit training which is utilised at large events and I would like to develop this further into a police support unit role. </w:t>
            </w:r>
          </w:p>
          <w:p w14:paraId="0CFCA7C7" w14:textId="77777777" w:rsidR="007713F4" w:rsidRDefault="007713F4" w:rsidP="00E6298B">
            <w:pPr>
              <w:ind w:right="107"/>
              <w:jc w:val="both"/>
              <w:rPr>
                <w:sz w:val="24"/>
                <w:szCs w:val="24"/>
              </w:rPr>
            </w:pPr>
          </w:p>
          <w:p w14:paraId="1C2EB90F" w14:textId="00AA3EEF" w:rsidR="00575A8F" w:rsidRPr="00270EEB" w:rsidRDefault="007713F4" w:rsidP="00E6298B">
            <w:pPr>
              <w:ind w:right="107"/>
              <w:jc w:val="both"/>
              <w:rPr>
                <w:sz w:val="24"/>
                <w:szCs w:val="24"/>
              </w:rPr>
            </w:pPr>
            <w:r>
              <w:rPr>
                <w:sz w:val="24"/>
                <w:szCs w:val="24"/>
              </w:rPr>
              <w:t xml:space="preserve">This role demands a higher level of physical fitness in the form of a bleep test. </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AC7ED42" w14:textId="5273E54E" w:rsidR="00575A8F" w:rsidRDefault="007713F4" w:rsidP="00E6298B">
            <w:pPr>
              <w:ind w:right="107"/>
              <w:jc w:val="both"/>
              <w:rPr>
                <w:sz w:val="24"/>
                <w:szCs w:val="24"/>
              </w:rPr>
            </w:pPr>
            <w:r>
              <w:rPr>
                <w:sz w:val="24"/>
                <w:szCs w:val="24"/>
              </w:rPr>
              <w:lastRenderedPageBreak/>
              <w:t>My station has a large gym which I am utilising before and after shifts</w:t>
            </w:r>
            <w:r w:rsidR="00B36D19">
              <w:rPr>
                <w:sz w:val="24"/>
                <w:szCs w:val="24"/>
              </w:rPr>
              <w:t xml:space="preserve"> to increase my cardiovascular fitness.</w:t>
            </w:r>
          </w:p>
          <w:p w14:paraId="637803BD" w14:textId="77777777" w:rsidR="00B36D19" w:rsidRDefault="00B36D19" w:rsidP="00E6298B">
            <w:pPr>
              <w:ind w:right="107"/>
              <w:jc w:val="both"/>
              <w:rPr>
                <w:sz w:val="24"/>
                <w:szCs w:val="24"/>
              </w:rPr>
            </w:pPr>
          </w:p>
          <w:p w14:paraId="3BD876A6" w14:textId="67B54954" w:rsidR="00B36D19" w:rsidRPr="00270EEB" w:rsidRDefault="00B36D19" w:rsidP="00E6298B">
            <w:pPr>
              <w:ind w:right="107"/>
              <w:jc w:val="both"/>
              <w:rPr>
                <w:sz w:val="24"/>
                <w:szCs w:val="24"/>
              </w:rPr>
            </w:pPr>
            <w:r>
              <w:rPr>
                <w:sz w:val="24"/>
                <w:szCs w:val="24"/>
              </w:rPr>
              <w:t xml:space="preserve">I am also continuing with as much sport as I am able to outside of work however working shifts and finding time to attend </w:t>
            </w:r>
            <w:r>
              <w:rPr>
                <w:sz w:val="24"/>
                <w:szCs w:val="24"/>
              </w:rPr>
              <w:lastRenderedPageBreak/>
              <w:t>sessions is proving difficult.</w:t>
            </w:r>
          </w:p>
        </w:tc>
        <w:tc>
          <w:tcPr>
            <w:tcW w:w="2426" w:type="dxa"/>
            <w:shd w:val="clear" w:color="auto" w:fill="auto"/>
          </w:tcPr>
          <w:p w14:paraId="7A4C9A77" w14:textId="055C88E1" w:rsidR="00575A8F" w:rsidRPr="00270EEB" w:rsidRDefault="00B36D19" w:rsidP="00E6298B">
            <w:pPr>
              <w:ind w:right="107"/>
              <w:jc w:val="both"/>
              <w:rPr>
                <w:sz w:val="24"/>
                <w:szCs w:val="24"/>
              </w:rPr>
            </w:pPr>
            <w:r>
              <w:rPr>
                <w:sz w:val="24"/>
                <w:szCs w:val="24"/>
              </w:rPr>
              <w:lastRenderedPageBreak/>
              <w:t xml:space="preserve">There are a number of officers on my shift who enjoy using the gym, working together as part of a group not only builds physical </w:t>
            </w:r>
            <w:r>
              <w:rPr>
                <w:sz w:val="24"/>
                <w:szCs w:val="24"/>
              </w:rPr>
              <w:t xml:space="preserve"> </w:t>
            </w:r>
            <w:r>
              <w:rPr>
                <w:sz w:val="24"/>
                <w:szCs w:val="24"/>
              </w:rPr>
              <w:t>fitness but helps with team building</w:t>
            </w:r>
            <w:r>
              <w:rPr>
                <w:sz w:val="24"/>
                <w:szCs w:val="24"/>
              </w:rPr>
              <w:t xml:space="preserve"> and bonding.</w:t>
            </w:r>
          </w:p>
        </w:tc>
        <w:tc>
          <w:tcPr>
            <w:tcW w:w="2426" w:type="dxa"/>
            <w:shd w:val="clear" w:color="auto" w:fill="auto"/>
          </w:tcPr>
          <w:p w14:paraId="6D682FA0" w14:textId="77777777" w:rsidR="28A9B94D" w:rsidRDefault="00B36D19" w:rsidP="28A9B94D">
            <w:pPr>
              <w:jc w:val="both"/>
              <w:rPr>
                <w:sz w:val="24"/>
                <w:szCs w:val="24"/>
              </w:rPr>
            </w:pPr>
            <w:r>
              <w:rPr>
                <w:sz w:val="24"/>
                <w:szCs w:val="24"/>
              </w:rPr>
              <w:t>I have been accepted onto a police support unit course at the end of July. I will know that I have been successful when I have passed the fitness tests and completed the course.</w:t>
            </w:r>
          </w:p>
          <w:p w14:paraId="5258B869" w14:textId="77777777" w:rsidR="00B36D19" w:rsidRDefault="00B36D19" w:rsidP="28A9B94D">
            <w:pPr>
              <w:jc w:val="both"/>
              <w:rPr>
                <w:sz w:val="24"/>
                <w:szCs w:val="24"/>
              </w:rPr>
            </w:pPr>
          </w:p>
          <w:p w14:paraId="003BC03B" w14:textId="37D751B0" w:rsidR="00B36D19" w:rsidRDefault="00B36D19" w:rsidP="28A9B94D">
            <w:pPr>
              <w:jc w:val="both"/>
              <w:rPr>
                <w:sz w:val="24"/>
                <w:szCs w:val="24"/>
              </w:rPr>
            </w:pPr>
            <w:r>
              <w:rPr>
                <w:sz w:val="24"/>
                <w:szCs w:val="24"/>
              </w:rPr>
              <w:t xml:space="preserve">Going forward, I will continue to develop my physical fitness, over time I will notice </w:t>
            </w:r>
            <w:r>
              <w:rPr>
                <w:sz w:val="24"/>
                <w:szCs w:val="24"/>
              </w:rPr>
              <w:lastRenderedPageBreak/>
              <w:t>that the fitness tests are easier as and when my fitness levels increase. This is a continuous development.</w:t>
            </w:r>
          </w:p>
        </w:tc>
      </w:tr>
      <w:tr w:rsidR="00575A8F" w:rsidRPr="00270EEB" w14:paraId="3EE957C7" w14:textId="77777777" w:rsidTr="28A9B94D">
        <w:tc>
          <w:tcPr>
            <w:tcW w:w="2462" w:type="dxa"/>
            <w:shd w:val="clear" w:color="auto" w:fill="auto"/>
          </w:tcPr>
          <w:p w14:paraId="7F6D259B" w14:textId="4096CE1A" w:rsidR="00575A8F" w:rsidRPr="00270EEB" w:rsidRDefault="00B36D19" w:rsidP="00E6298B">
            <w:pPr>
              <w:ind w:right="107"/>
              <w:jc w:val="both"/>
              <w:rPr>
                <w:sz w:val="24"/>
                <w:szCs w:val="24"/>
              </w:rPr>
            </w:pPr>
            <w:r>
              <w:rPr>
                <w:sz w:val="24"/>
                <w:szCs w:val="24"/>
              </w:rPr>
              <w:lastRenderedPageBreak/>
              <w:t xml:space="preserve">To complete my 2 year probation and </w:t>
            </w:r>
            <w:r w:rsidR="00131CB8">
              <w:rPr>
                <w:sz w:val="24"/>
                <w:szCs w:val="24"/>
              </w:rPr>
              <w:t>gain the freedom to specialise should I wish to.</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A086851" w:rsidR="00575A8F" w:rsidRPr="00270EEB" w:rsidRDefault="00131CB8" w:rsidP="00E6298B">
            <w:pPr>
              <w:ind w:right="107"/>
              <w:jc w:val="both"/>
              <w:rPr>
                <w:sz w:val="24"/>
                <w:szCs w:val="24"/>
              </w:rPr>
            </w:pPr>
            <w:r>
              <w:rPr>
                <w:sz w:val="24"/>
                <w:szCs w:val="24"/>
              </w:rPr>
              <w:t>By successfully completing all aspects of my university work and my occupational competency portfolios.</w:t>
            </w:r>
          </w:p>
        </w:tc>
        <w:tc>
          <w:tcPr>
            <w:tcW w:w="2426" w:type="dxa"/>
            <w:shd w:val="clear" w:color="auto" w:fill="auto"/>
          </w:tcPr>
          <w:p w14:paraId="5AE6F339" w14:textId="77777777" w:rsidR="00575A8F" w:rsidRDefault="00131CB8" w:rsidP="00E6298B">
            <w:pPr>
              <w:ind w:right="107"/>
              <w:jc w:val="both"/>
              <w:rPr>
                <w:sz w:val="24"/>
                <w:szCs w:val="24"/>
              </w:rPr>
            </w:pPr>
            <w:r>
              <w:rPr>
                <w:sz w:val="24"/>
                <w:szCs w:val="24"/>
              </w:rPr>
              <w:t>My Sergeant is highly supportive of the university side of the role. He is aware that there is a lot of work to complete and allows extra time when there is some available should students require it.</w:t>
            </w:r>
          </w:p>
          <w:p w14:paraId="4FF60371" w14:textId="77777777" w:rsidR="00131CB8" w:rsidRDefault="00131CB8" w:rsidP="00E6298B">
            <w:pPr>
              <w:ind w:right="107"/>
              <w:jc w:val="both"/>
              <w:rPr>
                <w:sz w:val="24"/>
                <w:szCs w:val="24"/>
              </w:rPr>
            </w:pPr>
          </w:p>
          <w:p w14:paraId="76B2A824" w14:textId="7314AD18" w:rsidR="00131CB8" w:rsidRPr="00270EEB" w:rsidRDefault="00131CB8" w:rsidP="00E6298B">
            <w:pPr>
              <w:ind w:right="107"/>
              <w:jc w:val="both"/>
              <w:rPr>
                <w:sz w:val="24"/>
                <w:szCs w:val="24"/>
              </w:rPr>
            </w:pPr>
            <w:r>
              <w:rPr>
                <w:sz w:val="24"/>
                <w:szCs w:val="24"/>
              </w:rPr>
              <w:t>The university is also there to support with anything academically that I require.</w:t>
            </w:r>
          </w:p>
        </w:tc>
        <w:tc>
          <w:tcPr>
            <w:tcW w:w="2426" w:type="dxa"/>
            <w:shd w:val="clear" w:color="auto" w:fill="auto"/>
          </w:tcPr>
          <w:p w14:paraId="185B2EE5" w14:textId="24B249AF" w:rsidR="28A9B94D" w:rsidRDefault="00131CB8" w:rsidP="28A9B94D">
            <w:pPr>
              <w:jc w:val="both"/>
              <w:rPr>
                <w:sz w:val="24"/>
                <w:szCs w:val="24"/>
              </w:rPr>
            </w:pPr>
            <w:r>
              <w:rPr>
                <w:sz w:val="24"/>
                <w:szCs w:val="24"/>
              </w:rPr>
              <w:t>I know that I have been successful in this area of development when my probation has ended and I graduate from the university.</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42FDD12" w14:textId="77777777" w:rsidR="003B71D1" w:rsidRDefault="003B71D1" w:rsidP="003B71D1">
      <w:pPr>
        <w:pStyle w:val="ListParagraph"/>
      </w:pPr>
      <w:r w:rsidRPr="00C11552">
        <w:t>Bates, C.R. et al. (2021b)</w:t>
      </w:r>
      <w:r w:rsidRPr="00AB6553">
        <w:rPr>
          <w:i/>
          <w:iCs/>
        </w:rPr>
        <w:t xml:space="preserve"> “Life Interrupted: Family Routines Buffer Stress during the COVID-19 Pandemic,” Journal of Child and Family Studies, 30(11), pp. 2641–2651. Available at: https://doi.org/10.1007/s10826-021-02063-6</w:t>
      </w:r>
      <w:r>
        <w:t xml:space="preserve"> (Accessed: 11 January 2023)</w:t>
      </w:r>
    </w:p>
    <w:p w14:paraId="4B40E0B1" w14:textId="77777777" w:rsidR="003B71D1" w:rsidRDefault="003B71D1" w:rsidP="003B71D1">
      <w:pPr>
        <w:pStyle w:val="ListParagraph"/>
      </w:pPr>
    </w:p>
    <w:p w14:paraId="12F8C863" w14:textId="77777777" w:rsidR="003B71D1" w:rsidRDefault="003B71D1" w:rsidP="003B71D1">
      <w:pPr>
        <w:pStyle w:val="ListParagraph"/>
      </w:pPr>
      <w:r w:rsidRPr="00771462">
        <w:t>Borton, T. (1970</w:t>
      </w:r>
      <w:r w:rsidRPr="00C11552">
        <w:rPr>
          <w:i/>
          <w:iCs/>
        </w:rPr>
        <w:t>) Reach Touch and Teach</w:t>
      </w:r>
      <w:r w:rsidRPr="00771462">
        <w:t>. New York: McGraw-Hill Paperbacks</w:t>
      </w:r>
    </w:p>
    <w:p w14:paraId="6D2C2886" w14:textId="77777777" w:rsidR="003B71D1" w:rsidRDefault="003B71D1" w:rsidP="003B71D1">
      <w:pPr>
        <w:pStyle w:val="ListParagraph"/>
      </w:pPr>
    </w:p>
    <w:p w14:paraId="521B7D1D" w14:textId="77777777" w:rsidR="003B71D1" w:rsidRDefault="003B71D1" w:rsidP="003B71D1">
      <w:pPr>
        <w:pStyle w:val="ListParagraph"/>
      </w:pPr>
      <w:r w:rsidRPr="00493411">
        <w:t xml:space="preserve">Brown, J. (2021) </w:t>
      </w:r>
      <w:r>
        <w:t>“</w:t>
      </w:r>
      <w:r w:rsidRPr="00A57C8C">
        <w:rPr>
          <w:i/>
          <w:iCs/>
        </w:rPr>
        <w:t>Policing in the UK</w:t>
      </w:r>
      <w:r>
        <w:rPr>
          <w:i/>
          <w:iCs/>
        </w:rPr>
        <w:t xml:space="preserve">” </w:t>
      </w:r>
      <w:r w:rsidRPr="00202273">
        <w:rPr>
          <w:i/>
          <w:iCs/>
        </w:rPr>
        <w:t>Institutional racism in the police: how entrenched has it become?</w:t>
      </w:r>
      <w:r w:rsidRPr="00B44BF2">
        <w:t xml:space="preserve"> Centre for Crime and Justice Studies (</w:t>
      </w:r>
      <w:r>
        <w:t>2020</w:t>
      </w:r>
      <w:r w:rsidRPr="00B44BF2">
        <w:t xml:space="preserve">). Available at: </w:t>
      </w:r>
      <w:hyperlink r:id="rId20" w:history="1">
        <w:r w:rsidRPr="00D80FDF">
          <w:rPr>
            <w:rStyle w:val="Hyperlink"/>
          </w:rPr>
          <w:t>https://www.crimeandjustice.org.uk/resources/institutional-racism-police-how-entrenched-has-it-become</w:t>
        </w:r>
      </w:hyperlink>
      <w:r>
        <w:t xml:space="preserve"> (Accessed: 19</w:t>
      </w:r>
      <w:r w:rsidRPr="00202273">
        <w:rPr>
          <w:vertAlign w:val="superscript"/>
        </w:rPr>
        <w:t>th</w:t>
      </w:r>
      <w:r>
        <w:t xml:space="preserve"> February 2023)</w:t>
      </w:r>
    </w:p>
    <w:p w14:paraId="039B92B0" w14:textId="77777777" w:rsidR="003B71D1" w:rsidRDefault="003B71D1" w:rsidP="003B71D1">
      <w:pPr>
        <w:pStyle w:val="ListParagraph"/>
      </w:pPr>
    </w:p>
    <w:p w14:paraId="0257128D" w14:textId="77777777" w:rsidR="003B71D1" w:rsidRDefault="003B71D1" w:rsidP="003B71D1">
      <w:pPr>
        <w:pStyle w:val="ListParagraph"/>
      </w:pPr>
      <w:r>
        <w:t xml:space="preserve">Changing Minds (2021) </w:t>
      </w:r>
      <w:r w:rsidRPr="00C63A84">
        <w:rPr>
          <w:i/>
          <w:iCs/>
        </w:rPr>
        <w:t>The Betari Box</w:t>
      </w:r>
      <w:r>
        <w:t xml:space="preserve">. Available at: </w:t>
      </w:r>
      <w:hyperlink r:id="rId21" w:history="1">
        <w:r w:rsidRPr="00E01BA0">
          <w:rPr>
            <w:rStyle w:val="Hyperlink"/>
          </w:rPr>
          <w:t>http://changingminds.org/explanations/behaviors/betari_box.htm</w:t>
        </w:r>
      </w:hyperlink>
      <w:r>
        <w:t xml:space="preserve"> (Accessed: 20</w:t>
      </w:r>
      <w:r w:rsidRPr="009B200D">
        <w:rPr>
          <w:vertAlign w:val="superscript"/>
        </w:rPr>
        <w:t>th</w:t>
      </w:r>
      <w:r>
        <w:t xml:space="preserve"> February 2023)</w:t>
      </w:r>
    </w:p>
    <w:p w14:paraId="616F6FEE" w14:textId="77777777" w:rsidR="003B71D1" w:rsidRDefault="003B71D1" w:rsidP="003B71D1">
      <w:pPr>
        <w:pStyle w:val="ListParagraph"/>
      </w:pPr>
    </w:p>
    <w:p w14:paraId="0B25ECF6" w14:textId="77777777" w:rsidR="003B71D1" w:rsidRDefault="003B71D1" w:rsidP="003B71D1">
      <w:pPr>
        <w:pStyle w:val="ListParagraph"/>
      </w:pPr>
      <w:r>
        <w:t xml:space="preserve">College of Policing (2014) </w:t>
      </w:r>
      <w:r w:rsidRPr="007B2D87">
        <w:rPr>
          <w:i/>
          <w:iCs/>
        </w:rPr>
        <w:t>Code of Ethics</w:t>
      </w:r>
      <w:r>
        <w:t>. Available at: https://assets.college.police.uk/s3fspublic/2021-02/code_of_ethics.pdf (Accessed: 8</w:t>
      </w:r>
      <w:r w:rsidRPr="00BF5FA0">
        <w:rPr>
          <w:vertAlign w:val="superscript"/>
        </w:rPr>
        <w:t>th</w:t>
      </w:r>
      <w:r>
        <w:t xml:space="preserve"> March 2023).</w:t>
      </w:r>
    </w:p>
    <w:p w14:paraId="49004846" w14:textId="77777777" w:rsidR="003B71D1" w:rsidRDefault="003B71D1" w:rsidP="003B71D1">
      <w:pPr>
        <w:pStyle w:val="ListParagraph"/>
      </w:pPr>
    </w:p>
    <w:p w14:paraId="2AE17408" w14:textId="77777777" w:rsidR="003B71D1" w:rsidRDefault="003B71D1" w:rsidP="003B71D1">
      <w:pPr>
        <w:pStyle w:val="ListParagraph"/>
      </w:pPr>
      <w:r>
        <w:t xml:space="preserve">College of Policing (2014) </w:t>
      </w:r>
      <w:r w:rsidRPr="007B2D87">
        <w:rPr>
          <w:i/>
          <w:iCs/>
        </w:rPr>
        <w:t>National Decision Model</w:t>
      </w:r>
      <w:r>
        <w:t xml:space="preserve">. Available at: </w:t>
      </w:r>
      <w:r w:rsidRPr="00F44D44">
        <w:rPr>
          <w:u w:val="single"/>
        </w:rPr>
        <w:t>https://www.college.police.uk/app/national-decision-model</w:t>
      </w:r>
      <w:r>
        <w:t xml:space="preserve"> (Accessed: 12</w:t>
      </w:r>
      <w:r w:rsidRPr="007B2D87">
        <w:rPr>
          <w:vertAlign w:val="superscript"/>
        </w:rPr>
        <w:t>th</w:t>
      </w:r>
      <w:r>
        <w:t xml:space="preserve"> March 2023)</w:t>
      </w:r>
    </w:p>
    <w:p w14:paraId="262D1F24" w14:textId="77777777" w:rsidR="003B71D1" w:rsidRDefault="003B71D1" w:rsidP="003B71D1">
      <w:pPr>
        <w:pStyle w:val="ListParagraph"/>
      </w:pPr>
    </w:p>
    <w:p w14:paraId="2C105F74" w14:textId="77777777" w:rsidR="003B71D1" w:rsidRDefault="003B71D1" w:rsidP="003B71D1">
      <w:pPr>
        <w:pStyle w:val="ListParagraph"/>
      </w:pPr>
      <w:r>
        <w:t xml:space="preserve">College of Policing (2021) </w:t>
      </w:r>
      <w:r w:rsidRPr="00D83596">
        <w:rPr>
          <w:i/>
          <w:iCs/>
        </w:rPr>
        <w:t>Victims Code for Policing</w:t>
      </w:r>
      <w:r>
        <w:t xml:space="preserve">. Available at: </w:t>
      </w:r>
      <w:r w:rsidRPr="00C11552">
        <w:rPr>
          <w:u w:val="single"/>
        </w:rPr>
        <w:t>https://www.college.police.uk/guidance/victims-code/victims-rights-policing</w:t>
      </w:r>
      <w:r w:rsidRPr="00C11552">
        <w:t xml:space="preserve"> </w:t>
      </w:r>
      <w:r>
        <w:t>(Accessed: 6</w:t>
      </w:r>
      <w:r w:rsidRPr="00202273">
        <w:rPr>
          <w:vertAlign w:val="superscript"/>
        </w:rPr>
        <w:t>th</w:t>
      </w:r>
      <w:r>
        <w:t xml:space="preserve"> March 2023).</w:t>
      </w:r>
    </w:p>
    <w:p w14:paraId="0B2AA189" w14:textId="77777777" w:rsidR="003B71D1" w:rsidRDefault="003B71D1" w:rsidP="003B71D1">
      <w:pPr>
        <w:pStyle w:val="ListParagraph"/>
      </w:pPr>
    </w:p>
    <w:p w14:paraId="7D83C7AD" w14:textId="77777777" w:rsidR="003B71D1" w:rsidRDefault="003B71D1" w:rsidP="003B71D1">
      <w:pPr>
        <w:pStyle w:val="ListParagraph"/>
      </w:pPr>
      <w:r w:rsidRPr="005016CF">
        <w:rPr>
          <w:i/>
          <w:iCs/>
        </w:rPr>
        <w:t>Criminal Damage Act 1971, S.1</w:t>
      </w:r>
      <w:r w:rsidRPr="005016CF">
        <w:t xml:space="preserve">. Available at: </w:t>
      </w:r>
      <w:hyperlink r:id="rId22" w:history="1">
        <w:r w:rsidRPr="004772E5">
          <w:rPr>
            <w:rStyle w:val="Hyperlink"/>
          </w:rPr>
          <w:t>https://www.legislation.gov.uk/ukpga/1971/48/contents</w:t>
        </w:r>
      </w:hyperlink>
      <w:r>
        <w:t xml:space="preserve"> (Accessed: 7</w:t>
      </w:r>
      <w:r w:rsidRPr="005016CF">
        <w:rPr>
          <w:vertAlign w:val="superscript"/>
        </w:rPr>
        <w:t>th</w:t>
      </w:r>
      <w:r>
        <w:t xml:space="preserve"> March 2023)</w:t>
      </w:r>
    </w:p>
    <w:p w14:paraId="43903FEB" w14:textId="77777777" w:rsidR="003B71D1" w:rsidRDefault="003B71D1" w:rsidP="003B71D1">
      <w:pPr>
        <w:pStyle w:val="ListParagraph"/>
      </w:pPr>
    </w:p>
    <w:p w14:paraId="0FF0EED2" w14:textId="77777777" w:rsidR="003B71D1" w:rsidRDefault="003B71D1" w:rsidP="003B71D1">
      <w:pPr>
        <w:pStyle w:val="ListParagraph"/>
      </w:pPr>
      <w:r w:rsidRPr="007B2D87">
        <w:rPr>
          <w:i/>
          <w:iCs/>
        </w:rPr>
        <w:t>Criminal Procedure and Investigation Act 1996</w:t>
      </w:r>
      <w:r>
        <w:t xml:space="preserve">. Available at:  </w:t>
      </w:r>
      <w:r w:rsidRPr="00F44D44">
        <w:rPr>
          <w:u w:val="single"/>
        </w:rPr>
        <w:t>https://www.legislation.gov.uk/ukpga/1996/25/contents</w:t>
      </w:r>
      <w:r w:rsidRPr="007B2D87">
        <w:t xml:space="preserve"> </w:t>
      </w:r>
      <w:r>
        <w:t>(Accessed: 12</w:t>
      </w:r>
      <w:r w:rsidRPr="00662007">
        <w:rPr>
          <w:vertAlign w:val="superscript"/>
        </w:rPr>
        <w:t>th</w:t>
      </w:r>
      <w:r>
        <w:t xml:space="preserve"> March 2023)</w:t>
      </w:r>
    </w:p>
    <w:p w14:paraId="2906969A" w14:textId="77777777" w:rsidR="003B71D1" w:rsidRDefault="003B71D1" w:rsidP="003B71D1">
      <w:pPr>
        <w:pStyle w:val="ListParagraph"/>
      </w:pPr>
    </w:p>
    <w:p w14:paraId="7CCC6124" w14:textId="77777777" w:rsidR="003B71D1" w:rsidRDefault="003B71D1" w:rsidP="003B71D1">
      <w:pPr>
        <w:pStyle w:val="ListParagraph"/>
      </w:pPr>
      <w:r w:rsidRPr="00220EEF">
        <w:rPr>
          <w:i/>
          <w:iCs/>
        </w:rPr>
        <w:t>Discretion definition and meaning</w:t>
      </w:r>
      <w:r w:rsidRPr="00220EEF">
        <w:t xml:space="preserve"> | Collins English Dictionary” (2023) Collins Dictionaries. Available at: </w:t>
      </w:r>
      <w:hyperlink r:id="rId23" w:history="1">
        <w:r w:rsidRPr="00F55FBA">
          <w:rPr>
            <w:rStyle w:val="Hyperlink"/>
          </w:rPr>
          <w:t>https://www.collinsdictionary.com/dictionary/english/discretion</w:t>
        </w:r>
      </w:hyperlink>
      <w:r>
        <w:t xml:space="preserve"> (Accessed: 12</w:t>
      </w:r>
      <w:r w:rsidRPr="00220EEF">
        <w:rPr>
          <w:vertAlign w:val="superscript"/>
        </w:rPr>
        <w:t>th</w:t>
      </w:r>
      <w:r>
        <w:t xml:space="preserve"> March 2023)</w:t>
      </w:r>
    </w:p>
    <w:p w14:paraId="47B7A20E" w14:textId="77777777" w:rsidR="003B71D1" w:rsidRDefault="003B71D1" w:rsidP="003B71D1">
      <w:pPr>
        <w:pStyle w:val="ListParagraph"/>
      </w:pPr>
    </w:p>
    <w:p w14:paraId="6AD0D637" w14:textId="77777777" w:rsidR="003B71D1" w:rsidRDefault="003B71D1" w:rsidP="003B71D1">
      <w:pPr>
        <w:pStyle w:val="ListParagraph"/>
      </w:pPr>
      <w:r w:rsidRPr="00B80D0C">
        <w:t xml:space="preserve">Driscoll, J. </w:t>
      </w:r>
      <w:r>
        <w:t>(</w:t>
      </w:r>
      <w:r w:rsidRPr="00B80D0C">
        <w:t>1994</w:t>
      </w:r>
      <w:r>
        <w:t>)</w:t>
      </w:r>
      <w:r w:rsidRPr="00B80D0C">
        <w:t xml:space="preserve"> </w:t>
      </w:r>
      <w:r w:rsidRPr="00F44D44">
        <w:rPr>
          <w:i/>
          <w:iCs/>
        </w:rPr>
        <w:t>Reflective practice for practise. Senior Nurse</w:t>
      </w:r>
      <w:r w:rsidRPr="00B80D0C">
        <w:t>, 14(1), pp.47-50.</w:t>
      </w:r>
    </w:p>
    <w:p w14:paraId="68B6E1BB" w14:textId="77777777" w:rsidR="003B71D1" w:rsidRDefault="003B71D1" w:rsidP="003B71D1">
      <w:pPr>
        <w:pStyle w:val="ListParagraph"/>
      </w:pPr>
    </w:p>
    <w:p w14:paraId="4AFEB68C" w14:textId="77777777" w:rsidR="003B71D1" w:rsidRDefault="003B71D1" w:rsidP="003B71D1">
      <w:pPr>
        <w:pStyle w:val="ListParagraph"/>
        <w:rPr>
          <w:shd w:val="clear" w:color="auto" w:fill="FFFFFF"/>
        </w:rPr>
      </w:pPr>
      <w:r w:rsidRPr="0067066E">
        <w:rPr>
          <w:shd w:val="clear" w:color="auto" w:fill="FFFFFF"/>
        </w:rPr>
        <w:t xml:space="preserve">Fisher, R., Ury, W.L. and Patton, B. (2011) </w:t>
      </w:r>
      <w:r w:rsidRPr="0067066E">
        <w:rPr>
          <w:i/>
          <w:iCs/>
          <w:shd w:val="clear" w:color="auto" w:fill="FFFFFF"/>
        </w:rPr>
        <w:t>Getting to Yes: Negotiating Agreement Without Giving In</w:t>
      </w:r>
      <w:r w:rsidRPr="0067066E">
        <w:rPr>
          <w:shd w:val="clear" w:color="auto" w:fill="FFFFFF"/>
        </w:rPr>
        <w:t xml:space="preserve">. National Geographic Books </w:t>
      </w:r>
    </w:p>
    <w:p w14:paraId="28ADFD1D" w14:textId="77777777" w:rsidR="003B71D1" w:rsidRPr="0000343F" w:rsidRDefault="003B71D1" w:rsidP="003B71D1">
      <w:pPr>
        <w:pStyle w:val="ListParagraph"/>
        <w:rPr>
          <w:color w:val="FF0000"/>
        </w:rPr>
      </w:pPr>
    </w:p>
    <w:p w14:paraId="35D41CB9" w14:textId="77777777" w:rsidR="003B71D1" w:rsidRDefault="003B71D1" w:rsidP="003B71D1">
      <w:pPr>
        <w:pStyle w:val="ListParagraph"/>
        <w:rPr>
          <w:rStyle w:val="Hyperlink"/>
        </w:rPr>
      </w:pPr>
      <w:r w:rsidRPr="0067066E">
        <w:t>Hasan, Y., Bègue, L. and Bushman, B.J. (2013) “</w:t>
      </w:r>
      <w:r w:rsidRPr="0000343F">
        <w:rPr>
          <w:i/>
          <w:iCs/>
        </w:rPr>
        <w:t>Violent Video Games Stress People Out and Make Them More Aggressive</w:t>
      </w:r>
      <w:r w:rsidRPr="0067066E">
        <w:t xml:space="preserve">” 39(1), pp. 64–70. Available at: </w:t>
      </w:r>
      <w:hyperlink r:id="rId24" w:history="1">
        <w:r w:rsidRPr="00E01BA0">
          <w:rPr>
            <w:rStyle w:val="Hyperlink"/>
          </w:rPr>
          <w:t>https://doi.org/10.1002/ab.21454</w:t>
        </w:r>
      </w:hyperlink>
    </w:p>
    <w:p w14:paraId="255EC139" w14:textId="77777777" w:rsidR="003B71D1" w:rsidRDefault="003B71D1" w:rsidP="003B71D1">
      <w:pPr>
        <w:pStyle w:val="ListParagraph"/>
      </w:pPr>
    </w:p>
    <w:p w14:paraId="3F275D48" w14:textId="77777777" w:rsidR="003B71D1" w:rsidRDefault="003B71D1" w:rsidP="003B71D1">
      <w:pPr>
        <w:pStyle w:val="ListParagraph"/>
      </w:pPr>
      <w:r w:rsidRPr="00945027">
        <w:rPr>
          <w:i/>
          <w:iCs/>
        </w:rPr>
        <w:t>Hate crime, England and Wales, 2021 to 2022</w:t>
      </w:r>
      <w:r w:rsidRPr="00945027">
        <w:t xml:space="preserve"> (2022). Available at: </w:t>
      </w:r>
      <w:hyperlink r:id="rId25" w:history="1">
        <w:r w:rsidRPr="004772E5">
          <w:rPr>
            <w:rStyle w:val="Hyperlink"/>
          </w:rPr>
          <w:t>https://www.gov.uk/government/statistics/hate-crime-england-and-wales-2021-to-2022/hate-crime-england-and-wales-2021-to-2022</w:t>
        </w:r>
      </w:hyperlink>
      <w:r>
        <w:t xml:space="preserve"> (Accessed: 7</w:t>
      </w:r>
      <w:r w:rsidRPr="00945027">
        <w:rPr>
          <w:vertAlign w:val="superscript"/>
        </w:rPr>
        <w:t>th</w:t>
      </w:r>
      <w:r>
        <w:t xml:space="preserve"> March 2023)</w:t>
      </w:r>
    </w:p>
    <w:p w14:paraId="64326820" w14:textId="77777777" w:rsidR="003B71D1" w:rsidRDefault="003B71D1" w:rsidP="003B71D1">
      <w:pPr>
        <w:pStyle w:val="ListParagraph"/>
      </w:pPr>
    </w:p>
    <w:p w14:paraId="7CD16CB6" w14:textId="77777777" w:rsidR="003B71D1" w:rsidRDefault="003B71D1" w:rsidP="003B71D1">
      <w:pPr>
        <w:pStyle w:val="ListParagraph"/>
      </w:pPr>
      <w:r w:rsidRPr="00FD01AB">
        <w:rPr>
          <w:i/>
          <w:iCs/>
        </w:rPr>
        <w:t>Hate crime | The Crown Prosecution Service</w:t>
      </w:r>
      <w:r w:rsidRPr="00FD01AB">
        <w:t xml:space="preserve"> (2023). Available at: </w:t>
      </w:r>
      <w:hyperlink r:id="rId26" w:history="1">
        <w:r w:rsidRPr="004772E5">
          <w:rPr>
            <w:rStyle w:val="Hyperlink"/>
          </w:rPr>
          <w:t>https://www.cps.gov.uk/crime-info/hate-crime</w:t>
        </w:r>
      </w:hyperlink>
      <w:r>
        <w:t xml:space="preserve"> (Accessed: 7</w:t>
      </w:r>
      <w:r w:rsidRPr="00FD01AB">
        <w:rPr>
          <w:vertAlign w:val="superscript"/>
        </w:rPr>
        <w:t>th</w:t>
      </w:r>
      <w:r>
        <w:t xml:space="preserve"> March 2023)</w:t>
      </w:r>
    </w:p>
    <w:p w14:paraId="09448133" w14:textId="77777777" w:rsidR="003B71D1" w:rsidRDefault="003B71D1" w:rsidP="003B71D1">
      <w:pPr>
        <w:pStyle w:val="ListParagraph"/>
      </w:pPr>
    </w:p>
    <w:p w14:paraId="241D3767" w14:textId="77777777" w:rsidR="003B71D1" w:rsidRDefault="003B71D1" w:rsidP="003B71D1">
      <w:pPr>
        <w:pStyle w:val="ListParagraph"/>
      </w:pPr>
      <w:r w:rsidRPr="00B3335E">
        <w:t xml:space="preserve">Hinsliff, G. (2022) </w:t>
      </w:r>
      <w:r>
        <w:t>“</w:t>
      </w:r>
      <w:r w:rsidRPr="0000343F">
        <w:rPr>
          <w:i/>
          <w:iCs/>
        </w:rPr>
        <w:t>As the scandals keep coming, distrust of the police has gone mainstream</w:t>
      </w:r>
      <w:r>
        <w:rPr>
          <w:i/>
          <w:iCs/>
        </w:rPr>
        <w:t xml:space="preserve">” </w:t>
      </w:r>
      <w:r w:rsidRPr="00B3335E">
        <w:t xml:space="preserve">Available at: </w:t>
      </w:r>
      <w:hyperlink r:id="rId27" w:history="1">
        <w:r w:rsidRPr="00726F2F">
          <w:rPr>
            <w:rStyle w:val="Hyperlink"/>
          </w:rPr>
          <w:t>https://www.theguardian.com/commentisfree/2022/feb/03/scandals-police-met-partygate-whatsapp-crisis-policing</w:t>
        </w:r>
      </w:hyperlink>
      <w:r>
        <w:t xml:space="preserve"> (Accessed: 20</w:t>
      </w:r>
      <w:r w:rsidRPr="00B3335E">
        <w:rPr>
          <w:vertAlign w:val="superscript"/>
        </w:rPr>
        <w:t>th</w:t>
      </w:r>
      <w:r>
        <w:t xml:space="preserve"> February 2023)</w:t>
      </w:r>
    </w:p>
    <w:p w14:paraId="0FE334E6" w14:textId="77777777" w:rsidR="003B71D1" w:rsidRDefault="003B71D1" w:rsidP="003B71D1">
      <w:pPr>
        <w:pStyle w:val="ListParagraph"/>
      </w:pPr>
    </w:p>
    <w:p w14:paraId="1A71242A" w14:textId="77777777" w:rsidR="003B71D1" w:rsidRDefault="003B71D1" w:rsidP="003B71D1">
      <w:pPr>
        <w:pStyle w:val="ListParagraph"/>
        <w:rPr>
          <w:rStyle w:val="Hyperlink"/>
        </w:rPr>
      </w:pPr>
      <w:r w:rsidRPr="006A5A85">
        <w:lastRenderedPageBreak/>
        <w:t>Holley, C., Mutongwizo, T. and Shearing, C. (2020) “</w:t>
      </w:r>
      <w:r w:rsidRPr="0000343F">
        <w:rPr>
          <w:i/>
          <w:iCs/>
        </w:rPr>
        <w:t>Conceptualizing Policing and Security: New Harmscapes, the Anthropocene, and Technology</w:t>
      </w:r>
      <w:r w:rsidRPr="006A5A85">
        <w:t xml:space="preserve">” Annual Review of Criminology, 3(1), pp. 341–358. Available at: </w:t>
      </w:r>
      <w:hyperlink r:id="rId28" w:history="1">
        <w:r w:rsidRPr="00813C82">
          <w:rPr>
            <w:rStyle w:val="Hyperlink"/>
          </w:rPr>
          <w:t>https://doi.org/10.1146/annurev-criminol-011419-041330</w:t>
        </w:r>
      </w:hyperlink>
    </w:p>
    <w:p w14:paraId="0185131D" w14:textId="77777777" w:rsidR="003B71D1" w:rsidRDefault="003B71D1" w:rsidP="003B71D1">
      <w:pPr>
        <w:pStyle w:val="ListParagraph"/>
        <w:rPr>
          <w:rStyle w:val="Hyperlink"/>
        </w:rPr>
      </w:pPr>
    </w:p>
    <w:p w14:paraId="693AE752" w14:textId="77777777" w:rsidR="003B71D1" w:rsidRDefault="003B71D1" w:rsidP="003B71D1">
      <w:pPr>
        <w:pStyle w:val="ListParagraph"/>
      </w:pPr>
      <w:r>
        <w:t xml:space="preserve">Home Office (2018) </w:t>
      </w:r>
      <w:r w:rsidRPr="00D83596">
        <w:rPr>
          <w:i/>
          <w:iCs/>
        </w:rPr>
        <w:t>Victims Strategy</w:t>
      </w:r>
      <w:r>
        <w:t xml:space="preserve">. London: Her Majesty’s Stationary Office. Available at: </w:t>
      </w:r>
      <w:r w:rsidRPr="0000343F">
        <w:rPr>
          <w:u w:val="single"/>
        </w:rPr>
        <w:t>https://assets.publishing.service.gov.uk/government/uploads/system/uploads/attachment_data/file/746930/victim-strategy.pdf</w:t>
      </w:r>
      <w:r>
        <w:t xml:space="preserve"> (Accessed: 6</w:t>
      </w:r>
      <w:r w:rsidRPr="00D83596">
        <w:rPr>
          <w:vertAlign w:val="superscript"/>
        </w:rPr>
        <w:t>th</w:t>
      </w:r>
      <w:r>
        <w:t xml:space="preserve"> March 2023)</w:t>
      </w:r>
    </w:p>
    <w:p w14:paraId="13C91FF1" w14:textId="77777777" w:rsidR="003B71D1" w:rsidRDefault="003B71D1" w:rsidP="003B71D1">
      <w:pPr>
        <w:pStyle w:val="ListParagraph"/>
      </w:pPr>
    </w:p>
    <w:p w14:paraId="25DB15C0" w14:textId="77777777" w:rsidR="003B71D1" w:rsidRDefault="003B71D1" w:rsidP="003B71D1">
      <w:pPr>
        <w:pStyle w:val="ListParagraph"/>
      </w:pPr>
      <w:r w:rsidRPr="001516A5">
        <w:t xml:space="preserve">Julia A. Malia (2006) </w:t>
      </w:r>
      <w:r>
        <w:t>“</w:t>
      </w:r>
      <w:r w:rsidRPr="001114BD">
        <w:rPr>
          <w:i/>
          <w:iCs/>
        </w:rPr>
        <w:t>Basic Concepts and Models of Family Stress, Stress, Trauma, and Crisis</w:t>
      </w:r>
      <w:r>
        <w:t>”</w:t>
      </w:r>
      <w:r w:rsidRPr="001516A5">
        <w:t xml:space="preserve"> 9:3-4, 141-160, DOI: 10.1080/15434610600853717</w:t>
      </w:r>
    </w:p>
    <w:p w14:paraId="60DE3F3D" w14:textId="77777777" w:rsidR="003B71D1" w:rsidRDefault="003B71D1" w:rsidP="003B71D1">
      <w:pPr>
        <w:pStyle w:val="ListParagraph"/>
      </w:pPr>
    </w:p>
    <w:p w14:paraId="492CF4DB" w14:textId="77777777" w:rsidR="003B71D1" w:rsidRDefault="003B71D1" w:rsidP="003B71D1">
      <w:pPr>
        <w:pStyle w:val="ListParagraph"/>
      </w:pPr>
      <w:r w:rsidRPr="000D38F1">
        <w:t xml:space="preserve">Mann, B. (2021) </w:t>
      </w:r>
      <w:r>
        <w:t>“</w:t>
      </w:r>
      <w:r w:rsidRPr="000D38F1">
        <w:rPr>
          <w:i/>
          <w:iCs/>
        </w:rPr>
        <w:t>More Britons now unconfident than confident in the police to deal with crime locally</w:t>
      </w:r>
      <w:r>
        <w:t>”</w:t>
      </w:r>
      <w:r w:rsidRPr="000D38F1">
        <w:t xml:space="preserve"> Available at: </w:t>
      </w:r>
      <w:hyperlink r:id="rId29" w:history="1">
        <w:r w:rsidRPr="00726F2F">
          <w:rPr>
            <w:rStyle w:val="Hyperlink"/>
          </w:rPr>
          <w:t>https://yougov.co.uk/topics/politics/articles-reports/2021/10/06/more-britons-now-unconfident-confident-police-deal</w:t>
        </w:r>
      </w:hyperlink>
      <w:r>
        <w:t xml:space="preserve"> (Accessed: 20</w:t>
      </w:r>
      <w:r w:rsidRPr="000D38F1">
        <w:rPr>
          <w:vertAlign w:val="superscript"/>
        </w:rPr>
        <w:t>th</w:t>
      </w:r>
      <w:r>
        <w:t xml:space="preserve"> February 2023)</w:t>
      </w:r>
    </w:p>
    <w:p w14:paraId="5CBA4C66" w14:textId="77777777" w:rsidR="003B71D1" w:rsidRDefault="003B71D1" w:rsidP="003B71D1">
      <w:pPr>
        <w:pStyle w:val="ListParagraph"/>
      </w:pPr>
    </w:p>
    <w:p w14:paraId="7211D2E6" w14:textId="77777777" w:rsidR="003B71D1" w:rsidRDefault="003B71D1" w:rsidP="003B71D1">
      <w:pPr>
        <w:pStyle w:val="ListParagraph"/>
      </w:pPr>
      <w:r w:rsidRPr="00E50CA4">
        <w:t>Mutongwizo, T. et al. (2019) “</w:t>
      </w:r>
      <w:r w:rsidRPr="001114BD">
        <w:rPr>
          <w:i/>
          <w:iCs/>
        </w:rPr>
        <w:t>Resilience Policing: An Emerging Response to Shifting Harm Landscapes and Reshaping Community Policing</w:t>
      </w:r>
      <w:r w:rsidRPr="00E50CA4">
        <w:t xml:space="preserve">” Policing: A Journal of Policy and Practice, 15(1), pp. 606–621. Available at: </w:t>
      </w:r>
      <w:hyperlink r:id="rId30" w:history="1">
        <w:r w:rsidRPr="00C00FC5">
          <w:rPr>
            <w:rStyle w:val="Hyperlink"/>
          </w:rPr>
          <w:t>https://doi.org/10.1093/police/paz033</w:t>
        </w:r>
      </w:hyperlink>
      <w:r>
        <w:t xml:space="preserve"> (Accessed: 11 January 2023)</w:t>
      </w:r>
    </w:p>
    <w:p w14:paraId="30D4A656" w14:textId="77777777" w:rsidR="003B71D1" w:rsidRDefault="003B71D1" w:rsidP="003B71D1">
      <w:pPr>
        <w:pStyle w:val="ListParagraph"/>
      </w:pPr>
    </w:p>
    <w:p w14:paraId="68FDF08E" w14:textId="77777777" w:rsidR="003B71D1" w:rsidRDefault="003B71D1" w:rsidP="003B71D1">
      <w:pPr>
        <w:pStyle w:val="ListParagraph"/>
      </w:pPr>
      <w:r w:rsidRPr="00C0264E">
        <w:rPr>
          <w:i/>
          <w:iCs/>
        </w:rPr>
        <w:t>Offences against the Person Act 1861</w:t>
      </w:r>
      <w:r w:rsidRPr="00C0264E">
        <w:t xml:space="preserve">. Available at: </w:t>
      </w:r>
      <w:hyperlink r:id="rId31" w:history="1">
        <w:r w:rsidRPr="00F55FBA">
          <w:rPr>
            <w:rStyle w:val="Hyperlink"/>
          </w:rPr>
          <w:t>https://www.legislation.gov.uk/ukpga/Vict/24-25/100/section/16</w:t>
        </w:r>
      </w:hyperlink>
      <w:r w:rsidRPr="00C0264E">
        <w:t>.</w:t>
      </w:r>
      <w:r>
        <w:t xml:space="preserve"> (Accessed: 12</w:t>
      </w:r>
      <w:r w:rsidRPr="00C0264E">
        <w:rPr>
          <w:vertAlign w:val="superscript"/>
        </w:rPr>
        <w:t>th</w:t>
      </w:r>
      <w:r>
        <w:t xml:space="preserve"> March 2023.</w:t>
      </w:r>
    </w:p>
    <w:p w14:paraId="71026414" w14:textId="77777777" w:rsidR="003B71D1" w:rsidRDefault="003B71D1" w:rsidP="003B71D1">
      <w:pPr>
        <w:pStyle w:val="ListParagraph"/>
      </w:pPr>
    </w:p>
    <w:p w14:paraId="03C65412" w14:textId="77777777" w:rsidR="003B71D1" w:rsidRDefault="003B71D1" w:rsidP="003B71D1">
      <w:pPr>
        <w:pStyle w:val="ListParagraph"/>
        <w:rPr>
          <w:rStyle w:val="Hyperlink"/>
        </w:rPr>
      </w:pPr>
      <w:r w:rsidRPr="00A56BB3">
        <w:t>Pearlin, L.I. et al. (1981) “</w:t>
      </w:r>
      <w:r w:rsidRPr="00A56BB3">
        <w:rPr>
          <w:i/>
          <w:iCs/>
        </w:rPr>
        <w:t>The Stress Process</w:t>
      </w:r>
      <w:r w:rsidRPr="00A56BB3">
        <w:t xml:space="preserve">” Journal of Health and Social Behaviour, 22(4), p. 337. Available at: </w:t>
      </w:r>
      <w:hyperlink r:id="rId32" w:history="1">
        <w:r w:rsidRPr="00E01BA0">
          <w:rPr>
            <w:rStyle w:val="Hyperlink"/>
          </w:rPr>
          <w:t>https://doi.org/10.2307/2136676</w:t>
        </w:r>
      </w:hyperlink>
    </w:p>
    <w:p w14:paraId="6A93F34E" w14:textId="77777777" w:rsidR="003B71D1" w:rsidRDefault="003B71D1" w:rsidP="003B71D1">
      <w:pPr>
        <w:pStyle w:val="ListParagraph"/>
      </w:pPr>
    </w:p>
    <w:p w14:paraId="48E9DD17" w14:textId="77777777" w:rsidR="003B71D1" w:rsidRDefault="003B71D1" w:rsidP="003B71D1">
      <w:pPr>
        <w:pStyle w:val="ListParagraph"/>
      </w:pPr>
      <w:r w:rsidRPr="00A43F8F">
        <w:rPr>
          <w:i/>
          <w:iCs/>
        </w:rPr>
        <w:t>Police and Criminal Evidence Act 1984</w:t>
      </w:r>
      <w:r w:rsidRPr="00A43F8F">
        <w:t xml:space="preserve">. Available at: </w:t>
      </w:r>
      <w:hyperlink r:id="rId33" w:history="1">
        <w:r w:rsidRPr="00D80FDF">
          <w:rPr>
            <w:rStyle w:val="Hyperlink"/>
          </w:rPr>
          <w:t>https://www.legislation.gov.uk</w:t>
        </w:r>
      </w:hyperlink>
      <w:r>
        <w:t xml:space="preserve"> (Accessed: 19</w:t>
      </w:r>
      <w:r w:rsidRPr="00A43F8F">
        <w:rPr>
          <w:vertAlign w:val="superscript"/>
        </w:rPr>
        <w:t>th</w:t>
      </w:r>
      <w:r>
        <w:t xml:space="preserve"> February 2023)</w:t>
      </w:r>
    </w:p>
    <w:p w14:paraId="4ED38875" w14:textId="77777777" w:rsidR="003B71D1" w:rsidRDefault="003B71D1" w:rsidP="003B71D1">
      <w:pPr>
        <w:pStyle w:val="ListParagraph"/>
      </w:pPr>
    </w:p>
    <w:p w14:paraId="2426C6D3" w14:textId="77777777" w:rsidR="003B71D1" w:rsidRDefault="003B71D1" w:rsidP="003B71D1">
      <w:pPr>
        <w:pStyle w:val="ListParagraph"/>
      </w:pPr>
      <w:r w:rsidRPr="004E0966">
        <w:rPr>
          <w:i/>
          <w:iCs/>
        </w:rPr>
        <w:t>Police powers and procedures: Stop and search and arrests, England and Wales, year ending 31 March 2022</w:t>
      </w:r>
      <w:r w:rsidRPr="004E0966">
        <w:t xml:space="preserve"> (2022). Available at: </w:t>
      </w:r>
      <w:hyperlink r:id="rId34" w:history="1">
        <w:r w:rsidRPr="00D80FDF">
          <w:rPr>
            <w:rStyle w:val="Hyperlink"/>
          </w:rPr>
          <w:t>https://www.gov.uk/government/statistics/police-powers-and-procedures-stop-and-search-and-arrests-england-and-wales-year-ending-31-march-2022/police-powers-and-procedures-stop-and-search-and-arrests-england-and-wales-year-ending-31-march-2022</w:t>
        </w:r>
      </w:hyperlink>
      <w:r>
        <w:t xml:space="preserve"> (Accessed: 19</w:t>
      </w:r>
      <w:r w:rsidRPr="004E0966">
        <w:rPr>
          <w:vertAlign w:val="superscript"/>
        </w:rPr>
        <w:t>th</w:t>
      </w:r>
      <w:r>
        <w:t xml:space="preserve"> February 2023)</w:t>
      </w:r>
    </w:p>
    <w:p w14:paraId="7EA649B7" w14:textId="77777777" w:rsidR="003B71D1" w:rsidRDefault="003B71D1" w:rsidP="003B71D1">
      <w:pPr>
        <w:pStyle w:val="ListParagraph"/>
      </w:pPr>
    </w:p>
    <w:p w14:paraId="4C66F31B" w14:textId="77777777" w:rsidR="003B71D1" w:rsidRDefault="003B71D1" w:rsidP="003B71D1">
      <w:pPr>
        <w:pStyle w:val="ListParagraph"/>
        <w:rPr>
          <w:rStyle w:val="Hyperlink"/>
        </w:rPr>
      </w:pPr>
      <w:r w:rsidRPr="00A56BB3">
        <w:t>Porter, A. and Goolkasian, P. (2019) “</w:t>
      </w:r>
      <w:r w:rsidRPr="00A56BB3">
        <w:rPr>
          <w:i/>
          <w:iCs/>
        </w:rPr>
        <w:t>Video Games and Stress: How Stress Appraisals and Game Content Affect Cardiovascular and Emotion Outcomes</w:t>
      </w:r>
      <w:r w:rsidRPr="00A56BB3">
        <w:t xml:space="preserve">” Frontiers in Psychology, 10. Available at: </w:t>
      </w:r>
      <w:hyperlink r:id="rId35" w:history="1">
        <w:r w:rsidRPr="00E01BA0">
          <w:rPr>
            <w:rStyle w:val="Hyperlink"/>
          </w:rPr>
          <w:t>https://doi.org/10.3389/fpsyg.2019.00967</w:t>
        </w:r>
      </w:hyperlink>
    </w:p>
    <w:p w14:paraId="248935F1" w14:textId="77777777" w:rsidR="003B71D1" w:rsidRDefault="003B71D1" w:rsidP="003B71D1">
      <w:pPr>
        <w:pStyle w:val="ListParagraph"/>
      </w:pPr>
    </w:p>
    <w:p w14:paraId="3EE71DF1" w14:textId="77777777" w:rsidR="003B71D1" w:rsidRDefault="003B71D1" w:rsidP="003B71D1">
      <w:pPr>
        <w:pStyle w:val="ListParagraph"/>
      </w:pPr>
      <w:r w:rsidRPr="00274BAF">
        <w:t>Reith, C. (1956) “</w:t>
      </w:r>
      <w:r w:rsidRPr="005A3C61">
        <w:rPr>
          <w:i/>
          <w:iCs/>
        </w:rPr>
        <w:t>A new study of police history</w:t>
      </w:r>
      <w:r w:rsidRPr="00274BAF">
        <w:t xml:space="preserve">” Oliver and Boyd eBooks [Preprint]. Available at: https://ci.nii.ac.jp/ncid/BA10572558 </w:t>
      </w:r>
    </w:p>
    <w:p w14:paraId="437473A7" w14:textId="77777777" w:rsidR="003B71D1" w:rsidRPr="005A3C61" w:rsidRDefault="003B71D1" w:rsidP="003B71D1">
      <w:pPr>
        <w:pStyle w:val="ListParagraph"/>
        <w:rPr>
          <w:color w:val="FF0000"/>
        </w:rPr>
      </w:pPr>
    </w:p>
    <w:p w14:paraId="6585A3FC" w14:textId="77777777" w:rsidR="003B71D1" w:rsidRDefault="003B71D1" w:rsidP="003B71D1">
      <w:pPr>
        <w:pStyle w:val="ListParagraph"/>
      </w:pPr>
      <w:r w:rsidRPr="005A3C61">
        <w:rPr>
          <w:i/>
          <w:iCs/>
        </w:rPr>
        <w:t>Resilience noun - Definition</w:t>
      </w:r>
      <w:r w:rsidRPr="0067094D">
        <w:t xml:space="preserve">, pictures, pronunciation and usage notes | Oxford Advanced Learner’s Dictionary at OxfordLearnersDictionaries.com (no date). Available at: </w:t>
      </w:r>
      <w:hyperlink r:id="rId36" w:history="1">
        <w:r w:rsidRPr="00C00FC5">
          <w:rPr>
            <w:rStyle w:val="Hyperlink"/>
          </w:rPr>
          <w:t>https://www.oxfordlearnersdictionaries.com/definition/english/resilience</w:t>
        </w:r>
      </w:hyperlink>
      <w:r>
        <w:t xml:space="preserve"> (Accessed: 11 January 2023)</w:t>
      </w:r>
    </w:p>
    <w:p w14:paraId="52F0DDFA" w14:textId="77777777" w:rsidR="003B71D1" w:rsidRDefault="003B71D1" w:rsidP="003B71D1">
      <w:pPr>
        <w:pStyle w:val="ListParagraph"/>
      </w:pPr>
    </w:p>
    <w:p w14:paraId="7D809B14" w14:textId="77777777" w:rsidR="003B71D1" w:rsidRDefault="003B71D1" w:rsidP="003B71D1">
      <w:pPr>
        <w:pStyle w:val="ListParagraph"/>
        <w:rPr>
          <w:rStyle w:val="Hyperlink"/>
        </w:rPr>
      </w:pPr>
      <w:r w:rsidRPr="008A2BC8">
        <w:t>Rueggeberg, R., Wrosch, C. and Miller, G.E. (2012) “</w:t>
      </w:r>
      <w:r w:rsidRPr="005A3C61">
        <w:rPr>
          <w:i/>
          <w:iCs/>
        </w:rPr>
        <w:t>The different roles of perceived stress in the association between older adults’ physical activity and physical health</w:t>
      </w:r>
      <w:r w:rsidRPr="008A2BC8">
        <w:t xml:space="preserve">” Health Psychology, 31(2), pp. 164–171. Available at: </w:t>
      </w:r>
      <w:hyperlink r:id="rId37" w:history="1">
        <w:r w:rsidRPr="00C87993">
          <w:rPr>
            <w:rStyle w:val="Hyperlink"/>
          </w:rPr>
          <w:t>https://doi.org/10.1037/a0025242</w:t>
        </w:r>
      </w:hyperlink>
    </w:p>
    <w:p w14:paraId="49CA579C" w14:textId="77777777" w:rsidR="003B71D1" w:rsidRPr="005A3C61" w:rsidRDefault="003B71D1" w:rsidP="003B71D1">
      <w:pPr>
        <w:pStyle w:val="ListParagraph"/>
        <w:rPr>
          <w:rStyle w:val="Hyperlink"/>
          <w:color w:val="auto"/>
        </w:rPr>
      </w:pPr>
    </w:p>
    <w:p w14:paraId="728FD38F" w14:textId="77777777" w:rsidR="003B71D1" w:rsidRDefault="003B71D1" w:rsidP="003B71D1">
      <w:pPr>
        <w:pStyle w:val="ListParagraph"/>
      </w:pPr>
      <w:r w:rsidRPr="008F2A8E">
        <w:rPr>
          <w:i/>
          <w:iCs/>
        </w:rPr>
        <w:t>Stress - Every Mind Matters</w:t>
      </w:r>
      <w:r w:rsidRPr="002302C4">
        <w:t xml:space="preserve"> (2022). Available at: </w:t>
      </w:r>
      <w:hyperlink r:id="rId38" w:history="1">
        <w:r w:rsidRPr="001C0F32">
          <w:rPr>
            <w:rStyle w:val="Hyperlink"/>
          </w:rPr>
          <w:t>https://www.nhs.uk/every-mind-matters/mental-health-issues/stress/</w:t>
        </w:r>
      </w:hyperlink>
      <w:r>
        <w:t xml:space="preserve"> </w:t>
      </w:r>
      <w:r w:rsidRPr="008F2A8E">
        <w:t xml:space="preserve">(Accessed: </w:t>
      </w:r>
      <w:r>
        <w:t>11 January 2023</w:t>
      </w:r>
      <w:r w:rsidRPr="008F2A8E">
        <w:t>)</w:t>
      </w:r>
    </w:p>
    <w:p w14:paraId="12B417A1" w14:textId="77777777" w:rsidR="003B71D1" w:rsidRDefault="003B71D1" w:rsidP="003B71D1">
      <w:pPr>
        <w:pStyle w:val="ListParagraph"/>
      </w:pPr>
    </w:p>
    <w:p w14:paraId="21FB2693" w14:textId="77777777" w:rsidR="003B71D1" w:rsidRDefault="003B71D1" w:rsidP="003B71D1">
      <w:pPr>
        <w:pStyle w:val="ListParagraph"/>
      </w:pPr>
      <w:r w:rsidRPr="000871FC">
        <w:t>Swink, D. (2010) “</w:t>
      </w:r>
      <w:r w:rsidRPr="000871FC">
        <w:rPr>
          <w:i/>
          <w:iCs/>
        </w:rPr>
        <w:t>Adrenaline Rushes: Can They Help Us Deal with a Real Crisis?”</w:t>
      </w:r>
      <w:r w:rsidRPr="000871FC">
        <w:t xml:space="preserve"> Psychology Today, 31 January. Available at: https://www.psychologytoday.com/us/blog/threat-management/201001/adrenaline-rushes-can-they-help-us-deal-real-crisis (Accessed: 19</w:t>
      </w:r>
      <w:r w:rsidRPr="004E0966">
        <w:rPr>
          <w:vertAlign w:val="superscript"/>
        </w:rPr>
        <w:t>th</w:t>
      </w:r>
      <w:r>
        <w:t xml:space="preserve"> February</w:t>
      </w:r>
      <w:r w:rsidRPr="000871FC">
        <w:t xml:space="preserve"> 2023)</w:t>
      </w:r>
    </w:p>
    <w:p w14:paraId="3B0399E3" w14:textId="77777777" w:rsidR="003B71D1" w:rsidRDefault="003B71D1" w:rsidP="003B71D1">
      <w:pPr>
        <w:pStyle w:val="ListParagraph"/>
      </w:pPr>
    </w:p>
    <w:p w14:paraId="1433740E" w14:textId="77777777" w:rsidR="003B71D1" w:rsidRDefault="003B71D1" w:rsidP="003B71D1">
      <w:pPr>
        <w:pStyle w:val="ListParagraph"/>
      </w:pPr>
      <w:r w:rsidRPr="00AA6334">
        <w:t>Taylor, E. (2016) “</w:t>
      </w:r>
      <w:r w:rsidRPr="00AA6334">
        <w:rPr>
          <w:i/>
          <w:iCs/>
        </w:rPr>
        <w:t>Lights, Camera, Redaction… Police Body-Worn Cameras; Autonomy, Discretion and Accountability</w:t>
      </w:r>
      <w:r w:rsidRPr="00AA6334">
        <w:t>,” Surveillance and Society, 14(1), pp. 128–132</w:t>
      </w:r>
    </w:p>
    <w:p w14:paraId="14F807B8" w14:textId="77777777" w:rsidR="003B71D1" w:rsidRDefault="003B71D1" w:rsidP="003B71D1">
      <w:pPr>
        <w:pStyle w:val="ListParagraph"/>
      </w:pPr>
    </w:p>
    <w:p w14:paraId="0A4CCE07" w14:textId="77777777" w:rsidR="003B71D1" w:rsidRDefault="003B71D1" w:rsidP="003B71D1">
      <w:pPr>
        <w:pStyle w:val="ListParagraph"/>
      </w:pPr>
      <w:r w:rsidRPr="00651E42">
        <w:t>Triberti, S. (2016) “</w:t>
      </w:r>
      <w:r w:rsidRPr="005A3C61">
        <w:rPr>
          <w:i/>
          <w:iCs/>
        </w:rPr>
        <w:t>This Drives Me Nuts!”</w:t>
      </w:r>
      <w:r w:rsidRPr="00651E42">
        <w:t xml:space="preserve"> Integrating Technology in Positive Psychology Practice, pp. 266–289</w:t>
      </w:r>
    </w:p>
    <w:p w14:paraId="3F888E27" w14:textId="77777777" w:rsidR="003B71D1" w:rsidRDefault="003B71D1" w:rsidP="003B71D1">
      <w:pPr>
        <w:pStyle w:val="ListParagraph"/>
      </w:pPr>
    </w:p>
    <w:p w14:paraId="74C23D11" w14:textId="77777777" w:rsidR="003B71D1" w:rsidRDefault="003B71D1" w:rsidP="003B71D1">
      <w:pPr>
        <w:pStyle w:val="ListParagraph"/>
      </w:pPr>
      <w:r w:rsidRPr="00794DF0">
        <w:rPr>
          <w:i/>
          <w:iCs/>
        </w:rPr>
        <w:lastRenderedPageBreak/>
        <w:t>Understanding football violence could help the fight against terror</w:t>
      </w:r>
      <w:r w:rsidRPr="00794DF0">
        <w:t xml:space="preserve"> (2017). Available at: </w:t>
      </w:r>
      <w:hyperlink r:id="rId39" w:history="1">
        <w:r w:rsidRPr="00726F2F">
          <w:rPr>
            <w:rStyle w:val="Hyperlink"/>
          </w:rPr>
          <w:t>https://www.ox.ac.uk/news/2017-09-26-understanding-football-violence-could-help-fight-against-terror</w:t>
        </w:r>
      </w:hyperlink>
      <w:r>
        <w:t xml:space="preserve"> (Accessed: 20</w:t>
      </w:r>
      <w:r w:rsidRPr="00794DF0">
        <w:rPr>
          <w:vertAlign w:val="superscript"/>
        </w:rPr>
        <w:t>th</w:t>
      </w:r>
      <w:r>
        <w:t xml:space="preserve"> February 2023)</w:t>
      </w:r>
    </w:p>
    <w:p w14:paraId="5AAD9947" w14:textId="77777777" w:rsidR="003B71D1" w:rsidRDefault="003B71D1" w:rsidP="003B71D1">
      <w:pPr>
        <w:pStyle w:val="ListParagraph"/>
      </w:pPr>
    </w:p>
    <w:p w14:paraId="50DE2C68" w14:textId="77777777" w:rsidR="003B71D1" w:rsidRDefault="003B71D1" w:rsidP="003B71D1">
      <w:pPr>
        <w:pStyle w:val="ListParagraph"/>
      </w:pPr>
      <w:r w:rsidRPr="00B41227">
        <w:rPr>
          <w:i/>
          <w:iCs/>
        </w:rPr>
        <w:t>Why has there been a rise in hate crimes in the past two years?</w:t>
      </w:r>
      <w:r w:rsidRPr="00B41227">
        <w:t xml:space="preserve"> (no date). Available at: </w:t>
      </w:r>
      <w:hyperlink r:id="rId40" w:history="1">
        <w:r w:rsidRPr="004772E5">
          <w:rPr>
            <w:rStyle w:val="Hyperlink"/>
          </w:rPr>
          <w:t>https://www.crimeandinvestigation.co.uk/articles/why-has-there-been-rise-hate-crimes-past-two-years</w:t>
        </w:r>
      </w:hyperlink>
      <w:r>
        <w:t xml:space="preserve"> (Accessed: 7</w:t>
      </w:r>
      <w:r w:rsidRPr="00B41227">
        <w:rPr>
          <w:vertAlign w:val="superscript"/>
        </w:rPr>
        <w:t>th</w:t>
      </w:r>
      <w:r>
        <w:t xml:space="preserve"> March 2023)</w:t>
      </w:r>
    </w:p>
    <w:p w14:paraId="765A7608" w14:textId="77777777" w:rsidR="003B71D1" w:rsidRDefault="003B71D1" w:rsidP="003B71D1">
      <w:pPr>
        <w:pStyle w:val="ListParagraph"/>
      </w:pPr>
    </w:p>
    <w:p w14:paraId="076F1276" w14:textId="77777777" w:rsidR="003B71D1" w:rsidRDefault="003B71D1" w:rsidP="003B71D1">
      <w:pPr>
        <w:pStyle w:val="ListParagraph"/>
        <w:rPr>
          <w:rStyle w:val="Hyperlink"/>
        </w:rPr>
      </w:pPr>
      <w:r w:rsidRPr="005036A2">
        <w:t>Williams, M.L. and Tregidga, J. (2014) “</w:t>
      </w:r>
      <w:r w:rsidRPr="005036A2">
        <w:rPr>
          <w:i/>
          <w:iCs/>
        </w:rPr>
        <w:t>Hate Crime Victimization in Wales</w:t>
      </w:r>
      <w:r w:rsidRPr="005036A2">
        <w:t xml:space="preserve">,” British Journal of Criminology, 54(5), pp. 946–967. Available at: </w:t>
      </w:r>
      <w:hyperlink r:id="rId41" w:history="1">
        <w:r w:rsidRPr="004772E5">
          <w:rPr>
            <w:rStyle w:val="Hyperlink"/>
          </w:rPr>
          <w:t>https://doi.org/10.1093/bjc/azu043</w:t>
        </w:r>
      </w:hyperlink>
    </w:p>
    <w:p w14:paraId="4B23EE97" w14:textId="77777777" w:rsidR="003B71D1" w:rsidRPr="0010229E" w:rsidRDefault="003B71D1" w:rsidP="003B71D1">
      <w:pPr>
        <w:pStyle w:val="ListParagraph"/>
        <w:rPr>
          <w:rStyle w:val="Hyperlink"/>
          <w:color w:val="auto"/>
        </w:rPr>
      </w:pPr>
    </w:p>
    <w:p w14:paraId="3C84F9C3" w14:textId="77777777" w:rsidR="003B71D1" w:rsidRDefault="003B71D1" w:rsidP="003B71D1">
      <w:pPr>
        <w:pStyle w:val="ListParagraph"/>
      </w:pPr>
      <w:r w:rsidRPr="00DE6B47">
        <w:rPr>
          <w:i/>
          <w:iCs/>
        </w:rPr>
        <w:t>Youth Justice and Criminal Evidence Act 1999. Part II</w:t>
      </w:r>
      <w:r>
        <w:t xml:space="preserve">. Available at: </w:t>
      </w:r>
      <w:r w:rsidRPr="0010229E">
        <w:rPr>
          <w:u w:val="single"/>
        </w:rPr>
        <w:t>https://www.legislation.gov.uk/ukpga/1999/23/contents</w:t>
      </w:r>
      <w:r>
        <w:t xml:space="preserve"> (Accessed: 6</w:t>
      </w:r>
      <w:r w:rsidRPr="00DE6B47">
        <w:rPr>
          <w:vertAlign w:val="superscript"/>
        </w:rPr>
        <w:t>th</w:t>
      </w:r>
      <w:r>
        <w:t xml:space="preserve"> March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0BB3E" w14:textId="77777777" w:rsidR="00983D30" w:rsidRDefault="00983D30">
      <w:r>
        <w:separator/>
      </w:r>
    </w:p>
  </w:endnote>
  <w:endnote w:type="continuationSeparator" w:id="0">
    <w:p w14:paraId="0F28D501" w14:textId="77777777" w:rsidR="00983D30" w:rsidRDefault="00983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65390" w14:textId="77777777" w:rsidR="00983D30" w:rsidRDefault="00983D30">
      <w:r>
        <w:separator/>
      </w:r>
    </w:p>
  </w:footnote>
  <w:footnote w:type="continuationSeparator" w:id="0">
    <w:p w14:paraId="52DA9F37" w14:textId="77777777" w:rsidR="00983D30" w:rsidRDefault="00983D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5270021">
    <w:abstractNumId w:val="38"/>
  </w:num>
  <w:num w:numId="2" w16cid:durableId="98063764">
    <w:abstractNumId w:val="31"/>
  </w:num>
  <w:num w:numId="3" w16cid:durableId="2076733031">
    <w:abstractNumId w:val="23"/>
  </w:num>
  <w:num w:numId="4" w16cid:durableId="221916413">
    <w:abstractNumId w:val="1"/>
    <w:lvlOverride w:ilvl="0">
      <w:lvl w:ilvl="0">
        <w:start w:val="1"/>
        <w:numFmt w:val="bullet"/>
        <w:lvlText w:val=""/>
        <w:lvlJc w:val="left"/>
        <w:pPr>
          <w:ind w:left="720" w:hanging="360"/>
        </w:pPr>
        <w:rPr>
          <w:rFonts w:ascii="Symbol" w:hAnsi="Symbol" w:hint="default"/>
        </w:rPr>
      </w:lvl>
    </w:lvlOverride>
  </w:num>
  <w:num w:numId="5" w16cid:durableId="1583876688">
    <w:abstractNumId w:val="21"/>
  </w:num>
  <w:num w:numId="6" w16cid:durableId="1324577677">
    <w:abstractNumId w:val="45"/>
  </w:num>
  <w:num w:numId="7" w16cid:durableId="1935743585">
    <w:abstractNumId w:val="47"/>
  </w:num>
  <w:num w:numId="8" w16cid:durableId="527135789">
    <w:abstractNumId w:val="34"/>
  </w:num>
  <w:num w:numId="9" w16cid:durableId="1551576663">
    <w:abstractNumId w:val="32"/>
  </w:num>
  <w:num w:numId="10" w16cid:durableId="1499928309">
    <w:abstractNumId w:val="28"/>
  </w:num>
  <w:num w:numId="11" w16cid:durableId="15229394">
    <w:abstractNumId w:val="29"/>
  </w:num>
  <w:num w:numId="12" w16cid:durableId="626543111">
    <w:abstractNumId w:val="9"/>
  </w:num>
  <w:num w:numId="13" w16cid:durableId="1485315521">
    <w:abstractNumId w:val="33"/>
  </w:num>
  <w:num w:numId="14" w16cid:durableId="1028876724">
    <w:abstractNumId w:val="16"/>
  </w:num>
  <w:num w:numId="15" w16cid:durableId="1326085566">
    <w:abstractNumId w:val="15"/>
  </w:num>
  <w:num w:numId="16" w16cid:durableId="1204612">
    <w:abstractNumId w:val="26"/>
  </w:num>
  <w:num w:numId="17" w16cid:durableId="676689216">
    <w:abstractNumId w:val="7"/>
  </w:num>
  <w:num w:numId="18" w16cid:durableId="1624074439">
    <w:abstractNumId w:val="25"/>
  </w:num>
  <w:num w:numId="19" w16cid:durableId="584532529">
    <w:abstractNumId w:val="14"/>
  </w:num>
  <w:num w:numId="20" w16cid:durableId="259724203">
    <w:abstractNumId w:val="12"/>
  </w:num>
  <w:num w:numId="21" w16cid:durableId="209755574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6274306">
    <w:abstractNumId w:val="22"/>
  </w:num>
  <w:num w:numId="23" w16cid:durableId="1863934354">
    <w:abstractNumId w:val="17"/>
  </w:num>
  <w:num w:numId="24" w16cid:durableId="1515342292">
    <w:abstractNumId w:val="13"/>
  </w:num>
  <w:num w:numId="25" w16cid:durableId="286930786">
    <w:abstractNumId w:val="10"/>
  </w:num>
  <w:num w:numId="26" w16cid:durableId="1088387183">
    <w:abstractNumId w:val="27"/>
  </w:num>
  <w:num w:numId="27" w16cid:durableId="1286932100">
    <w:abstractNumId w:val="18"/>
  </w:num>
  <w:num w:numId="28" w16cid:durableId="330916643">
    <w:abstractNumId w:val="41"/>
  </w:num>
  <w:num w:numId="29" w16cid:durableId="1477843586">
    <w:abstractNumId w:val="35"/>
  </w:num>
  <w:num w:numId="30" w16cid:durableId="1034425784">
    <w:abstractNumId w:val="40"/>
  </w:num>
  <w:num w:numId="31" w16cid:durableId="851185003">
    <w:abstractNumId w:val="19"/>
  </w:num>
  <w:num w:numId="32" w16cid:durableId="1741488634">
    <w:abstractNumId w:val="43"/>
  </w:num>
  <w:num w:numId="33" w16cid:durableId="2092266334">
    <w:abstractNumId w:val="30"/>
  </w:num>
  <w:num w:numId="34" w16cid:durableId="1535074624">
    <w:abstractNumId w:val="11"/>
  </w:num>
  <w:num w:numId="35" w16cid:durableId="524171138">
    <w:abstractNumId w:val="44"/>
  </w:num>
  <w:num w:numId="36" w16cid:durableId="1694644516">
    <w:abstractNumId w:val="39"/>
  </w:num>
  <w:num w:numId="37" w16cid:durableId="910117029">
    <w:abstractNumId w:val="4"/>
  </w:num>
  <w:num w:numId="38" w16cid:durableId="381367137">
    <w:abstractNumId w:val="46"/>
  </w:num>
  <w:num w:numId="39" w16cid:durableId="2100174919">
    <w:abstractNumId w:val="42"/>
  </w:num>
  <w:num w:numId="40" w16cid:durableId="1372801070">
    <w:abstractNumId w:val="36"/>
  </w:num>
  <w:num w:numId="41" w16cid:durableId="1492018979">
    <w:abstractNumId w:val="37"/>
  </w:num>
  <w:num w:numId="42" w16cid:durableId="1668240623">
    <w:abstractNumId w:val="3"/>
  </w:num>
  <w:num w:numId="43" w16cid:durableId="1685861690">
    <w:abstractNumId w:val="5"/>
  </w:num>
  <w:num w:numId="44" w16cid:durableId="2000380516">
    <w:abstractNumId w:val="24"/>
  </w:num>
  <w:num w:numId="45" w16cid:durableId="1328509929">
    <w:abstractNumId w:val="6"/>
  </w:num>
  <w:num w:numId="46" w16cid:durableId="681707997">
    <w:abstractNumId w:val="2"/>
  </w:num>
  <w:num w:numId="47" w16cid:durableId="1656647544">
    <w:abstractNumId w:val="0"/>
  </w:num>
  <w:num w:numId="48" w16cid:durableId="2102290597">
    <w:abstractNumId w:val="20"/>
  </w:num>
  <w:num w:numId="49" w16cid:durableId="82157967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1E90"/>
    <w:rsid w:val="00131CB8"/>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B71D1"/>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35181"/>
    <w:rsid w:val="007406E1"/>
    <w:rsid w:val="00743E40"/>
    <w:rsid w:val="00745FDB"/>
    <w:rsid w:val="00751263"/>
    <w:rsid w:val="0075704F"/>
    <w:rsid w:val="00763B2D"/>
    <w:rsid w:val="007713F4"/>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726E8"/>
    <w:rsid w:val="00983D30"/>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6D19"/>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crime-info/hate-crime" TargetMode="External"/><Relationship Id="rId39" Type="http://schemas.openxmlformats.org/officeDocument/2006/relationships/hyperlink" Target="https://www.ox.ac.uk/news/2017-09-26-understanding-football-violence-could-help-fight-against-terror" TargetMode="External"/><Relationship Id="rId21" Type="http://schemas.openxmlformats.org/officeDocument/2006/relationships/hyperlink" Target="http://changingminds.org/explanations/behaviors/betari_box.htm" TargetMode="External"/><Relationship Id="rId34"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rimeandjustice.org.uk/resources/institutional-racism-police-how-entrenched-has-it-become" TargetMode="External"/><Relationship Id="rId29" Type="http://schemas.openxmlformats.org/officeDocument/2006/relationships/hyperlink" Target="https://yougov.co.uk/topics/politics/articles-reports/2021/10/06/more-britons-now-unconfident-confident-police-deal" TargetMode="External"/><Relationship Id="rId41" Type="http://schemas.openxmlformats.org/officeDocument/2006/relationships/hyperlink" Target="https://doi.org/10.1093/bjc/azu04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02/ab.21454" TargetMode="External"/><Relationship Id="rId32" Type="http://schemas.openxmlformats.org/officeDocument/2006/relationships/hyperlink" Target="https://doi.org/10.2307/2136676" TargetMode="External"/><Relationship Id="rId37" Type="http://schemas.openxmlformats.org/officeDocument/2006/relationships/hyperlink" Target="https://doi.org/10.1037/a0025242" TargetMode="External"/><Relationship Id="rId40" Type="http://schemas.openxmlformats.org/officeDocument/2006/relationships/hyperlink" Target="https://www.crimeandinvestigation.co.uk/articles/why-has-there-been-rise-hate-crimes-past-two-year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dictionary/english/discretion" TargetMode="External"/><Relationship Id="rId28" Type="http://schemas.openxmlformats.org/officeDocument/2006/relationships/hyperlink" Target="https://doi.org/10.1146/annurev-criminol-011419-041330" TargetMode="External"/><Relationship Id="rId36" Type="http://schemas.openxmlformats.org/officeDocument/2006/relationships/hyperlink" Target="https://www.oxfordlearnersdictionaries.com/definition/english/resilie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Vict/24-25/100/section/16"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71/48/contents" TargetMode="External"/><Relationship Id="rId27" Type="http://schemas.openxmlformats.org/officeDocument/2006/relationships/hyperlink" Target="https://www.theguardian.com/commentisfree/2022/feb/03/scandals-police-met-partygate-whatsapp-crisis-policing" TargetMode="External"/><Relationship Id="rId30" Type="http://schemas.openxmlformats.org/officeDocument/2006/relationships/hyperlink" Target="https://doi.org/10.1093/police/paz033" TargetMode="External"/><Relationship Id="rId35" Type="http://schemas.openxmlformats.org/officeDocument/2006/relationships/hyperlink" Target="https://doi.org/10.3389/fpsyg.2019.00967"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statistics/hate-crime-england-and-wales-2021-to-2022/hate-crime-england-and-wales-2021-to-2022" TargetMode="External"/><Relationship Id="rId33" Type="http://schemas.openxmlformats.org/officeDocument/2006/relationships/hyperlink" Target="https://www.legislation.gov.uk" TargetMode="External"/><Relationship Id="rId38" Type="http://schemas.openxmlformats.org/officeDocument/2006/relationships/hyperlink" Target="https://www.nhs.uk/every-mind-matters/mental-health-issue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10314</Words>
  <Characters>56767</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Black,Shane swp8368</cp:lastModifiedBy>
  <cp:revision>2</cp:revision>
  <cp:lastPrinted>2019-08-13T11:47:00Z</cp:lastPrinted>
  <dcterms:created xsi:type="dcterms:W3CDTF">2023-04-10T14:17:00Z</dcterms:created>
  <dcterms:modified xsi:type="dcterms:W3CDTF">2023-04-10T14:17:00Z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2023-03-20T12:31:49Z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6ff1ff2b-baab-44ae-8aea-c0652d99ea83</vt:lpwstr>
  </property>
  <property fmtid="{D5CDD505-2E9C-101B-9397-08002B2CF9AE}" pid="9" name="MSIP_Label_66cf8fe5-b7b7-4df7-b38d-1c61ac2f6639_ContentBits">
    <vt:lpwstr>0</vt:lpwstr>
  </property>
</Properties>
</file>