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3FDC55" w14:textId="77777777" w:rsidR="00852068" w:rsidRDefault="00852068" w:rsidP="00852068">
      <w:pPr>
        <w:pStyle w:val="ListParagraph"/>
        <w:numPr>
          <w:ilvl w:val="0"/>
          <w:numId w:val="1"/>
        </w:numPr>
      </w:pPr>
      <w:r>
        <w:t>(a) Explain the basic test used to establish factual causation in negligence. (10 marks)</w:t>
      </w:r>
    </w:p>
    <w:p w14:paraId="38050500" w14:textId="339DA140" w:rsidR="00852068" w:rsidRDefault="00852068" w:rsidP="00852068">
      <w:pPr>
        <w:pStyle w:val="ListParagraph"/>
      </w:pPr>
      <w:r>
        <w:t xml:space="preserve"> </w:t>
      </w:r>
    </w:p>
    <w:p w14:paraId="42C66FD8" w14:textId="77777777" w:rsidR="00852068" w:rsidRDefault="00852068" w:rsidP="00852068">
      <w:pPr>
        <w:pStyle w:val="ListParagraph"/>
      </w:pPr>
      <w:r>
        <w:t xml:space="preserve">(b) Evaluate the extent to which this test may be departed from in particular circumstances. (15 marks) </w:t>
      </w:r>
    </w:p>
    <w:p w14:paraId="5AA35832" w14:textId="49F478AD" w:rsidR="00852068" w:rsidRDefault="00852068" w:rsidP="00852068">
      <w:pPr>
        <w:pStyle w:val="ListParagraph"/>
      </w:pPr>
      <w:r>
        <w:t>(Total: 25 marks)</w:t>
      </w:r>
    </w:p>
    <w:p w14:paraId="081D1D92" w14:textId="39ECD6B7" w:rsidR="00852068" w:rsidRDefault="00852068" w:rsidP="00852068">
      <w:pPr>
        <w:ind w:left="360"/>
      </w:pPr>
      <w:r>
        <w:t xml:space="preserve">The question </w:t>
      </w:r>
      <w:r>
        <w:t>is</w:t>
      </w:r>
      <w:r>
        <w:t xml:space="preserve"> divided into two parts. Part (a) require</w:t>
      </w:r>
      <w:r>
        <w:t>s you</w:t>
      </w:r>
      <w:r>
        <w:t xml:space="preserve"> to explain the basic test used to establish factual causation in negligence. Part (b) require</w:t>
      </w:r>
      <w:r>
        <w:t>s</w:t>
      </w:r>
      <w:r>
        <w:t xml:space="preserve"> an evaluation of the extent to which this test can be departed from in particular circumstances. </w:t>
      </w:r>
      <w:r>
        <w:t>A</w:t>
      </w:r>
      <w:r>
        <w:t xml:space="preserve"> strong answer to part (a) </w:t>
      </w:r>
      <w:r>
        <w:t xml:space="preserve"> will be achieved </w:t>
      </w:r>
      <w:r>
        <w:t xml:space="preserve">by explaining the requirement for claimants to prove, on the balance of probabilities, that ‘but for’ the defendant’s breach of duty, they would not have suffered the harm complained of. </w:t>
      </w:r>
      <w:r>
        <w:t>I</w:t>
      </w:r>
      <w:r>
        <w:t xml:space="preserve">llustrate the application of this test with a case involving a single alleged cause, such as Barnett v Chelsea and Kensington Hospital Management Committee (1968). </w:t>
      </w:r>
      <w:r>
        <w:t>S</w:t>
      </w:r>
      <w:r>
        <w:t xml:space="preserve">how how the test may prevent successful claims where there are multiple possible concurrent causes, perhaps using medical negligence cases such as </w:t>
      </w:r>
      <w:proofErr w:type="spellStart"/>
      <w:r>
        <w:t>Wilsher</w:t>
      </w:r>
      <w:proofErr w:type="spellEnd"/>
      <w:r>
        <w:t xml:space="preserve"> v Essex Area Health Authority (1988), </w:t>
      </w:r>
      <w:proofErr w:type="spellStart"/>
      <w:r>
        <w:t>Hotson</w:t>
      </w:r>
      <w:proofErr w:type="spellEnd"/>
      <w:r>
        <w:t xml:space="preserve"> v East Berkshire Health Authority (1987) and Gregg v Scott (2005) by way of illustration. </w:t>
      </w:r>
      <w:r>
        <w:t>Full answers will</w:t>
      </w:r>
      <w:r>
        <w:t xml:space="preserve"> note the policy reasons underlying the need to establish probable, rather than possible causation in such cases, given the financial implications to the NHS if an alternative ‘loss of chance’ approach were adopted. </w:t>
      </w:r>
      <w:r>
        <w:t>D</w:t>
      </w:r>
      <w:r>
        <w:t xml:space="preserve">iscuss the ‘material contribution’ test </w:t>
      </w:r>
      <w:r>
        <w:t>and</w:t>
      </w:r>
      <w:r>
        <w:t xml:space="preserve"> explain that this is simply a different manifestation of the ‘but for’ approach. It may be relevant where the evidence indicates, on the balance of probabilities, that the defendant’s negligence caused part of the claimant’s injury (e.g. see the ‘divisible’ injury cases such as </w:t>
      </w:r>
      <w:proofErr w:type="spellStart"/>
      <w:r>
        <w:t>Bonnington</w:t>
      </w:r>
      <w:proofErr w:type="spellEnd"/>
      <w:r>
        <w:t xml:space="preserve"> Castings v Wardlaw (1956) and Holtby v Brigham and Cowan (2000)), or was one of the causes of the entire injury (e.g. see the ‘indivisible’ injury cases such as Bailey v MOD (2009) and Williams v Bermuda Hospitals Board (2016)). In part (b) the best </w:t>
      </w:r>
      <w:r>
        <w:t>answers will go</w:t>
      </w:r>
      <w:r>
        <w:t xml:space="preserve"> on to describe the truly exceptional cases where strong policy considerations led to a relaxation of the ‘but for’ test so as to enable claimants to establish a causal link. One example is the use of the ‘material increase in risk’ test in relation to certain employer’s liability claims where the loss suffered by the claimant was caused by a single factor, but there were different possible sources, one of which was a serious breach of duty in relation to the health and safety of the employee. </w:t>
      </w:r>
      <w:r>
        <w:t>D</w:t>
      </w:r>
      <w:r>
        <w:t>escribe</w:t>
      </w:r>
      <w:r>
        <w:t xml:space="preserve"> </w:t>
      </w:r>
      <w:r>
        <w:t xml:space="preserve">the ‘material increase in risk’ approach used in cases such as McGhee v National Coal Board (1973) and Fairchild v </w:t>
      </w:r>
      <w:proofErr w:type="spellStart"/>
      <w:r>
        <w:t>Glenhaven</w:t>
      </w:r>
      <w:proofErr w:type="spellEnd"/>
      <w:r>
        <w:t xml:space="preserve"> Funeral Services Ltd (2002) in order to illustrate the policy factors at play and to show how the claimants involved would have failed to establish causation using the traditional ‘but for’ approach. </w:t>
      </w:r>
      <w:r>
        <w:t>M</w:t>
      </w:r>
      <w:r>
        <w:t xml:space="preserve">entioned the ‘vindication of rights’ approach adopted by the House of Lords in Chester v Afshar (2004) as a further example of the relaxation of the ‘but for’ test on policy grounds. </w:t>
      </w:r>
      <w:r>
        <w:t xml:space="preserve">Don’t </w:t>
      </w:r>
      <w:r>
        <w:t xml:space="preserve">introduce discussion of causation in law (rather than sticking to factual causation) e.g. the remoteness of damage test and/or described circumstances in which the chain of causation might be broken by a novel intervening act. The question in these latter cases is whether some unrelated event, often occurring sometime after the original negligence should, as a matter of fairness, prevent the defendant from being liable for the claimant’s increased loss. These cases do not represent a departure from the ‘but for’ test: the defendant will still bear liability for the loss arising from the first incident which s/he caused and also, depending on the precise circumstances, possibly the additional loss flowing from the second incident. </w:t>
      </w:r>
      <w:r w:rsidR="008416DD">
        <w:t xml:space="preserve">Don’t write </w:t>
      </w:r>
      <w:r>
        <w:t>a general essay on the elements of negligence liability, including discussion of duty of care and breach. Such</w:t>
      </w:r>
      <w:r w:rsidR="008416DD">
        <w:t xml:space="preserve"> a</w:t>
      </w:r>
      <w:r>
        <w:t xml:space="preserve"> response</w:t>
      </w:r>
      <w:r w:rsidR="008416DD">
        <w:t xml:space="preserve"> is unlikely to </w:t>
      </w:r>
      <w:r>
        <w:t>achieve a pass mark.</w:t>
      </w:r>
      <w:r w:rsidR="008416DD">
        <w:t xml:space="preserve"> N</w:t>
      </w:r>
      <w:r>
        <w:t xml:space="preserve">ote that Barnett v Chelsea and Kensington Hospital Management Committee did not establish the requirement for factual causation (it is merely illustrative of its application), and that according to the evidence in this case, the only available antidote to arsenic poisoning at the time could not have </w:t>
      </w:r>
      <w:r>
        <w:lastRenderedPageBreak/>
        <w:t>been administered sufficiently early to save the claimant’s husband even if he had been diagnosed promptly.</w:t>
      </w:r>
    </w:p>
    <w:sectPr w:rsidR="008520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B33679"/>
    <w:multiLevelType w:val="hybridMultilevel"/>
    <w:tmpl w:val="60BA17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068"/>
    <w:rsid w:val="008416DD"/>
    <w:rsid w:val="00852068"/>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8DF41"/>
  <w15:chartTrackingRefBased/>
  <w15:docId w15:val="{9DCFCA8D-E932-4CFA-9CE5-F6617E9E9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20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646</Words>
  <Characters>3687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2020-10-12T14:17:00Z</dcterms:created>
  <dcterms:modified xsi:type="dcterms:W3CDTF">2020-10-12T14:17:00Z</dcterms:modified>
</cp:coreProperties>
</file>