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FC1D5" w14:textId="77777777" w:rsidR="00F86AA7" w:rsidRDefault="00F86AA7" w:rsidP="007973DF">
      <w:pPr>
        <w:tabs>
          <w:tab w:val="left" w:pos="720"/>
          <w:tab w:val="left" w:pos="1440"/>
          <w:tab w:val="left" w:pos="2556"/>
        </w:tabs>
        <w:rPr>
          <w:rFonts w:ascii="Times New Roman" w:hAnsi="Times New Roman" w:cs="Times New Roman"/>
          <w:sz w:val="24"/>
          <w:szCs w:val="24"/>
        </w:rPr>
      </w:pPr>
    </w:p>
    <w:p w14:paraId="7582E319" w14:textId="77777777" w:rsidR="00F86AA7" w:rsidRDefault="00F86AA7" w:rsidP="007973DF">
      <w:pPr>
        <w:tabs>
          <w:tab w:val="left" w:pos="720"/>
          <w:tab w:val="left" w:pos="1440"/>
          <w:tab w:val="left" w:pos="2556"/>
        </w:tabs>
        <w:rPr>
          <w:rFonts w:ascii="Times New Roman" w:hAnsi="Times New Roman" w:cs="Times New Roman"/>
          <w:sz w:val="24"/>
          <w:szCs w:val="24"/>
        </w:rPr>
      </w:pPr>
    </w:p>
    <w:p w14:paraId="2D45CBDC" w14:textId="77777777" w:rsidR="00F86AA7" w:rsidRDefault="00F86AA7" w:rsidP="007973DF">
      <w:pPr>
        <w:tabs>
          <w:tab w:val="left" w:pos="720"/>
          <w:tab w:val="left" w:pos="1440"/>
          <w:tab w:val="left" w:pos="2556"/>
        </w:tabs>
        <w:rPr>
          <w:rFonts w:ascii="Times New Roman" w:hAnsi="Times New Roman" w:cs="Times New Roman"/>
          <w:sz w:val="24"/>
          <w:szCs w:val="24"/>
        </w:rPr>
      </w:pPr>
    </w:p>
    <w:p w14:paraId="4EFF0055" w14:textId="77777777" w:rsidR="00F86AA7" w:rsidRDefault="00F86AA7" w:rsidP="007973DF">
      <w:pPr>
        <w:tabs>
          <w:tab w:val="left" w:pos="720"/>
          <w:tab w:val="left" w:pos="1440"/>
          <w:tab w:val="left" w:pos="2556"/>
        </w:tabs>
        <w:rPr>
          <w:rFonts w:ascii="Times New Roman" w:hAnsi="Times New Roman" w:cs="Times New Roman"/>
          <w:sz w:val="24"/>
          <w:szCs w:val="24"/>
        </w:rPr>
      </w:pPr>
    </w:p>
    <w:p w14:paraId="07E94E4A" w14:textId="77777777" w:rsidR="00F86AA7" w:rsidRDefault="00F86AA7" w:rsidP="007973DF">
      <w:pPr>
        <w:tabs>
          <w:tab w:val="left" w:pos="720"/>
          <w:tab w:val="left" w:pos="1440"/>
          <w:tab w:val="left" w:pos="2556"/>
        </w:tabs>
        <w:rPr>
          <w:rFonts w:ascii="Times New Roman" w:hAnsi="Times New Roman" w:cs="Times New Roman"/>
          <w:sz w:val="24"/>
          <w:szCs w:val="24"/>
        </w:rPr>
      </w:pPr>
    </w:p>
    <w:p w14:paraId="20236ABF" w14:textId="77777777" w:rsidR="00F86AA7" w:rsidRPr="00F54FDB" w:rsidRDefault="00F86AA7" w:rsidP="007973DF">
      <w:pPr>
        <w:tabs>
          <w:tab w:val="left" w:pos="720"/>
          <w:tab w:val="left" w:pos="1440"/>
          <w:tab w:val="left" w:pos="2556"/>
        </w:tabs>
        <w:rPr>
          <w:rFonts w:ascii="Times New Roman" w:hAnsi="Times New Roman" w:cs="Times New Roman"/>
          <w:sz w:val="28"/>
          <w:szCs w:val="28"/>
        </w:rPr>
      </w:pPr>
    </w:p>
    <w:p w14:paraId="1258D4DE" w14:textId="47A5D1F2" w:rsidR="00F86AA7" w:rsidRPr="00F54FDB" w:rsidRDefault="00F54FDB" w:rsidP="00F54FDB">
      <w:pPr>
        <w:tabs>
          <w:tab w:val="left" w:pos="720"/>
          <w:tab w:val="left" w:pos="1440"/>
          <w:tab w:val="left" w:pos="2556"/>
        </w:tabs>
        <w:jc w:val="center"/>
        <w:rPr>
          <w:rFonts w:ascii="Times New Roman" w:hAnsi="Times New Roman" w:cs="Times New Roman"/>
          <w:sz w:val="28"/>
          <w:szCs w:val="28"/>
        </w:rPr>
      </w:pPr>
      <w:r w:rsidRPr="00F54FDB">
        <w:rPr>
          <w:rFonts w:ascii="Times New Roman" w:hAnsi="Times New Roman" w:cs="Times New Roman"/>
          <w:sz w:val="28"/>
          <w:szCs w:val="28"/>
        </w:rPr>
        <w:t>Umah Kauser 2227759</w:t>
      </w:r>
    </w:p>
    <w:p w14:paraId="09CD1CC8" w14:textId="7458DA7F" w:rsidR="00262EDD" w:rsidRPr="00F86AA7" w:rsidRDefault="007973DF" w:rsidP="00F86AA7">
      <w:pPr>
        <w:tabs>
          <w:tab w:val="left" w:pos="720"/>
          <w:tab w:val="left" w:pos="1440"/>
          <w:tab w:val="left" w:pos="2556"/>
        </w:tabs>
        <w:jc w:val="center"/>
        <w:rPr>
          <w:rFonts w:ascii="Times New Roman" w:hAnsi="Times New Roman" w:cs="Times New Roman"/>
          <w:sz w:val="28"/>
          <w:szCs w:val="28"/>
        </w:rPr>
      </w:pPr>
      <w:r w:rsidRPr="00F86AA7">
        <w:rPr>
          <w:rFonts w:ascii="Times New Roman" w:hAnsi="Times New Roman" w:cs="Times New Roman"/>
          <w:sz w:val="28"/>
          <w:szCs w:val="28"/>
        </w:rPr>
        <w:t xml:space="preserve">BMLW4006/ </w:t>
      </w:r>
      <w:r w:rsidR="00262EDD" w:rsidRPr="00F86AA7">
        <w:rPr>
          <w:rFonts w:ascii="Times New Roman" w:hAnsi="Times New Roman" w:cs="Times New Roman"/>
          <w:sz w:val="28"/>
          <w:szCs w:val="28"/>
        </w:rPr>
        <w:t>The English Legal System is based upon common law principles. Explain what this means.</w:t>
      </w:r>
    </w:p>
    <w:p w14:paraId="50C3B000" w14:textId="0A35620A" w:rsidR="002B47B7" w:rsidRPr="00F54FDB" w:rsidRDefault="00F54FDB" w:rsidP="00F54FDB">
      <w:pPr>
        <w:tabs>
          <w:tab w:val="left" w:pos="720"/>
          <w:tab w:val="left" w:pos="1440"/>
          <w:tab w:val="left" w:pos="2556"/>
        </w:tabs>
        <w:jc w:val="center"/>
        <w:rPr>
          <w:rFonts w:ascii="Times New Roman" w:hAnsi="Times New Roman" w:cs="Times New Roman"/>
          <w:sz w:val="28"/>
          <w:szCs w:val="28"/>
        </w:rPr>
      </w:pPr>
      <w:r w:rsidRPr="00F54FDB">
        <w:rPr>
          <w:rFonts w:ascii="Times New Roman" w:hAnsi="Times New Roman" w:cs="Times New Roman"/>
          <w:sz w:val="28"/>
          <w:szCs w:val="28"/>
        </w:rPr>
        <w:t>10th March 2023</w:t>
      </w:r>
    </w:p>
    <w:p w14:paraId="7E43E137" w14:textId="77777777" w:rsidR="002B47B7" w:rsidRPr="002B47B7" w:rsidRDefault="002B47B7">
      <w:pPr>
        <w:rPr>
          <w:rFonts w:ascii="Times New Roman" w:hAnsi="Times New Roman" w:cs="Times New Roman"/>
          <w:sz w:val="24"/>
          <w:szCs w:val="24"/>
        </w:rPr>
      </w:pPr>
    </w:p>
    <w:p w14:paraId="0D23E66E" w14:textId="77777777" w:rsidR="002B47B7" w:rsidRPr="002B47B7" w:rsidRDefault="002B47B7">
      <w:pPr>
        <w:rPr>
          <w:rFonts w:ascii="Times New Roman" w:hAnsi="Times New Roman" w:cs="Times New Roman"/>
          <w:sz w:val="24"/>
          <w:szCs w:val="24"/>
        </w:rPr>
      </w:pPr>
    </w:p>
    <w:p w14:paraId="354BCFB8" w14:textId="77777777" w:rsidR="002B47B7" w:rsidRPr="002B47B7" w:rsidRDefault="002B47B7">
      <w:pPr>
        <w:rPr>
          <w:rFonts w:ascii="Times New Roman" w:hAnsi="Times New Roman" w:cs="Times New Roman"/>
          <w:sz w:val="24"/>
          <w:szCs w:val="24"/>
        </w:rPr>
      </w:pPr>
    </w:p>
    <w:p w14:paraId="386CA3CE" w14:textId="77777777" w:rsidR="002B47B7" w:rsidRPr="002B47B7" w:rsidRDefault="002B47B7">
      <w:pPr>
        <w:rPr>
          <w:rFonts w:ascii="Times New Roman" w:hAnsi="Times New Roman" w:cs="Times New Roman"/>
          <w:sz w:val="24"/>
          <w:szCs w:val="24"/>
        </w:rPr>
      </w:pPr>
    </w:p>
    <w:p w14:paraId="3AD4E722" w14:textId="77777777" w:rsidR="002B47B7" w:rsidRPr="002B47B7" w:rsidRDefault="002B47B7" w:rsidP="002B47B7">
      <w:pPr>
        <w:jc w:val="center"/>
        <w:rPr>
          <w:rFonts w:ascii="Times New Roman" w:hAnsi="Times New Roman" w:cs="Times New Roman"/>
          <w:sz w:val="24"/>
          <w:szCs w:val="24"/>
        </w:rPr>
      </w:pPr>
    </w:p>
    <w:p w14:paraId="14B3E044" w14:textId="77777777" w:rsidR="002B47B7" w:rsidRDefault="002B47B7" w:rsidP="002B47B7">
      <w:pPr>
        <w:jc w:val="center"/>
        <w:rPr>
          <w:rFonts w:ascii="Times New Roman" w:hAnsi="Times New Roman" w:cs="Times New Roman"/>
          <w:sz w:val="24"/>
          <w:szCs w:val="24"/>
        </w:rPr>
      </w:pPr>
    </w:p>
    <w:p w14:paraId="53AF4D2B" w14:textId="77777777" w:rsidR="004C18F8" w:rsidRPr="002B47B7" w:rsidRDefault="004C18F8" w:rsidP="002B47B7">
      <w:pPr>
        <w:jc w:val="center"/>
        <w:rPr>
          <w:rFonts w:ascii="Times New Roman" w:hAnsi="Times New Roman" w:cs="Times New Roman"/>
          <w:sz w:val="24"/>
          <w:szCs w:val="24"/>
        </w:rPr>
      </w:pPr>
    </w:p>
    <w:p w14:paraId="07305ADE" w14:textId="77777777" w:rsidR="002B47B7" w:rsidRPr="002B47B7" w:rsidRDefault="002B47B7" w:rsidP="002B47B7">
      <w:pPr>
        <w:jc w:val="center"/>
        <w:rPr>
          <w:rFonts w:ascii="Times New Roman" w:hAnsi="Times New Roman" w:cs="Times New Roman"/>
          <w:sz w:val="24"/>
          <w:szCs w:val="24"/>
        </w:rPr>
      </w:pPr>
    </w:p>
    <w:p w14:paraId="651AADDE" w14:textId="283F5353" w:rsidR="002B47B7" w:rsidRPr="008378F7" w:rsidRDefault="002B47B7" w:rsidP="00262EDD">
      <w:pPr>
        <w:rPr>
          <w:rFonts w:ascii="Times New Roman" w:hAnsi="Times New Roman" w:cs="Times New Roman"/>
          <w:b/>
          <w:sz w:val="24"/>
          <w:szCs w:val="24"/>
        </w:rPr>
      </w:pPr>
    </w:p>
    <w:p w14:paraId="4B8D18D5" w14:textId="1EA931A2" w:rsidR="004B03FF" w:rsidRDefault="004B03FF">
      <w:pPr>
        <w:rPr>
          <w:rFonts w:ascii="Times New Roman" w:hAnsi="Times New Roman" w:cs="Times New Roman"/>
          <w:sz w:val="24"/>
          <w:szCs w:val="24"/>
        </w:rPr>
      </w:pPr>
      <w:r>
        <w:rPr>
          <w:rFonts w:ascii="Times New Roman" w:hAnsi="Times New Roman" w:cs="Times New Roman"/>
          <w:sz w:val="24"/>
          <w:szCs w:val="24"/>
        </w:rPr>
        <w:br w:type="page"/>
      </w:r>
    </w:p>
    <w:p w14:paraId="7EFE6E87" w14:textId="176A6DBA" w:rsidR="005E6E9C" w:rsidRPr="002B47B7" w:rsidRDefault="004C18F8" w:rsidP="00785CAA">
      <w:pPr>
        <w:pStyle w:val="Heading1"/>
        <w:spacing w:after="0" w:line="480" w:lineRule="auto"/>
        <w:contextualSpacing/>
      </w:pPr>
      <w:bookmarkStart w:id="0" w:name="_Toc129299583"/>
      <w:r w:rsidRPr="002B47B7">
        <w:lastRenderedPageBreak/>
        <w:t>Introduction</w:t>
      </w:r>
      <w:bookmarkEnd w:id="0"/>
      <w:r w:rsidRPr="002B47B7">
        <w:t xml:space="preserve"> </w:t>
      </w:r>
    </w:p>
    <w:p w14:paraId="01E3385E" w14:textId="77777777" w:rsidR="0007268A" w:rsidRPr="002B47B7" w:rsidRDefault="004C18F8" w:rsidP="00F86AA7">
      <w:pPr>
        <w:spacing w:after="0" w:line="480" w:lineRule="auto"/>
        <w:contextualSpacing/>
        <w:rPr>
          <w:rFonts w:ascii="Times New Roman" w:hAnsi="Times New Roman" w:cs="Times New Roman"/>
          <w:sz w:val="24"/>
          <w:szCs w:val="24"/>
        </w:rPr>
      </w:pPr>
      <w:r w:rsidRPr="002B47B7">
        <w:rPr>
          <w:rFonts w:ascii="Times New Roman" w:hAnsi="Times New Roman" w:cs="Times New Roman"/>
          <w:sz w:val="24"/>
          <w:szCs w:val="24"/>
        </w:rPr>
        <w:t xml:space="preserve">The English Legal System is the framework of laws and regulations governing England and Wales. It is based on the </w:t>
      </w:r>
      <w:r w:rsidR="00AD53C5">
        <w:rPr>
          <w:rFonts w:ascii="Times New Roman" w:hAnsi="Times New Roman" w:cs="Times New Roman"/>
          <w:sz w:val="24"/>
          <w:szCs w:val="24"/>
        </w:rPr>
        <w:t xml:space="preserve">rule of law’s </w:t>
      </w:r>
      <w:r w:rsidRPr="002B47B7">
        <w:rPr>
          <w:rFonts w:ascii="Times New Roman" w:hAnsi="Times New Roman" w:cs="Times New Roman"/>
          <w:sz w:val="24"/>
          <w:szCs w:val="24"/>
        </w:rPr>
        <w:t xml:space="preserve">principle, which means that </w:t>
      </w:r>
      <w:r w:rsidR="00566ED1">
        <w:rPr>
          <w:rFonts w:ascii="Times New Roman" w:hAnsi="Times New Roman" w:cs="Times New Roman"/>
          <w:sz w:val="24"/>
          <w:szCs w:val="24"/>
        </w:rPr>
        <w:t xml:space="preserve">individuals such as </w:t>
      </w:r>
      <w:r w:rsidRPr="002B47B7">
        <w:rPr>
          <w:rFonts w:ascii="Times New Roman" w:hAnsi="Times New Roman" w:cs="Times New Roman"/>
          <w:sz w:val="24"/>
          <w:szCs w:val="24"/>
        </w:rPr>
        <w:t>government must abide by the law</w:t>
      </w:r>
      <w:r w:rsidR="006A23F1" w:rsidRPr="002B47B7">
        <w:rPr>
          <w:rFonts w:ascii="Times New Roman" w:hAnsi="Times New Roman" w:cs="Times New Roman"/>
          <w:sz w:val="24"/>
          <w:szCs w:val="24"/>
        </w:rPr>
        <w:t xml:space="preserve"> (</w:t>
      </w:r>
      <w:r w:rsidR="006A23F1" w:rsidRPr="002B47B7">
        <w:rPr>
          <w:rFonts w:ascii="Times New Roman" w:hAnsi="Times New Roman" w:cs="Times New Roman"/>
          <w:color w:val="222222"/>
          <w:sz w:val="24"/>
          <w:szCs w:val="24"/>
          <w:shd w:val="clear" w:color="auto" w:fill="FFFFFF"/>
        </w:rPr>
        <w:t>Berman, 2019</w:t>
      </w:r>
      <w:r w:rsidR="006A23F1" w:rsidRPr="002B47B7">
        <w:rPr>
          <w:rFonts w:ascii="Times New Roman" w:hAnsi="Times New Roman" w:cs="Times New Roman"/>
          <w:sz w:val="24"/>
          <w:szCs w:val="24"/>
        </w:rPr>
        <w:t>)</w:t>
      </w:r>
      <w:r w:rsidRPr="002B47B7">
        <w:rPr>
          <w:rFonts w:ascii="Times New Roman" w:hAnsi="Times New Roman" w:cs="Times New Roman"/>
          <w:sz w:val="24"/>
          <w:szCs w:val="24"/>
        </w:rPr>
        <w:t>. The system comprises various institutions, including the courts, the police, and legal professionals responsible for interpreting and enforcing the law.</w:t>
      </w:r>
      <w:r w:rsidR="00A74518" w:rsidRPr="002B47B7">
        <w:rPr>
          <w:rFonts w:ascii="Times New Roman" w:hAnsi="Times New Roman" w:cs="Times New Roman"/>
          <w:sz w:val="24"/>
          <w:szCs w:val="24"/>
        </w:rPr>
        <w:t xml:space="preserve"> </w:t>
      </w:r>
      <w:r w:rsidRPr="002B47B7">
        <w:rPr>
          <w:rFonts w:ascii="Times New Roman" w:hAnsi="Times New Roman" w:cs="Times New Roman"/>
          <w:sz w:val="24"/>
          <w:szCs w:val="24"/>
        </w:rPr>
        <w:t xml:space="preserve">The English Legal System is largely based on </w:t>
      </w:r>
      <w:r w:rsidR="00991260">
        <w:rPr>
          <w:rFonts w:ascii="Times New Roman" w:hAnsi="Times New Roman" w:cs="Times New Roman"/>
          <w:sz w:val="24"/>
          <w:szCs w:val="24"/>
        </w:rPr>
        <w:t xml:space="preserve">the principles of </w:t>
      </w:r>
      <w:r w:rsidRPr="002B47B7">
        <w:rPr>
          <w:rFonts w:ascii="Times New Roman" w:hAnsi="Times New Roman" w:cs="Times New Roman"/>
          <w:sz w:val="24"/>
          <w:szCs w:val="24"/>
        </w:rPr>
        <w:t xml:space="preserve">common law, which </w:t>
      </w:r>
      <w:r w:rsidR="00DA7AD8">
        <w:rPr>
          <w:rFonts w:ascii="Times New Roman" w:hAnsi="Times New Roman" w:cs="Times New Roman"/>
          <w:sz w:val="24"/>
          <w:szCs w:val="24"/>
        </w:rPr>
        <w:t>indicates</w:t>
      </w:r>
      <w:r w:rsidRPr="002B47B7">
        <w:rPr>
          <w:rFonts w:ascii="Times New Roman" w:hAnsi="Times New Roman" w:cs="Times New Roman"/>
          <w:sz w:val="24"/>
          <w:szCs w:val="24"/>
        </w:rPr>
        <w:t xml:space="preserve"> that legal decisions are made by judges based on the interpretation of past cases rather than legislation</w:t>
      </w:r>
      <w:r w:rsidR="00501BAC" w:rsidRPr="002B47B7">
        <w:rPr>
          <w:rFonts w:ascii="Times New Roman" w:hAnsi="Times New Roman" w:cs="Times New Roman"/>
          <w:sz w:val="24"/>
          <w:szCs w:val="24"/>
        </w:rPr>
        <w:t xml:space="preserve"> (</w:t>
      </w:r>
      <w:proofErr w:type="spellStart"/>
      <w:r w:rsidR="00501BAC" w:rsidRPr="002B47B7">
        <w:rPr>
          <w:rFonts w:ascii="Times New Roman" w:hAnsi="Times New Roman" w:cs="Times New Roman"/>
          <w:color w:val="222222"/>
          <w:sz w:val="24"/>
          <w:szCs w:val="24"/>
          <w:shd w:val="clear" w:color="auto" w:fill="FFFFFF"/>
        </w:rPr>
        <w:t>Brilmayer</w:t>
      </w:r>
      <w:proofErr w:type="spellEnd"/>
      <w:r w:rsidR="00501BAC" w:rsidRPr="002B47B7">
        <w:rPr>
          <w:rFonts w:ascii="Times New Roman" w:hAnsi="Times New Roman" w:cs="Times New Roman"/>
          <w:color w:val="222222"/>
          <w:sz w:val="24"/>
          <w:szCs w:val="24"/>
          <w:shd w:val="clear" w:color="auto" w:fill="FFFFFF"/>
        </w:rPr>
        <w:t xml:space="preserve"> and </w:t>
      </w:r>
      <w:proofErr w:type="spellStart"/>
      <w:r w:rsidR="00501BAC" w:rsidRPr="002B47B7">
        <w:rPr>
          <w:rFonts w:ascii="Times New Roman" w:hAnsi="Times New Roman" w:cs="Times New Roman"/>
          <w:color w:val="222222"/>
          <w:sz w:val="24"/>
          <w:szCs w:val="24"/>
          <w:shd w:val="clear" w:color="auto" w:fill="FFFFFF"/>
        </w:rPr>
        <w:t>Listwa</w:t>
      </w:r>
      <w:proofErr w:type="spellEnd"/>
      <w:r w:rsidR="00501BAC" w:rsidRPr="002B47B7">
        <w:rPr>
          <w:rFonts w:ascii="Times New Roman" w:hAnsi="Times New Roman" w:cs="Times New Roman"/>
          <w:color w:val="222222"/>
          <w:sz w:val="24"/>
          <w:szCs w:val="24"/>
          <w:shd w:val="clear" w:color="auto" w:fill="FFFFFF"/>
        </w:rPr>
        <w:t>, 2020</w:t>
      </w:r>
      <w:r w:rsidR="00501BAC" w:rsidRPr="002B47B7">
        <w:rPr>
          <w:rFonts w:ascii="Times New Roman" w:hAnsi="Times New Roman" w:cs="Times New Roman"/>
          <w:sz w:val="24"/>
          <w:szCs w:val="24"/>
        </w:rPr>
        <w:t>)</w:t>
      </w:r>
      <w:r w:rsidRPr="002B47B7">
        <w:rPr>
          <w:rFonts w:ascii="Times New Roman" w:hAnsi="Times New Roman" w:cs="Times New Roman"/>
          <w:sz w:val="24"/>
          <w:szCs w:val="24"/>
        </w:rPr>
        <w:t xml:space="preserve">. This system relies heavily on the </w:t>
      </w:r>
      <w:r w:rsidR="00E32D4B" w:rsidRPr="002B47B7">
        <w:rPr>
          <w:rFonts w:ascii="Times New Roman" w:hAnsi="Times New Roman" w:cs="Times New Roman"/>
          <w:sz w:val="24"/>
          <w:szCs w:val="24"/>
        </w:rPr>
        <w:t>judicial precedent</w:t>
      </w:r>
      <w:r w:rsidR="00E32D4B">
        <w:rPr>
          <w:rFonts w:ascii="Times New Roman" w:hAnsi="Times New Roman" w:cs="Times New Roman"/>
          <w:sz w:val="24"/>
          <w:szCs w:val="24"/>
        </w:rPr>
        <w:t>’s principle/doctrine</w:t>
      </w:r>
      <w:r w:rsidRPr="002B47B7">
        <w:rPr>
          <w:rFonts w:ascii="Times New Roman" w:hAnsi="Times New Roman" w:cs="Times New Roman"/>
          <w:sz w:val="24"/>
          <w:szCs w:val="24"/>
        </w:rPr>
        <w:t xml:space="preserve">, which </w:t>
      </w:r>
      <w:r w:rsidR="005608A1" w:rsidRPr="002B47B7">
        <w:rPr>
          <w:rFonts w:ascii="Times New Roman" w:hAnsi="Times New Roman" w:cs="Times New Roman"/>
          <w:sz w:val="24"/>
          <w:szCs w:val="24"/>
        </w:rPr>
        <w:t>entails</w:t>
      </w:r>
      <w:r w:rsidRPr="002B47B7">
        <w:rPr>
          <w:rFonts w:ascii="Times New Roman" w:hAnsi="Times New Roman" w:cs="Times New Roman"/>
          <w:sz w:val="24"/>
          <w:szCs w:val="24"/>
        </w:rPr>
        <w:t xml:space="preserve"> lower courts to </w:t>
      </w:r>
      <w:r w:rsidR="005608A1">
        <w:rPr>
          <w:rFonts w:ascii="Times New Roman" w:hAnsi="Times New Roman" w:cs="Times New Roman"/>
          <w:sz w:val="24"/>
          <w:szCs w:val="24"/>
        </w:rPr>
        <w:t xml:space="preserve">guide </w:t>
      </w:r>
      <w:r w:rsidRPr="002B47B7">
        <w:rPr>
          <w:rFonts w:ascii="Times New Roman" w:hAnsi="Times New Roman" w:cs="Times New Roman"/>
          <w:sz w:val="24"/>
          <w:szCs w:val="24"/>
        </w:rPr>
        <w:t xml:space="preserve">the </w:t>
      </w:r>
      <w:r w:rsidR="005608A1">
        <w:rPr>
          <w:rFonts w:ascii="Times New Roman" w:hAnsi="Times New Roman" w:cs="Times New Roman"/>
          <w:sz w:val="24"/>
          <w:szCs w:val="24"/>
        </w:rPr>
        <w:t>judgements</w:t>
      </w:r>
      <w:r w:rsidRPr="002B47B7">
        <w:rPr>
          <w:rFonts w:ascii="Times New Roman" w:hAnsi="Times New Roman" w:cs="Times New Roman"/>
          <w:sz w:val="24"/>
          <w:szCs w:val="24"/>
        </w:rPr>
        <w:t xml:space="preserve"> of higher courts. However, there are also aspects of the English Legal System that are based on statute law, which are laws passed by Parliament.</w:t>
      </w:r>
      <w:r w:rsidR="00AA3E2A" w:rsidRPr="002B47B7">
        <w:rPr>
          <w:rFonts w:ascii="Times New Roman" w:hAnsi="Times New Roman" w:cs="Times New Roman"/>
          <w:sz w:val="24"/>
          <w:szCs w:val="24"/>
        </w:rPr>
        <w:t xml:space="preserve"> The aim of this report is to explain the statement that the English legal system is based on the principles of common law.</w:t>
      </w:r>
    </w:p>
    <w:p w14:paraId="04F6236D" w14:textId="77777777" w:rsidR="005E6E9C" w:rsidRPr="002B47B7" w:rsidRDefault="005E6E9C" w:rsidP="00785CAA">
      <w:pPr>
        <w:spacing w:after="0" w:line="480" w:lineRule="auto"/>
        <w:contextualSpacing/>
        <w:rPr>
          <w:rFonts w:ascii="Times New Roman" w:hAnsi="Times New Roman" w:cs="Times New Roman"/>
          <w:sz w:val="24"/>
          <w:szCs w:val="24"/>
        </w:rPr>
      </w:pPr>
    </w:p>
    <w:p w14:paraId="71B9C5B1" w14:textId="77777777" w:rsidR="005E6E9C" w:rsidRPr="002B47B7" w:rsidRDefault="004C18F8" w:rsidP="00785CAA">
      <w:pPr>
        <w:pStyle w:val="Heading1"/>
        <w:spacing w:after="0" w:line="480" w:lineRule="auto"/>
        <w:contextualSpacing/>
      </w:pPr>
      <w:bookmarkStart w:id="1" w:name="_Toc129299584"/>
      <w:r w:rsidRPr="002B47B7">
        <w:t>Discussion</w:t>
      </w:r>
      <w:bookmarkEnd w:id="1"/>
      <w:r w:rsidRPr="002B47B7">
        <w:t xml:space="preserve"> </w:t>
      </w:r>
    </w:p>
    <w:p w14:paraId="7EE217DD" w14:textId="77777777" w:rsidR="00EB4906" w:rsidRPr="002B47B7" w:rsidRDefault="004C18F8" w:rsidP="00F86AA7">
      <w:pPr>
        <w:spacing w:after="0" w:line="480" w:lineRule="auto"/>
        <w:contextualSpacing/>
        <w:rPr>
          <w:rFonts w:ascii="Times New Roman" w:hAnsi="Times New Roman" w:cs="Times New Roman"/>
          <w:sz w:val="24"/>
          <w:szCs w:val="24"/>
        </w:rPr>
      </w:pPr>
      <w:r w:rsidRPr="002B47B7">
        <w:rPr>
          <w:rFonts w:ascii="Times New Roman" w:hAnsi="Times New Roman" w:cs="Times New Roman"/>
          <w:sz w:val="24"/>
          <w:szCs w:val="24"/>
        </w:rPr>
        <w:t xml:space="preserve">The statement that the English legal system is based on the principles of common law can be demonstrated </w:t>
      </w:r>
      <w:r w:rsidR="00E46B6B" w:rsidRPr="002B47B7">
        <w:rPr>
          <w:rFonts w:ascii="Times New Roman" w:hAnsi="Times New Roman" w:cs="Times New Roman"/>
          <w:sz w:val="24"/>
          <w:szCs w:val="24"/>
        </w:rPr>
        <w:t xml:space="preserve">historically </w:t>
      </w:r>
      <w:r w:rsidRPr="002B47B7">
        <w:rPr>
          <w:rFonts w:ascii="Times New Roman" w:hAnsi="Times New Roman" w:cs="Times New Roman"/>
          <w:sz w:val="24"/>
          <w:szCs w:val="24"/>
        </w:rPr>
        <w:t xml:space="preserve">from the </w:t>
      </w:r>
      <w:r w:rsidR="00E46B6B" w:rsidRPr="002B47B7">
        <w:rPr>
          <w:rFonts w:ascii="Times New Roman" w:hAnsi="Times New Roman" w:cs="Times New Roman"/>
          <w:sz w:val="24"/>
          <w:szCs w:val="24"/>
        </w:rPr>
        <w:t xml:space="preserve">previous </w:t>
      </w:r>
      <w:r w:rsidRPr="002B47B7">
        <w:rPr>
          <w:rFonts w:ascii="Times New Roman" w:hAnsi="Times New Roman" w:cs="Times New Roman"/>
          <w:sz w:val="24"/>
          <w:szCs w:val="24"/>
        </w:rPr>
        <w:t xml:space="preserve">era of </w:t>
      </w:r>
      <w:r w:rsidR="00E46B6B" w:rsidRPr="002B47B7">
        <w:rPr>
          <w:rFonts w:ascii="Times New Roman" w:hAnsi="Times New Roman" w:cs="Times New Roman"/>
          <w:sz w:val="24"/>
          <w:szCs w:val="24"/>
        </w:rPr>
        <w:t>the Norman Conquest,</w:t>
      </w:r>
      <w:r w:rsidR="00EC0DEC" w:rsidRPr="002B47B7">
        <w:rPr>
          <w:rFonts w:ascii="Times New Roman" w:hAnsi="Times New Roman" w:cs="Times New Roman"/>
          <w:sz w:val="24"/>
          <w:szCs w:val="24"/>
        </w:rPr>
        <w:t xml:space="preserve"> in which</w:t>
      </w:r>
      <w:r w:rsidR="00E46B6B" w:rsidRPr="002B47B7">
        <w:rPr>
          <w:rFonts w:ascii="Times New Roman" w:hAnsi="Times New Roman" w:cs="Times New Roman"/>
          <w:sz w:val="24"/>
          <w:szCs w:val="24"/>
        </w:rPr>
        <w:t xml:space="preserve"> several legal systems predominated in different parts of the British Isles</w:t>
      </w:r>
      <w:r w:rsidR="00725D18" w:rsidRPr="002B47B7">
        <w:rPr>
          <w:rFonts w:ascii="Times New Roman" w:hAnsi="Times New Roman" w:cs="Times New Roman"/>
          <w:sz w:val="24"/>
          <w:szCs w:val="24"/>
        </w:rPr>
        <w:t xml:space="preserve"> (</w:t>
      </w:r>
      <w:r w:rsidR="00725D18" w:rsidRPr="002B47B7">
        <w:rPr>
          <w:rFonts w:ascii="Times New Roman" w:hAnsi="Times New Roman" w:cs="Times New Roman"/>
          <w:color w:val="222222"/>
          <w:sz w:val="24"/>
          <w:szCs w:val="24"/>
          <w:shd w:val="clear" w:color="auto" w:fill="FFFFFF"/>
        </w:rPr>
        <w:t>Born, 2021</w:t>
      </w:r>
      <w:r w:rsidR="00725D18" w:rsidRPr="002B47B7">
        <w:rPr>
          <w:rFonts w:ascii="Times New Roman" w:hAnsi="Times New Roman" w:cs="Times New Roman"/>
          <w:sz w:val="24"/>
          <w:szCs w:val="24"/>
        </w:rPr>
        <w:t>)</w:t>
      </w:r>
      <w:r w:rsidRPr="002B47B7">
        <w:rPr>
          <w:rFonts w:ascii="Times New Roman" w:hAnsi="Times New Roman" w:cs="Times New Roman"/>
          <w:sz w:val="24"/>
          <w:szCs w:val="24"/>
        </w:rPr>
        <w:t xml:space="preserve">. </w:t>
      </w:r>
      <w:r w:rsidR="00E46B6B" w:rsidRPr="002B47B7">
        <w:rPr>
          <w:rFonts w:ascii="Times New Roman" w:hAnsi="Times New Roman" w:cs="Times New Roman"/>
          <w:sz w:val="24"/>
          <w:szCs w:val="24"/>
        </w:rPr>
        <w:t>In the end, common legal practices and principles were developed and put into place throughout the country by royal authority. The doctrine of binding precedent was developed due to the stare decisis principle. As a result, the English legal system is</w:t>
      </w:r>
      <w:r w:rsidR="005733D3">
        <w:rPr>
          <w:rFonts w:ascii="Times New Roman" w:hAnsi="Times New Roman" w:cs="Times New Roman"/>
          <w:sz w:val="24"/>
          <w:szCs w:val="24"/>
        </w:rPr>
        <w:t xml:space="preserve"> based on “</w:t>
      </w:r>
      <w:r w:rsidR="00E46B6B" w:rsidRPr="002B47B7">
        <w:rPr>
          <w:rFonts w:ascii="Times New Roman" w:hAnsi="Times New Roman" w:cs="Times New Roman"/>
          <w:sz w:val="24"/>
          <w:szCs w:val="24"/>
        </w:rPr>
        <w:t>common law legal system</w:t>
      </w:r>
      <w:r w:rsidR="005733D3">
        <w:rPr>
          <w:rFonts w:ascii="Times New Roman" w:hAnsi="Times New Roman" w:cs="Times New Roman"/>
          <w:sz w:val="24"/>
          <w:szCs w:val="24"/>
        </w:rPr>
        <w:t>”</w:t>
      </w:r>
      <w:r w:rsidR="00E46B6B" w:rsidRPr="002B47B7">
        <w:rPr>
          <w:rFonts w:ascii="Times New Roman" w:hAnsi="Times New Roman" w:cs="Times New Roman"/>
          <w:sz w:val="24"/>
          <w:szCs w:val="24"/>
        </w:rPr>
        <w:t xml:space="preserve"> that adapts to </w:t>
      </w:r>
      <w:r w:rsidR="0035292E">
        <w:rPr>
          <w:rFonts w:ascii="Times New Roman" w:hAnsi="Times New Roman" w:cs="Times New Roman"/>
          <w:sz w:val="24"/>
          <w:szCs w:val="24"/>
        </w:rPr>
        <w:t xml:space="preserve">varying </w:t>
      </w:r>
      <w:r w:rsidR="00E46B6B" w:rsidRPr="002B47B7">
        <w:rPr>
          <w:rFonts w:ascii="Times New Roman" w:hAnsi="Times New Roman" w:cs="Times New Roman"/>
          <w:sz w:val="24"/>
          <w:szCs w:val="24"/>
        </w:rPr>
        <w:t>socioeconomic conditions</w:t>
      </w:r>
      <w:r w:rsidR="008D0E46" w:rsidRPr="002B47B7">
        <w:rPr>
          <w:rFonts w:ascii="Times New Roman" w:hAnsi="Times New Roman" w:cs="Times New Roman"/>
          <w:sz w:val="24"/>
          <w:szCs w:val="24"/>
        </w:rPr>
        <w:t>,</w:t>
      </w:r>
      <w:r w:rsidR="00E46B6B" w:rsidRPr="002B47B7">
        <w:rPr>
          <w:rFonts w:ascii="Times New Roman" w:hAnsi="Times New Roman" w:cs="Times New Roman"/>
          <w:sz w:val="24"/>
          <w:szCs w:val="24"/>
        </w:rPr>
        <w:t xml:space="preserve"> contrasting </w:t>
      </w:r>
      <w:r w:rsidR="00C009BE">
        <w:rPr>
          <w:rFonts w:ascii="Times New Roman" w:hAnsi="Times New Roman" w:cs="Times New Roman"/>
          <w:sz w:val="24"/>
          <w:szCs w:val="24"/>
        </w:rPr>
        <w:t xml:space="preserve">system of </w:t>
      </w:r>
      <w:r w:rsidR="00E46B6B" w:rsidRPr="002B47B7">
        <w:rPr>
          <w:rFonts w:ascii="Times New Roman" w:hAnsi="Times New Roman" w:cs="Times New Roman"/>
          <w:sz w:val="24"/>
          <w:szCs w:val="24"/>
        </w:rPr>
        <w:t xml:space="preserve">common law, where there is some </w:t>
      </w:r>
      <w:r w:rsidR="000C1600" w:rsidRPr="002B47B7">
        <w:rPr>
          <w:rFonts w:ascii="Times New Roman" w:hAnsi="Times New Roman" w:cs="Times New Roman"/>
          <w:sz w:val="24"/>
          <w:szCs w:val="24"/>
        </w:rPr>
        <w:t>equilibrium</w:t>
      </w:r>
      <w:r w:rsidR="00E46B6B" w:rsidRPr="002B47B7">
        <w:rPr>
          <w:rFonts w:ascii="Times New Roman" w:hAnsi="Times New Roman" w:cs="Times New Roman"/>
          <w:sz w:val="24"/>
          <w:szCs w:val="24"/>
        </w:rPr>
        <w:t xml:space="preserve"> between </w:t>
      </w:r>
      <w:r w:rsidR="003635E2" w:rsidRPr="002B47B7">
        <w:rPr>
          <w:rFonts w:ascii="Times New Roman" w:hAnsi="Times New Roman" w:cs="Times New Roman"/>
          <w:sz w:val="24"/>
          <w:szCs w:val="24"/>
        </w:rPr>
        <w:t>rules</w:t>
      </w:r>
      <w:r w:rsidR="00E46B6B" w:rsidRPr="002B47B7">
        <w:rPr>
          <w:rFonts w:ascii="Times New Roman" w:hAnsi="Times New Roman" w:cs="Times New Roman"/>
          <w:sz w:val="24"/>
          <w:szCs w:val="24"/>
        </w:rPr>
        <w:t xml:space="preserve"> made by the legislature and those produced by the courts, with civil law systems, </w:t>
      </w:r>
      <w:r w:rsidR="00E46B6B" w:rsidRPr="002B47B7">
        <w:rPr>
          <w:rFonts w:ascii="Times New Roman" w:hAnsi="Times New Roman" w:cs="Times New Roman"/>
          <w:sz w:val="24"/>
          <w:szCs w:val="24"/>
        </w:rPr>
        <w:lastRenderedPageBreak/>
        <w:t xml:space="preserve">which are dominant over much of continental Europe. </w:t>
      </w:r>
      <w:r w:rsidR="00C232D9" w:rsidRPr="002B47B7">
        <w:rPr>
          <w:rFonts w:ascii="Times New Roman" w:hAnsi="Times New Roman" w:cs="Times New Roman"/>
          <w:sz w:val="24"/>
          <w:szCs w:val="24"/>
        </w:rPr>
        <w:t>It has been argued that t</w:t>
      </w:r>
      <w:r w:rsidR="00E46B6B" w:rsidRPr="002B47B7">
        <w:rPr>
          <w:rFonts w:ascii="Times New Roman" w:hAnsi="Times New Roman" w:cs="Times New Roman"/>
          <w:sz w:val="24"/>
          <w:szCs w:val="24"/>
        </w:rPr>
        <w:t>he Napoleonic origins of the French Civil Code have significantly influenced civil law systems</w:t>
      </w:r>
      <w:r w:rsidR="008019F5" w:rsidRPr="002B47B7">
        <w:rPr>
          <w:rFonts w:ascii="Times New Roman" w:hAnsi="Times New Roman" w:cs="Times New Roman"/>
          <w:sz w:val="24"/>
          <w:szCs w:val="24"/>
        </w:rPr>
        <w:t xml:space="preserve"> (</w:t>
      </w:r>
      <w:proofErr w:type="spellStart"/>
      <w:r w:rsidR="008019F5" w:rsidRPr="002B47B7">
        <w:rPr>
          <w:rFonts w:ascii="Times New Roman" w:hAnsi="Times New Roman" w:cs="Times New Roman"/>
          <w:color w:val="222222"/>
          <w:sz w:val="24"/>
          <w:szCs w:val="24"/>
          <w:shd w:val="clear" w:color="auto" w:fill="FFFFFF"/>
        </w:rPr>
        <w:t>Lupois</w:t>
      </w:r>
      <w:proofErr w:type="spellEnd"/>
      <w:r w:rsidR="008019F5" w:rsidRPr="002B47B7">
        <w:rPr>
          <w:rFonts w:ascii="Times New Roman" w:hAnsi="Times New Roman" w:cs="Times New Roman"/>
          <w:color w:val="222222"/>
          <w:sz w:val="24"/>
          <w:szCs w:val="24"/>
          <w:shd w:val="clear" w:color="auto" w:fill="FFFFFF"/>
        </w:rPr>
        <w:t>, 2020</w:t>
      </w:r>
      <w:r w:rsidR="008019F5" w:rsidRPr="002B47B7">
        <w:rPr>
          <w:rFonts w:ascii="Times New Roman" w:hAnsi="Times New Roman" w:cs="Times New Roman"/>
          <w:sz w:val="24"/>
          <w:szCs w:val="24"/>
        </w:rPr>
        <w:t>)</w:t>
      </w:r>
      <w:r w:rsidR="00E46B6B" w:rsidRPr="002B47B7">
        <w:rPr>
          <w:rFonts w:ascii="Times New Roman" w:hAnsi="Times New Roman" w:cs="Times New Roman"/>
          <w:sz w:val="24"/>
          <w:szCs w:val="24"/>
        </w:rPr>
        <w:t xml:space="preserve">. </w:t>
      </w:r>
    </w:p>
    <w:p w14:paraId="42BA8507" w14:textId="77777777" w:rsidR="00164D50" w:rsidRPr="002B47B7" w:rsidRDefault="001B4F5C" w:rsidP="00F86AA7">
      <w:pPr>
        <w:spacing w:after="0" w:line="480" w:lineRule="auto"/>
        <w:contextualSpacing/>
        <w:rPr>
          <w:rFonts w:ascii="Times New Roman" w:hAnsi="Times New Roman" w:cs="Times New Roman"/>
          <w:sz w:val="24"/>
          <w:szCs w:val="24"/>
        </w:rPr>
      </w:pPr>
      <w:r w:rsidRPr="002B47B7">
        <w:rPr>
          <w:rFonts w:ascii="Times New Roman" w:hAnsi="Times New Roman" w:cs="Times New Roman"/>
          <w:sz w:val="24"/>
          <w:szCs w:val="24"/>
        </w:rPr>
        <w:t>On the other hand, it has been indicated that t</w:t>
      </w:r>
      <w:r w:rsidR="00E46B6B" w:rsidRPr="002B47B7">
        <w:rPr>
          <w:rFonts w:ascii="Times New Roman" w:hAnsi="Times New Roman" w:cs="Times New Roman"/>
          <w:sz w:val="24"/>
          <w:szCs w:val="24"/>
        </w:rPr>
        <w:t xml:space="preserve">he civil code </w:t>
      </w:r>
      <w:r w:rsidR="003635E2">
        <w:rPr>
          <w:rFonts w:ascii="Times New Roman" w:hAnsi="Times New Roman" w:cs="Times New Roman"/>
          <w:sz w:val="24"/>
          <w:szCs w:val="24"/>
        </w:rPr>
        <w:t xml:space="preserve">or </w:t>
      </w:r>
      <w:r w:rsidR="003635E2" w:rsidRPr="002B47B7">
        <w:rPr>
          <w:rFonts w:ascii="Times New Roman" w:hAnsi="Times New Roman" w:cs="Times New Roman"/>
          <w:sz w:val="24"/>
          <w:szCs w:val="24"/>
        </w:rPr>
        <w:t xml:space="preserve">constitution </w:t>
      </w:r>
      <w:r w:rsidR="00E46B6B" w:rsidRPr="002B47B7">
        <w:rPr>
          <w:rFonts w:ascii="Times New Roman" w:hAnsi="Times New Roman" w:cs="Times New Roman"/>
          <w:sz w:val="24"/>
          <w:szCs w:val="24"/>
        </w:rPr>
        <w:t>is the primary source of law in a civil law system</w:t>
      </w:r>
      <w:r w:rsidR="00F336D6" w:rsidRPr="002B47B7">
        <w:rPr>
          <w:rFonts w:ascii="Times New Roman" w:hAnsi="Times New Roman" w:cs="Times New Roman"/>
          <w:sz w:val="24"/>
          <w:szCs w:val="24"/>
        </w:rPr>
        <w:t>, which has led to the development of other laws</w:t>
      </w:r>
      <w:r w:rsidR="00E46B6B" w:rsidRPr="002B47B7">
        <w:rPr>
          <w:rFonts w:ascii="Times New Roman" w:hAnsi="Times New Roman" w:cs="Times New Roman"/>
          <w:sz w:val="24"/>
          <w:szCs w:val="24"/>
        </w:rPr>
        <w:t xml:space="preserve">. Although it is not the </w:t>
      </w:r>
      <w:r w:rsidR="00CB3AD2">
        <w:rPr>
          <w:rFonts w:ascii="Times New Roman" w:hAnsi="Times New Roman" w:cs="Times New Roman"/>
          <w:sz w:val="24"/>
          <w:szCs w:val="24"/>
        </w:rPr>
        <w:t xml:space="preserve">single system of the </w:t>
      </w:r>
      <w:r w:rsidR="00E46B6B" w:rsidRPr="002B47B7">
        <w:rPr>
          <w:rFonts w:ascii="Times New Roman" w:hAnsi="Times New Roman" w:cs="Times New Roman"/>
          <w:sz w:val="24"/>
          <w:szCs w:val="24"/>
        </w:rPr>
        <w:t xml:space="preserve">common law, the English </w:t>
      </w:r>
      <w:r w:rsidR="006A6299">
        <w:rPr>
          <w:rFonts w:ascii="Times New Roman" w:hAnsi="Times New Roman" w:cs="Times New Roman"/>
          <w:sz w:val="24"/>
          <w:szCs w:val="24"/>
        </w:rPr>
        <w:t xml:space="preserve">legal </w:t>
      </w:r>
      <w:r w:rsidR="00AE0407" w:rsidRPr="002B47B7">
        <w:rPr>
          <w:rFonts w:ascii="Times New Roman" w:hAnsi="Times New Roman" w:cs="Times New Roman"/>
          <w:sz w:val="24"/>
          <w:szCs w:val="24"/>
        </w:rPr>
        <w:t>system</w:t>
      </w:r>
      <w:r w:rsidR="00E46B6B" w:rsidRPr="002B47B7">
        <w:rPr>
          <w:rFonts w:ascii="Times New Roman" w:hAnsi="Times New Roman" w:cs="Times New Roman"/>
          <w:sz w:val="24"/>
          <w:szCs w:val="24"/>
        </w:rPr>
        <w:t xml:space="preserve"> can be regarded as a distinct common law system because it has historically formed in a particular form</w:t>
      </w:r>
      <w:r w:rsidR="00C7688E" w:rsidRPr="002B47B7">
        <w:rPr>
          <w:rFonts w:ascii="Times New Roman" w:hAnsi="Times New Roman" w:cs="Times New Roman"/>
          <w:sz w:val="24"/>
          <w:szCs w:val="24"/>
        </w:rPr>
        <w:t xml:space="preserve"> (</w:t>
      </w:r>
      <w:r w:rsidR="00C7688E" w:rsidRPr="002B47B7">
        <w:rPr>
          <w:rFonts w:ascii="Times New Roman" w:hAnsi="Times New Roman" w:cs="Times New Roman"/>
          <w:color w:val="222222"/>
          <w:sz w:val="24"/>
          <w:szCs w:val="24"/>
          <w:shd w:val="clear" w:color="auto" w:fill="FFFFFF"/>
        </w:rPr>
        <w:t>Partington, 2021</w:t>
      </w:r>
      <w:r w:rsidR="00C7688E" w:rsidRPr="002B47B7">
        <w:rPr>
          <w:rFonts w:ascii="Times New Roman" w:hAnsi="Times New Roman" w:cs="Times New Roman"/>
          <w:sz w:val="24"/>
          <w:szCs w:val="24"/>
        </w:rPr>
        <w:t>)</w:t>
      </w:r>
      <w:r w:rsidR="00E46B6B" w:rsidRPr="002B47B7">
        <w:rPr>
          <w:rFonts w:ascii="Times New Roman" w:hAnsi="Times New Roman" w:cs="Times New Roman"/>
          <w:sz w:val="24"/>
          <w:szCs w:val="24"/>
        </w:rPr>
        <w:t>. Judges in medieval England created the common law legal system since there was no unified common law legal system. The common law system was created via case interpretation, which allowed judges to create a body of law based on the decisions they made in earlier cases. However, a fundamental weakness exists because the common law system does not offer a comprehensive legal system</w:t>
      </w:r>
      <w:r w:rsidR="00113019" w:rsidRPr="002B47B7">
        <w:rPr>
          <w:rFonts w:ascii="Times New Roman" w:hAnsi="Times New Roman" w:cs="Times New Roman"/>
          <w:sz w:val="24"/>
          <w:szCs w:val="24"/>
        </w:rPr>
        <w:t xml:space="preserve"> (</w:t>
      </w:r>
      <w:proofErr w:type="spellStart"/>
      <w:r w:rsidR="00113019" w:rsidRPr="002B47B7">
        <w:rPr>
          <w:rFonts w:ascii="Times New Roman" w:hAnsi="Times New Roman" w:cs="Times New Roman"/>
          <w:color w:val="222222"/>
          <w:sz w:val="24"/>
          <w:szCs w:val="24"/>
          <w:shd w:val="clear" w:color="auto" w:fill="FFFFFF"/>
        </w:rPr>
        <w:t>Brilmayer</w:t>
      </w:r>
      <w:proofErr w:type="spellEnd"/>
      <w:r w:rsidR="00113019" w:rsidRPr="002B47B7">
        <w:rPr>
          <w:rFonts w:ascii="Times New Roman" w:hAnsi="Times New Roman" w:cs="Times New Roman"/>
          <w:color w:val="222222"/>
          <w:sz w:val="24"/>
          <w:szCs w:val="24"/>
          <w:shd w:val="clear" w:color="auto" w:fill="FFFFFF"/>
        </w:rPr>
        <w:t xml:space="preserve"> and </w:t>
      </w:r>
      <w:proofErr w:type="spellStart"/>
      <w:r w:rsidR="00113019" w:rsidRPr="002B47B7">
        <w:rPr>
          <w:rFonts w:ascii="Times New Roman" w:hAnsi="Times New Roman" w:cs="Times New Roman"/>
          <w:color w:val="222222"/>
          <w:sz w:val="24"/>
          <w:szCs w:val="24"/>
          <w:shd w:val="clear" w:color="auto" w:fill="FFFFFF"/>
        </w:rPr>
        <w:t>Listwa</w:t>
      </w:r>
      <w:proofErr w:type="spellEnd"/>
      <w:r w:rsidR="00113019" w:rsidRPr="002B47B7">
        <w:rPr>
          <w:rFonts w:ascii="Times New Roman" w:hAnsi="Times New Roman" w:cs="Times New Roman"/>
          <w:color w:val="222222"/>
          <w:sz w:val="24"/>
          <w:szCs w:val="24"/>
          <w:shd w:val="clear" w:color="auto" w:fill="FFFFFF"/>
        </w:rPr>
        <w:t>, 2020</w:t>
      </w:r>
      <w:r w:rsidR="00113019" w:rsidRPr="002B47B7">
        <w:rPr>
          <w:rFonts w:ascii="Times New Roman" w:hAnsi="Times New Roman" w:cs="Times New Roman"/>
          <w:sz w:val="24"/>
          <w:szCs w:val="24"/>
        </w:rPr>
        <w:t>)</w:t>
      </w:r>
      <w:r w:rsidR="00E15C22" w:rsidRPr="002B47B7">
        <w:rPr>
          <w:rFonts w:ascii="Times New Roman" w:hAnsi="Times New Roman" w:cs="Times New Roman"/>
          <w:sz w:val="24"/>
          <w:szCs w:val="24"/>
        </w:rPr>
        <w:t xml:space="preserve">. </w:t>
      </w:r>
      <w:r w:rsidR="00E46B6B" w:rsidRPr="002B47B7">
        <w:rPr>
          <w:rFonts w:ascii="Times New Roman" w:hAnsi="Times New Roman" w:cs="Times New Roman"/>
          <w:sz w:val="24"/>
          <w:szCs w:val="24"/>
        </w:rPr>
        <w:t xml:space="preserve">The new law has starkly contrasted the common and civil law systems. Both statutory and civil laws are based on the principle that retroactive effect is unjust. </w:t>
      </w:r>
      <w:r w:rsidR="00EB4906" w:rsidRPr="002B47B7">
        <w:rPr>
          <w:rFonts w:ascii="Times New Roman" w:hAnsi="Times New Roman" w:cs="Times New Roman"/>
          <w:sz w:val="24"/>
          <w:szCs w:val="24"/>
        </w:rPr>
        <w:t>However</w:t>
      </w:r>
      <w:r w:rsidR="00E46B6B" w:rsidRPr="002B47B7">
        <w:rPr>
          <w:rFonts w:ascii="Times New Roman" w:hAnsi="Times New Roman" w:cs="Times New Roman"/>
          <w:sz w:val="24"/>
          <w:szCs w:val="24"/>
        </w:rPr>
        <w:t>, as they are based on the information from the most recent case, any changes to the law brought about by cases will still be applicable in the future</w:t>
      </w:r>
      <w:r w:rsidR="00454D4A" w:rsidRPr="002B47B7">
        <w:rPr>
          <w:rFonts w:ascii="Times New Roman" w:hAnsi="Times New Roman" w:cs="Times New Roman"/>
          <w:sz w:val="24"/>
          <w:szCs w:val="24"/>
        </w:rPr>
        <w:t xml:space="preserve"> </w:t>
      </w:r>
      <w:r w:rsidR="00FA6A22" w:rsidRPr="002B47B7">
        <w:rPr>
          <w:rFonts w:ascii="Times New Roman" w:hAnsi="Times New Roman" w:cs="Times New Roman"/>
          <w:color w:val="222222"/>
          <w:sz w:val="24"/>
          <w:szCs w:val="24"/>
          <w:shd w:val="clear" w:color="auto" w:fill="FFFFFF"/>
        </w:rPr>
        <w:t>(Baker, 2019</w:t>
      </w:r>
      <w:r w:rsidR="00FA6A22" w:rsidRPr="002B47B7">
        <w:rPr>
          <w:rFonts w:ascii="Times New Roman" w:hAnsi="Times New Roman" w:cs="Times New Roman"/>
          <w:sz w:val="24"/>
          <w:szCs w:val="24"/>
        </w:rPr>
        <w:t xml:space="preserve">) </w:t>
      </w:r>
      <w:r w:rsidR="00E46B6B" w:rsidRPr="002B47B7">
        <w:rPr>
          <w:rFonts w:ascii="Times New Roman" w:hAnsi="Times New Roman" w:cs="Times New Roman"/>
          <w:sz w:val="24"/>
          <w:szCs w:val="24"/>
        </w:rPr>
        <w:t xml:space="preserve">. </w:t>
      </w:r>
    </w:p>
    <w:p w14:paraId="088E2E3F" w14:textId="77777777" w:rsidR="00E41AE5" w:rsidRPr="002B47B7" w:rsidRDefault="00E46B6B" w:rsidP="00F86AA7">
      <w:pPr>
        <w:spacing w:after="0" w:line="480" w:lineRule="auto"/>
        <w:contextualSpacing/>
        <w:rPr>
          <w:rFonts w:ascii="Times New Roman" w:hAnsi="Times New Roman" w:cs="Times New Roman"/>
          <w:sz w:val="24"/>
          <w:szCs w:val="24"/>
        </w:rPr>
      </w:pPr>
      <w:r w:rsidRPr="002B47B7">
        <w:rPr>
          <w:rFonts w:ascii="Times New Roman" w:hAnsi="Times New Roman" w:cs="Times New Roman"/>
          <w:sz w:val="24"/>
          <w:szCs w:val="24"/>
        </w:rPr>
        <w:t>In the contentious case of SW v. United Kingdom (</w:t>
      </w:r>
      <w:r w:rsidR="00EB22D0" w:rsidRPr="002B47B7">
        <w:rPr>
          <w:rFonts w:ascii="Times New Roman" w:hAnsi="Times New Roman" w:cs="Times New Roman"/>
          <w:sz w:val="24"/>
          <w:szCs w:val="24"/>
        </w:rPr>
        <w:t>1996</w:t>
      </w:r>
      <w:r w:rsidRPr="002B47B7">
        <w:rPr>
          <w:rFonts w:ascii="Times New Roman" w:hAnsi="Times New Roman" w:cs="Times New Roman"/>
          <w:sz w:val="24"/>
          <w:szCs w:val="24"/>
        </w:rPr>
        <w:t>), two men who had been found guilty of raping their wives complained to the European Court of Human Rights</w:t>
      </w:r>
      <w:r w:rsidR="006A6299">
        <w:rPr>
          <w:rFonts w:ascii="Times New Roman" w:hAnsi="Times New Roman" w:cs="Times New Roman"/>
          <w:sz w:val="24"/>
          <w:szCs w:val="24"/>
        </w:rPr>
        <w:t xml:space="preserve"> (ECHR)</w:t>
      </w:r>
      <w:r w:rsidRPr="002B47B7">
        <w:rPr>
          <w:rFonts w:ascii="Times New Roman" w:hAnsi="Times New Roman" w:cs="Times New Roman"/>
          <w:sz w:val="24"/>
          <w:szCs w:val="24"/>
        </w:rPr>
        <w:t xml:space="preserve"> that their Article 7 rights had been infringed by making a criminal law retroactive. Nonetheless, the Court decided there was no violation as long as modifications could be foreseen.</w:t>
      </w:r>
      <w:r w:rsidR="00164D50" w:rsidRPr="002B47B7">
        <w:rPr>
          <w:rFonts w:ascii="Times New Roman" w:hAnsi="Times New Roman" w:cs="Times New Roman"/>
          <w:sz w:val="24"/>
          <w:szCs w:val="24"/>
        </w:rPr>
        <w:t xml:space="preserve"> </w:t>
      </w:r>
      <w:r w:rsidR="00704B9D" w:rsidRPr="002B47B7">
        <w:rPr>
          <w:rFonts w:ascii="Times New Roman" w:hAnsi="Times New Roman" w:cs="Times New Roman"/>
          <w:sz w:val="24"/>
          <w:szCs w:val="24"/>
        </w:rPr>
        <w:t>In contrast, civil law systems are based on codified laws, written laws created by the legislature. These laws are usually organized into codes, which are comprehensive collections of laws on specific topics. Civil law systems are generally more prescriptive than common law systems, as they rely on the precise wording of the law rather than judicial interpretation</w:t>
      </w:r>
      <w:r w:rsidR="00321048" w:rsidRPr="002B47B7">
        <w:rPr>
          <w:rFonts w:ascii="Times New Roman" w:hAnsi="Times New Roman" w:cs="Times New Roman"/>
          <w:sz w:val="24"/>
          <w:szCs w:val="24"/>
        </w:rPr>
        <w:t xml:space="preserve"> (</w:t>
      </w:r>
      <w:r w:rsidR="00321048" w:rsidRPr="002B47B7">
        <w:rPr>
          <w:rFonts w:ascii="Times New Roman" w:hAnsi="Times New Roman" w:cs="Times New Roman"/>
          <w:color w:val="222222"/>
          <w:sz w:val="24"/>
          <w:szCs w:val="24"/>
          <w:shd w:val="clear" w:color="auto" w:fill="FFFFFF"/>
        </w:rPr>
        <w:t>Partington, 2021</w:t>
      </w:r>
      <w:r w:rsidR="00321048" w:rsidRPr="002B47B7">
        <w:rPr>
          <w:rFonts w:ascii="Times New Roman" w:hAnsi="Times New Roman" w:cs="Times New Roman"/>
          <w:sz w:val="24"/>
          <w:szCs w:val="24"/>
        </w:rPr>
        <w:t>)</w:t>
      </w:r>
      <w:r w:rsidR="00704B9D" w:rsidRPr="002B47B7">
        <w:rPr>
          <w:rFonts w:ascii="Times New Roman" w:hAnsi="Times New Roman" w:cs="Times New Roman"/>
          <w:sz w:val="24"/>
          <w:szCs w:val="24"/>
        </w:rPr>
        <w:t xml:space="preserve">. </w:t>
      </w:r>
    </w:p>
    <w:p w14:paraId="5190CC0D" w14:textId="1F43B41E" w:rsidR="00D077AB" w:rsidRPr="002B47B7" w:rsidRDefault="004C18F8" w:rsidP="00F86AA7">
      <w:pPr>
        <w:spacing w:after="0" w:line="480" w:lineRule="auto"/>
        <w:contextualSpacing/>
        <w:rPr>
          <w:rFonts w:ascii="Times New Roman" w:hAnsi="Times New Roman" w:cs="Times New Roman"/>
          <w:sz w:val="24"/>
          <w:szCs w:val="24"/>
        </w:rPr>
      </w:pPr>
      <w:r w:rsidRPr="002B47B7">
        <w:rPr>
          <w:rFonts w:ascii="Times New Roman" w:hAnsi="Times New Roman" w:cs="Times New Roman"/>
          <w:sz w:val="24"/>
          <w:szCs w:val="24"/>
        </w:rPr>
        <w:lastRenderedPageBreak/>
        <w:t xml:space="preserve">One of the most famous examples of common law in practice is the case of Donoghue v Stevenson (1932), which </w:t>
      </w:r>
      <w:proofErr w:type="spellStart"/>
      <w:r w:rsidR="001C1454" w:rsidRPr="002B47B7">
        <w:rPr>
          <w:rFonts w:ascii="Times New Roman" w:hAnsi="Times New Roman" w:cs="Times New Roman"/>
          <w:sz w:val="24"/>
          <w:szCs w:val="24"/>
        </w:rPr>
        <w:t>recogni</w:t>
      </w:r>
      <w:r w:rsidR="001C1454">
        <w:rPr>
          <w:rFonts w:ascii="Times New Roman" w:hAnsi="Times New Roman" w:cs="Times New Roman"/>
          <w:sz w:val="24"/>
          <w:szCs w:val="24"/>
        </w:rPr>
        <w:t>s</w:t>
      </w:r>
      <w:r w:rsidR="001C1454" w:rsidRPr="002B47B7">
        <w:rPr>
          <w:rFonts w:ascii="Times New Roman" w:hAnsi="Times New Roman" w:cs="Times New Roman"/>
          <w:sz w:val="24"/>
          <w:szCs w:val="24"/>
        </w:rPr>
        <w:t>ed</w:t>
      </w:r>
      <w:proofErr w:type="spellEnd"/>
      <w:r w:rsidRPr="002B47B7">
        <w:rPr>
          <w:rFonts w:ascii="Times New Roman" w:hAnsi="Times New Roman" w:cs="Times New Roman"/>
          <w:sz w:val="24"/>
          <w:szCs w:val="24"/>
        </w:rPr>
        <w:t xml:space="preserve"> the </w:t>
      </w:r>
      <w:r w:rsidR="005A041D">
        <w:rPr>
          <w:rFonts w:ascii="Times New Roman" w:hAnsi="Times New Roman" w:cs="Times New Roman"/>
          <w:sz w:val="24"/>
          <w:szCs w:val="24"/>
        </w:rPr>
        <w:t xml:space="preserve">negligence </w:t>
      </w:r>
      <w:r w:rsidRPr="002B47B7">
        <w:rPr>
          <w:rFonts w:ascii="Times New Roman" w:hAnsi="Times New Roman" w:cs="Times New Roman"/>
          <w:sz w:val="24"/>
          <w:szCs w:val="24"/>
        </w:rPr>
        <w:t xml:space="preserve">principle in English law. In this case, the plaintiff, </w:t>
      </w:r>
      <w:proofErr w:type="spellStart"/>
      <w:r w:rsidRPr="002B47B7">
        <w:rPr>
          <w:rFonts w:ascii="Times New Roman" w:hAnsi="Times New Roman" w:cs="Times New Roman"/>
          <w:sz w:val="24"/>
          <w:szCs w:val="24"/>
        </w:rPr>
        <w:t>Mrs</w:t>
      </w:r>
      <w:proofErr w:type="spellEnd"/>
      <w:r w:rsidRPr="002B47B7">
        <w:rPr>
          <w:rFonts w:ascii="Times New Roman" w:hAnsi="Times New Roman" w:cs="Times New Roman"/>
          <w:sz w:val="24"/>
          <w:szCs w:val="24"/>
        </w:rPr>
        <w:t xml:space="preserve"> Donoghue, </w:t>
      </w:r>
      <w:r w:rsidR="00752516">
        <w:rPr>
          <w:rFonts w:ascii="Times New Roman" w:hAnsi="Times New Roman" w:cs="Times New Roman"/>
          <w:sz w:val="24"/>
          <w:szCs w:val="24"/>
        </w:rPr>
        <w:t>consumed</w:t>
      </w:r>
      <w:r w:rsidRPr="002B47B7">
        <w:rPr>
          <w:rFonts w:ascii="Times New Roman" w:hAnsi="Times New Roman" w:cs="Times New Roman"/>
          <w:sz w:val="24"/>
          <w:szCs w:val="24"/>
        </w:rPr>
        <w:t xml:space="preserve"> a ginger </w:t>
      </w:r>
      <w:r w:rsidR="00752516">
        <w:rPr>
          <w:rFonts w:ascii="Times New Roman" w:hAnsi="Times New Roman" w:cs="Times New Roman"/>
          <w:sz w:val="24"/>
          <w:szCs w:val="24"/>
        </w:rPr>
        <w:t xml:space="preserve">bottle </w:t>
      </w:r>
      <w:r w:rsidRPr="002B47B7">
        <w:rPr>
          <w:rFonts w:ascii="Times New Roman" w:hAnsi="Times New Roman" w:cs="Times New Roman"/>
          <w:sz w:val="24"/>
          <w:szCs w:val="24"/>
        </w:rPr>
        <w:t xml:space="preserve">beer </w:t>
      </w:r>
      <w:r w:rsidR="00752516">
        <w:rPr>
          <w:rFonts w:ascii="Times New Roman" w:hAnsi="Times New Roman" w:cs="Times New Roman"/>
          <w:sz w:val="24"/>
          <w:szCs w:val="24"/>
        </w:rPr>
        <w:t xml:space="preserve">with </w:t>
      </w:r>
      <w:r w:rsidRPr="002B47B7">
        <w:rPr>
          <w:rFonts w:ascii="Times New Roman" w:hAnsi="Times New Roman" w:cs="Times New Roman"/>
          <w:sz w:val="24"/>
          <w:szCs w:val="24"/>
        </w:rPr>
        <w:t xml:space="preserve">dead snail. She became ill and sued the </w:t>
      </w:r>
      <w:r w:rsidR="00262590">
        <w:rPr>
          <w:rFonts w:ascii="Times New Roman" w:hAnsi="Times New Roman" w:cs="Times New Roman"/>
          <w:sz w:val="24"/>
          <w:szCs w:val="24"/>
        </w:rPr>
        <w:t xml:space="preserve">producers </w:t>
      </w:r>
      <w:r w:rsidRPr="002B47B7">
        <w:rPr>
          <w:rFonts w:ascii="Times New Roman" w:hAnsi="Times New Roman" w:cs="Times New Roman"/>
          <w:sz w:val="24"/>
          <w:szCs w:val="24"/>
        </w:rPr>
        <w:t>of the ginger beer</w:t>
      </w:r>
      <w:r w:rsidR="00CB7A60">
        <w:rPr>
          <w:rFonts w:ascii="Times New Roman" w:hAnsi="Times New Roman" w:cs="Times New Roman"/>
          <w:sz w:val="24"/>
          <w:szCs w:val="24"/>
        </w:rPr>
        <w:t xml:space="preserve"> </w:t>
      </w:r>
      <w:r w:rsidR="00CB7A60" w:rsidRPr="002B47B7">
        <w:rPr>
          <w:rFonts w:ascii="Times New Roman" w:hAnsi="Times New Roman" w:cs="Times New Roman"/>
          <w:sz w:val="24"/>
          <w:szCs w:val="24"/>
        </w:rPr>
        <w:t>for negligence</w:t>
      </w:r>
      <w:r w:rsidRPr="002B47B7">
        <w:rPr>
          <w:rFonts w:ascii="Times New Roman" w:hAnsi="Times New Roman" w:cs="Times New Roman"/>
          <w:sz w:val="24"/>
          <w:szCs w:val="24"/>
        </w:rPr>
        <w:t xml:space="preserve">, </w:t>
      </w:r>
      <w:proofErr w:type="spellStart"/>
      <w:r w:rsidRPr="002B47B7">
        <w:rPr>
          <w:rFonts w:ascii="Times New Roman" w:hAnsi="Times New Roman" w:cs="Times New Roman"/>
          <w:sz w:val="24"/>
          <w:szCs w:val="24"/>
        </w:rPr>
        <w:t>Mr</w:t>
      </w:r>
      <w:proofErr w:type="spellEnd"/>
      <w:r w:rsidRPr="002B47B7">
        <w:rPr>
          <w:rFonts w:ascii="Times New Roman" w:hAnsi="Times New Roman" w:cs="Times New Roman"/>
          <w:sz w:val="24"/>
          <w:szCs w:val="24"/>
        </w:rPr>
        <w:t xml:space="preserve"> Stevenson</w:t>
      </w:r>
      <w:r w:rsidR="00CD05C4">
        <w:rPr>
          <w:rFonts w:ascii="Times New Roman" w:hAnsi="Times New Roman" w:cs="Times New Roman"/>
          <w:sz w:val="24"/>
          <w:szCs w:val="24"/>
        </w:rPr>
        <w:t>.</w:t>
      </w:r>
      <w:r w:rsidRPr="002B47B7">
        <w:rPr>
          <w:rFonts w:ascii="Times New Roman" w:hAnsi="Times New Roman" w:cs="Times New Roman"/>
          <w:sz w:val="24"/>
          <w:szCs w:val="24"/>
        </w:rPr>
        <w:t xml:space="preserve"> The House of Lords </w:t>
      </w:r>
      <w:r w:rsidR="00041F91">
        <w:rPr>
          <w:rFonts w:ascii="Times New Roman" w:hAnsi="Times New Roman" w:cs="Times New Roman"/>
          <w:sz w:val="24"/>
          <w:szCs w:val="24"/>
        </w:rPr>
        <w:t>(</w:t>
      </w:r>
      <w:proofErr w:type="spellStart"/>
      <w:r w:rsidR="00041F91">
        <w:rPr>
          <w:rFonts w:ascii="Times New Roman" w:hAnsi="Times New Roman" w:cs="Times New Roman"/>
          <w:sz w:val="24"/>
          <w:szCs w:val="24"/>
        </w:rPr>
        <w:t>HoL</w:t>
      </w:r>
      <w:proofErr w:type="spellEnd"/>
      <w:r w:rsidR="00041F91">
        <w:rPr>
          <w:rFonts w:ascii="Times New Roman" w:hAnsi="Times New Roman" w:cs="Times New Roman"/>
          <w:sz w:val="24"/>
          <w:szCs w:val="24"/>
        </w:rPr>
        <w:t xml:space="preserve">) </w:t>
      </w:r>
      <w:r w:rsidRPr="002B47B7">
        <w:rPr>
          <w:rFonts w:ascii="Times New Roman" w:hAnsi="Times New Roman" w:cs="Times New Roman"/>
          <w:sz w:val="24"/>
          <w:szCs w:val="24"/>
        </w:rPr>
        <w:t xml:space="preserve">held that </w:t>
      </w:r>
      <w:r w:rsidR="00B20F4D" w:rsidRPr="002B47B7">
        <w:rPr>
          <w:rFonts w:ascii="Times New Roman" w:hAnsi="Times New Roman" w:cs="Times New Roman"/>
          <w:sz w:val="24"/>
          <w:szCs w:val="24"/>
        </w:rPr>
        <w:t>producers</w:t>
      </w:r>
      <w:r w:rsidRPr="002B47B7">
        <w:rPr>
          <w:rFonts w:ascii="Times New Roman" w:hAnsi="Times New Roman" w:cs="Times New Roman"/>
          <w:sz w:val="24"/>
          <w:szCs w:val="24"/>
        </w:rPr>
        <w:t xml:space="preserve"> </w:t>
      </w:r>
      <w:r w:rsidR="00B20F4D">
        <w:rPr>
          <w:rFonts w:ascii="Times New Roman" w:hAnsi="Times New Roman" w:cs="Times New Roman"/>
          <w:sz w:val="24"/>
          <w:szCs w:val="24"/>
        </w:rPr>
        <w:t>“</w:t>
      </w:r>
      <w:r w:rsidRPr="002B47B7">
        <w:rPr>
          <w:rFonts w:ascii="Times New Roman" w:hAnsi="Times New Roman" w:cs="Times New Roman"/>
          <w:sz w:val="24"/>
          <w:szCs w:val="24"/>
        </w:rPr>
        <w:t>owe a duty of care</w:t>
      </w:r>
      <w:r w:rsidR="00B20F4D">
        <w:rPr>
          <w:rFonts w:ascii="Times New Roman" w:hAnsi="Times New Roman" w:cs="Times New Roman"/>
          <w:sz w:val="24"/>
          <w:szCs w:val="24"/>
        </w:rPr>
        <w:t>”</w:t>
      </w:r>
      <w:r w:rsidRPr="002B47B7">
        <w:rPr>
          <w:rFonts w:ascii="Times New Roman" w:hAnsi="Times New Roman" w:cs="Times New Roman"/>
          <w:sz w:val="24"/>
          <w:szCs w:val="24"/>
        </w:rPr>
        <w:t xml:space="preserve"> to their customers, even if there is no contractual </w:t>
      </w:r>
      <w:r w:rsidR="00730784" w:rsidRPr="002B47B7">
        <w:rPr>
          <w:rFonts w:ascii="Times New Roman" w:hAnsi="Times New Roman" w:cs="Times New Roman"/>
          <w:sz w:val="24"/>
          <w:szCs w:val="24"/>
        </w:rPr>
        <w:t>association</w:t>
      </w:r>
      <w:r w:rsidRPr="002B47B7">
        <w:rPr>
          <w:rFonts w:ascii="Times New Roman" w:hAnsi="Times New Roman" w:cs="Times New Roman"/>
          <w:sz w:val="24"/>
          <w:szCs w:val="24"/>
        </w:rPr>
        <w:t xml:space="preserve"> between them. This case established the principle of negligence in English law and has been cited in many subsequent cases.</w:t>
      </w:r>
      <w:r w:rsidR="00E056F1" w:rsidRPr="002B47B7">
        <w:rPr>
          <w:rFonts w:ascii="Times New Roman" w:hAnsi="Times New Roman" w:cs="Times New Roman"/>
          <w:sz w:val="24"/>
          <w:szCs w:val="24"/>
        </w:rPr>
        <w:t xml:space="preserve"> Another </w:t>
      </w:r>
      <w:r w:rsidRPr="002B47B7">
        <w:rPr>
          <w:rFonts w:ascii="Times New Roman" w:hAnsi="Times New Roman" w:cs="Times New Roman"/>
          <w:sz w:val="24"/>
          <w:szCs w:val="24"/>
        </w:rPr>
        <w:t xml:space="preserve">famous example of the common law in practice is the case of </w:t>
      </w:r>
      <w:r w:rsidR="00F23B31">
        <w:rPr>
          <w:rFonts w:ascii="Times New Roman" w:hAnsi="Times New Roman" w:cs="Times New Roman"/>
          <w:sz w:val="24"/>
          <w:szCs w:val="24"/>
        </w:rPr>
        <w:t>“</w:t>
      </w:r>
      <w:r w:rsidRPr="002B47B7">
        <w:rPr>
          <w:rFonts w:ascii="Times New Roman" w:hAnsi="Times New Roman" w:cs="Times New Roman"/>
          <w:sz w:val="24"/>
          <w:szCs w:val="24"/>
        </w:rPr>
        <w:t>Carlill v Carbolic Smoke Ball Co (</w:t>
      </w:r>
      <w:r w:rsidR="0074688C" w:rsidRPr="002B47B7">
        <w:rPr>
          <w:rFonts w:ascii="Times New Roman" w:hAnsi="Times New Roman" w:cs="Times New Roman"/>
          <w:sz w:val="24"/>
          <w:szCs w:val="24"/>
        </w:rPr>
        <w:t>1893</w:t>
      </w:r>
      <w:r w:rsidRPr="002B47B7">
        <w:rPr>
          <w:rFonts w:ascii="Times New Roman" w:hAnsi="Times New Roman" w:cs="Times New Roman"/>
          <w:sz w:val="24"/>
          <w:szCs w:val="24"/>
        </w:rPr>
        <w:t>)</w:t>
      </w:r>
      <w:r w:rsidR="00F23B31">
        <w:rPr>
          <w:rFonts w:ascii="Times New Roman" w:hAnsi="Times New Roman" w:cs="Times New Roman"/>
          <w:sz w:val="24"/>
          <w:szCs w:val="24"/>
        </w:rPr>
        <w:t>”</w:t>
      </w:r>
      <w:r w:rsidRPr="002B47B7">
        <w:rPr>
          <w:rFonts w:ascii="Times New Roman" w:hAnsi="Times New Roman" w:cs="Times New Roman"/>
          <w:sz w:val="24"/>
          <w:szCs w:val="24"/>
        </w:rPr>
        <w:t xml:space="preserve">. </w:t>
      </w:r>
      <w:r w:rsidR="0099403C" w:rsidRPr="0099403C">
        <w:rPr>
          <w:rFonts w:ascii="Times New Roman" w:hAnsi="Times New Roman" w:cs="Times New Roman"/>
          <w:sz w:val="24"/>
          <w:szCs w:val="24"/>
        </w:rPr>
        <w:t>In this instance, Mrs. Carlill, the complainant, bought a smoke ball from the appellant business on the basis of an advertising that guaranteed to pay £100 to anybody who had the flu after using the goods.</w:t>
      </w:r>
      <w:r w:rsidR="00642033">
        <w:rPr>
          <w:rFonts w:ascii="Times New Roman" w:hAnsi="Times New Roman" w:cs="Times New Roman"/>
          <w:sz w:val="24"/>
          <w:szCs w:val="24"/>
        </w:rPr>
        <w:t xml:space="preserve"> </w:t>
      </w:r>
      <w:proofErr w:type="spellStart"/>
      <w:r w:rsidRPr="002B47B7">
        <w:rPr>
          <w:rFonts w:ascii="Times New Roman" w:hAnsi="Times New Roman" w:cs="Times New Roman"/>
          <w:sz w:val="24"/>
          <w:szCs w:val="24"/>
        </w:rPr>
        <w:t>Mrs</w:t>
      </w:r>
      <w:proofErr w:type="spellEnd"/>
      <w:r w:rsidRPr="002B47B7">
        <w:rPr>
          <w:rFonts w:ascii="Times New Roman" w:hAnsi="Times New Roman" w:cs="Times New Roman"/>
          <w:sz w:val="24"/>
          <w:szCs w:val="24"/>
        </w:rPr>
        <w:t xml:space="preserve"> Carlill contracted influenza and </w:t>
      </w:r>
      <w:r w:rsidR="00B920E7" w:rsidRPr="002B47B7">
        <w:rPr>
          <w:rFonts w:ascii="Times New Roman" w:hAnsi="Times New Roman" w:cs="Times New Roman"/>
          <w:sz w:val="24"/>
          <w:szCs w:val="24"/>
        </w:rPr>
        <w:t>charged</w:t>
      </w:r>
      <w:r w:rsidRPr="002B47B7">
        <w:rPr>
          <w:rFonts w:ascii="Times New Roman" w:hAnsi="Times New Roman" w:cs="Times New Roman"/>
          <w:sz w:val="24"/>
          <w:szCs w:val="24"/>
        </w:rPr>
        <w:t xml:space="preserve"> the </w:t>
      </w:r>
      <w:r w:rsidR="00B920E7">
        <w:rPr>
          <w:rFonts w:ascii="Times New Roman" w:hAnsi="Times New Roman" w:cs="Times New Roman"/>
          <w:sz w:val="24"/>
          <w:szCs w:val="24"/>
        </w:rPr>
        <w:t xml:space="preserve">business </w:t>
      </w:r>
      <w:r w:rsidRPr="002B47B7">
        <w:rPr>
          <w:rFonts w:ascii="Times New Roman" w:hAnsi="Times New Roman" w:cs="Times New Roman"/>
          <w:sz w:val="24"/>
          <w:szCs w:val="24"/>
        </w:rPr>
        <w:t xml:space="preserve">for </w:t>
      </w:r>
      <w:r w:rsidR="00B920E7">
        <w:rPr>
          <w:rFonts w:ascii="Times New Roman" w:hAnsi="Times New Roman" w:cs="Times New Roman"/>
          <w:sz w:val="24"/>
          <w:szCs w:val="24"/>
        </w:rPr>
        <w:t>contract violation</w:t>
      </w:r>
      <w:r w:rsidRPr="002B47B7">
        <w:rPr>
          <w:rFonts w:ascii="Times New Roman" w:hAnsi="Times New Roman" w:cs="Times New Roman"/>
          <w:sz w:val="24"/>
          <w:szCs w:val="24"/>
        </w:rPr>
        <w:t xml:space="preserve">. The court </w:t>
      </w:r>
      <w:r w:rsidR="005462F0">
        <w:rPr>
          <w:rFonts w:ascii="Times New Roman" w:hAnsi="Times New Roman" w:cs="Times New Roman"/>
          <w:sz w:val="24"/>
          <w:szCs w:val="24"/>
        </w:rPr>
        <w:t>claimed</w:t>
      </w:r>
      <w:r w:rsidRPr="002B47B7">
        <w:rPr>
          <w:rFonts w:ascii="Times New Roman" w:hAnsi="Times New Roman" w:cs="Times New Roman"/>
          <w:sz w:val="24"/>
          <w:szCs w:val="24"/>
        </w:rPr>
        <w:t xml:space="preserve"> that the advertisement constituted an offer and that Mrs Carlill had accepted the offer by using the product. The court also held that the company had provided sufficient consideration in the form of the promise to pay £100 and that they were, therefore, contractually bound to pay Mrs Carlill the promised sum. This case established the principle of unilateral contracts in English law, in which one party promises that the other party can accept by performing a specified act.</w:t>
      </w:r>
    </w:p>
    <w:p w14:paraId="1B905993" w14:textId="77777777" w:rsidR="00F86AA7" w:rsidRDefault="004C18F8" w:rsidP="00F86AA7">
      <w:pPr>
        <w:spacing w:after="0" w:line="480" w:lineRule="auto"/>
        <w:contextualSpacing/>
        <w:rPr>
          <w:rFonts w:ascii="Times New Roman" w:hAnsi="Times New Roman" w:cs="Times New Roman"/>
          <w:sz w:val="24"/>
          <w:szCs w:val="24"/>
        </w:rPr>
      </w:pPr>
      <w:r w:rsidRPr="002B47B7">
        <w:rPr>
          <w:rFonts w:ascii="Times New Roman" w:hAnsi="Times New Roman" w:cs="Times New Roman"/>
          <w:sz w:val="24"/>
          <w:szCs w:val="24"/>
        </w:rPr>
        <w:t xml:space="preserve">Another example of common law in practice is the case of R v Dudley and Stephens (1884). In this case, the </w:t>
      </w:r>
      <w:r w:rsidR="0099403C" w:rsidRPr="002B47B7">
        <w:rPr>
          <w:rFonts w:ascii="Times New Roman" w:hAnsi="Times New Roman" w:cs="Times New Roman"/>
          <w:sz w:val="24"/>
          <w:szCs w:val="24"/>
        </w:rPr>
        <w:t>offenders</w:t>
      </w:r>
      <w:r w:rsidRPr="002B47B7">
        <w:rPr>
          <w:rFonts w:ascii="Times New Roman" w:hAnsi="Times New Roman" w:cs="Times New Roman"/>
          <w:sz w:val="24"/>
          <w:szCs w:val="24"/>
        </w:rPr>
        <w:t xml:space="preserve"> were sailors stranded at sea without food or water. They killed and ate a cabin boy, the youngest and weakest member of the crew, to survive. </w:t>
      </w:r>
      <w:r w:rsidR="00067F72" w:rsidRPr="00067F72">
        <w:rPr>
          <w:rFonts w:ascii="Times New Roman" w:hAnsi="Times New Roman" w:cs="Times New Roman"/>
          <w:sz w:val="24"/>
          <w:szCs w:val="24"/>
        </w:rPr>
        <w:t xml:space="preserve">Afterwards, they were rescued and accused of murder. Even if they had done so out of necessity since the killing was unjustified, the court found the </w:t>
      </w:r>
      <w:r w:rsidR="00AB20CC" w:rsidRPr="00067F72">
        <w:rPr>
          <w:rFonts w:ascii="Times New Roman" w:hAnsi="Times New Roman" w:cs="Times New Roman"/>
          <w:sz w:val="24"/>
          <w:szCs w:val="24"/>
        </w:rPr>
        <w:t>perpetrators</w:t>
      </w:r>
      <w:r w:rsidR="00067F72" w:rsidRPr="00067F72">
        <w:rPr>
          <w:rFonts w:ascii="Times New Roman" w:hAnsi="Times New Roman" w:cs="Times New Roman"/>
          <w:sz w:val="24"/>
          <w:szCs w:val="24"/>
        </w:rPr>
        <w:t xml:space="preserve"> guilty of </w:t>
      </w:r>
      <w:r w:rsidR="008D562D" w:rsidRPr="00F86AA7">
        <w:rPr>
          <w:rFonts w:ascii="Times New Roman" w:hAnsi="Times New Roman" w:cs="Times New Roman"/>
          <w:sz w:val="24"/>
          <w:szCs w:val="24"/>
        </w:rPr>
        <w:t>homicide</w:t>
      </w:r>
      <w:r w:rsidRPr="00F86AA7">
        <w:rPr>
          <w:rFonts w:ascii="Times New Roman" w:hAnsi="Times New Roman" w:cs="Times New Roman"/>
          <w:sz w:val="24"/>
          <w:szCs w:val="24"/>
        </w:rPr>
        <w:t>.</w:t>
      </w:r>
      <w:r w:rsidRPr="002B47B7">
        <w:rPr>
          <w:rFonts w:ascii="Times New Roman" w:hAnsi="Times New Roman" w:cs="Times New Roman"/>
          <w:sz w:val="24"/>
          <w:szCs w:val="24"/>
        </w:rPr>
        <w:t xml:space="preserve"> This case established the principle that necessity is not a defence to murder in English law and has been cited in subsequent cases dealing with duress and </w:t>
      </w:r>
      <w:r w:rsidR="00724200" w:rsidRPr="002B47B7">
        <w:rPr>
          <w:rFonts w:ascii="Times New Roman" w:hAnsi="Times New Roman" w:cs="Times New Roman"/>
          <w:sz w:val="24"/>
          <w:szCs w:val="24"/>
        </w:rPr>
        <w:t>self-defense</w:t>
      </w:r>
      <w:r w:rsidRPr="002B47B7">
        <w:rPr>
          <w:rFonts w:ascii="Times New Roman" w:hAnsi="Times New Roman" w:cs="Times New Roman"/>
          <w:sz w:val="24"/>
          <w:szCs w:val="24"/>
        </w:rPr>
        <w:t xml:space="preserve"> issues.</w:t>
      </w:r>
      <w:r w:rsidR="00724200" w:rsidRPr="002B47B7">
        <w:rPr>
          <w:rFonts w:ascii="Times New Roman" w:hAnsi="Times New Roman" w:cs="Times New Roman"/>
          <w:sz w:val="24"/>
          <w:szCs w:val="24"/>
        </w:rPr>
        <w:t xml:space="preserve"> </w:t>
      </w:r>
    </w:p>
    <w:p w14:paraId="3AF0EC29" w14:textId="7DB4C902" w:rsidR="00724200" w:rsidRPr="002B47B7" w:rsidRDefault="004C18F8" w:rsidP="00F86AA7">
      <w:pPr>
        <w:spacing w:after="0" w:line="480" w:lineRule="auto"/>
        <w:contextualSpacing/>
        <w:rPr>
          <w:rFonts w:ascii="Times New Roman" w:hAnsi="Times New Roman" w:cs="Times New Roman"/>
          <w:sz w:val="24"/>
          <w:szCs w:val="24"/>
        </w:rPr>
      </w:pPr>
      <w:r w:rsidRPr="002B47B7">
        <w:rPr>
          <w:rFonts w:ascii="Times New Roman" w:hAnsi="Times New Roman" w:cs="Times New Roman"/>
          <w:sz w:val="24"/>
          <w:szCs w:val="24"/>
        </w:rPr>
        <w:lastRenderedPageBreak/>
        <w:t xml:space="preserve">The </w:t>
      </w:r>
      <w:r w:rsidR="00D077AB" w:rsidRPr="002B47B7">
        <w:rPr>
          <w:rFonts w:ascii="Times New Roman" w:hAnsi="Times New Roman" w:cs="Times New Roman"/>
          <w:sz w:val="24"/>
          <w:szCs w:val="24"/>
        </w:rPr>
        <w:t xml:space="preserve">common law in practice </w:t>
      </w:r>
      <w:r w:rsidRPr="002B47B7">
        <w:rPr>
          <w:rFonts w:ascii="Times New Roman" w:hAnsi="Times New Roman" w:cs="Times New Roman"/>
          <w:sz w:val="24"/>
          <w:szCs w:val="24"/>
        </w:rPr>
        <w:t xml:space="preserve">can be reflected in </w:t>
      </w:r>
      <w:r w:rsidR="00D077AB" w:rsidRPr="002B47B7">
        <w:rPr>
          <w:rFonts w:ascii="Times New Roman" w:hAnsi="Times New Roman" w:cs="Times New Roman"/>
          <w:sz w:val="24"/>
          <w:szCs w:val="24"/>
        </w:rPr>
        <w:t xml:space="preserve">the case of R v Brown (1993), which established the principle that consensual homosexual acts between adults in private should not be a criminal offence. This case overturned previous common law principles that criminalized such behaviour and have been cited in subsequent cases that deal with issues of consent and sexual </w:t>
      </w:r>
      <w:proofErr w:type="spellStart"/>
      <w:r w:rsidR="00D077AB" w:rsidRPr="002B47B7">
        <w:rPr>
          <w:rFonts w:ascii="Times New Roman" w:hAnsi="Times New Roman" w:cs="Times New Roman"/>
          <w:sz w:val="24"/>
          <w:szCs w:val="24"/>
        </w:rPr>
        <w:t>behaviour</w:t>
      </w:r>
      <w:proofErr w:type="spellEnd"/>
      <w:r w:rsidR="00D077AB" w:rsidRPr="002B47B7">
        <w:rPr>
          <w:rFonts w:ascii="Times New Roman" w:hAnsi="Times New Roman" w:cs="Times New Roman"/>
          <w:sz w:val="24"/>
          <w:szCs w:val="24"/>
        </w:rPr>
        <w:t>.</w:t>
      </w:r>
      <w:r w:rsidRPr="002B47B7">
        <w:rPr>
          <w:rFonts w:ascii="Times New Roman" w:hAnsi="Times New Roman" w:cs="Times New Roman"/>
          <w:sz w:val="24"/>
          <w:szCs w:val="24"/>
        </w:rPr>
        <w:t xml:space="preserve"> </w:t>
      </w:r>
    </w:p>
    <w:p w14:paraId="47A0A7C7" w14:textId="77777777" w:rsidR="008F2A32" w:rsidRPr="002B47B7" w:rsidRDefault="004C18F8" w:rsidP="00F86AA7">
      <w:pPr>
        <w:spacing w:after="0" w:line="480" w:lineRule="auto"/>
        <w:contextualSpacing/>
        <w:rPr>
          <w:rFonts w:ascii="Times New Roman" w:hAnsi="Times New Roman" w:cs="Times New Roman"/>
          <w:sz w:val="24"/>
          <w:szCs w:val="24"/>
        </w:rPr>
      </w:pPr>
      <w:r w:rsidRPr="002B47B7">
        <w:rPr>
          <w:rFonts w:ascii="Times New Roman" w:hAnsi="Times New Roman" w:cs="Times New Roman"/>
          <w:sz w:val="24"/>
          <w:szCs w:val="24"/>
        </w:rPr>
        <w:t>Another example of common law in practice is the case of R v Brown (</w:t>
      </w:r>
      <w:r w:rsidR="006C7F6E" w:rsidRPr="002B47B7">
        <w:rPr>
          <w:rFonts w:ascii="Times New Roman" w:hAnsi="Times New Roman" w:cs="Times New Roman"/>
          <w:sz w:val="24"/>
          <w:szCs w:val="24"/>
        </w:rPr>
        <w:t>2003</w:t>
      </w:r>
      <w:r w:rsidRPr="002B47B7">
        <w:rPr>
          <w:rFonts w:ascii="Times New Roman" w:hAnsi="Times New Roman" w:cs="Times New Roman"/>
          <w:sz w:val="24"/>
          <w:szCs w:val="24"/>
        </w:rPr>
        <w:t xml:space="preserve">), which established the principle that consensual homosexual acts between adults in private should not be a criminal offence. This case overturned previous common law principles and has been cited in subsequent cases that deal with issues of consent and sexual </w:t>
      </w:r>
      <w:proofErr w:type="spellStart"/>
      <w:r w:rsidRPr="002B47B7">
        <w:rPr>
          <w:rFonts w:ascii="Times New Roman" w:hAnsi="Times New Roman" w:cs="Times New Roman"/>
          <w:sz w:val="24"/>
          <w:szCs w:val="24"/>
        </w:rPr>
        <w:t>behaviour</w:t>
      </w:r>
      <w:proofErr w:type="spellEnd"/>
      <w:r w:rsidRPr="002B47B7">
        <w:rPr>
          <w:rFonts w:ascii="Times New Roman" w:hAnsi="Times New Roman" w:cs="Times New Roman"/>
          <w:sz w:val="24"/>
          <w:szCs w:val="24"/>
        </w:rPr>
        <w:t>.</w:t>
      </w:r>
      <w:r w:rsidR="00724200" w:rsidRPr="002B47B7">
        <w:rPr>
          <w:rFonts w:ascii="Times New Roman" w:hAnsi="Times New Roman" w:cs="Times New Roman"/>
          <w:sz w:val="24"/>
          <w:szCs w:val="24"/>
        </w:rPr>
        <w:t xml:space="preserve"> </w:t>
      </w:r>
      <w:r w:rsidRPr="002B47B7">
        <w:rPr>
          <w:rFonts w:ascii="Times New Roman" w:hAnsi="Times New Roman" w:cs="Times New Roman"/>
          <w:sz w:val="24"/>
          <w:szCs w:val="24"/>
        </w:rPr>
        <w:t xml:space="preserve">The English Legal System is based on common law principles, which have evolved over time through the process of legal interpretation of cases. </w:t>
      </w:r>
      <w:r w:rsidR="00AA531B" w:rsidRPr="00AA531B">
        <w:rPr>
          <w:rFonts w:ascii="Times New Roman" w:hAnsi="Times New Roman" w:cs="Times New Roman"/>
          <w:sz w:val="24"/>
          <w:szCs w:val="24"/>
        </w:rPr>
        <w:t>The precedent</w:t>
      </w:r>
      <w:r w:rsidR="00606638">
        <w:rPr>
          <w:rFonts w:ascii="Times New Roman" w:hAnsi="Times New Roman" w:cs="Times New Roman"/>
          <w:sz w:val="24"/>
          <w:szCs w:val="24"/>
        </w:rPr>
        <w:t xml:space="preserve"> </w:t>
      </w:r>
      <w:r w:rsidR="00606638" w:rsidRPr="00AA531B">
        <w:rPr>
          <w:rFonts w:ascii="Times New Roman" w:hAnsi="Times New Roman" w:cs="Times New Roman"/>
          <w:sz w:val="24"/>
          <w:szCs w:val="24"/>
        </w:rPr>
        <w:t>principle</w:t>
      </w:r>
      <w:r w:rsidR="00346B6C">
        <w:rPr>
          <w:rFonts w:ascii="Times New Roman" w:hAnsi="Times New Roman" w:cs="Times New Roman"/>
          <w:sz w:val="24"/>
          <w:szCs w:val="24"/>
        </w:rPr>
        <w:t xml:space="preserve"> entails </w:t>
      </w:r>
      <w:r w:rsidR="00AA531B" w:rsidRPr="00AA531B">
        <w:rPr>
          <w:rFonts w:ascii="Times New Roman" w:hAnsi="Times New Roman" w:cs="Times New Roman"/>
          <w:sz w:val="24"/>
          <w:szCs w:val="24"/>
        </w:rPr>
        <w:t xml:space="preserve">lower courts to follow the </w:t>
      </w:r>
      <w:r w:rsidR="00346B6C">
        <w:rPr>
          <w:rFonts w:ascii="Times New Roman" w:hAnsi="Times New Roman" w:cs="Times New Roman"/>
          <w:sz w:val="24"/>
          <w:szCs w:val="24"/>
        </w:rPr>
        <w:t>judgements</w:t>
      </w:r>
      <w:r w:rsidR="00AA531B" w:rsidRPr="00AA531B">
        <w:rPr>
          <w:rFonts w:ascii="Times New Roman" w:hAnsi="Times New Roman" w:cs="Times New Roman"/>
          <w:sz w:val="24"/>
          <w:szCs w:val="24"/>
        </w:rPr>
        <w:t xml:space="preserve"> of higher courts in comparable cases, is one of the defining aspects of the common law system. This ensures the predictability and homogeneity of the legal system.</w:t>
      </w:r>
      <w:r w:rsidR="00BE57E4">
        <w:rPr>
          <w:rFonts w:ascii="Times New Roman" w:hAnsi="Times New Roman" w:cs="Times New Roman"/>
          <w:sz w:val="24"/>
          <w:szCs w:val="24"/>
        </w:rPr>
        <w:t xml:space="preserve"> </w:t>
      </w:r>
      <w:r w:rsidRPr="002B47B7">
        <w:rPr>
          <w:rFonts w:ascii="Times New Roman" w:hAnsi="Times New Roman" w:cs="Times New Roman"/>
          <w:sz w:val="24"/>
          <w:szCs w:val="24"/>
        </w:rPr>
        <w:t>According to legal scholar A. W. Brian Simpson</w:t>
      </w:r>
      <w:r w:rsidR="0025550E" w:rsidRPr="002B47B7">
        <w:rPr>
          <w:rFonts w:ascii="Times New Roman" w:hAnsi="Times New Roman" w:cs="Times New Roman"/>
          <w:sz w:val="24"/>
          <w:szCs w:val="24"/>
        </w:rPr>
        <w:t xml:space="preserve"> (1987)</w:t>
      </w:r>
      <w:r w:rsidRPr="002B47B7">
        <w:rPr>
          <w:rFonts w:ascii="Times New Roman" w:hAnsi="Times New Roman" w:cs="Times New Roman"/>
          <w:sz w:val="24"/>
          <w:szCs w:val="24"/>
        </w:rPr>
        <w:t>, the English Legal System is the product of a process of growth and development over many centuries. It has a variety of historical, cultural, and social factors. In his book, "A History of the Common Law of Contract," Simpson argues that the common law system has evolved in response to changing social and economic conditions and reflects a deep-seated belief in the importance of individual rights and freedoms</w:t>
      </w:r>
      <w:r w:rsidR="00035A79" w:rsidRPr="002B47B7">
        <w:rPr>
          <w:rFonts w:ascii="Times New Roman" w:hAnsi="Times New Roman" w:cs="Times New Roman"/>
          <w:sz w:val="24"/>
          <w:szCs w:val="24"/>
        </w:rPr>
        <w:t xml:space="preserve"> (Swaminathan, 2019)</w:t>
      </w:r>
      <w:r w:rsidRPr="002B47B7">
        <w:rPr>
          <w:rFonts w:ascii="Times New Roman" w:hAnsi="Times New Roman" w:cs="Times New Roman"/>
          <w:sz w:val="24"/>
          <w:szCs w:val="24"/>
        </w:rPr>
        <w:t>.</w:t>
      </w:r>
    </w:p>
    <w:p w14:paraId="3D44A776" w14:textId="77777777" w:rsidR="00F86AA7" w:rsidRDefault="004C18F8" w:rsidP="00F86AA7">
      <w:pPr>
        <w:spacing w:after="0" w:line="480" w:lineRule="auto"/>
        <w:contextualSpacing/>
        <w:rPr>
          <w:rFonts w:ascii="Times New Roman" w:hAnsi="Times New Roman" w:cs="Times New Roman"/>
          <w:sz w:val="24"/>
          <w:szCs w:val="24"/>
        </w:rPr>
      </w:pPr>
      <w:r w:rsidRPr="002B47B7">
        <w:rPr>
          <w:rFonts w:ascii="Times New Roman" w:hAnsi="Times New Roman" w:cs="Times New Roman"/>
          <w:sz w:val="24"/>
          <w:szCs w:val="24"/>
        </w:rPr>
        <w:t>Similarly, legal scholar Sir William Blackstone argued in his influential treatise "Commentaries on the Laws of England" that the common law system is based on "the wisdom of many ages" and reflects the accumulated knowledge and experience of generations of judges and legal scholars</w:t>
      </w:r>
      <w:r w:rsidR="00F172BD" w:rsidRPr="002B47B7">
        <w:rPr>
          <w:rFonts w:ascii="Times New Roman" w:hAnsi="Times New Roman" w:cs="Times New Roman"/>
          <w:sz w:val="24"/>
          <w:szCs w:val="24"/>
        </w:rPr>
        <w:t xml:space="preserve"> (Dickinson, 2019)</w:t>
      </w:r>
      <w:r w:rsidRPr="002B47B7">
        <w:rPr>
          <w:rFonts w:ascii="Times New Roman" w:hAnsi="Times New Roman" w:cs="Times New Roman"/>
          <w:sz w:val="24"/>
          <w:szCs w:val="24"/>
        </w:rPr>
        <w:t xml:space="preserve">. These case laws illustrate how the common law system works in practice. In each case, the courts were called upon to interpret the law in a specific context and to decide based on the principles established in previous cases. </w:t>
      </w:r>
    </w:p>
    <w:p w14:paraId="795150AF" w14:textId="0BC91C05" w:rsidR="008F2A32" w:rsidRPr="002B47B7" w:rsidRDefault="004C18F8" w:rsidP="00F86AA7">
      <w:pPr>
        <w:spacing w:after="0" w:line="480" w:lineRule="auto"/>
        <w:contextualSpacing/>
        <w:rPr>
          <w:rFonts w:ascii="Times New Roman" w:hAnsi="Times New Roman" w:cs="Times New Roman"/>
          <w:sz w:val="24"/>
          <w:szCs w:val="24"/>
        </w:rPr>
      </w:pPr>
      <w:r w:rsidRPr="002B47B7">
        <w:rPr>
          <w:rFonts w:ascii="Times New Roman" w:hAnsi="Times New Roman" w:cs="Times New Roman"/>
          <w:sz w:val="24"/>
          <w:szCs w:val="24"/>
        </w:rPr>
        <w:lastRenderedPageBreak/>
        <w:t xml:space="preserve">The doctrine of precedent is a central aspect of the common law system, which requires lower courts to follow the </w:t>
      </w:r>
      <w:r w:rsidR="00346B6C">
        <w:rPr>
          <w:rFonts w:ascii="Times New Roman" w:hAnsi="Times New Roman" w:cs="Times New Roman"/>
          <w:sz w:val="24"/>
          <w:szCs w:val="24"/>
        </w:rPr>
        <w:t>judgements</w:t>
      </w:r>
      <w:r w:rsidRPr="002B47B7">
        <w:rPr>
          <w:rFonts w:ascii="Times New Roman" w:hAnsi="Times New Roman" w:cs="Times New Roman"/>
          <w:sz w:val="24"/>
          <w:szCs w:val="24"/>
        </w:rPr>
        <w:t xml:space="preserve"> of higher courts in similar cases. This ensures predictability </w:t>
      </w:r>
      <w:r w:rsidR="00722054">
        <w:rPr>
          <w:rFonts w:ascii="Times New Roman" w:hAnsi="Times New Roman" w:cs="Times New Roman"/>
          <w:sz w:val="24"/>
          <w:szCs w:val="24"/>
        </w:rPr>
        <w:t xml:space="preserve">and </w:t>
      </w:r>
      <w:r w:rsidR="00722054" w:rsidRPr="002B47B7">
        <w:rPr>
          <w:rFonts w:ascii="Times New Roman" w:hAnsi="Times New Roman" w:cs="Times New Roman"/>
          <w:sz w:val="24"/>
          <w:szCs w:val="24"/>
        </w:rPr>
        <w:t xml:space="preserve">consistency </w:t>
      </w:r>
      <w:r w:rsidRPr="002B47B7">
        <w:rPr>
          <w:rFonts w:ascii="Times New Roman" w:hAnsi="Times New Roman" w:cs="Times New Roman"/>
          <w:sz w:val="24"/>
          <w:szCs w:val="24"/>
        </w:rPr>
        <w:t>in the legal system and allows the law to evolve in response to changing social norms and values</w:t>
      </w:r>
      <w:r w:rsidR="00B73B2B" w:rsidRPr="002B47B7">
        <w:rPr>
          <w:rFonts w:ascii="Times New Roman" w:hAnsi="Times New Roman" w:cs="Times New Roman"/>
          <w:sz w:val="24"/>
          <w:szCs w:val="24"/>
        </w:rPr>
        <w:t xml:space="preserve"> (</w:t>
      </w:r>
      <w:proofErr w:type="spellStart"/>
      <w:r w:rsidR="00B73B2B" w:rsidRPr="002B47B7">
        <w:rPr>
          <w:rFonts w:ascii="Times New Roman" w:hAnsi="Times New Roman" w:cs="Times New Roman"/>
          <w:color w:val="222222"/>
          <w:sz w:val="24"/>
          <w:szCs w:val="24"/>
          <w:shd w:val="clear" w:color="auto" w:fill="FFFFFF"/>
        </w:rPr>
        <w:t>Kischel</w:t>
      </w:r>
      <w:proofErr w:type="spellEnd"/>
      <w:r w:rsidR="00B73B2B" w:rsidRPr="002B47B7">
        <w:rPr>
          <w:rFonts w:ascii="Times New Roman" w:hAnsi="Times New Roman" w:cs="Times New Roman"/>
          <w:color w:val="222222"/>
          <w:sz w:val="24"/>
          <w:szCs w:val="24"/>
          <w:shd w:val="clear" w:color="auto" w:fill="FFFFFF"/>
        </w:rPr>
        <w:t>, 2019</w:t>
      </w:r>
      <w:r w:rsidR="00B73B2B" w:rsidRPr="002B47B7">
        <w:rPr>
          <w:rFonts w:ascii="Times New Roman" w:hAnsi="Times New Roman" w:cs="Times New Roman"/>
          <w:sz w:val="24"/>
          <w:szCs w:val="24"/>
        </w:rPr>
        <w:t>)</w:t>
      </w:r>
      <w:r w:rsidRPr="002B47B7">
        <w:rPr>
          <w:rFonts w:ascii="Times New Roman" w:hAnsi="Times New Roman" w:cs="Times New Roman"/>
          <w:sz w:val="24"/>
          <w:szCs w:val="24"/>
        </w:rPr>
        <w:t>.</w:t>
      </w:r>
    </w:p>
    <w:p w14:paraId="3F915025" w14:textId="77777777" w:rsidR="00E056F1" w:rsidRPr="002B47B7" w:rsidRDefault="00E056F1" w:rsidP="00785CAA">
      <w:pPr>
        <w:spacing w:after="0" w:line="480" w:lineRule="auto"/>
        <w:contextualSpacing/>
        <w:rPr>
          <w:rFonts w:ascii="Times New Roman" w:hAnsi="Times New Roman" w:cs="Times New Roman"/>
          <w:sz w:val="24"/>
          <w:szCs w:val="24"/>
        </w:rPr>
      </w:pPr>
    </w:p>
    <w:p w14:paraId="44BC7DF9" w14:textId="77777777" w:rsidR="005E6E9C" w:rsidRPr="002B47B7" w:rsidRDefault="004C18F8" w:rsidP="00785CAA">
      <w:pPr>
        <w:pStyle w:val="Heading1"/>
        <w:spacing w:after="0" w:line="480" w:lineRule="auto"/>
        <w:contextualSpacing/>
      </w:pPr>
      <w:bookmarkStart w:id="2" w:name="_Toc129299585"/>
      <w:r w:rsidRPr="002B47B7">
        <w:t>Conclusion</w:t>
      </w:r>
      <w:bookmarkEnd w:id="2"/>
      <w:r w:rsidRPr="002B47B7">
        <w:t xml:space="preserve"> </w:t>
      </w:r>
    </w:p>
    <w:p w14:paraId="0E398DD4" w14:textId="77777777" w:rsidR="006A2148" w:rsidRPr="002B47B7" w:rsidRDefault="004C18F8" w:rsidP="00F86AA7">
      <w:pPr>
        <w:spacing w:after="0" w:line="480" w:lineRule="auto"/>
        <w:contextualSpacing/>
        <w:rPr>
          <w:rFonts w:ascii="Times New Roman" w:hAnsi="Times New Roman" w:cs="Times New Roman"/>
          <w:sz w:val="24"/>
          <w:szCs w:val="24"/>
        </w:rPr>
      </w:pPr>
      <w:r w:rsidRPr="002B47B7">
        <w:rPr>
          <w:rFonts w:ascii="Times New Roman" w:hAnsi="Times New Roman" w:cs="Times New Roman"/>
          <w:sz w:val="24"/>
          <w:szCs w:val="24"/>
        </w:rPr>
        <w:t xml:space="preserve">In conclusion, the English Legal System is </w:t>
      </w:r>
      <w:r w:rsidR="00884F0A" w:rsidRPr="002B47B7">
        <w:rPr>
          <w:rFonts w:ascii="Times New Roman" w:hAnsi="Times New Roman" w:cs="Times New Roman"/>
          <w:sz w:val="24"/>
          <w:szCs w:val="24"/>
        </w:rPr>
        <w:t>founded</w:t>
      </w:r>
      <w:r w:rsidRPr="002B47B7">
        <w:rPr>
          <w:rFonts w:ascii="Times New Roman" w:hAnsi="Times New Roman" w:cs="Times New Roman"/>
          <w:sz w:val="24"/>
          <w:szCs w:val="24"/>
        </w:rPr>
        <w:t xml:space="preserve"> on common law principles, which means that judges make legal decisions through the process of legal interpretation of cases. This system is contrasted with civil law systems, which rely on codified laws created by the legislature. The common law system has a long history in England and many examples of it working in practice. The doctrine of precedent is a central aspect of the common law system, which ensures consistency and predictability in the legal system.</w:t>
      </w:r>
      <w:r w:rsidR="00494AC8" w:rsidRPr="002B47B7">
        <w:rPr>
          <w:rFonts w:ascii="Times New Roman" w:hAnsi="Times New Roman" w:cs="Times New Roman"/>
          <w:sz w:val="24"/>
          <w:szCs w:val="24"/>
        </w:rPr>
        <w:t xml:space="preserve"> </w:t>
      </w:r>
      <w:r w:rsidR="00FE770A" w:rsidRPr="002B47B7">
        <w:rPr>
          <w:rFonts w:ascii="Times New Roman" w:hAnsi="Times New Roman" w:cs="Times New Roman"/>
          <w:sz w:val="24"/>
          <w:szCs w:val="24"/>
        </w:rPr>
        <w:t>Therefore</w:t>
      </w:r>
      <w:r w:rsidR="00494AC8" w:rsidRPr="002B47B7">
        <w:rPr>
          <w:rFonts w:ascii="Times New Roman" w:hAnsi="Times New Roman" w:cs="Times New Roman"/>
          <w:sz w:val="24"/>
          <w:szCs w:val="24"/>
        </w:rPr>
        <w:t>, the English Legal System's reliance on common law principles has been seen as a key strength of the system, as it ensures flexibility and adaptability to changing circumstances while maintaining continuity and stability.</w:t>
      </w:r>
    </w:p>
    <w:p w14:paraId="5102C5B9" w14:textId="77777777" w:rsidR="006A2148" w:rsidRPr="002B47B7" w:rsidRDefault="006A2148" w:rsidP="00785CAA">
      <w:pPr>
        <w:spacing w:after="0" w:line="480" w:lineRule="auto"/>
        <w:contextualSpacing/>
        <w:rPr>
          <w:rFonts w:ascii="Times New Roman" w:hAnsi="Times New Roman" w:cs="Times New Roman"/>
          <w:sz w:val="24"/>
          <w:szCs w:val="24"/>
        </w:rPr>
      </w:pPr>
      <w:r w:rsidRPr="002B47B7">
        <w:rPr>
          <w:rFonts w:ascii="Times New Roman" w:hAnsi="Times New Roman" w:cs="Times New Roman"/>
          <w:sz w:val="24"/>
          <w:szCs w:val="24"/>
        </w:rPr>
        <w:br w:type="page"/>
      </w:r>
    </w:p>
    <w:p w14:paraId="72681D86" w14:textId="77777777" w:rsidR="00045B2A" w:rsidRPr="002B47B7" w:rsidRDefault="006A2148" w:rsidP="00785CAA">
      <w:pPr>
        <w:pStyle w:val="Heading1"/>
        <w:spacing w:after="0" w:line="480" w:lineRule="auto"/>
        <w:contextualSpacing/>
      </w:pPr>
      <w:bookmarkStart w:id="3" w:name="_Toc129299586"/>
      <w:r w:rsidRPr="002B47B7">
        <w:lastRenderedPageBreak/>
        <w:t>Bibliography</w:t>
      </w:r>
      <w:bookmarkEnd w:id="3"/>
      <w:r w:rsidRPr="002B47B7">
        <w:t xml:space="preserve"> </w:t>
      </w:r>
    </w:p>
    <w:p w14:paraId="1F419D49" w14:textId="77777777" w:rsidR="006A2148" w:rsidRPr="002B47B7" w:rsidRDefault="006A2148" w:rsidP="00785CAA">
      <w:pPr>
        <w:spacing w:after="0" w:line="480" w:lineRule="auto"/>
        <w:contextualSpacing/>
        <w:rPr>
          <w:rFonts w:ascii="Times New Roman" w:hAnsi="Times New Roman" w:cs="Times New Roman"/>
          <w:sz w:val="24"/>
          <w:szCs w:val="24"/>
        </w:rPr>
      </w:pPr>
      <w:r w:rsidRPr="002B47B7">
        <w:rPr>
          <w:rFonts w:ascii="Times New Roman" w:hAnsi="Times New Roman" w:cs="Times New Roman"/>
          <w:sz w:val="24"/>
          <w:szCs w:val="24"/>
        </w:rPr>
        <w:t xml:space="preserve">Case Laws </w:t>
      </w:r>
    </w:p>
    <w:p w14:paraId="333BB9E2" w14:textId="77777777" w:rsidR="00D934A7" w:rsidRPr="002B47B7" w:rsidRDefault="00D934A7" w:rsidP="00785CAA">
      <w:pPr>
        <w:spacing w:after="0" w:line="480" w:lineRule="auto"/>
        <w:contextualSpacing/>
        <w:rPr>
          <w:rFonts w:ascii="Times New Roman" w:hAnsi="Times New Roman" w:cs="Times New Roman"/>
          <w:color w:val="222222"/>
          <w:sz w:val="24"/>
          <w:szCs w:val="24"/>
          <w:shd w:val="clear" w:color="auto" w:fill="FFFFFF"/>
        </w:rPr>
      </w:pPr>
      <w:r w:rsidRPr="002B47B7">
        <w:rPr>
          <w:rFonts w:ascii="Times New Roman" w:hAnsi="Times New Roman" w:cs="Times New Roman"/>
          <w:i/>
          <w:iCs/>
          <w:color w:val="222222"/>
          <w:sz w:val="24"/>
          <w:szCs w:val="24"/>
          <w:shd w:val="clear" w:color="auto" w:fill="FFFFFF"/>
        </w:rPr>
        <w:t>Carlill v. Carbolic Smoke Ball Co.</w:t>
      </w:r>
      <w:r w:rsidRPr="002B47B7">
        <w:rPr>
          <w:rFonts w:ascii="Times New Roman" w:hAnsi="Times New Roman" w:cs="Times New Roman"/>
          <w:color w:val="222222"/>
          <w:sz w:val="24"/>
          <w:szCs w:val="24"/>
          <w:shd w:val="clear" w:color="auto" w:fill="FFFFFF"/>
        </w:rPr>
        <w:t>, 4 R. 176, 41 W.R. 210 (1893).</w:t>
      </w:r>
    </w:p>
    <w:p w14:paraId="1556EE11" w14:textId="77777777" w:rsidR="00D934A7" w:rsidRPr="002B47B7" w:rsidRDefault="00D934A7" w:rsidP="00785CAA">
      <w:pPr>
        <w:spacing w:after="0" w:line="480" w:lineRule="auto"/>
        <w:contextualSpacing/>
        <w:rPr>
          <w:rFonts w:ascii="Times New Roman" w:hAnsi="Times New Roman" w:cs="Times New Roman"/>
          <w:color w:val="222222"/>
          <w:sz w:val="24"/>
          <w:szCs w:val="24"/>
          <w:shd w:val="clear" w:color="auto" w:fill="FFFFFF"/>
        </w:rPr>
      </w:pPr>
      <w:r w:rsidRPr="002B47B7">
        <w:rPr>
          <w:rFonts w:ascii="Times New Roman" w:hAnsi="Times New Roman" w:cs="Times New Roman"/>
          <w:i/>
          <w:iCs/>
          <w:color w:val="222222"/>
          <w:sz w:val="24"/>
          <w:szCs w:val="24"/>
          <w:shd w:val="clear" w:color="auto" w:fill="FFFFFF"/>
        </w:rPr>
        <w:t>Donoghue's Case</w:t>
      </w:r>
      <w:r w:rsidRPr="002B47B7">
        <w:rPr>
          <w:rFonts w:ascii="Times New Roman" w:hAnsi="Times New Roman" w:cs="Times New Roman"/>
          <w:color w:val="222222"/>
          <w:sz w:val="24"/>
          <w:szCs w:val="24"/>
          <w:shd w:val="clear" w:color="auto" w:fill="FFFFFF"/>
        </w:rPr>
        <w:t>, 1932 A.C. 562 (1932).</w:t>
      </w:r>
    </w:p>
    <w:p w14:paraId="42F7C948" w14:textId="77777777" w:rsidR="00D934A7" w:rsidRPr="002B47B7" w:rsidRDefault="00D934A7" w:rsidP="00785CAA">
      <w:pPr>
        <w:spacing w:after="0" w:line="480" w:lineRule="auto"/>
        <w:contextualSpacing/>
        <w:rPr>
          <w:rFonts w:ascii="Times New Roman" w:hAnsi="Times New Roman" w:cs="Times New Roman"/>
          <w:color w:val="222222"/>
          <w:sz w:val="24"/>
          <w:szCs w:val="24"/>
          <w:shd w:val="clear" w:color="auto" w:fill="FFFFFF"/>
        </w:rPr>
      </w:pPr>
      <w:r w:rsidRPr="002B47B7">
        <w:rPr>
          <w:rFonts w:ascii="Times New Roman" w:hAnsi="Times New Roman" w:cs="Times New Roman"/>
          <w:i/>
          <w:iCs/>
          <w:color w:val="222222"/>
          <w:sz w:val="24"/>
          <w:szCs w:val="24"/>
          <w:shd w:val="clear" w:color="auto" w:fill="FFFFFF"/>
        </w:rPr>
        <w:t>R v. Dudley and Stephens</w:t>
      </w:r>
      <w:r w:rsidRPr="002B47B7">
        <w:rPr>
          <w:rFonts w:ascii="Times New Roman" w:hAnsi="Times New Roman" w:cs="Times New Roman"/>
          <w:color w:val="222222"/>
          <w:sz w:val="24"/>
          <w:szCs w:val="24"/>
          <w:shd w:val="clear" w:color="auto" w:fill="FFFFFF"/>
        </w:rPr>
        <w:t>, 14 Q.B. Div. 273 (1884).</w:t>
      </w:r>
    </w:p>
    <w:p w14:paraId="36F1B775" w14:textId="77777777" w:rsidR="00D934A7" w:rsidRPr="002B47B7" w:rsidRDefault="00D934A7" w:rsidP="00785CAA">
      <w:pPr>
        <w:spacing w:after="0" w:line="480" w:lineRule="auto"/>
        <w:contextualSpacing/>
        <w:rPr>
          <w:rFonts w:ascii="Times New Roman" w:hAnsi="Times New Roman" w:cs="Times New Roman"/>
          <w:color w:val="222222"/>
          <w:sz w:val="24"/>
          <w:szCs w:val="24"/>
          <w:shd w:val="clear" w:color="auto" w:fill="FFFFFF"/>
        </w:rPr>
      </w:pPr>
      <w:r w:rsidRPr="002B47B7">
        <w:rPr>
          <w:rFonts w:ascii="Times New Roman" w:hAnsi="Times New Roman" w:cs="Times New Roman"/>
          <w:i/>
          <w:iCs/>
          <w:color w:val="222222"/>
          <w:sz w:val="24"/>
          <w:szCs w:val="24"/>
          <w:shd w:val="clear" w:color="auto" w:fill="FFFFFF"/>
        </w:rPr>
        <w:t>R. v. Brown</w:t>
      </w:r>
      <w:r w:rsidRPr="002B47B7">
        <w:rPr>
          <w:rFonts w:ascii="Times New Roman" w:hAnsi="Times New Roman" w:cs="Times New Roman"/>
          <w:color w:val="222222"/>
          <w:sz w:val="24"/>
          <w:szCs w:val="24"/>
          <w:shd w:val="clear" w:color="auto" w:fill="FFFFFF"/>
        </w:rPr>
        <w:t>, 64 Or. 3d 161 (2003).</w:t>
      </w:r>
    </w:p>
    <w:p w14:paraId="7217D759" w14:textId="77777777" w:rsidR="00D934A7" w:rsidRPr="002B47B7" w:rsidRDefault="00D934A7" w:rsidP="00785CAA">
      <w:pPr>
        <w:spacing w:after="0" w:line="480" w:lineRule="auto"/>
        <w:contextualSpacing/>
        <w:rPr>
          <w:rFonts w:ascii="Times New Roman" w:hAnsi="Times New Roman" w:cs="Times New Roman"/>
          <w:color w:val="222222"/>
          <w:sz w:val="24"/>
          <w:szCs w:val="24"/>
          <w:shd w:val="clear" w:color="auto" w:fill="FFFFFF"/>
        </w:rPr>
      </w:pPr>
      <w:r w:rsidRPr="002B47B7">
        <w:rPr>
          <w:rFonts w:ascii="Times New Roman" w:hAnsi="Times New Roman" w:cs="Times New Roman"/>
          <w:i/>
          <w:iCs/>
          <w:color w:val="222222"/>
          <w:sz w:val="24"/>
          <w:szCs w:val="24"/>
          <w:shd w:val="clear" w:color="auto" w:fill="FFFFFF"/>
        </w:rPr>
        <w:t>SW v. United Kingdom (A</w:t>
      </w:r>
      <w:r w:rsidRPr="002B47B7">
        <w:rPr>
          <w:rFonts w:ascii="Times New Roman" w:hAnsi="Times New Roman" w:cs="Times New Roman"/>
          <w:color w:val="222222"/>
          <w:sz w:val="24"/>
          <w:szCs w:val="24"/>
          <w:shd w:val="clear" w:color="auto" w:fill="FFFFFF"/>
        </w:rPr>
        <w:t>, 1 F.L.R. 434 (1996).</w:t>
      </w:r>
    </w:p>
    <w:p w14:paraId="17AD54FD" w14:textId="77777777" w:rsidR="006A2148" w:rsidRPr="002B47B7" w:rsidRDefault="006A2148" w:rsidP="00785CAA">
      <w:pPr>
        <w:spacing w:after="0" w:line="480" w:lineRule="auto"/>
        <w:contextualSpacing/>
        <w:rPr>
          <w:rFonts w:ascii="Times New Roman" w:hAnsi="Times New Roman" w:cs="Times New Roman"/>
          <w:sz w:val="24"/>
          <w:szCs w:val="24"/>
        </w:rPr>
      </w:pPr>
    </w:p>
    <w:p w14:paraId="6FA237DD" w14:textId="77777777" w:rsidR="00F503FB" w:rsidRPr="002B47B7" w:rsidRDefault="00F503FB" w:rsidP="00785CAA">
      <w:pPr>
        <w:spacing w:after="0" w:line="480" w:lineRule="auto"/>
        <w:contextualSpacing/>
        <w:rPr>
          <w:rFonts w:ascii="Times New Roman" w:hAnsi="Times New Roman" w:cs="Times New Roman"/>
          <w:sz w:val="24"/>
          <w:szCs w:val="24"/>
        </w:rPr>
      </w:pPr>
      <w:r w:rsidRPr="002B47B7">
        <w:rPr>
          <w:rFonts w:ascii="Times New Roman" w:hAnsi="Times New Roman" w:cs="Times New Roman"/>
          <w:sz w:val="24"/>
          <w:szCs w:val="24"/>
        </w:rPr>
        <w:t xml:space="preserve">Books </w:t>
      </w:r>
    </w:p>
    <w:p w14:paraId="3D45FDD7" w14:textId="77777777" w:rsidR="00D934A7" w:rsidRPr="002B47B7" w:rsidRDefault="00D934A7" w:rsidP="00785CAA">
      <w:pPr>
        <w:spacing w:after="0" w:line="480" w:lineRule="auto"/>
        <w:ind w:left="720" w:hanging="720"/>
        <w:contextualSpacing/>
        <w:rPr>
          <w:rFonts w:ascii="Times New Roman" w:hAnsi="Times New Roman" w:cs="Times New Roman"/>
          <w:color w:val="222222"/>
          <w:sz w:val="24"/>
          <w:szCs w:val="24"/>
          <w:shd w:val="clear" w:color="auto" w:fill="FFFFFF"/>
        </w:rPr>
      </w:pPr>
      <w:r w:rsidRPr="002B47B7">
        <w:rPr>
          <w:rFonts w:ascii="Times New Roman" w:hAnsi="Times New Roman" w:cs="Times New Roman"/>
          <w:color w:val="222222"/>
          <w:sz w:val="24"/>
          <w:szCs w:val="24"/>
          <w:shd w:val="clear" w:color="auto" w:fill="FFFFFF"/>
        </w:rPr>
        <w:t>Baker, J.H., 2019. </w:t>
      </w:r>
      <w:r w:rsidRPr="002B47B7">
        <w:rPr>
          <w:rFonts w:ascii="Times New Roman" w:hAnsi="Times New Roman" w:cs="Times New Roman"/>
          <w:i/>
          <w:iCs/>
          <w:color w:val="222222"/>
          <w:sz w:val="24"/>
          <w:szCs w:val="24"/>
          <w:shd w:val="clear" w:color="auto" w:fill="FFFFFF"/>
        </w:rPr>
        <w:t>An introduction to English legal history</w:t>
      </w:r>
      <w:r w:rsidRPr="002B47B7">
        <w:rPr>
          <w:rFonts w:ascii="Times New Roman" w:hAnsi="Times New Roman" w:cs="Times New Roman"/>
          <w:color w:val="222222"/>
          <w:sz w:val="24"/>
          <w:szCs w:val="24"/>
          <w:shd w:val="clear" w:color="auto" w:fill="FFFFFF"/>
        </w:rPr>
        <w:t>. Oxford University Press.</w:t>
      </w:r>
    </w:p>
    <w:p w14:paraId="4127F1F4" w14:textId="77777777" w:rsidR="00D934A7" w:rsidRPr="002B47B7" w:rsidRDefault="00D934A7" w:rsidP="00785CAA">
      <w:pPr>
        <w:spacing w:after="0" w:line="480" w:lineRule="auto"/>
        <w:ind w:left="720" w:hanging="720"/>
        <w:contextualSpacing/>
        <w:rPr>
          <w:rFonts w:ascii="Times New Roman" w:hAnsi="Times New Roman" w:cs="Times New Roman"/>
          <w:color w:val="222222"/>
          <w:sz w:val="24"/>
          <w:szCs w:val="24"/>
          <w:shd w:val="clear" w:color="auto" w:fill="FFFFFF"/>
        </w:rPr>
      </w:pPr>
      <w:r w:rsidRPr="002B47B7">
        <w:rPr>
          <w:rFonts w:ascii="Times New Roman" w:hAnsi="Times New Roman" w:cs="Times New Roman"/>
          <w:color w:val="222222"/>
          <w:sz w:val="24"/>
          <w:szCs w:val="24"/>
          <w:shd w:val="clear" w:color="auto" w:fill="FFFFFF"/>
        </w:rPr>
        <w:t>Baker, J.H., 2020. Criminal courts and procedure at common law 1550–1800. In </w:t>
      </w:r>
      <w:r w:rsidRPr="002B47B7">
        <w:rPr>
          <w:rFonts w:ascii="Times New Roman" w:hAnsi="Times New Roman" w:cs="Times New Roman"/>
          <w:i/>
          <w:iCs/>
          <w:color w:val="222222"/>
          <w:sz w:val="24"/>
          <w:szCs w:val="24"/>
          <w:shd w:val="clear" w:color="auto" w:fill="FFFFFF"/>
        </w:rPr>
        <w:t>Crime in England 1550–1800</w:t>
      </w:r>
      <w:r w:rsidRPr="002B47B7">
        <w:rPr>
          <w:rFonts w:ascii="Times New Roman" w:hAnsi="Times New Roman" w:cs="Times New Roman"/>
          <w:color w:val="222222"/>
          <w:sz w:val="24"/>
          <w:szCs w:val="24"/>
          <w:shd w:val="clear" w:color="auto" w:fill="FFFFFF"/>
        </w:rPr>
        <w:t> (pp. 15-48). Routledge.</w:t>
      </w:r>
    </w:p>
    <w:p w14:paraId="3479F71B" w14:textId="77777777" w:rsidR="00D934A7" w:rsidRPr="002B47B7" w:rsidRDefault="00D934A7" w:rsidP="00785CAA">
      <w:pPr>
        <w:spacing w:after="0" w:line="480" w:lineRule="auto"/>
        <w:ind w:left="720" w:hanging="720"/>
        <w:contextualSpacing/>
        <w:rPr>
          <w:rFonts w:ascii="Times New Roman" w:hAnsi="Times New Roman" w:cs="Times New Roman"/>
          <w:color w:val="222222"/>
          <w:sz w:val="24"/>
          <w:szCs w:val="24"/>
          <w:shd w:val="clear" w:color="auto" w:fill="FFFFFF"/>
        </w:rPr>
      </w:pPr>
      <w:r w:rsidRPr="002B47B7">
        <w:rPr>
          <w:rFonts w:ascii="Times New Roman" w:hAnsi="Times New Roman" w:cs="Times New Roman"/>
          <w:color w:val="222222"/>
          <w:sz w:val="24"/>
          <w:szCs w:val="24"/>
          <w:shd w:val="clear" w:color="auto" w:fill="FFFFFF"/>
        </w:rPr>
        <w:t>Berman, H.J., 2019. The Rule of law and the Law-Based State (</w:t>
      </w:r>
      <w:proofErr w:type="spellStart"/>
      <w:r w:rsidRPr="002B47B7">
        <w:rPr>
          <w:rFonts w:ascii="Times New Roman" w:hAnsi="Times New Roman" w:cs="Times New Roman"/>
          <w:color w:val="222222"/>
          <w:sz w:val="24"/>
          <w:szCs w:val="24"/>
          <w:shd w:val="clear" w:color="auto" w:fill="FFFFFF"/>
        </w:rPr>
        <w:t>Rechtsstaat</w:t>
      </w:r>
      <w:proofErr w:type="spellEnd"/>
      <w:r w:rsidRPr="002B47B7">
        <w:rPr>
          <w:rFonts w:ascii="Times New Roman" w:hAnsi="Times New Roman" w:cs="Times New Roman"/>
          <w:color w:val="222222"/>
          <w:sz w:val="24"/>
          <w:szCs w:val="24"/>
          <w:shd w:val="clear" w:color="auto" w:fill="FFFFFF"/>
        </w:rPr>
        <w:t>): with special reference to the Soviet Union. In </w:t>
      </w:r>
      <w:r w:rsidRPr="002B47B7">
        <w:rPr>
          <w:rFonts w:ascii="Times New Roman" w:hAnsi="Times New Roman" w:cs="Times New Roman"/>
          <w:i/>
          <w:iCs/>
          <w:color w:val="222222"/>
          <w:sz w:val="24"/>
          <w:szCs w:val="24"/>
          <w:shd w:val="clear" w:color="auto" w:fill="FFFFFF"/>
        </w:rPr>
        <w:t>Toward the “Rule of Law” in Russia?</w:t>
      </w:r>
      <w:r w:rsidRPr="002B47B7">
        <w:rPr>
          <w:rFonts w:ascii="Times New Roman" w:hAnsi="Times New Roman" w:cs="Times New Roman"/>
          <w:color w:val="222222"/>
          <w:sz w:val="24"/>
          <w:szCs w:val="24"/>
          <w:shd w:val="clear" w:color="auto" w:fill="FFFFFF"/>
        </w:rPr>
        <w:t> (pp. 43-61). Routledge.</w:t>
      </w:r>
    </w:p>
    <w:p w14:paraId="46099C01" w14:textId="77777777" w:rsidR="00D934A7" w:rsidRPr="002B47B7" w:rsidRDefault="00D934A7" w:rsidP="00785CAA">
      <w:pPr>
        <w:spacing w:after="0" w:line="480" w:lineRule="auto"/>
        <w:ind w:left="720" w:hanging="720"/>
        <w:contextualSpacing/>
        <w:rPr>
          <w:rFonts w:ascii="Times New Roman" w:hAnsi="Times New Roman" w:cs="Times New Roman"/>
          <w:color w:val="222222"/>
          <w:sz w:val="24"/>
          <w:szCs w:val="24"/>
          <w:shd w:val="clear" w:color="auto" w:fill="FFFFFF"/>
        </w:rPr>
      </w:pPr>
      <w:r w:rsidRPr="002B47B7">
        <w:rPr>
          <w:rFonts w:ascii="Times New Roman" w:hAnsi="Times New Roman" w:cs="Times New Roman"/>
          <w:color w:val="222222"/>
          <w:sz w:val="24"/>
          <w:szCs w:val="24"/>
          <w:shd w:val="clear" w:color="auto" w:fill="FFFFFF"/>
        </w:rPr>
        <w:t>Born, G.B., 2021. </w:t>
      </w:r>
      <w:r w:rsidRPr="002B47B7">
        <w:rPr>
          <w:rFonts w:ascii="Times New Roman" w:hAnsi="Times New Roman" w:cs="Times New Roman"/>
          <w:i/>
          <w:iCs/>
          <w:color w:val="222222"/>
          <w:sz w:val="24"/>
          <w:szCs w:val="24"/>
          <w:shd w:val="clear" w:color="auto" w:fill="FFFFFF"/>
        </w:rPr>
        <w:t>International arbitration: law and practice</w:t>
      </w:r>
      <w:r w:rsidRPr="002B47B7">
        <w:rPr>
          <w:rFonts w:ascii="Times New Roman" w:hAnsi="Times New Roman" w:cs="Times New Roman"/>
          <w:color w:val="222222"/>
          <w:sz w:val="24"/>
          <w:szCs w:val="24"/>
          <w:shd w:val="clear" w:color="auto" w:fill="FFFFFF"/>
        </w:rPr>
        <w:t>. Kluwer Law International BV.</w:t>
      </w:r>
    </w:p>
    <w:p w14:paraId="79B299FE" w14:textId="77777777" w:rsidR="00D934A7" w:rsidRPr="002B47B7" w:rsidRDefault="00D934A7" w:rsidP="00785CAA">
      <w:pPr>
        <w:spacing w:after="0" w:line="480" w:lineRule="auto"/>
        <w:ind w:left="720" w:hanging="720"/>
        <w:contextualSpacing/>
        <w:rPr>
          <w:rFonts w:ascii="Times New Roman" w:hAnsi="Times New Roman" w:cs="Times New Roman"/>
          <w:color w:val="222222"/>
          <w:sz w:val="24"/>
          <w:szCs w:val="24"/>
          <w:shd w:val="clear" w:color="auto" w:fill="FFFFFF"/>
        </w:rPr>
      </w:pPr>
      <w:proofErr w:type="spellStart"/>
      <w:r w:rsidRPr="002B47B7">
        <w:rPr>
          <w:rFonts w:ascii="Times New Roman" w:hAnsi="Times New Roman" w:cs="Times New Roman"/>
          <w:color w:val="222222"/>
          <w:sz w:val="24"/>
          <w:szCs w:val="24"/>
          <w:shd w:val="clear" w:color="auto" w:fill="FFFFFF"/>
        </w:rPr>
        <w:t>Kischel</w:t>
      </w:r>
      <w:proofErr w:type="spellEnd"/>
      <w:r w:rsidRPr="002B47B7">
        <w:rPr>
          <w:rFonts w:ascii="Times New Roman" w:hAnsi="Times New Roman" w:cs="Times New Roman"/>
          <w:color w:val="222222"/>
          <w:sz w:val="24"/>
          <w:szCs w:val="24"/>
          <w:shd w:val="clear" w:color="auto" w:fill="FFFFFF"/>
        </w:rPr>
        <w:t>, U., 2019. </w:t>
      </w:r>
      <w:r w:rsidRPr="002B47B7">
        <w:rPr>
          <w:rFonts w:ascii="Times New Roman" w:hAnsi="Times New Roman" w:cs="Times New Roman"/>
          <w:i/>
          <w:iCs/>
          <w:color w:val="222222"/>
          <w:sz w:val="24"/>
          <w:szCs w:val="24"/>
          <w:shd w:val="clear" w:color="auto" w:fill="FFFFFF"/>
        </w:rPr>
        <w:t>Comparative law</w:t>
      </w:r>
      <w:r w:rsidRPr="002B47B7">
        <w:rPr>
          <w:rFonts w:ascii="Times New Roman" w:hAnsi="Times New Roman" w:cs="Times New Roman"/>
          <w:color w:val="222222"/>
          <w:sz w:val="24"/>
          <w:szCs w:val="24"/>
          <w:shd w:val="clear" w:color="auto" w:fill="FFFFFF"/>
        </w:rPr>
        <w:t>. Oxford University Press.</w:t>
      </w:r>
    </w:p>
    <w:p w14:paraId="53CA97FD" w14:textId="77777777" w:rsidR="00D934A7" w:rsidRPr="002B47B7" w:rsidRDefault="00D934A7" w:rsidP="00785CAA">
      <w:pPr>
        <w:spacing w:after="0" w:line="480" w:lineRule="auto"/>
        <w:ind w:left="720" w:hanging="720"/>
        <w:contextualSpacing/>
        <w:rPr>
          <w:rFonts w:ascii="Times New Roman" w:hAnsi="Times New Roman" w:cs="Times New Roman"/>
          <w:sz w:val="24"/>
          <w:szCs w:val="24"/>
        </w:rPr>
      </w:pPr>
      <w:r w:rsidRPr="002B47B7">
        <w:rPr>
          <w:rFonts w:ascii="Times New Roman" w:hAnsi="Times New Roman" w:cs="Times New Roman"/>
          <w:color w:val="222222"/>
          <w:sz w:val="24"/>
          <w:szCs w:val="24"/>
          <w:shd w:val="clear" w:color="auto" w:fill="FFFFFF"/>
        </w:rPr>
        <w:t>Partington, M., 2021. </w:t>
      </w:r>
      <w:r w:rsidRPr="002B47B7">
        <w:rPr>
          <w:rFonts w:ascii="Times New Roman" w:hAnsi="Times New Roman" w:cs="Times New Roman"/>
          <w:i/>
          <w:iCs/>
          <w:color w:val="222222"/>
          <w:sz w:val="24"/>
          <w:szCs w:val="24"/>
          <w:shd w:val="clear" w:color="auto" w:fill="FFFFFF"/>
        </w:rPr>
        <w:t>Introduction to the English legal system</w:t>
      </w:r>
      <w:r w:rsidRPr="002B47B7">
        <w:rPr>
          <w:rFonts w:ascii="Times New Roman" w:hAnsi="Times New Roman" w:cs="Times New Roman"/>
          <w:color w:val="222222"/>
          <w:sz w:val="24"/>
          <w:szCs w:val="24"/>
          <w:shd w:val="clear" w:color="auto" w:fill="FFFFFF"/>
        </w:rPr>
        <w:t>. Oxford University Press</w:t>
      </w:r>
    </w:p>
    <w:p w14:paraId="1E35A259" w14:textId="77777777" w:rsidR="00D934A7" w:rsidRPr="002B47B7" w:rsidRDefault="00D934A7" w:rsidP="00785CAA">
      <w:pPr>
        <w:spacing w:after="0" w:line="480" w:lineRule="auto"/>
        <w:ind w:left="720" w:hanging="720"/>
        <w:contextualSpacing/>
        <w:rPr>
          <w:rFonts w:ascii="Times New Roman" w:hAnsi="Times New Roman" w:cs="Times New Roman"/>
          <w:color w:val="222222"/>
          <w:sz w:val="24"/>
          <w:szCs w:val="24"/>
          <w:shd w:val="clear" w:color="auto" w:fill="FFFFFF"/>
        </w:rPr>
      </w:pPr>
      <w:r w:rsidRPr="00CA613B">
        <w:rPr>
          <w:rFonts w:ascii="Times New Roman" w:hAnsi="Times New Roman" w:cs="Times New Roman"/>
          <w:color w:val="222222"/>
          <w:sz w:val="24"/>
          <w:szCs w:val="24"/>
          <w:shd w:val="clear" w:color="auto" w:fill="FFFFFF"/>
        </w:rPr>
        <w:t>Simpson</w:t>
      </w:r>
      <w:r w:rsidRPr="002B47B7">
        <w:rPr>
          <w:rFonts w:ascii="Times New Roman" w:hAnsi="Times New Roman" w:cs="Times New Roman"/>
          <w:color w:val="222222"/>
          <w:sz w:val="24"/>
          <w:szCs w:val="24"/>
          <w:shd w:val="clear" w:color="auto" w:fill="FFFFFF"/>
        </w:rPr>
        <w:t>, A.B., 1987. </w:t>
      </w:r>
      <w:r w:rsidRPr="002B47B7">
        <w:rPr>
          <w:rFonts w:ascii="Times New Roman" w:hAnsi="Times New Roman" w:cs="Times New Roman"/>
          <w:i/>
          <w:iCs/>
          <w:color w:val="222222"/>
          <w:sz w:val="24"/>
          <w:szCs w:val="24"/>
          <w:shd w:val="clear" w:color="auto" w:fill="FFFFFF"/>
        </w:rPr>
        <w:t>A History of the Common Law of Contract: the Rise of the Action of Assumpsit</w:t>
      </w:r>
      <w:r w:rsidRPr="002B47B7">
        <w:rPr>
          <w:rFonts w:ascii="Times New Roman" w:hAnsi="Times New Roman" w:cs="Times New Roman"/>
          <w:color w:val="222222"/>
          <w:sz w:val="24"/>
          <w:szCs w:val="24"/>
          <w:shd w:val="clear" w:color="auto" w:fill="FFFFFF"/>
        </w:rPr>
        <w:t>. Oxford University Press.</w:t>
      </w:r>
    </w:p>
    <w:p w14:paraId="0AA1F738" w14:textId="77777777" w:rsidR="00E81625" w:rsidRPr="002B47B7" w:rsidRDefault="00E81625" w:rsidP="00785CAA">
      <w:pPr>
        <w:spacing w:after="0" w:line="480" w:lineRule="auto"/>
        <w:contextualSpacing/>
        <w:rPr>
          <w:rFonts w:ascii="Times New Roman" w:hAnsi="Times New Roman" w:cs="Times New Roman"/>
          <w:sz w:val="24"/>
          <w:szCs w:val="24"/>
        </w:rPr>
      </w:pPr>
    </w:p>
    <w:p w14:paraId="5E4013D7" w14:textId="77777777" w:rsidR="00F86AA7" w:rsidRDefault="00F86AA7" w:rsidP="00785CAA">
      <w:pPr>
        <w:spacing w:after="0" w:line="480" w:lineRule="auto"/>
        <w:contextualSpacing/>
        <w:rPr>
          <w:rFonts w:ascii="Times New Roman" w:hAnsi="Times New Roman" w:cs="Times New Roman"/>
          <w:sz w:val="24"/>
          <w:szCs w:val="24"/>
        </w:rPr>
      </w:pPr>
    </w:p>
    <w:p w14:paraId="2ACD3B27" w14:textId="77777777" w:rsidR="00F86AA7" w:rsidRDefault="00F86AA7" w:rsidP="00785CAA">
      <w:pPr>
        <w:spacing w:after="0" w:line="480" w:lineRule="auto"/>
        <w:contextualSpacing/>
        <w:rPr>
          <w:rFonts w:ascii="Times New Roman" w:hAnsi="Times New Roman" w:cs="Times New Roman"/>
          <w:sz w:val="24"/>
          <w:szCs w:val="24"/>
        </w:rPr>
      </w:pPr>
    </w:p>
    <w:p w14:paraId="0295CC61" w14:textId="5B46162A" w:rsidR="00F74055" w:rsidRPr="002B47B7" w:rsidRDefault="00F503FB" w:rsidP="00785CAA">
      <w:pPr>
        <w:spacing w:after="0" w:line="480" w:lineRule="auto"/>
        <w:contextualSpacing/>
        <w:rPr>
          <w:rFonts w:ascii="Times New Roman" w:hAnsi="Times New Roman" w:cs="Times New Roman"/>
          <w:sz w:val="24"/>
          <w:szCs w:val="24"/>
        </w:rPr>
      </w:pPr>
      <w:r w:rsidRPr="002B47B7">
        <w:rPr>
          <w:rFonts w:ascii="Times New Roman" w:hAnsi="Times New Roman" w:cs="Times New Roman"/>
          <w:sz w:val="24"/>
          <w:szCs w:val="24"/>
        </w:rPr>
        <w:lastRenderedPageBreak/>
        <w:t xml:space="preserve">Journal Articles </w:t>
      </w:r>
    </w:p>
    <w:p w14:paraId="47CE5F15" w14:textId="77777777" w:rsidR="00F74055" w:rsidRPr="002B47B7" w:rsidRDefault="00F74055" w:rsidP="00785CAA">
      <w:pPr>
        <w:spacing w:after="0" w:line="480" w:lineRule="auto"/>
        <w:ind w:left="720" w:hanging="720"/>
        <w:contextualSpacing/>
        <w:rPr>
          <w:rFonts w:ascii="Times New Roman" w:hAnsi="Times New Roman" w:cs="Times New Roman"/>
          <w:color w:val="222222"/>
          <w:sz w:val="24"/>
          <w:szCs w:val="24"/>
          <w:shd w:val="clear" w:color="auto" w:fill="FFFFFF"/>
        </w:rPr>
      </w:pPr>
      <w:proofErr w:type="spellStart"/>
      <w:r w:rsidRPr="002B47B7">
        <w:rPr>
          <w:rFonts w:ascii="Times New Roman" w:hAnsi="Times New Roman" w:cs="Times New Roman"/>
          <w:color w:val="222222"/>
          <w:sz w:val="24"/>
          <w:szCs w:val="24"/>
          <w:shd w:val="clear" w:color="auto" w:fill="FFFFFF"/>
        </w:rPr>
        <w:t>Brilmayer</w:t>
      </w:r>
      <w:proofErr w:type="spellEnd"/>
      <w:r w:rsidRPr="002B47B7">
        <w:rPr>
          <w:rFonts w:ascii="Times New Roman" w:hAnsi="Times New Roman" w:cs="Times New Roman"/>
          <w:color w:val="222222"/>
          <w:sz w:val="24"/>
          <w:szCs w:val="24"/>
          <w:shd w:val="clear" w:color="auto" w:fill="FFFFFF"/>
        </w:rPr>
        <w:t xml:space="preserve">, L. and </w:t>
      </w:r>
      <w:proofErr w:type="spellStart"/>
      <w:r w:rsidRPr="002B47B7">
        <w:rPr>
          <w:rFonts w:ascii="Times New Roman" w:hAnsi="Times New Roman" w:cs="Times New Roman"/>
          <w:color w:val="222222"/>
          <w:sz w:val="24"/>
          <w:szCs w:val="24"/>
          <w:shd w:val="clear" w:color="auto" w:fill="FFFFFF"/>
        </w:rPr>
        <w:t>Listwa</w:t>
      </w:r>
      <w:proofErr w:type="spellEnd"/>
      <w:r w:rsidRPr="002B47B7">
        <w:rPr>
          <w:rFonts w:ascii="Times New Roman" w:hAnsi="Times New Roman" w:cs="Times New Roman"/>
          <w:color w:val="222222"/>
          <w:sz w:val="24"/>
          <w:szCs w:val="24"/>
          <w:shd w:val="clear" w:color="auto" w:fill="FFFFFF"/>
        </w:rPr>
        <w:t>, D.B., 2020. A Common Law of Choice of Law. </w:t>
      </w:r>
      <w:r w:rsidRPr="002B47B7">
        <w:rPr>
          <w:rFonts w:ascii="Times New Roman" w:hAnsi="Times New Roman" w:cs="Times New Roman"/>
          <w:i/>
          <w:iCs/>
          <w:color w:val="222222"/>
          <w:sz w:val="24"/>
          <w:szCs w:val="24"/>
          <w:shd w:val="clear" w:color="auto" w:fill="FFFFFF"/>
        </w:rPr>
        <w:t>Fordham L. Rev.</w:t>
      </w:r>
      <w:r w:rsidRPr="002B47B7">
        <w:rPr>
          <w:rFonts w:ascii="Times New Roman" w:hAnsi="Times New Roman" w:cs="Times New Roman"/>
          <w:color w:val="222222"/>
          <w:sz w:val="24"/>
          <w:szCs w:val="24"/>
          <w:shd w:val="clear" w:color="auto" w:fill="FFFFFF"/>
        </w:rPr>
        <w:t>, </w:t>
      </w:r>
      <w:r w:rsidRPr="002B47B7">
        <w:rPr>
          <w:rFonts w:ascii="Times New Roman" w:hAnsi="Times New Roman" w:cs="Times New Roman"/>
          <w:i/>
          <w:iCs/>
          <w:color w:val="222222"/>
          <w:sz w:val="24"/>
          <w:szCs w:val="24"/>
          <w:shd w:val="clear" w:color="auto" w:fill="FFFFFF"/>
        </w:rPr>
        <w:t>89</w:t>
      </w:r>
      <w:r w:rsidRPr="002B47B7">
        <w:rPr>
          <w:rFonts w:ascii="Times New Roman" w:hAnsi="Times New Roman" w:cs="Times New Roman"/>
          <w:color w:val="222222"/>
          <w:sz w:val="24"/>
          <w:szCs w:val="24"/>
          <w:shd w:val="clear" w:color="auto" w:fill="FFFFFF"/>
        </w:rPr>
        <w:t>, p.889.</w:t>
      </w:r>
    </w:p>
    <w:p w14:paraId="53228B29" w14:textId="77777777" w:rsidR="00F74055" w:rsidRPr="002B47B7" w:rsidRDefault="00F74055" w:rsidP="00785CAA">
      <w:pPr>
        <w:spacing w:after="0" w:line="480" w:lineRule="auto"/>
        <w:ind w:left="720" w:hanging="720"/>
        <w:contextualSpacing/>
        <w:rPr>
          <w:rFonts w:ascii="Times New Roman" w:hAnsi="Times New Roman" w:cs="Times New Roman"/>
          <w:color w:val="222222"/>
          <w:sz w:val="24"/>
          <w:szCs w:val="24"/>
          <w:shd w:val="clear" w:color="auto" w:fill="FFFFFF"/>
        </w:rPr>
      </w:pPr>
      <w:r w:rsidRPr="002B47B7">
        <w:rPr>
          <w:rFonts w:ascii="Times New Roman" w:hAnsi="Times New Roman" w:cs="Times New Roman"/>
          <w:color w:val="222222"/>
          <w:sz w:val="24"/>
          <w:szCs w:val="24"/>
          <w:shd w:val="clear" w:color="auto" w:fill="FFFFFF"/>
        </w:rPr>
        <w:t>Dickinson, H.T., 2019. Comments on William Blackstone's Commentaries on the Laws of England. </w:t>
      </w:r>
      <w:r w:rsidRPr="002B47B7">
        <w:rPr>
          <w:rFonts w:ascii="Times New Roman" w:hAnsi="Times New Roman" w:cs="Times New Roman"/>
          <w:i/>
          <w:iCs/>
          <w:color w:val="222222"/>
          <w:sz w:val="24"/>
          <w:szCs w:val="24"/>
          <w:shd w:val="clear" w:color="auto" w:fill="FFFFFF"/>
        </w:rPr>
        <w:t>History</w:t>
      </w:r>
      <w:r w:rsidRPr="002B47B7">
        <w:rPr>
          <w:rFonts w:ascii="Times New Roman" w:hAnsi="Times New Roman" w:cs="Times New Roman"/>
          <w:color w:val="222222"/>
          <w:sz w:val="24"/>
          <w:szCs w:val="24"/>
          <w:shd w:val="clear" w:color="auto" w:fill="FFFFFF"/>
        </w:rPr>
        <w:t>, </w:t>
      </w:r>
      <w:r w:rsidRPr="002B47B7">
        <w:rPr>
          <w:rFonts w:ascii="Times New Roman" w:hAnsi="Times New Roman" w:cs="Times New Roman"/>
          <w:i/>
          <w:iCs/>
          <w:color w:val="222222"/>
          <w:sz w:val="24"/>
          <w:szCs w:val="24"/>
          <w:shd w:val="clear" w:color="auto" w:fill="FFFFFF"/>
        </w:rPr>
        <w:t>104</w:t>
      </w:r>
      <w:r w:rsidRPr="002B47B7">
        <w:rPr>
          <w:rFonts w:ascii="Times New Roman" w:hAnsi="Times New Roman" w:cs="Times New Roman"/>
          <w:color w:val="222222"/>
          <w:sz w:val="24"/>
          <w:szCs w:val="24"/>
          <w:shd w:val="clear" w:color="auto" w:fill="FFFFFF"/>
        </w:rPr>
        <w:t>(362), pp.710-728.</w:t>
      </w:r>
    </w:p>
    <w:p w14:paraId="6F418F44" w14:textId="77777777" w:rsidR="00F74055" w:rsidRPr="002B47B7" w:rsidRDefault="00F74055" w:rsidP="00785CAA">
      <w:pPr>
        <w:spacing w:after="0" w:line="480" w:lineRule="auto"/>
        <w:ind w:left="720" w:hanging="720"/>
        <w:contextualSpacing/>
        <w:rPr>
          <w:rFonts w:ascii="Times New Roman" w:hAnsi="Times New Roman" w:cs="Times New Roman"/>
          <w:color w:val="222222"/>
          <w:sz w:val="24"/>
          <w:szCs w:val="24"/>
          <w:shd w:val="clear" w:color="auto" w:fill="FFFFFF"/>
        </w:rPr>
      </w:pPr>
      <w:proofErr w:type="spellStart"/>
      <w:r w:rsidRPr="002B47B7">
        <w:rPr>
          <w:rFonts w:ascii="Times New Roman" w:hAnsi="Times New Roman" w:cs="Times New Roman"/>
          <w:color w:val="222222"/>
          <w:sz w:val="24"/>
          <w:szCs w:val="24"/>
          <w:shd w:val="clear" w:color="auto" w:fill="FFFFFF"/>
        </w:rPr>
        <w:t>Lupois</w:t>
      </w:r>
      <w:proofErr w:type="spellEnd"/>
      <w:r w:rsidRPr="002B47B7">
        <w:rPr>
          <w:rFonts w:ascii="Times New Roman" w:hAnsi="Times New Roman" w:cs="Times New Roman"/>
          <w:color w:val="222222"/>
          <w:sz w:val="24"/>
          <w:szCs w:val="24"/>
          <w:shd w:val="clear" w:color="auto" w:fill="FFFFFF"/>
        </w:rPr>
        <w:t>, N., 2020. English “equity” and the civil law—a tale of. </w:t>
      </w:r>
      <w:r w:rsidRPr="002B47B7">
        <w:rPr>
          <w:rFonts w:ascii="Times New Roman" w:hAnsi="Times New Roman" w:cs="Times New Roman"/>
          <w:i/>
          <w:iCs/>
          <w:color w:val="222222"/>
          <w:sz w:val="24"/>
          <w:szCs w:val="24"/>
          <w:shd w:val="clear" w:color="auto" w:fill="FFFFFF"/>
        </w:rPr>
        <w:t>Trusts &amp; Trustees</w:t>
      </w:r>
      <w:r w:rsidRPr="002B47B7">
        <w:rPr>
          <w:rFonts w:ascii="Times New Roman" w:hAnsi="Times New Roman" w:cs="Times New Roman"/>
          <w:color w:val="222222"/>
          <w:sz w:val="24"/>
          <w:szCs w:val="24"/>
          <w:shd w:val="clear" w:color="auto" w:fill="FFFFFF"/>
        </w:rPr>
        <w:t>, </w:t>
      </w:r>
      <w:r w:rsidRPr="002B47B7">
        <w:rPr>
          <w:rFonts w:ascii="Times New Roman" w:hAnsi="Times New Roman" w:cs="Times New Roman"/>
          <w:i/>
          <w:iCs/>
          <w:color w:val="222222"/>
          <w:sz w:val="24"/>
          <w:szCs w:val="24"/>
          <w:shd w:val="clear" w:color="auto" w:fill="FFFFFF"/>
        </w:rPr>
        <w:t>26</w:t>
      </w:r>
      <w:r w:rsidRPr="002B47B7">
        <w:rPr>
          <w:rFonts w:ascii="Times New Roman" w:hAnsi="Times New Roman" w:cs="Times New Roman"/>
          <w:color w:val="222222"/>
          <w:sz w:val="24"/>
          <w:szCs w:val="24"/>
          <w:shd w:val="clear" w:color="auto" w:fill="FFFFFF"/>
        </w:rPr>
        <w:t>(2).</w:t>
      </w:r>
    </w:p>
    <w:p w14:paraId="412208B5" w14:textId="77777777" w:rsidR="00F74055" w:rsidRPr="002B47B7" w:rsidRDefault="00F74055" w:rsidP="00785CAA">
      <w:pPr>
        <w:spacing w:after="0" w:line="480" w:lineRule="auto"/>
        <w:ind w:left="720" w:hanging="720"/>
        <w:contextualSpacing/>
        <w:rPr>
          <w:rFonts w:ascii="Times New Roman" w:hAnsi="Times New Roman" w:cs="Times New Roman"/>
          <w:color w:val="222222"/>
          <w:sz w:val="24"/>
          <w:szCs w:val="24"/>
          <w:shd w:val="clear" w:color="auto" w:fill="FFFFFF"/>
        </w:rPr>
      </w:pPr>
      <w:r w:rsidRPr="002B47B7">
        <w:rPr>
          <w:rFonts w:ascii="Times New Roman" w:hAnsi="Times New Roman" w:cs="Times New Roman"/>
          <w:color w:val="222222"/>
          <w:sz w:val="24"/>
          <w:szCs w:val="24"/>
          <w:shd w:val="clear" w:color="auto" w:fill="FFFFFF"/>
        </w:rPr>
        <w:t xml:space="preserve">Swaminathan, S., 2019. Mos </w:t>
      </w:r>
      <w:proofErr w:type="spellStart"/>
      <w:r w:rsidRPr="002B47B7">
        <w:rPr>
          <w:rFonts w:ascii="Times New Roman" w:hAnsi="Times New Roman" w:cs="Times New Roman"/>
          <w:color w:val="222222"/>
          <w:sz w:val="24"/>
          <w:szCs w:val="24"/>
          <w:shd w:val="clear" w:color="auto" w:fill="FFFFFF"/>
        </w:rPr>
        <w:t>geometricus</w:t>
      </w:r>
      <w:proofErr w:type="spellEnd"/>
      <w:r w:rsidRPr="002B47B7">
        <w:rPr>
          <w:rFonts w:ascii="Times New Roman" w:hAnsi="Times New Roman" w:cs="Times New Roman"/>
          <w:color w:val="222222"/>
          <w:sz w:val="24"/>
          <w:szCs w:val="24"/>
          <w:shd w:val="clear" w:color="auto" w:fill="FFFFFF"/>
        </w:rPr>
        <w:t xml:space="preserve"> and the common law mind: Interrogating contract theory. </w:t>
      </w:r>
      <w:r w:rsidRPr="002B47B7">
        <w:rPr>
          <w:rFonts w:ascii="Times New Roman" w:hAnsi="Times New Roman" w:cs="Times New Roman"/>
          <w:i/>
          <w:iCs/>
          <w:color w:val="222222"/>
          <w:sz w:val="24"/>
          <w:szCs w:val="24"/>
          <w:shd w:val="clear" w:color="auto" w:fill="FFFFFF"/>
        </w:rPr>
        <w:t>The Modern Law Review</w:t>
      </w:r>
      <w:r w:rsidRPr="002B47B7">
        <w:rPr>
          <w:rFonts w:ascii="Times New Roman" w:hAnsi="Times New Roman" w:cs="Times New Roman"/>
          <w:color w:val="222222"/>
          <w:sz w:val="24"/>
          <w:szCs w:val="24"/>
          <w:shd w:val="clear" w:color="auto" w:fill="FFFFFF"/>
        </w:rPr>
        <w:t>, </w:t>
      </w:r>
      <w:r w:rsidRPr="002B47B7">
        <w:rPr>
          <w:rFonts w:ascii="Times New Roman" w:hAnsi="Times New Roman" w:cs="Times New Roman"/>
          <w:i/>
          <w:iCs/>
          <w:color w:val="222222"/>
          <w:sz w:val="24"/>
          <w:szCs w:val="24"/>
          <w:shd w:val="clear" w:color="auto" w:fill="FFFFFF"/>
        </w:rPr>
        <w:t>82</w:t>
      </w:r>
      <w:r w:rsidRPr="002B47B7">
        <w:rPr>
          <w:rFonts w:ascii="Times New Roman" w:hAnsi="Times New Roman" w:cs="Times New Roman"/>
          <w:color w:val="222222"/>
          <w:sz w:val="24"/>
          <w:szCs w:val="24"/>
          <w:shd w:val="clear" w:color="auto" w:fill="FFFFFF"/>
        </w:rPr>
        <w:t>(1), pp.46-70.</w:t>
      </w:r>
    </w:p>
    <w:p w14:paraId="51B4DBE6" w14:textId="77777777" w:rsidR="006A23F1" w:rsidRPr="002B47B7" w:rsidRDefault="006A23F1" w:rsidP="00785CAA">
      <w:pPr>
        <w:spacing w:after="0" w:line="480" w:lineRule="auto"/>
        <w:contextualSpacing/>
        <w:rPr>
          <w:rFonts w:ascii="Times New Roman" w:hAnsi="Times New Roman" w:cs="Times New Roman"/>
          <w:sz w:val="24"/>
          <w:szCs w:val="24"/>
        </w:rPr>
      </w:pPr>
    </w:p>
    <w:p w14:paraId="2264DFB9" w14:textId="77777777" w:rsidR="00F503FB" w:rsidRPr="002B47B7" w:rsidRDefault="00F503FB" w:rsidP="00785CAA">
      <w:pPr>
        <w:spacing w:after="0" w:line="480" w:lineRule="auto"/>
        <w:contextualSpacing/>
        <w:rPr>
          <w:rFonts w:ascii="Times New Roman" w:hAnsi="Times New Roman" w:cs="Times New Roman"/>
          <w:sz w:val="24"/>
          <w:szCs w:val="24"/>
        </w:rPr>
      </w:pPr>
    </w:p>
    <w:sectPr w:rsidR="00F503FB" w:rsidRPr="002B47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B2A"/>
    <w:rsid w:val="00035A79"/>
    <w:rsid w:val="00041F91"/>
    <w:rsid w:val="00045B2A"/>
    <w:rsid w:val="00067F72"/>
    <w:rsid w:val="0007021A"/>
    <w:rsid w:val="0007268A"/>
    <w:rsid w:val="000C1600"/>
    <w:rsid w:val="000E70A0"/>
    <w:rsid w:val="000F4F96"/>
    <w:rsid w:val="00113019"/>
    <w:rsid w:val="001370BC"/>
    <w:rsid w:val="00164D50"/>
    <w:rsid w:val="001B4F5C"/>
    <w:rsid w:val="001C1454"/>
    <w:rsid w:val="001E1A2E"/>
    <w:rsid w:val="0025550E"/>
    <w:rsid w:val="00262590"/>
    <w:rsid w:val="00262EDD"/>
    <w:rsid w:val="002B47B7"/>
    <w:rsid w:val="002B5D7B"/>
    <w:rsid w:val="00321048"/>
    <w:rsid w:val="003311C9"/>
    <w:rsid w:val="00337ED4"/>
    <w:rsid w:val="00346B6C"/>
    <w:rsid w:val="0035292E"/>
    <w:rsid w:val="003625F3"/>
    <w:rsid w:val="003635E2"/>
    <w:rsid w:val="00395A51"/>
    <w:rsid w:val="003D00C2"/>
    <w:rsid w:val="003F7C5F"/>
    <w:rsid w:val="00402E21"/>
    <w:rsid w:val="00453AC3"/>
    <w:rsid w:val="00454D4A"/>
    <w:rsid w:val="00494AC8"/>
    <w:rsid w:val="004B03FF"/>
    <w:rsid w:val="004C18F8"/>
    <w:rsid w:val="004D424C"/>
    <w:rsid w:val="004E3C3A"/>
    <w:rsid w:val="00501BAC"/>
    <w:rsid w:val="0050650C"/>
    <w:rsid w:val="00525C68"/>
    <w:rsid w:val="005462F0"/>
    <w:rsid w:val="005608A1"/>
    <w:rsid w:val="00566ED1"/>
    <w:rsid w:val="005733D3"/>
    <w:rsid w:val="005A041D"/>
    <w:rsid w:val="005E252D"/>
    <w:rsid w:val="005E6E9C"/>
    <w:rsid w:val="005F5969"/>
    <w:rsid w:val="00606638"/>
    <w:rsid w:val="00642033"/>
    <w:rsid w:val="006A2148"/>
    <w:rsid w:val="006A23F1"/>
    <w:rsid w:val="006A6299"/>
    <w:rsid w:val="006C7F6E"/>
    <w:rsid w:val="00703B21"/>
    <w:rsid w:val="00704B9D"/>
    <w:rsid w:val="00722054"/>
    <w:rsid w:val="00724200"/>
    <w:rsid w:val="00725D18"/>
    <w:rsid w:val="00730784"/>
    <w:rsid w:val="00732598"/>
    <w:rsid w:val="00735653"/>
    <w:rsid w:val="007365CE"/>
    <w:rsid w:val="0074688C"/>
    <w:rsid w:val="007470AF"/>
    <w:rsid w:val="00752516"/>
    <w:rsid w:val="007557BF"/>
    <w:rsid w:val="0076430E"/>
    <w:rsid w:val="00765441"/>
    <w:rsid w:val="00785CAA"/>
    <w:rsid w:val="007973DF"/>
    <w:rsid w:val="008019F5"/>
    <w:rsid w:val="00816AC4"/>
    <w:rsid w:val="008352C3"/>
    <w:rsid w:val="008378F7"/>
    <w:rsid w:val="00865376"/>
    <w:rsid w:val="00883C9E"/>
    <w:rsid w:val="00884F0A"/>
    <w:rsid w:val="008A732B"/>
    <w:rsid w:val="008D0E46"/>
    <w:rsid w:val="008D562D"/>
    <w:rsid w:val="008F2A32"/>
    <w:rsid w:val="00905303"/>
    <w:rsid w:val="009129EA"/>
    <w:rsid w:val="00991260"/>
    <w:rsid w:val="0099403C"/>
    <w:rsid w:val="00A62D1D"/>
    <w:rsid w:val="00A73482"/>
    <w:rsid w:val="00A74518"/>
    <w:rsid w:val="00AA35CB"/>
    <w:rsid w:val="00AA3E2A"/>
    <w:rsid w:val="00AA531B"/>
    <w:rsid w:val="00AB20CC"/>
    <w:rsid w:val="00AB243C"/>
    <w:rsid w:val="00AC0F76"/>
    <w:rsid w:val="00AD53C5"/>
    <w:rsid w:val="00AE0407"/>
    <w:rsid w:val="00AF739B"/>
    <w:rsid w:val="00B1009E"/>
    <w:rsid w:val="00B20F4D"/>
    <w:rsid w:val="00B73B2B"/>
    <w:rsid w:val="00B920E7"/>
    <w:rsid w:val="00BB28CF"/>
    <w:rsid w:val="00BC38A6"/>
    <w:rsid w:val="00BE57E4"/>
    <w:rsid w:val="00C009BE"/>
    <w:rsid w:val="00C232D9"/>
    <w:rsid w:val="00C41518"/>
    <w:rsid w:val="00C7688E"/>
    <w:rsid w:val="00CA613B"/>
    <w:rsid w:val="00CB3218"/>
    <w:rsid w:val="00CB3AD2"/>
    <w:rsid w:val="00CB59FC"/>
    <w:rsid w:val="00CB723E"/>
    <w:rsid w:val="00CB7A60"/>
    <w:rsid w:val="00CD05C4"/>
    <w:rsid w:val="00CD547E"/>
    <w:rsid w:val="00CE1A26"/>
    <w:rsid w:val="00D077AB"/>
    <w:rsid w:val="00D23D9C"/>
    <w:rsid w:val="00D60146"/>
    <w:rsid w:val="00D7722E"/>
    <w:rsid w:val="00D934A7"/>
    <w:rsid w:val="00DA7AD8"/>
    <w:rsid w:val="00DE4760"/>
    <w:rsid w:val="00E056F1"/>
    <w:rsid w:val="00E151E1"/>
    <w:rsid w:val="00E15C22"/>
    <w:rsid w:val="00E237F1"/>
    <w:rsid w:val="00E32D4B"/>
    <w:rsid w:val="00E41AE5"/>
    <w:rsid w:val="00E46B6B"/>
    <w:rsid w:val="00E55D8F"/>
    <w:rsid w:val="00E81625"/>
    <w:rsid w:val="00E907A2"/>
    <w:rsid w:val="00EB22D0"/>
    <w:rsid w:val="00EB4906"/>
    <w:rsid w:val="00EC0DEC"/>
    <w:rsid w:val="00EE086D"/>
    <w:rsid w:val="00EF59AD"/>
    <w:rsid w:val="00F13009"/>
    <w:rsid w:val="00F172BD"/>
    <w:rsid w:val="00F23B31"/>
    <w:rsid w:val="00F336D6"/>
    <w:rsid w:val="00F3440A"/>
    <w:rsid w:val="00F503FB"/>
    <w:rsid w:val="00F54FDB"/>
    <w:rsid w:val="00F74055"/>
    <w:rsid w:val="00F86AA7"/>
    <w:rsid w:val="00F91E82"/>
    <w:rsid w:val="00FA6A22"/>
    <w:rsid w:val="00FC0E36"/>
    <w:rsid w:val="00FD318D"/>
    <w:rsid w:val="00FE77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49428"/>
  <w15:chartTrackingRefBased/>
  <w15:docId w15:val="{BB97E9EF-9D51-4D9A-9302-5053B1088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5F3"/>
    <w:pPr>
      <w:outlineLvl w:val="0"/>
    </w:pPr>
    <w:rPr>
      <w:rFonts w:ascii="Times New Roman" w:hAnsi="Times New Roman" w:cs="Times New Roman"/>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5F3"/>
    <w:rPr>
      <w:rFonts w:ascii="Times New Roman" w:hAnsi="Times New Roman" w:cs="Times New Roman"/>
      <w:b/>
      <w:i/>
      <w:sz w:val="24"/>
      <w:szCs w:val="24"/>
    </w:rPr>
  </w:style>
  <w:style w:type="paragraph" w:styleId="TOCHeading">
    <w:name w:val="TOC Heading"/>
    <w:basedOn w:val="Heading1"/>
    <w:next w:val="Normal"/>
    <w:uiPriority w:val="39"/>
    <w:unhideWhenUsed/>
    <w:qFormat/>
    <w:rsid w:val="00395A51"/>
    <w:pPr>
      <w:keepNext/>
      <w:keepLines/>
      <w:spacing w:before="240" w:after="0"/>
      <w:outlineLvl w:val="9"/>
    </w:pPr>
    <w:rPr>
      <w:rFonts w:asciiTheme="majorHAnsi" w:eastAsiaTheme="majorEastAsia" w:hAnsiTheme="majorHAnsi" w:cstheme="majorBidi"/>
      <w:b w:val="0"/>
      <w:i w:val="0"/>
      <w:color w:val="2F5496" w:themeColor="accent1" w:themeShade="BF"/>
      <w:sz w:val="32"/>
      <w:szCs w:val="32"/>
    </w:rPr>
  </w:style>
  <w:style w:type="paragraph" w:styleId="TOC1">
    <w:name w:val="toc 1"/>
    <w:basedOn w:val="Normal"/>
    <w:next w:val="Normal"/>
    <w:autoRedefine/>
    <w:uiPriority w:val="39"/>
    <w:unhideWhenUsed/>
    <w:rsid w:val="00395A51"/>
    <w:pPr>
      <w:spacing w:after="100"/>
    </w:pPr>
  </w:style>
  <w:style w:type="character" w:styleId="Hyperlink">
    <w:name w:val="Hyperlink"/>
    <w:basedOn w:val="DefaultParagraphFont"/>
    <w:uiPriority w:val="99"/>
    <w:unhideWhenUsed/>
    <w:rsid w:val="00395A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4CEBD0-37A4-42AB-8846-8007128C4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1613</Words>
  <Characters>9195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Umah Kauser</dc:creator>
  <cp:lastModifiedBy>Umah Kauser</cp:lastModifiedBy>
  <cp:revision>3</cp:revision>
  <dcterms:created xsi:type="dcterms:W3CDTF">2023-03-10T18:21:00Z</dcterms:created>
  <dcterms:modified xsi:type="dcterms:W3CDTF">2023-03-10T18:24:00Z</dcterms:modified>
</cp:coreProperties>
</file>