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C2D3F" w14:textId="77777777" w:rsidR="00D93FEB" w:rsidRPr="00D93FEB" w:rsidRDefault="00D93FEB" w:rsidP="00D93FEB">
      <w:pPr>
        <w:spacing w:before="100" w:beforeAutospacing="1" w:after="100" w:afterAutospacing="1"/>
        <w:jc w:val="both"/>
        <w:rPr>
          <w:rFonts w:ascii="Times New Roman" w:eastAsia="Times New Roman" w:hAnsi="Times New Roman" w:cs="Times New Roman"/>
          <w:b/>
          <w:color w:val="000000"/>
          <w:lang w:eastAsia="en-GB"/>
        </w:rPr>
      </w:pPr>
      <w:bookmarkStart w:id="0" w:name="_Hlk197886291"/>
      <w:r w:rsidRPr="00D93FEB">
        <w:rPr>
          <w:rFonts w:ascii="Times New Roman" w:eastAsia="Times New Roman" w:hAnsi="Times New Roman" w:cs="Times New Roman"/>
          <w:b/>
          <w:color w:val="000000"/>
          <w:lang w:eastAsia="en-GB"/>
        </w:rPr>
        <w:t>Qualification: PGDip/MA in Strategic People Management</w:t>
      </w:r>
    </w:p>
    <w:p w14:paraId="2BB0C00D" w14:textId="77777777" w:rsidR="00D93FEB" w:rsidRPr="00D93FEB" w:rsidRDefault="00D93FEB" w:rsidP="00D93FEB">
      <w:pPr>
        <w:jc w:val="both"/>
        <w:rPr>
          <w:rFonts w:ascii="Times New Roman" w:eastAsia="Times New Roman" w:hAnsi="Times New Roman" w:cs="Times New Roman"/>
          <w:color w:val="000000"/>
          <w:lang w:eastAsia="en-GB"/>
        </w:rPr>
      </w:pPr>
    </w:p>
    <w:p w14:paraId="36C4775C" w14:textId="6ABD6631" w:rsidR="00D93FEB" w:rsidRPr="00D93FEB" w:rsidRDefault="00D93FEB" w:rsidP="00D93FEB">
      <w:pPr>
        <w:pStyle w:val="NormalWeb"/>
        <w:shd w:val="clear" w:color="auto" w:fill="FFFFFF"/>
        <w:jc w:val="both"/>
        <w:rPr>
          <w:sz w:val="22"/>
          <w:szCs w:val="22"/>
        </w:rPr>
      </w:pPr>
      <w:r w:rsidRPr="00D93FEB">
        <w:rPr>
          <w:b/>
          <w:color w:val="000000"/>
          <w:sz w:val="22"/>
          <w:szCs w:val="22"/>
        </w:rPr>
        <w:t>Module Name:</w:t>
      </w:r>
      <w:r w:rsidRPr="00D93FEB">
        <w:rPr>
          <w:color w:val="000000"/>
          <w:sz w:val="22"/>
          <w:szCs w:val="22"/>
        </w:rPr>
        <w:t xml:space="preserve"> </w:t>
      </w:r>
      <w:r w:rsidRPr="00D93FEB">
        <w:rPr>
          <w:sz w:val="22"/>
          <w:szCs w:val="22"/>
        </w:rPr>
        <w:t xml:space="preserve">Driving Chance and Building a Business Case </w:t>
      </w:r>
    </w:p>
    <w:p w14:paraId="2A23C696" w14:textId="77777777" w:rsidR="00D93FEB" w:rsidRPr="00D93FEB" w:rsidRDefault="00D93FEB" w:rsidP="00D93FEB">
      <w:pPr>
        <w:pStyle w:val="NormalWeb"/>
        <w:shd w:val="clear" w:color="auto" w:fill="FFFFFF"/>
        <w:jc w:val="both"/>
        <w:rPr>
          <w:sz w:val="22"/>
          <w:szCs w:val="22"/>
        </w:rPr>
      </w:pPr>
      <w:r w:rsidRPr="00D93FEB">
        <w:rPr>
          <w:b/>
          <w:sz w:val="22"/>
          <w:szCs w:val="22"/>
        </w:rPr>
        <w:t>Module Code:</w:t>
      </w:r>
      <w:r w:rsidRPr="00D93FEB">
        <w:rPr>
          <w:sz w:val="22"/>
          <w:szCs w:val="22"/>
        </w:rPr>
        <w:t xml:space="preserve"> BMHR7019</w:t>
      </w:r>
    </w:p>
    <w:p w14:paraId="39862AE1" w14:textId="3A3E3800" w:rsidR="00D93FEB" w:rsidRPr="00D93FEB" w:rsidRDefault="00D93FEB" w:rsidP="00D93FEB">
      <w:pPr>
        <w:spacing w:before="100" w:beforeAutospacing="1" w:after="100" w:afterAutospacing="1"/>
        <w:jc w:val="both"/>
        <w:rPr>
          <w:rFonts w:ascii="Times New Roman" w:eastAsia="Times New Roman" w:hAnsi="Times New Roman" w:cs="Times New Roman"/>
          <w:bCs/>
          <w:color w:val="000000"/>
          <w:lang w:eastAsia="en-GB"/>
        </w:rPr>
      </w:pPr>
      <w:r w:rsidRPr="00D93FEB">
        <w:rPr>
          <w:rFonts w:ascii="Times New Roman" w:eastAsia="Times New Roman" w:hAnsi="Times New Roman" w:cs="Times New Roman"/>
          <w:b/>
          <w:color w:val="000000"/>
          <w:lang w:eastAsia="en-GB"/>
        </w:rPr>
        <w:t xml:space="preserve">Word Count:   </w:t>
      </w:r>
      <w:r w:rsidRPr="00D93FEB">
        <w:rPr>
          <w:rFonts w:ascii="Times New Roman" w:eastAsia="Times New Roman" w:hAnsi="Times New Roman" w:cs="Times New Roman"/>
          <w:bCs/>
          <w:color w:val="000000"/>
          <w:lang w:eastAsia="en-GB"/>
        </w:rPr>
        <w:t xml:space="preserve"> </w:t>
      </w:r>
      <w:r w:rsidR="00C36E1B">
        <w:rPr>
          <w:rFonts w:ascii="Times New Roman" w:eastAsia="Times New Roman" w:hAnsi="Times New Roman" w:cs="Times New Roman"/>
          <w:bCs/>
          <w:color w:val="000000"/>
          <w:lang w:eastAsia="en-GB"/>
        </w:rPr>
        <w:t>3586</w:t>
      </w:r>
    </w:p>
    <w:p w14:paraId="6B27D107" w14:textId="77777777" w:rsidR="00D93FEB" w:rsidRPr="00D93FEB" w:rsidRDefault="00D93FEB" w:rsidP="00D93FEB">
      <w:pPr>
        <w:spacing w:before="100" w:beforeAutospacing="1" w:after="100" w:afterAutospacing="1"/>
        <w:jc w:val="both"/>
        <w:rPr>
          <w:rFonts w:ascii="Times New Roman" w:eastAsia="Times New Roman" w:hAnsi="Times New Roman" w:cs="Times New Roman"/>
          <w:color w:val="000000"/>
          <w:lang w:eastAsia="en-GB"/>
        </w:rPr>
      </w:pPr>
      <w:r w:rsidRPr="00D93FEB">
        <w:rPr>
          <w:rFonts w:ascii="Times New Roman" w:eastAsia="Times New Roman" w:hAnsi="Times New Roman" w:cs="Times New Roman"/>
          <w:b/>
          <w:color w:val="000000"/>
          <w:lang w:eastAsia="en-GB"/>
        </w:rPr>
        <w:t>Student Name:</w:t>
      </w:r>
      <w:r w:rsidRPr="00D93FEB">
        <w:rPr>
          <w:rFonts w:ascii="Times New Roman" w:eastAsia="Times New Roman" w:hAnsi="Times New Roman" w:cs="Times New Roman"/>
          <w:color w:val="000000"/>
          <w:lang w:eastAsia="en-GB"/>
        </w:rPr>
        <w:t xml:space="preserve"> Alys Owens</w:t>
      </w:r>
    </w:p>
    <w:p w14:paraId="718AEAD5" w14:textId="77777777" w:rsidR="00D93FEB" w:rsidRPr="00D93FEB" w:rsidRDefault="00D93FEB" w:rsidP="00D93FEB">
      <w:pPr>
        <w:spacing w:before="100" w:beforeAutospacing="1" w:after="100" w:afterAutospacing="1"/>
        <w:jc w:val="both"/>
        <w:rPr>
          <w:rFonts w:ascii="Times New Roman" w:eastAsia="Times New Roman" w:hAnsi="Times New Roman" w:cs="Times New Roman"/>
          <w:color w:val="000000"/>
          <w:lang w:eastAsia="en-GB"/>
        </w:rPr>
      </w:pPr>
      <w:r w:rsidRPr="00D93FEB">
        <w:rPr>
          <w:rFonts w:ascii="Times New Roman" w:eastAsia="Times New Roman" w:hAnsi="Times New Roman" w:cs="Times New Roman"/>
          <w:b/>
          <w:color w:val="000000"/>
          <w:lang w:eastAsia="en-GB"/>
        </w:rPr>
        <w:t>Student Number:</w:t>
      </w:r>
      <w:r w:rsidRPr="00D93FEB">
        <w:rPr>
          <w:rFonts w:ascii="Times New Roman" w:eastAsia="Times New Roman" w:hAnsi="Times New Roman" w:cs="Times New Roman"/>
          <w:color w:val="000000"/>
          <w:lang w:eastAsia="en-GB"/>
        </w:rPr>
        <w:t xml:space="preserve"> 2005306</w:t>
      </w:r>
    </w:p>
    <w:p w14:paraId="795FDFCB" w14:textId="77777777" w:rsidR="00D93FEB" w:rsidRPr="00D93FEB" w:rsidRDefault="00D93FEB" w:rsidP="00D93FEB">
      <w:pPr>
        <w:spacing w:before="100" w:beforeAutospacing="1" w:after="100" w:afterAutospacing="1"/>
        <w:jc w:val="both"/>
        <w:rPr>
          <w:rFonts w:ascii="Times New Roman" w:eastAsia="Times New Roman" w:hAnsi="Times New Roman" w:cs="Times New Roman"/>
          <w:color w:val="000000"/>
          <w:lang w:eastAsia="en-GB"/>
        </w:rPr>
      </w:pPr>
      <w:r w:rsidRPr="00D93FEB">
        <w:rPr>
          <w:rFonts w:ascii="Times New Roman" w:eastAsia="Times New Roman" w:hAnsi="Times New Roman" w:cs="Times New Roman"/>
          <w:b/>
          <w:color w:val="000000"/>
          <w:lang w:eastAsia="en-GB"/>
        </w:rPr>
        <w:t>CIPD Membership Number</w:t>
      </w:r>
      <w:r w:rsidRPr="00D93FEB">
        <w:rPr>
          <w:rFonts w:ascii="Times New Roman" w:eastAsia="Times New Roman" w:hAnsi="Times New Roman" w:cs="Times New Roman"/>
          <w:color w:val="000000"/>
          <w:lang w:eastAsia="en-GB"/>
        </w:rPr>
        <w:t>: 56652305</w:t>
      </w:r>
    </w:p>
    <w:p w14:paraId="6E1956AB" w14:textId="77777777" w:rsidR="00D93FEB" w:rsidRPr="00D93FEB" w:rsidRDefault="00D93FEB" w:rsidP="00D93FEB">
      <w:pPr>
        <w:spacing w:before="100" w:beforeAutospacing="1" w:after="100" w:afterAutospacing="1"/>
        <w:jc w:val="both"/>
        <w:rPr>
          <w:rFonts w:ascii="Times New Roman" w:eastAsia="Times New Roman" w:hAnsi="Times New Roman" w:cs="Times New Roman"/>
          <w:color w:val="000000"/>
          <w:lang w:eastAsia="en-GB"/>
        </w:rPr>
      </w:pPr>
      <w:r w:rsidRPr="00D93FEB">
        <w:rPr>
          <w:rFonts w:ascii="Times New Roman" w:eastAsia="Times New Roman" w:hAnsi="Times New Roman" w:cs="Times New Roman"/>
          <w:color w:val="000000"/>
          <w:lang w:eastAsia="en-GB"/>
        </w:rPr>
        <w:t>By signing below, I confirm that the work/evidence presented is my own, unaided work. I understand the regulations pertaining to candidate malpractice and the action that may be taken as a result.</w:t>
      </w:r>
    </w:p>
    <w:p w14:paraId="5D1EDBED" w14:textId="77777777" w:rsidR="00D93FEB" w:rsidRPr="00D93FEB" w:rsidRDefault="00D93FEB" w:rsidP="00D93FEB">
      <w:pPr>
        <w:spacing w:before="100" w:beforeAutospacing="1" w:after="100" w:afterAutospacing="1"/>
        <w:jc w:val="both"/>
        <w:rPr>
          <w:rFonts w:ascii="Times New Roman" w:eastAsia="Times New Roman" w:hAnsi="Times New Roman" w:cs="Times New Roman"/>
          <w:color w:val="000000"/>
          <w:lang w:eastAsia="en-GB"/>
        </w:rPr>
      </w:pPr>
      <w:r w:rsidRPr="00D93FEB">
        <w:rPr>
          <w:rFonts w:ascii="Times New Roman" w:eastAsia="Times New Roman" w:hAnsi="Times New Roman" w:cs="Times New Roman"/>
          <w:color w:val="000000"/>
          <w:lang w:eastAsia="en-GB"/>
        </w:rPr>
        <w:t>Signed: Alys Owens</w:t>
      </w:r>
    </w:p>
    <w:p w14:paraId="658C045A" w14:textId="06660DCD" w:rsidR="0065335F" w:rsidRDefault="00D93FEB" w:rsidP="0065335F">
      <w:pPr>
        <w:spacing w:before="100" w:beforeAutospacing="1" w:after="100" w:afterAutospacing="1"/>
        <w:jc w:val="both"/>
        <w:rPr>
          <w:rFonts w:ascii="Times New Roman" w:eastAsia="Times New Roman" w:hAnsi="Times New Roman" w:cs="Times New Roman"/>
          <w:color w:val="000000"/>
          <w:lang w:eastAsia="en-GB"/>
        </w:rPr>
      </w:pPr>
      <w:r w:rsidRPr="00D93FEB">
        <w:rPr>
          <w:rFonts w:ascii="Times New Roman" w:eastAsia="Times New Roman" w:hAnsi="Times New Roman" w:cs="Times New Roman"/>
          <w:color w:val="000000"/>
          <w:lang w:eastAsia="en-GB"/>
        </w:rPr>
        <w:t>Dated: 29</w:t>
      </w:r>
      <w:r w:rsidRPr="00D93FEB">
        <w:rPr>
          <w:rFonts w:ascii="Times New Roman" w:eastAsia="Times New Roman" w:hAnsi="Times New Roman" w:cs="Times New Roman"/>
          <w:color w:val="000000"/>
          <w:vertAlign w:val="superscript"/>
          <w:lang w:eastAsia="en-GB"/>
        </w:rPr>
        <w:t>th</w:t>
      </w:r>
      <w:r w:rsidRPr="00D93FEB">
        <w:rPr>
          <w:rFonts w:ascii="Times New Roman" w:eastAsia="Times New Roman" w:hAnsi="Times New Roman" w:cs="Times New Roman"/>
          <w:color w:val="000000"/>
          <w:lang w:eastAsia="en-GB"/>
        </w:rPr>
        <w:t xml:space="preserve"> Septem</w:t>
      </w:r>
      <w:bookmarkEnd w:id="0"/>
      <w:r w:rsidR="0065335F">
        <w:rPr>
          <w:rFonts w:ascii="Times New Roman" w:eastAsia="Times New Roman" w:hAnsi="Times New Roman" w:cs="Times New Roman"/>
          <w:color w:val="000000"/>
          <w:lang w:eastAsia="en-GB"/>
        </w:rPr>
        <w:t>ber 2025</w:t>
      </w:r>
    </w:p>
    <w:p w14:paraId="083B238B" w14:textId="09581A5E" w:rsidR="00A35F83" w:rsidRDefault="00A35F83" w:rsidP="0065335F">
      <w:pPr>
        <w:spacing w:before="100" w:beforeAutospacing="1" w:after="100" w:afterAutospacing="1"/>
        <w:jc w:val="both"/>
        <w:rPr>
          <w:rFonts w:ascii="Times New Roman" w:eastAsia="Times New Roman" w:hAnsi="Times New Roman" w:cs="Times New Roman"/>
          <w:color w:val="000000"/>
          <w:lang w:eastAsia="en-GB"/>
        </w:rPr>
      </w:pPr>
    </w:p>
    <w:p w14:paraId="7C9CC157" w14:textId="7ABD8431" w:rsidR="00C93E3C" w:rsidRPr="00C93E3C" w:rsidRDefault="00A35F83" w:rsidP="00C93E3C">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br w:type="page"/>
      </w:r>
      <w:r w:rsidR="00C93E3C" w:rsidRPr="00C93E3C">
        <w:rPr>
          <w:rFonts w:ascii="Times New Roman" w:eastAsia="Times New Roman" w:hAnsi="Times New Roman" w:cs="Times New Roman"/>
          <w:b/>
          <w:bCs/>
          <w:color w:val="000000"/>
          <w:lang w:eastAsia="en-GB"/>
        </w:rPr>
        <w:lastRenderedPageBreak/>
        <w:t>Executive Summary</w:t>
      </w:r>
    </w:p>
    <w:p w14:paraId="24B210EE" w14:textId="77777777" w:rsidR="00C93E3C" w:rsidRPr="00C93E3C" w:rsidRDefault="00C93E3C" w:rsidP="00C93E3C">
      <w:pPr>
        <w:rPr>
          <w:rFonts w:ascii="Times New Roman" w:eastAsia="Times New Roman" w:hAnsi="Times New Roman" w:cs="Times New Roman"/>
          <w:color w:val="000000"/>
          <w:lang w:eastAsia="en-GB"/>
        </w:rPr>
      </w:pPr>
      <w:r w:rsidRPr="00C93E3C">
        <w:rPr>
          <w:rFonts w:ascii="Times New Roman" w:eastAsia="Times New Roman" w:hAnsi="Times New Roman" w:cs="Times New Roman"/>
          <w:color w:val="000000"/>
          <w:lang w:eastAsia="en-GB"/>
        </w:rPr>
        <w:t>This research provides a comprehensive analysis of the return-to-work (RTW) process at Castell Howell Foods, focusing on employee experiences, organisational practices, and operational challenges. The objective was to understand how RTW procedures function in practice and to identify both strengths and areas where the process could be improved.</w:t>
      </w:r>
    </w:p>
    <w:p w14:paraId="5E404AB5" w14:textId="77777777" w:rsidR="00C93E3C" w:rsidRPr="00C93E3C" w:rsidRDefault="00C93E3C" w:rsidP="00C93E3C">
      <w:pPr>
        <w:rPr>
          <w:rFonts w:ascii="Times New Roman" w:eastAsia="Times New Roman" w:hAnsi="Times New Roman" w:cs="Times New Roman"/>
          <w:color w:val="000000"/>
          <w:lang w:eastAsia="en-GB"/>
        </w:rPr>
      </w:pPr>
      <w:r w:rsidRPr="00C93E3C">
        <w:rPr>
          <w:rFonts w:ascii="Times New Roman" w:eastAsia="Times New Roman" w:hAnsi="Times New Roman" w:cs="Times New Roman"/>
          <w:b/>
          <w:bCs/>
          <w:color w:val="000000"/>
          <w:lang w:eastAsia="en-GB"/>
        </w:rPr>
        <w:t>Methodology</w:t>
      </w:r>
      <w:r w:rsidRPr="00C93E3C">
        <w:rPr>
          <w:rFonts w:ascii="Times New Roman" w:eastAsia="Times New Roman" w:hAnsi="Times New Roman" w:cs="Times New Roman"/>
          <w:color w:val="000000"/>
          <w:lang w:eastAsia="en-GB"/>
        </w:rPr>
        <w:br/>
        <w:t>A mixed-methods approach was employed to capture a complete view of the RTW process. This included:</w:t>
      </w:r>
    </w:p>
    <w:p w14:paraId="637EF032" w14:textId="77777777" w:rsidR="00C93E3C" w:rsidRPr="00C93E3C" w:rsidRDefault="00C93E3C" w:rsidP="00C93E3C">
      <w:pPr>
        <w:numPr>
          <w:ilvl w:val="0"/>
          <w:numId w:val="15"/>
        </w:numPr>
        <w:rPr>
          <w:rFonts w:ascii="Times New Roman" w:eastAsia="Times New Roman" w:hAnsi="Times New Roman" w:cs="Times New Roman"/>
          <w:color w:val="000000"/>
          <w:lang w:eastAsia="en-GB"/>
        </w:rPr>
      </w:pPr>
      <w:r w:rsidRPr="00C93E3C">
        <w:rPr>
          <w:rFonts w:ascii="Times New Roman" w:eastAsia="Times New Roman" w:hAnsi="Times New Roman" w:cs="Times New Roman"/>
          <w:b/>
          <w:bCs/>
          <w:color w:val="000000"/>
          <w:lang w:eastAsia="en-GB"/>
        </w:rPr>
        <w:t>Literature review:</w:t>
      </w:r>
      <w:r w:rsidRPr="00C93E3C">
        <w:rPr>
          <w:rFonts w:ascii="Times New Roman" w:eastAsia="Times New Roman" w:hAnsi="Times New Roman" w:cs="Times New Roman"/>
          <w:color w:val="000000"/>
          <w:lang w:eastAsia="en-GB"/>
        </w:rPr>
        <w:t xml:space="preserve"> Examining academic and industry research on RTW strategies, challenges, and best practices.</w:t>
      </w:r>
    </w:p>
    <w:p w14:paraId="17D1A454" w14:textId="77777777" w:rsidR="00C93E3C" w:rsidRPr="00C93E3C" w:rsidRDefault="00C93E3C" w:rsidP="00C93E3C">
      <w:pPr>
        <w:numPr>
          <w:ilvl w:val="0"/>
          <w:numId w:val="15"/>
        </w:numPr>
        <w:rPr>
          <w:rFonts w:ascii="Times New Roman" w:eastAsia="Times New Roman" w:hAnsi="Times New Roman" w:cs="Times New Roman"/>
          <w:color w:val="000000"/>
          <w:lang w:eastAsia="en-GB"/>
        </w:rPr>
      </w:pPr>
      <w:r w:rsidRPr="00C93E3C">
        <w:rPr>
          <w:rFonts w:ascii="Times New Roman" w:eastAsia="Times New Roman" w:hAnsi="Times New Roman" w:cs="Times New Roman"/>
          <w:b/>
          <w:bCs/>
          <w:color w:val="000000"/>
          <w:lang w:eastAsia="en-GB"/>
        </w:rPr>
        <w:t>Secondary data analysis:</w:t>
      </w:r>
      <w:r w:rsidRPr="00C93E3C">
        <w:rPr>
          <w:rFonts w:ascii="Times New Roman" w:eastAsia="Times New Roman" w:hAnsi="Times New Roman" w:cs="Times New Roman"/>
          <w:color w:val="000000"/>
          <w:lang w:eastAsia="en-GB"/>
        </w:rPr>
        <w:t xml:space="preserve"> Reviewing internal HR records, absence data, and organisational policies.</w:t>
      </w:r>
    </w:p>
    <w:p w14:paraId="6099EF26" w14:textId="77777777" w:rsidR="00C93E3C" w:rsidRPr="00C93E3C" w:rsidRDefault="00C93E3C" w:rsidP="00C93E3C">
      <w:pPr>
        <w:numPr>
          <w:ilvl w:val="0"/>
          <w:numId w:val="15"/>
        </w:numPr>
        <w:rPr>
          <w:rFonts w:ascii="Times New Roman" w:eastAsia="Times New Roman" w:hAnsi="Times New Roman" w:cs="Times New Roman"/>
          <w:color w:val="000000"/>
          <w:lang w:eastAsia="en-GB"/>
        </w:rPr>
      </w:pPr>
      <w:r w:rsidRPr="00C93E3C">
        <w:rPr>
          <w:rFonts w:ascii="Times New Roman" w:eastAsia="Times New Roman" w:hAnsi="Times New Roman" w:cs="Times New Roman"/>
          <w:b/>
          <w:bCs/>
          <w:color w:val="000000"/>
          <w:lang w:eastAsia="en-GB"/>
        </w:rPr>
        <w:t>Primary research:</w:t>
      </w:r>
      <w:r w:rsidRPr="00C93E3C">
        <w:rPr>
          <w:rFonts w:ascii="Times New Roman" w:eastAsia="Times New Roman" w:hAnsi="Times New Roman" w:cs="Times New Roman"/>
          <w:color w:val="000000"/>
          <w:lang w:eastAsia="en-GB"/>
        </w:rPr>
        <w:t xml:space="preserve"> A structured questionnaire distributed to 102 employees across multiple departments and roles, capturing experiences, perceptions, and attitudes towards RTW procedures. Descriptive and comparative statistical analysis was conducted to identify patterns and trends. Ethical standards were maintained, including informed consent, confidentiality, and voluntary participation.</w:t>
      </w:r>
    </w:p>
    <w:p w14:paraId="0C786D55" w14:textId="77777777" w:rsidR="00C93E3C" w:rsidRPr="00C93E3C" w:rsidRDefault="00C93E3C" w:rsidP="00C93E3C">
      <w:pPr>
        <w:rPr>
          <w:rFonts w:ascii="Times New Roman" w:eastAsia="Times New Roman" w:hAnsi="Times New Roman" w:cs="Times New Roman"/>
          <w:color w:val="000000"/>
          <w:lang w:eastAsia="en-GB"/>
        </w:rPr>
      </w:pPr>
      <w:r w:rsidRPr="00C93E3C">
        <w:rPr>
          <w:rFonts w:ascii="Times New Roman" w:eastAsia="Times New Roman" w:hAnsi="Times New Roman" w:cs="Times New Roman"/>
          <w:b/>
          <w:bCs/>
          <w:color w:val="000000"/>
          <w:lang w:eastAsia="en-GB"/>
        </w:rPr>
        <w:t>Key Findings</w:t>
      </w:r>
    </w:p>
    <w:p w14:paraId="60CA635B" w14:textId="77777777" w:rsidR="00A17E6C" w:rsidRPr="00A17E6C" w:rsidRDefault="00A17E6C" w:rsidP="00C93E3C">
      <w:pPr>
        <w:numPr>
          <w:ilvl w:val="0"/>
          <w:numId w:val="16"/>
        </w:numPr>
        <w:rPr>
          <w:rFonts w:ascii="Times New Roman" w:eastAsia="Times New Roman" w:hAnsi="Times New Roman" w:cs="Times New Roman"/>
          <w:color w:val="000000" w:themeColor="text1"/>
          <w:lang w:eastAsia="en-GB"/>
        </w:rPr>
      </w:pPr>
      <w:r w:rsidRPr="00A17E6C">
        <w:rPr>
          <w:rFonts w:ascii="Times New Roman" w:eastAsia="Times New Roman" w:hAnsi="Times New Roman" w:cs="Times New Roman"/>
          <w:b/>
          <w:bCs/>
          <w:color w:val="000000" w:themeColor="text1"/>
          <w:lang w:eastAsia="en-GB"/>
        </w:rPr>
        <w:t xml:space="preserve">Employee involvement: </w:t>
      </w:r>
      <w:r w:rsidRPr="00A17E6C">
        <w:rPr>
          <w:rFonts w:ascii="Times New Roman" w:eastAsia="Times New Roman" w:hAnsi="Times New Roman" w:cs="Times New Roman"/>
          <w:color w:val="000000" w:themeColor="text1"/>
          <w:lang w:eastAsia="en-GB"/>
        </w:rPr>
        <w:t>Most included in planning; some excluded or hesitant to disclose due to stigma.</w:t>
      </w:r>
    </w:p>
    <w:p w14:paraId="423ABFFF" w14:textId="3AEAE7C6" w:rsidR="00C93E3C" w:rsidRPr="00C93E3C" w:rsidRDefault="00C93E3C" w:rsidP="00C93E3C">
      <w:pPr>
        <w:numPr>
          <w:ilvl w:val="0"/>
          <w:numId w:val="16"/>
        </w:numPr>
        <w:rPr>
          <w:rFonts w:ascii="Times New Roman" w:eastAsia="Times New Roman" w:hAnsi="Times New Roman" w:cs="Times New Roman"/>
          <w:color w:val="000000"/>
          <w:lang w:eastAsia="en-GB"/>
        </w:rPr>
      </w:pPr>
      <w:r w:rsidRPr="00C93E3C">
        <w:rPr>
          <w:rFonts w:ascii="Times New Roman" w:eastAsia="Times New Roman" w:hAnsi="Times New Roman" w:cs="Times New Roman"/>
          <w:b/>
          <w:bCs/>
          <w:color w:val="000000"/>
          <w:lang w:eastAsia="en-GB"/>
        </w:rPr>
        <w:t>Inconsistencies:</w:t>
      </w:r>
      <w:r w:rsidRPr="00C93E3C">
        <w:rPr>
          <w:rFonts w:ascii="Times New Roman" w:eastAsia="Times New Roman" w:hAnsi="Times New Roman" w:cs="Times New Roman"/>
          <w:color w:val="000000"/>
          <w:lang w:eastAsia="en-GB"/>
        </w:rPr>
        <w:t xml:space="preserve"> Communication and awareness of RTW policies varied across departments. Employees in physically demanding roles reported lower levels of support and preparedness.</w:t>
      </w:r>
    </w:p>
    <w:p w14:paraId="62E46491" w14:textId="77777777" w:rsidR="00C93E3C" w:rsidRPr="00C93E3C" w:rsidRDefault="00C93E3C" w:rsidP="00C93E3C">
      <w:pPr>
        <w:numPr>
          <w:ilvl w:val="0"/>
          <w:numId w:val="16"/>
        </w:numPr>
        <w:rPr>
          <w:rFonts w:ascii="Times New Roman" w:eastAsia="Times New Roman" w:hAnsi="Times New Roman" w:cs="Times New Roman"/>
          <w:color w:val="000000"/>
          <w:lang w:eastAsia="en-GB"/>
        </w:rPr>
      </w:pPr>
      <w:r w:rsidRPr="00C93E3C">
        <w:rPr>
          <w:rFonts w:ascii="Times New Roman" w:eastAsia="Times New Roman" w:hAnsi="Times New Roman" w:cs="Times New Roman"/>
          <w:b/>
          <w:bCs/>
          <w:color w:val="000000"/>
          <w:lang w:eastAsia="en-GB"/>
        </w:rPr>
        <w:t>Policy awareness:</w:t>
      </w:r>
      <w:r w:rsidRPr="00C93E3C">
        <w:rPr>
          <w:rFonts w:ascii="Times New Roman" w:eastAsia="Times New Roman" w:hAnsi="Times New Roman" w:cs="Times New Roman"/>
          <w:color w:val="000000"/>
          <w:lang w:eastAsia="en-GB"/>
        </w:rPr>
        <w:t xml:space="preserve"> Nearly half of employees were unaware of formal RTW procedures, limiting clarity and trust in the process.</w:t>
      </w:r>
    </w:p>
    <w:p w14:paraId="793071B7" w14:textId="77777777" w:rsidR="00C93E3C" w:rsidRPr="00C93E3C" w:rsidRDefault="00C93E3C" w:rsidP="00C93E3C">
      <w:pPr>
        <w:rPr>
          <w:rFonts w:ascii="Times New Roman" w:eastAsia="Times New Roman" w:hAnsi="Times New Roman" w:cs="Times New Roman"/>
          <w:color w:val="000000"/>
          <w:lang w:eastAsia="en-GB"/>
        </w:rPr>
      </w:pPr>
      <w:r w:rsidRPr="00C93E3C">
        <w:rPr>
          <w:rFonts w:ascii="Times New Roman" w:eastAsia="Times New Roman" w:hAnsi="Times New Roman" w:cs="Times New Roman"/>
          <w:color w:val="000000"/>
          <w:lang w:eastAsia="en-GB"/>
        </w:rPr>
        <w:t>Overall, the research demonstrates that Castell Howell Foods has a supportive RTW foundation, but inconsistencies in policy communication, departmental practices, and role-specific support limit the effectiveness and equity of reintegration across the workforce.</w:t>
      </w:r>
    </w:p>
    <w:p w14:paraId="6957644B" w14:textId="77777777" w:rsidR="00C93E3C" w:rsidRDefault="00C93E3C">
      <w:pPr>
        <w:rPr>
          <w:rFonts w:ascii="Times New Roman" w:eastAsia="Times New Roman" w:hAnsi="Times New Roman" w:cs="Times New Roman"/>
          <w:color w:val="000000"/>
          <w:lang w:eastAsia="en-GB"/>
        </w:rPr>
      </w:pPr>
    </w:p>
    <w:p w14:paraId="5C3CD3B4" w14:textId="24928300" w:rsidR="00EE38AB" w:rsidRPr="00EE38AB" w:rsidRDefault="00EE38AB" w:rsidP="00EE38AB">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br w:type="page"/>
      </w:r>
    </w:p>
    <w:p w14:paraId="2C95C94B" w14:textId="7579EBF9" w:rsidR="00A35F83" w:rsidRPr="00BA7E08" w:rsidRDefault="00A35F83" w:rsidP="00A35F83">
      <w:pPr>
        <w:spacing w:before="100" w:beforeAutospacing="1" w:after="100" w:afterAutospacing="1"/>
        <w:contextualSpacing/>
        <w:jc w:val="both"/>
        <w:rPr>
          <w:rFonts w:ascii="Times New Roman" w:eastAsia="Times New Roman" w:hAnsi="Times New Roman" w:cs="Times New Roman"/>
          <w:b/>
          <w:bCs/>
          <w:color w:val="000000"/>
          <w:lang w:eastAsia="en-GB"/>
        </w:rPr>
      </w:pPr>
      <w:r w:rsidRPr="00BA7E08">
        <w:rPr>
          <w:rFonts w:ascii="Times New Roman" w:eastAsia="Times New Roman" w:hAnsi="Times New Roman" w:cs="Times New Roman"/>
          <w:b/>
          <w:bCs/>
          <w:color w:val="000000"/>
          <w:lang w:eastAsia="en-GB"/>
        </w:rPr>
        <w:lastRenderedPageBreak/>
        <w:t>Contents Page</w:t>
      </w:r>
    </w:p>
    <w:p w14:paraId="66C9A708" w14:textId="77777777" w:rsidR="00070F4C" w:rsidRPr="00070F4C" w:rsidRDefault="00070F4C" w:rsidP="00070F4C">
      <w:pPr>
        <w:spacing w:before="100" w:beforeAutospacing="1" w:after="100" w:afterAutospacing="1"/>
        <w:contextualSpacing/>
        <w:jc w:val="both"/>
        <w:rPr>
          <w:rFonts w:ascii="Times New Roman" w:eastAsia="Times New Roman" w:hAnsi="Times New Roman" w:cs="Times New Roman"/>
          <w:b/>
          <w:bCs/>
          <w:color w:val="000000"/>
          <w:lang w:eastAsia="en-GB"/>
        </w:rPr>
      </w:pPr>
    </w:p>
    <w:p w14:paraId="33ADA06C" w14:textId="40501B26" w:rsidR="00070F4C" w:rsidRPr="00070F4C" w:rsidRDefault="00070F4C" w:rsidP="00070F4C">
      <w:pPr>
        <w:spacing w:before="100" w:beforeAutospacing="1" w:after="100" w:afterAutospacing="1"/>
        <w:contextualSpacing/>
        <w:jc w:val="both"/>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1. </w:t>
      </w:r>
      <w:r w:rsidR="00A35F83" w:rsidRPr="00070F4C">
        <w:rPr>
          <w:rFonts w:ascii="Times New Roman" w:eastAsia="Times New Roman" w:hAnsi="Times New Roman" w:cs="Times New Roman"/>
          <w:b/>
          <w:bCs/>
          <w:color w:val="000000"/>
          <w:lang w:eastAsia="en-GB"/>
        </w:rPr>
        <w:t>Aims and Objectives</w:t>
      </w:r>
      <w:r>
        <w:rPr>
          <w:rFonts w:ascii="Times New Roman" w:eastAsia="Times New Roman" w:hAnsi="Times New Roman" w:cs="Times New Roman"/>
          <w:b/>
          <w:bCs/>
          <w:color w:val="000000"/>
          <w:lang w:eastAsia="en-GB"/>
        </w:rPr>
        <w:t>………………………………………………………………………………3</w:t>
      </w:r>
    </w:p>
    <w:p w14:paraId="627C3C94" w14:textId="7E876961" w:rsidR="00070F4C" w:rsidRPr="00070F4C" w:rsidRDefault="00070F4C" w:rsidP="00070F4C">
      <w:pPr>
        <w:contextualSpacing/>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2. </w:t>
      </w:r>
      <w:r w:rsidR="00A35F83" w:rsidRPr="00070F4C">
        <w:rPr>
          <w:rFonts w:ascii="Times New Roman" w:hAnsi="Times New Roman" w:cs="Times New Roman"/>
          <w:b/>
          <w:bCs/>
          <w:color w:val="000000" w:themeColor="text1"/>
        </w:rPr>
        <w:t>Introduction of the investigation topic and rationale</w:t>
      </w:r>
      <w:r>
        <w:rPr>
          <w:rFonts w:ascii="Times New Roman" w:hAnsi="Times New Roman" w:cs="Times New Roman"/>
          <w:b/>
          <w:bCs/>
          <w:color w:val="000000" w:themeColor="text1"/>
        </w:rPr>
        <w:t>…………………………………………..3</w:t>
      </w:r>
    </w:p>
    <w:p w14:paraId="71B5C07F" w14:textId="7F42C7DA" w:rsidR="00A35F83" w:rsidRPr="00070F4C" w:rsidRDefault="00070F4C" w:rsidP="00070F4C">
      <w:pPr>
        <w:spacing w:before="100" w:beforeAutospacing="1" w:after="100" w:afterAutospacing="1"/>
        <w:ind w:left="720"/>
        <w:contextualSpacing/>
        <w:jc w:val="both"/>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2.1 </w:t>
      </w:r>
      <w:r w:rsidR="00A35F83" w:rsidRPr="00070F4C">
        <w:rPr>
          <w:rFonts w:ascii="Times New Roman" w:eastAsia="Times New Roman" w:hAnsi="Times New Roman" w:cs="Times New Roman"/>
          <w:b/>
          <w:bCs/>
          <w:color w:val="000000"/>
          <w:lang w:eastAsia="en-GB"/>
        </w:rPr>
        <w:t>Introduction</w:t>
      </w:r>
      <w:r>
        <w:rPr>
          <w:rFonts w:ascii="Times New Roman" w:eastAsia="Times New Roman" w:hAnsi="Times New Roman" w:cs="Times New Roman"/>
          <w:b/>
          <w:bCs/>
          <w:color w:val="000000"/>
          <w:lang w:eastAsia="en-GB"/>
        </w:rPr>
        <w:t>……………………………………………………………………………..3</w:t>
      </w:r>
    </w:p>
    <w:p w14:paraId="70B5C19B" w14:textId="28A1662D" w:rsidR="00A35F83" w:rsidRDefault="00070F4C" w:rsidP="00070F4C">
      <w:pPr>
        <w:spacing w:before="100" w:beforeAutospacing="1" w:after="100" w:afterAutospacing="1"/>
        <w:ind w:left="720"/>
        <w:contextualSpacing/>
        <w:jc w:val="both"/>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2.2 </w:t>
      </w:r>
      <w:r w:rsidR="00A35F83" w:rsidRPr="00070F4C">
        <w:rPr>
          <w:rFonts w:ascii="Times New Roman" w:eastAsia="Times New Roman" w:hAnsi="Times New Roman" w:cs="Times New Roman"/>
          <w:b/>
          <w:bCs/>
          <w:color w:val="000000"/>
          <w:lang w:eastAsia="en-GB"/>
        </w:rPr>
        <w:t>Rationale</w:t>
      </w:r>
      <w:r>
        <w:rPr>
          <w:rFonts w:ascii="Times New Roman" w:eastAsia="Times New Roman" w:hAnsi="Times New Roman" w:cs="Times New Roman"/>
          <w:b/>
          <w:bCs/>
          <w:color w:val="000000"/>
          <w:lang w:eastAsia="en-GB"/>
        </w:rPr>
        <w:t>…………………………………………………………………………………3</w:t>
      </w:r>
    </w:p>
    <w:p w14:paraId="2B96E5D4" w14:textId="77777777" w:rsidR="00070F4C" w:rsidRPr="00070F4C" w:rsidRDefault="00070F4C" w:rsidP="00070F4C">
      <w:pPr>
        <w:spacing w:before="100" w:beforeAutospacing="1" w:after="100" w:afterAutospacing="1"/>
        <w:ind w:left="720"/>
        <w:contextualSpacing/>
        <w:jc w:val="both"/>
        <w:rPr>
          <w:rFonts w:ascii="Times New Roman" w:eastAsia="Times New Roman" w:hAnsi="Times New Roman" w:cs="Times New Roman"/>
          <w:b/>
          <w:bCs/>
          <w:color w:val="000000"/>
          <w:lang w:eastAsia="en-GB"/>
        </w:rPr>
      </w:pPr>
    </w:p>
    <w:p w14:paraId="01F6B10F" w14:textId="4F629DD4" w:rsidR="00A35F83" w:rsidRPr="00070F4C" w:rsidRDefault="00070F4C" w:rsidP="00070F4C">
      <w:pPr>
        <w:spacing w:before="100" w:beforeAutospacing="1" w:after="100" w:afterAutospacing="1"/>
        <w:contextualSpacing/>
        <w:jc w:val="both"/>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3. </w:t>
      </w:r>
      <w:r w:rsidR="00A35F83" w:rsidRPr="00070F4C">
        <w:rPr>
          <w:rFonts w:ascii="Times New Roman" w:eastAsia="Times New Roman" w:hAnsi="Times New Roman" w:cs="Times New Roman"/>
          <w:b/>
          <w:bCs/>
          <w:color w:val="000000"/>
          <w:lang w:eastAsia="en-GB"/>
        </w:rPr>
        <w:t>Literature Review</w:t>
      </w:r>
      <w:r>
        <w:rPr>
          <w:rFonts w:ascii="Times New Roman" w:eastAsia="Times New Roman" w:hAnsi="Times New Roman" w:cs="Times New Roman"/>
          <w:b/>
          <w:bCs/>
          <w:color w:val="000000"/>
          <w:lang w:eastAsia="en-GB"/>
        </w:rPr>
        <w:t>………………………………………………………………………………….4</w:t>
      </w:r>
    </w:p>
    <w:p w14:paraId="08124429" w14:textId="586B43BA" w:rsidR="00A35F83" w:rsidRPr="00070F4C" w:rsidRDefault="00070F4C" w:rsidP="00070F4C">
      <w:pPr>
        <w:ind w:left="720"/>
        <w:contextualSpacing/>
        <w:jc w:val="both"/>
        <w:rPr>
          <w:rFonts w:ascii="Times New Roman" w:hAnsi="Times New Roman" w:cs="Times New Roman"/>
          <w:b/>
          <w:bCs/>
        </w:rPr>
      </w:pPr>
      <w:r>
        <w:rPr>
          <w:rFonts w:ascii="Times New Roman" w:hAnsi="Times New Roman" w:cs="Times New Roman"/>
          <w:b/>
          <w:bCs/>
        </w:rPr>
        <w:t xml:space="preserve">3.1 </w:t>
      </w:r>
      <w:r w:rsidR="00A35F83" w:rsidRPr="00070F4C">
        <w:rPr>
          <w:rFonts w:ascii="Times New Roman" w:hAnsi="Times New Roman" w:cs="Times New Roman"/>
          <w:b/>
          <w:bCs/>
        </w:rPr>
        <w:t>Theoretical Frameworks and Practical Constraints</w:t>
      </w:r>
      <w:r>
        <w:rPr>
          <w:rFonts w:ascii="Times New Roman" w:hAnsi="Times New Roman" w:cs="Times New Roman"/>
          <w:b/>
          <w:bCs/>
        </w:rPr>
        <w:t>…………………………………..4</w:t>
      </w:r>
    </w:p>
    <w:p w14:paraId="0FAD413F" w14:textId="588F89A9" w:rsidR="00A35F83" w:rsidRPr="00070F4C" w:rsidRDefault="00070F4C" w:rsidP="00070F4C">
      <w:pPr>
        <w:ind w:left="720"/>
        <w:contextualSpacing/>
        <w:jc w:val="both"/>
        <w:rPr>
          <w:rFonts w:ascii="Times New Roman" w:hAnsi="Times New Roman" w:cs="Times New Roman"/>
          <w:b/>
          <w:bCs/>
        </w:rPr>
      </w:pPr>
      <w:r>
        <w:rPr>
          <w:rFonts w:ascii="Times New Roman" w:hAnsi="Times New Roman" w:cs="Times New Roman"/>
          <w:b/>
          <w:bCs/>
        </w:rPr>
        <w:t xml:space="preserve">3.2 </w:t>
      </w:r>
      <w:r w:rsidR="00A35F83" w:rsidRPr="00070F4C">
        <w:rPr>
          <w:rFonts w:ascii="Times New Roman" w:hAnsi="Times New Roman" w:cs="Times New Roman"/>
          <w:b/>
          <w:bCs/>
        </w:rPr>
        <w:t>Mental Health, Managerial Competence and Perceived Support</w:t>
      </w:r>
      <w:r>
        <w:rPr>
          <w:rFonts w:ascii="Times New Roman" w:hAnsi="Times New Roman" w:cs="Times New Roman"/>
          <w:b/>
          <w:bCs/>
        </w:rPr>
        <w:t>…………………….4</w:t>
      </w:r>
    </w:p>
    <w:p w14:paraId="3CD220F8" w14:textId="2D932C1E" w:rsidR="00A35F83" w:rsidRPr="00070F4C" w:rsidRDefault="00070F4C" w:rsidP="00070F4C">
      <w:pPr>
        <w:ind w:left="720"/>
        <w:contextualSpacing/>
        <w:jc w:val="both"/>
        <w:rPr>
          <w:rFonts w:ascii="Times New Roman" w:hAnsi="Times New Roman" w:cs="Times New Roman"/>
          <w:b/>
          <w:bCs/>
        </w:rPr>
      </w:pPr>
      <w:r>
        <w:rPr>
          <w:rFonts w:ascii="Times New Roman" w:hAnsi="Times New Roman" w:cs="Times New Roman"/>
          <w:b/>
          <w:bCs/>
        </w:rPr>
        <w:t xml:space="preserve">3.3 </w:t>
      </w:r>
      <w:r w:rsidR="00A35F83" w:rsidRPr="00070F4C">
        <w:rPr>
          <w:rFonts w:ascii="Times New Roman" w:hAnsi="Times New Roman" w:cs="Times New Roman"/>
          <w:b/>
          <w:bCs/>
        </w:rPr>
        <w:t>Measuring Success and the Question of Sustainability</w:t>
      </w:r>
      <w:r>
        <w:rPr>
          <w:rFonts w:ascii="Times New Roman" w:hAnsi="Times New Roman" w:cs="Times New Roman"/>
          <w:b/>
          <w:bCs/>
        </w:rPr>
        <w:t>…………………………………4</w:t>
      </w:r>
    </w:p>
    <w:p w14:paraId="2861816F" w14:textId="0F7DC136" w:rsidR="00A35F83" w:rsidRPr="00070F4C" w:rsidRDefault="00070F4C" w:rsidP="00070F4C">
      <w:pPr>
        <w:ind w:left="720"/>
        <w:contextualSpacing/>
        <w:jc w:val="both"/>
        <w:rPr>
          <w:rFonts w:ascii="Times New Roman" w:hAnsi="Times New Roman" w:cs="Times New Roman"/>
          <w:b/>
          <w:bCs/>
        </w:rPr>
      </w:pPr>
      <w:r>
        <w:rPr>
          <w:rFonts w:ascii="Times New Roman" w:hAnsi="Times New Roman" w:cs="Times New Roman"/>
          <w:b/>
          <w:bCs/>
        </w:rPr>
        <w:t xml:space="preserve">3.4 </w:t>
      </w:r>
      <w:r w:rsidR="00A35F83" w:rsidRPr="00070F4C">
        <w:rPr>
          <w:rFonts w:ascii="Times New Roman" w:hAnsi="Times New Roman" w:cs="Times New Roman"/>
          <w:b/>
          <w:bCs/>
        </w:rPr>
        <w:t>Organisational Context and Policy Benchmarks</w:t>
      </w:r>
      <w:r>
        <w:rPr>
          <w:rFonts w:ascii="Times New Roman" w:hAnsi="Times New Roman" w:cs="Times New Roman"/>
          <w:b/>
          <w:bCs/>
        </w:rPr>
        <w:t>……………………………………….5</w:t>
      </w:r>
    </w:p>
    <w:p w14:paraId="77CAACFF" w14:textId="62DBA401" w:rsidR="00A35F83" w:rsidRPr="00070F4C" w:rsidRDefault="00070F4C" w:rsidP="00070F4C">
      <w:pPr>
        <w:ind w:left="720"/>
        <w:contextualSpacing/>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3.5 </w:t>
      </w:r>
      <w:r w:rsidR="00A35F83" w:rsidRPr="00070F4C">
        <w:rPr>
          <w:rFonts w:ascii="Times New Roman" w:hAnsi="Times New Roman" w:cs="Times New Roman"/>
          <w:b/>
          <w:bCs/>
          <w:color w:val="000000" w:themeColor="text1"/>
        </w:rPr>
        <w:t>Secondary data</w:t>
      </w:r>
      <w:r>
        <w:rPr>
          <w:rFonts w:ascii="Times New Roman" w:hAnsi="Times New Roman" w:cs="Times New Roman"/>
          <w:b/>
          <w:bCs/>
          <w:color w:val="000000" w:themeColor="text1"/>
        </w:rPr>
        <w:t>……………………………………………………………………………5</w:t>
      </w:r>
    </w:p>
    <w:p w14:paraId="13598DA4" w14:textId="77777777" w:rsidR="00070F4C" w:rsidRDefault="00070F4C" w:rsidP="00070F4C">
      <w:pPr>
        <w:contextualSpacing/>
        <w:jc w:val="both"/>
        <w:rPr>
          <w:rFonts w:ascii="Times New Roman" w:hAnsi="Times New Roman" w:cs="Times New Roman"/>
          <w:b/>
          <w:bCs/>
          <w:color w:val="000000" w:themeColor="text1"/>
        </w:rPr>
      </w:pPr>
    </w:p>
    <w:p w14:paraId="775C79AE" w14:textId="1CE45746" w:rsidR="00A35F83" w:rsidRPr="00070F4C" w:rsidRDefault="00070F4C" w:rsidP="00070F4C">
      <w:pPr>
        <w:contextualSpacing/>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4. </w:t>
      </w:r>
      <w:r w:rsidR="00A35F83" w:rsidRPr="00070F4C">
        <w:rPr>
          <w:rFonts w:ascii="Times New Roman" w:hAnsi="Times New Roman" w:cs="Times New Roman"/>
          <w:b/>
          <w:bCs/>
          <w:color w:val="000000" w:themeColor="text1"/>
        </w:rPr>
        <w:t>Methodology</w:t>
      </w:r>
      <w:r>
        <w:rPr>
          <w:rFonts w:ascii="Times New Roman" w:hAnsi="Times New Roman" w:cs="Times New Roman"/>
          <w:b/>
          <w:bCs/>
          <w:color w:val="000000" w:themeColor="text1"/>
        </w:rPr>
        <w:t>………………………………………………………………………………………..5</w:t>
      </w:r>
    </w:p>
    <w:p w14:paraId="1E9AEB2E" w14:textId="30A250DC" w:rsidR="00A35F83" w:rsidRPr="00070F4C" w:rsidRDefault="00070F4C" w:rsidP="00070F4C">
      <w:pPr>
        <w:ind w:left="720"/>
        <w:contextualSpacing/>
        <w:jc w:val="both"/>
        <w:rPr>
          <w:rFonts w:ascii="Times New Roman" w:hAnsi="Times New Roman" w:cs="Times New Roman"/>
          <w:b/>
          <w:bCs/>
        </w:rPr>
      </w:pPr>
      <w:r>
        <w:rPr>
          <w:rFonts w:ascii="Times New Roman" w:hAnsi="Times New Roman" w:cs="Times New Roman"/>
          <w:b/>
          <w:bCs/>
        </w:rPr>
        <w:t xml:space="preserve">4.1 </w:t>
      </w:r>
      <w:r w:rsidR="00A35F83" w:rsidRPr="00070F4C">
        <w:rPr>
          <w:rFonts w:ascii="Times New Roman" w:hAnsi="Times New Roman" w:cs="Times New Roman"/>
          <w:b/>
          <w:bCs/>
        </w:rPr>
        <w:t>Research Philosophy</w:t>
      </w:r>
      <w:r>
        <w:rPr>
          <w:rFonts w:ascii="Times New Roman" w:hAnsi="Times New Roman" w:cs="Times New Roman"/>
          <w:b/>
          <w:bCs/>
        </w:rPr>
        <w:t>……………………………………………………………………..5</w:t>
      </w:r>
    </w:p>
    <w:p w14:paraId="2521FAE4" w14:textId="438A0CAA" w:rsidR="00A35F83" w:rsidRPr="00070F4C" w:rsidRDefault="00070F4C" w:rsidP="00070F4C">
      <w:pPr>
        <w:ind w:left="720"/>
        <w:contextualSpacing/>
        <w:jc w:val="both"/>
        <w:rPr>
          <w:rFonts w:ascii="Times New Roman" w:hAnsi="Times New Roman" w:cs="Times New Roman"/>
          <w:b/>
          <w:bCs/>
        </w:rPr>
      </w:pPr>
      <w:r>
        <w:rPr>
          <w:rFonts w:ascii="Times New Roman" w:hAnsi="Times New Roman" w:cs="Times New Roman"/>
          <w:b/>
          <w:bCs/>
        </w:rPr>
        <w:t xml:space="preserve">4.2 </w:t>
      </w:r>
      <w:r w:rsidR="00A35F83" w:rsidRPr="00070F4C">
        <w:rPr>
          <w:rFonts w:ascii="Times New Roman" w:hAnsi="Times New Roman" w:cs="Times New Roman"/>
          <w:b/>
          <w:bCs/>
        </w:rPr>
        <w:t>Research Methodology</w:t>
      </w:r>
      <w:r>
        <w:rPr>
          <w:rFonts w:ascii="Times New Roman" w:hAnsi="Times New Roman" w:cs="Times New Roman"/>
          <w:b/>
          <w:bCs/>
        </w:rPr>
        <w:t>…………………………………………………………………..5</w:t>
      </w:r>
    </w:p>
    <w:p w14:paraId="1A6CD5EF" w14:textId="166DD903" w:rsidR="00A35F83" w:rsidRPr="00070F4C" w:rsidRDefault="00070F4C" w:rsidP="00070F4C">
      <w:pPr>
        <w:ind w:left="720"/>
        <w:contextualSpacing/>
        <w:jc w:val="both"/>
        <w:rPr>
          <w:rFonts w:ascii="Times New Roman" w:hAnsi="Times New Roman" w:cs="Times New Roman"/>
          <w:b/>
          <w:bCs/>
        </w:rPr>
      </w:pPr>
      <w:r>
        <w:rPr>
          <w:rFonts w:ascii="Times New Roman" w:hAnsi="Times New Roman" w:cs="Times New Roman"/>
          <w:b/>
          <w:bCs/>
        </w:rPr>
        <w:t xml:space="preserve">4.3 </w:t>
      </w:r>
      <w:r w:rsidR="00A35F83" w:rsidRPr="00070F4C">
        <w:rPr>
          <w:rFonts w:ascii="Times New Roman" w:hAnsi="Times New Roman" w:cs="Times New Roman"/>
          <w:b/>
          <w:bCs/>
        </w:rPr>
        <w:t>Primary Research and Participants</w:t>
      </w:r>
      <w:r>
        <w:rPr>
          <w:rFonts w:ascii="Times New Roman" w:hAnsi="Times New Roman" w:cs="Times New Roman"/>
          <w:b/>
          <w:bCs/>
        </w:rPr>
        <w:t>……………………………………………………..5</w:t>
      </w:r>
    </w:p>
    <w:p w14:paraId="7CEA3843" w14:textId="312C2A8D" w:rsidR="00A35F83" w:rsidRPr="00070F4C" w:rsidRDefault="00070F4C" w:rsidP="00070F4C">
      <w:pPr>
        <w:ind w:left="720"/>
        <w:contextualSpacing/>
        <w:jc w:val="both"/>
        <w:rPr>
          <w:rFonts w:ascii="Times New Roman" w:hAnsi="Times New Roman" w:cs="Times New Roman"/>
          <w:b/>
          <w:bCs/>
        </w:rPr>
      </w:pPr>
      <w:r>
        <w:rPr>
          <w:rFonts w:ascii="Times New Roman" w:hAnsi="Times New Roman" w:cs="Times New Roman"/>
          <w:b/>
          <w:bCs/>
        </w:rPr>
        <w:t xml:space="preserve">4.4 </w:t>
      </w:r>
      <w:r w:rsidR="00A35F83" w:rsidRPr="00070F4C">
        <w:rPr>
          <w:rFonts w:ascii="Times New Roman" w:hAnsi="Times New Roman" w:cs="Times New Roman"/>
          <w:b/>
          <w:bCs/>
        </w:rPr>
        <w:t>Participant Access and Response Rate</w:t>
      </w:r>
      <w:r>
        <w:rPr>
          <w:rFonts w:ascii="Times New Roman" w:hAnsi="Times New Roman" w:cs="Times New Roman"/>
          <w:b/>
          <w:bCs/>
        </w:rPr>
        <w:t>………………………………………………….6</w:t>
      </w:r>
    </w:p>
    <w:p w14:paraId="3D516554" w14:textId="1D423986" w:rsidR="00A35F83" w:rsidRPr="00070F4C" w:rsidRDefault="00070F4C" w:rsidP="00070F4C">
      <w:pPr>
        <w:ind w:left="720"/>
        <w:contextualSpacing/>
        <w:jc w:val="both"/>
        <w:rPr>
          <w:rFonts w:ascii="Times New Roman" w:hAnsi="Times New Roman" w:cs="Times New Roman"/>
          <w:b/>
          <w:bCs/>
        </w:rPr>
      </w:pPr>
      <w:r>
        <w:rPr>
          <w:rFonts w:ascii="Times New Roman" w:hAnsi="Times New Roman" w:cs="Times New Roman"/>
          <w:b/>
          <w:bCs/>
        </w:rPr>
        <w:t xml:space="preserve">4.5 </w:t>
      </w:r>
      <w:r w:rsidR="00A35F83" w:rsidRPr="00070F4C">
        <w:rPr>
          <w:rFonts w:ascii="Times New Roman" w:hAnsi="Times New Roman" w:cs="Times New Roman"/>
          <w:b/>
          <w:bCs/>
        </w:rPr>
        <w:t>Ethical Considerations</w:t>
      </w:r>
      <w:r>
        <w:rPr>
          <w:rFonts w:ascii="Times New Roman" w:hAnsi="Times New Roman" w:cs="Times New Roman"/>
          <w:b/>
          <w:bCs/>
        </w:rPr>
        <w:t>……………………………………………………………………6</w:t>
      </w:r>
    </w:p>
    <w:p w14:paraId="0CFA2FDE" w14:textId="48DA071D" w:rsidR="00A35F83" w:rsidRPr="00070F4C" w:rsidRDefault="00070F4C" w:rsidP="00070F4C">
      <w:pPr>
        <w:ind w:left="720"/>
        <w:contextualSpacing/>
        <w:jc w:val="both"/>
        <w:rPr>
          <w:rFonts w:ascii="Times New Roman" w:hAnsi="Times New Roman" w:cs="Times New Roman"/>
          <w:b/>
          <w:bCs/>
        </w:rPr>
      </w:pPr>
      <w:r>
        <w:rPr>
          <w:rFonts w:ascii="Times New Roman" w:hAnsi="Times New Roman" w:cs="Times New Roman"/>
          <w:b/>
          <w:bCs/>
        </w:rPr>
        <w:t xml:space="preserve">4.6 </w:t>
      </w:r>
      <w:r w:rsidR="00A35F83" w:rsidRPr="00070F4C">
        <w:rPr>
          <w:rFonts w:ascii="Times New Roman" w:hAnsi="Times New Roman" w:cs="Times New Roman"/>
          <w:b/>
          <w:bCs/>
        </w:rPr>
        <w:t>Reliability, Validity, and Limitations</w:t>
      </w:r>
      <w:r>
        <w:rPr>
          <w:rFonts w:ascii="Times New Roman" w:hAnsi="Times New Roman" w:cs="Times New Roman"/>
          <w:b/>
          <w:bCs/>
        </w:rPr>
        <w:t>…………………………………………………….6</w:t>
      </w:r>
    </w:p>
    <w:p w14:paraId="63CD27CD" w14:textId="60011BBA" w:rsidR="00A35F83" w:rsidRPr="00070F4C" w:rsidRDefault="00070F4C" w:rsidP="00070F4C">
      <w:pPr>
        <w:ind w:left="720"/>
        <w:contextualSpacing/>
        <w:jc w:val="both"/>
        <w:rPr>
          <w:rFonts w:ascii="Times New Roman" w:hAnsi="Times New Roman" w:cs="Times New Roman"/>
          <w:b/>
          <w:bCs/>
        </w:rPr>
      </w:pPr>
      <w:r>
        <w:rPr>
          <w:rFonts w:ascii="Times New Roman" w:hAnsi="Times New Roman" w:cs="Times New Roman"/>
          <w:b/>
          <w:bCs/>
        </w:rPr>
        <w:t xml:space="preserve">4.7 </w:t>
      </w:r>
      <w:r w:rsidR="00A35F83" w:rsidRPr="00070F4C">
        <w:rPr>
          <w:rFonts w:ascii="Times New Roman" w:hAnsi="Times New Roman" w:cs="Times New Roman"/>
          <w:b/>
          <w:bCs/>
        </w:rPr>
        <w:t>Data Analysis</w:t>
      </w:r>
      <w:r>
        <w:rPr>
          <w:rFonts w:ascii="Times New Roman" w:hAnsi="Times New Roman" w:cs="Times New Roman"/>
          <w:b/>
          <w:bCs/>
        </w:rPr>
        <w:t>………………………………………………………………………………6</w:t>
      </w:r>
    </w:p>
    <w:p w14:paraId="7CB1A6DB" w14:textId="77777777" w:rsidR="00070F4C" w:rsidRDefault="00070F4C" w:rsidP="00070F4C">
      <w:pPr>
        <w:contextualSpacing/>
        <w:jc w:val="both"/>
        <w:rPr>
          <w:rFonts w:ascii="Times New Roman" w:hAnsi="Times New Roman" w:cs="Times New Roman"/>
          <w:b/>
          <w:bCs/>
        </w:rPr>
      </w:pPr>
    </w:p>
    <w:p w14:paraId="02EE11B4" w14:textId="594946F5" w:rsidR="00A35F83" w:rsidRPr="00070F4C" w:rsidRDefault="00070F4C" w:rsidP="00070F4C">
      <w:pPr>
        <w:contextualSpacing/>
        <w:jc w:val="both"/>
        <w:rPr>
          <w:rFonts w:ascii="Times New Roman" w:hAnsi="Times New Roman" w:cs="Times New Roman"/>
          <w:b/>
          <w:bCs/>
        </w:rPr>
      </w:pPr>
      <w:r>
        <w:rPr>
          <w:rFonts w:ascii="Times New Roman" w:hAnsi="Times New Roman" w:cs="Times New Roman"/>
          <w:b/>
          <w:bCs/>
        </w:rPr>
        <w:t xml:space="preserve">5. </w:t>
      </w:r>
      <w:r w:rsidR="00A35F83" w:rsidRPr="00070F4C">
        <w:rPr>
          <w:rFonts w:ascii="Times New Roman" w:hAnsi="Times New Roman" w:cs="Times New Roman"/>
          <w:b/>
          <w:bCs/>
        </w:rPr>
        <w:t>Findings and Data Analysis</w:t>
      </w:r>
      <w:r>
        <w:rPr>
          <w:rFonts w:ascii="Times New Roman" w:hAnsi="Times New Roman" w:cs="Times New Roman"/>
          <w:b/>
          <w:bCs/>
        </w:rPr>
        <w:t>…………………………………………………………………………6</w:t>
      </w:r>
    </w:p>
    <w:p w14:paraId="412EB32C" w14:textId="718D9E8B" w:rsidR="00A35F83" w:rsidRPr="00070F4C" w:rsidRDefault="00070F4C" w:rsidP="00070F4C">
      <w:pPr>
        <w:ind w:left="720"/>
        <w:contextualSpacing/>
        <w:jc w:val="both"/>
        <w:rPr>
          <w:rFonts w:ascii="Times New Roman" w:hAnsi="Times New Roman" w:cs="Times New Roman"/>
          <w:b/>
          <w:bCs/>
        </w:rPr>
      </w:pPr>
      <w:r>
        <w:rPr>
          <w:rFonts w:ascii="Times New Roman" w:hAnsi="Times New Roman" w:cs="Times New Roman"/>
          <w:b/>
          <w:bCs/>
        </w:rPr>
        <w:t xml:space="preserve">5.1 </w:t>
      </w:r>
      <w:r w:rsidR="00A35F83" w:rsidRPr="00070F4C">
        <w:rPr>
          <w:rFonts w:ascii="Times New Roman" w:hAnsi="Times New Roman" w:cs="Times New Roman"/>
          <w:b/>
          <w:bCs/>
        </w:rPr>
        <w:t>Participant Demographics and Employment Information</w:t>
      </w:r>
      <w:r>
        <w:rPr>
          <w:rFonts w:ascii="Times New Roman" w:hAnsi="Times New Roman" w:cs="Times New Roman"/>
          <w:b/>
          <w:bCs/>
        </w:rPr>
        <w:t>……………………………..6</w:t>
      </w:r>
    </w:p>
    <w:p w14:paraId="210F1678" w14:textId="77777777" w:rsidR="00070F4C" w:rsidRDefault="00070F4C" w:rsidP="00070F4C">
      <w:pPr>
        <w:contextualSpacing/>
        <w:jc w:val="both"/>
        <w:rPr>
          <w:rFonts w:ascii="Times New Roman" w:hAnsi="Times New Roman" w:cs="Times New Roman"/>
          <w:b/>
          <w:bCs/>
        </w:rPr>
      </w:pPr>
    </w:p>
    <w:p w14:paraId="37F3F2C1" w14:textId="298A8564" w:rsidR="00A35F83" w:rsidRDefault="00070F4C" w:rsidP="00070F4C">
      <w:pPr>
        <w:contextualSpacing/>
        <w:jc w:val="both"/>
        <w:rPr>
          <w:rFonts w:ascii="Times New Roman" w:hAnsi="Times New Roman" w:cs="Times New Roman"/>
          <w:b/>
          <w:bCs/>
        </w:rPr>
      </w:pPr>
      <w:r>
        <w:rPr>
          <w:rFonts w:ascii="Times New Roman" w:hAnsi="Times New Roman" w:cs="Times New Roman"/>
          <w:b/>
          <w:bCs/>
        </w:rPr>
        <w:t xml:space="preserve">6. </w:t>
      </w:r>
      <w:r w:rsidR="00A35F83" w:rsidRPr="00070F4C">
        <w:rPr>
          <w:rFonts w:ascii="Times New Roman" w:hAnsi="Times New Roman" w:cs="Times New Roman"/>
          <w:b/>
          <w:bCs/>
        </w:rPr>
        <w:t>Conclusion</w:t>
      </w:r>
      <w:r>
        <w:rPr>
          <w:rFonts w:ascii="Times New Roman" w:hAnsi="Times New Roman" w:cs="Times New Roman"/>
          <w:b/>
          <w:bCs/>
        </w:rPr>
        <w:t>………………………………………………………………………………………….10</w:t>
      </w:r>
    </w:p>
    <w:p w14:paraId="32D23C72" w14:textId="77777777" w:rsidR="00070F4C" w:rsidRDefault="00070F4C" w:rsidP="00070F4C">
      <w:pPr>
        <w:contextualSpacing/>
        <w:jc w:val="both"/>
        <w:rPr>
          <w:rFonts w:ascii="Times New Roman" w:hAnsi="Times New Roman" w:cs="Times New Roman"/>
          <w:b/>
          <w:bCs/>
        </w:rPr>
      </w:pPr>
    </w:p>
    <w:p w14:paraId="6DE4F150" w14:textId="06F42A88" w:rsidR="00070F4C" w:rsidRPr="00070F4C" w:rsidRDefault="00070F4C" w:rsidP="00070F4C">
      <w:pPr>
        <w:contextualSpacing/>
        <w:jc w:val="both"/>
        <w:rPr>
          <w:rFonts w:ascii="Times New Roman" w:hAnsi="Times New Roman" w:cs="Times New Roman"/>
          <w:b/>
          <w:bCs/>
        </w:rPr>
      </w:pPr>
      <w:r>
        <w:rPr>
          <w:rFonts w:ascii="Times New Roman" w:hAnsi="Times New Roman" w:cs="Times New Roman"/>
          <w:b/>
          <w:bCs/>
        </w:rPr>
        <w:t>7. Infographic Content……………………………………………………………………………….10</w:t>
      </w:r>
    </w:p>
    <w:p w14:paraId="0B6E64E9" w14:textId="77777777" w:rsidR="00A35F83" w:rsidRPr="00D93FEB" w:rsidRDefault="00A35F83" w:rsidP="00A35F83">
      <w:pPr>
        <w:contextualSpacing/>
        <w:jc w:val="both"/>
        <w:rPr>
          <w:rFonts w:ascii="Times New Roman" w:hAnsi="Times New Roman" w:cs="Times New Roman"/>
          <w:b/>
          <w:bCs/>
        </w:rPr>
      </w:pPr>
    </w:p>
    <w:p w14:paraId="2BDAE865" w14:textId="77777777" w:rsidR="00A35F83" w:rsidRPr="00A35F83" w:rsidRDefault="00A35F83" w:rsidP="00A35F83">
      <w:pPr>
        <w:spacing w:before="100" w:beforeAutospacing="1" w:after="100" w:afterAutospacing="1"/>
        <w:jc w:val="both"/>
        <w:rPr>
          <w:rFonts w:ascii="Times New Roman" w:eastAsia="Times New Roman" w:hAnsi="Times New Roman" w:cs="Times New Roman"/>
          <w:color w:val="000000"/>
          <w:lang w:eastAsia="en-GB"/>
        </w:rPr>
      </w:pPr>
    </w:p>
    <w:p w14:paraId="27E1F232" w14:textId="77777777" w:rsidR="00A35F83" w:rsidRPr="00A35F83" w:rsidRDefault="00A35F83" w:rsidP="00A35F83">
      <w:pPr>
        <w:spacing w:before="100" w:beforeAutospacing="1" w:after="100" w:afterAutospacing="1"/>
        <w:jc w:val="both"/>
        <w:rPr>
          <w:rFonts w:ascii="Times New Roman" w:eastAsia="Times New Roman" w:hAnsi="Times New Roman" w:cs="Times New Roman"/>
          <w:color w:val="000000"/>
          <w:lang w:eastAsia="en-GB"/>
        </w:rPr>
      </w:pPr>
    </w:p>
    <w:p w14:paraId="72FAB432" w14:textId="77777777" w:rsidR="0065335F" w:rsidRDefault="0065335F">
      <w:pPr>
        <w:rPr>
          <w:rFonts w:ascii="Times New Roman" w:hAnsi="Times New Roman" w:cs="Times New Roman"/>
          <w:b/>
          <w:bCs/>
        </w:rPr>
      </w:pPr>
      <w:r>
        <w:rPr>
          <w:rFonts w:ascii="Times New Roman" w:hAnsi="Times New Roman" w:cs="Times New Roman"/>
          <w:b/>
          <w:bCs/>
        </w:rPr>
        <w:br w:type="page"/>
      </w:r>
    </w:p>
    <w:p w14:paraId="7895C936" w14:textId="30F6D071" w:rsidR="009C7328" w:rsidRPr="00A35F83" w:rsidRDefault="009C7328" w:rsidP="00A35F83">
      <w:pPr>
        <w:pStyle w:val="ListParagraph"/>
        <w:numPr>
          <w:ilvl w:val="0"/>
          <w:numId w:val="11"/>
        </w:numPr>
        <w:jc w:val="both"/>
        <w:rPr>
          <w:rFonts w:ascii="Times New Roman" w:hAnsi="Times New Roman" w:cs="Times New Roman"/>
          <w:b/>
          <w:bCs/>
        </w:rPr>
      </w:pPr>
      <w:r w:rsidRPr="00A35F83">
        <w:rPr>
          <w:rFonts w:ascii="Times New Roman" w:hAnsi="Times New Roman" w:cs="Times New Roman"/>
          <w:b/>
          <w:bCs/>
        </w:rPr>
        <w:lastRenderedPageBreak/>
        <w:t>Aim and Objectives</w:t>
      </w:r>
    </w:p>
    <w:p w14:paraId="25550AD7"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The primary aim and objective of this research is to critically evaluate the return-to-work (RTW) process at Castell Howell Foods with a view to continuous improvement. To achieve this, the study holds the following:</w:t>
      </w:r>
    </w:p>
    <w:p w14:paraId="4A8D9513" w14:textId="77777777" w:rsidR="009C7328" w:rsidRPr="00D93FEB" w:rsidRDefault="009C7328" w:rsidP="009C7328">
      <w:pPr>
        <w:pStyle w:val="BodyText"/>
        <w:numPr>
          <w:ilvl w:val="0"/>
          <w:numId w:val="7"/>
        </w:numPr>
        <w:rPr>
          <w:rFonts w:ascii="Times New Roman" w:hAnsi="Times New Roman"/>
          <w:color w:val="000000"/>
          <w:szCs w:val="22"/>
        </w:rPr>
      </w:pPr>
      <w:r w:rsidRPr="00D93FEB">
        <w:rPr>
          <w:rFonts w:ascii="Times New Roman" w:hAnsi="Times New Roman"/>
          <w:color w:val="000000"/>
          <w:szCs w:val="22"/>
        </w:rPr>
        <w:t>To research and analyse existing literature regarding return-to-work strategies, challenges, and best practices across relevant departments.</w:t>
      </w:r>
    </w:p>
    <w:p w14:paraId="349CD1DF" w14:textId="77777777" w:rsidR="009C7328" w:rsidRPr="00D93FEB" w:rsidRDefault="009C7328" w:rsidP="009C7328">
      <w:pPr>
        <w:pStyle w:val="BodyText"/>
        <w:numPr>
          <w:ilvl w:val="0"/>
          <w:numId w:val="7"/>
        </w:numPr>
        <w:rPr>
          <w:rFonts w:ascii="Times New Roman" w:hAnsi="Times New Roman"/>
          <w:color w:val="000000"/>
          <w:szCs w:val="22"/>
        </w:rPr>
      </w:pPr>
      <w:r w:rsidRPr="00D93FEB">
        <w:rPr>
          <w:rFonts w:ascii="Times New Roman" w:hAnsi="Times New Roman"/>
          <w:color w:val="000000"/>
          <w:szCs w:val="22"/>
        </w:rPr>
        <w:t>To review existing secondary data from within Castell Howell, including absence records, HR policies, and previous employee feedback related to return-to-work experiences.</w:t>
      </w:r>
    </w:p>
    <w:p w14:paraId="7F2C14ED" w14:textId="77777777" w:rsidR="009C7328" w:rsidRPr="00D93FEB" w:rsidRDefault="009C7328" w:rsidP="009C7328">
      <w:pPr>
        <w:pStyle w:val="ListParagraph"/>
        <w:numPr>
          <w:ilvl w:val="0"/>
          <w:numId w:val="7"/>
        </w:numPr>
        <w:spacing w:before="100" w:beforeAutospacing="1" w:after="100" w:afterAutospacing="1" w:line="240" w:lineRule="auto"/>
        <w:jc w:val="both"/>
        <w:rPr>
          <w:rFonts w:ascii="Times New Roman" w:hAnsi="Times New Roman" w:cs="Times New Roman"/>
          <w:color w:val="000000"/>
          <w:lang w:eastAsia="en-GB"/>
        </w:rPr>
      </w:pPr>
      <w:r w:rsidRPr="00D93FEB">
        <w:rPr>
          <w:rFonts w:ascii="Times New Roman" w:hAnsi="Times New Roman" w:cs="Times New Roman"/>
          <w:color w:val="000000"/>
          <w:lang w:eastAsia="en-GB"/>
        </w:rPr>
        <w:t>To conduct quantitative and/or qualitative research through the use of structured questionnaires distributed to employees within Castell Howell. The purpose is to establish their perceptions, experiences, and attitudes towards the current return-to-work processes.</w:t>
      </w:r>
    </w:p>
    <w:p w14:paraId="592BBBC9" w14:textId="77777777" w:rsidR="009C7328" w:rsidRPr="00D93FEB" w:rsidRDefault="009C7328" w:rsidP="009C7328">
      <w:pPr>
        <w:pStyle w:val="BodyText"/>
        <w:numPr>
          <w:ilvl w:val="0"/>
          <w:numId w:val="7"/>
        </w:numPr>
        <w:rPr>
          <w:rFonts w:ascii="Times New Roman" w:hAnsi="Times New Roman"/>
          <w:color w:val="000000"/>
          <w:szCs w:val="22"/>
        </w:rPr>
      </w:pPr>
      <w:r w:rsidRPr="00D93FEB">
        <w:rPr>
          <w:rFonts w:ascii="Times New Roman" w:hAnsi="Times New Roman"/>
          <w:color w:val="000000"/>
          <w:szCs w:val="22"/>
        </w:rPr>
        <w:t>To critically evaluate the primary research findings to identify common themes, barriers, and opportunities for enhancing return to work support.</w:t>
      </w:r>
    </w:p>
    <w:p w14:paraId="7DCFF93D" w14:textId="77777777" w:rsidR="009C7328" w:rsidRPr="00D93FEB" w:rsidRDefault="009C7328" w:rsidP="009C7328">
      <w:pPr>
        <w:pStyle w:val="BodyText"/>
        <w:numPr>
          <w:ilvl w:val="0"/>
          <w:numId w:val="7"/>
        </w:numPr>
        <w:rPr>
          <w:rFonts w:ascii="Times New Roman" w:hAnsi="Times New Roman"/>
          <w:color w:val="000000"/>
          <w:szCs w:val="22"/>
        </w:rPr>
      </w:pPr>
      <w:r w:rsidRPr="00D93FEB">
        <w:rPr>
          <w:rFonts w:ascii="Times New Roman" w:hAnsi="Times New Roman"/>
          <w:color w:val="000000"/>
          <w:szCs w:val="22"/>
        </w:rPr>
        <w:t>To make evidence-based recommendations for improvement to Castell Howell’s return to work policies, procedures, and employee support systems.</w:t>
      </w:r>
    </w:p>
    <w:p w14:paraId="2E999697" w14:textId="77777777" w:rsidR="009C7328" w:rsidRPr="00D93FEB" w:rsidRDefault="009C7328" w:rsidP="009C7328">
      <w:pPr>
        <w:pStyle w:val="BodyText"/>
        <w:ind w:left="1069"/>
        <w:rPr>
          <w:rFonts w:ascii="Times New Roman" w:hAnsi="Times New Roman"/>
          <w:color w:val="000000"/>
          <w:szCs w:val="22"/>
        </w:rPr>
      </w:pPr>
    </w:p>
    <w:p w14:paraId="5532FB64" w14:textId="777048AA" w:rsidR="009C7328" w:rsidRPr="00A35F83" w:rsidRDefault="009C7328" w:rsidP="00A35F83">
      <w:pPr>
        <w:pStyle w:val="ListParagraph"/>
        <w:numPr>
          <w:ilvl w:val="0"/>
          <w:numId w:val="11"/>
        </w:numPr>
        <w:jc w:val="both"/>
        <w:rPr>
          <w:rFonts w:ascii="Times New Roman" w:hAnsi="Times New Roman" w:cs="Times New Roman"/>
          <w:b/>
          <w:bCs/>
          <w:color w:val="000000" w:themeColor="text1"/>
        </w:rPr>
      </w:pPr>
      <w:r w:rsidRPr="00A35F83">
        <w:rPr>
          <w:rFonts w:ascii="Times New Roman" w:hAnsi="Times New Roman" w:cs="Times New Roman"/>
          <w:b/>
          <w:bCs/>
          <w:color w:val="000000" w:themeColor="text1"/>
        </w:rPr>
        <w:t xml:space="preserve">Introduction of the investigation topic and rationale </w:t>
      </w:r>
    </w:p>
    <w:p w14:paraId="1FE311AF" w14:textId="127E2373" w:rsidR="009C7328" w:rsidRPr="00D93FEB" w:rsidRDefault="00A35F83" w:rsidP="009C7328">
      <w:pPr>
        <w:jc w:val="both"/>
        <w:rPr>
          <w:rFonts w:ascii="Times New Roman" w:hAnsi="Times New Roman" w:cs="Times New Roman"/>
          <w:b/>
          <w:bCs/>
          <w:color w:val="000000" w:themeColor="text1"/>
        </w:rPr>
      </w:pPr>
      <w:r>
        <w:rPr>
          <w:rFonts w:ascii="Times New Roman" w:hAnsi="Times New Roman" w:cs="Times New Roman"/>
          <w:b/>
          <w:bCs/>
        </w:rPr>
        <w:t xml:space="preserve">2.1 </w:t>
      </w:r>
      <w:r w:rsidR="009C7328" w:rsidRPr="00D93FEB">
        <w:rPr>
          <w:rFonts w:ascii="Times New Roman" w:hAnsi="Times New Roman" w:cs="Times New Roman"/>
          <w:b/>
          <w:bCs/>
        </w:rPr>
        <w:t>Introduction</w:t>
      </w:r>
    </w:p>
    <w:p w14:paraId="652A1EB2"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Castell Howell Foods Ltd is one of Wales’s leading independent foodservice wholesalers, built on strong regional roots and a commitment to quality, sustainability, and corporate responsibility. Founded in 1988 by group chairman Brian Jones, the company has grown from a small local supplier into a key player in the UK food distribution sector (FUW, 2024).</w:t>
      </w:r>
    </w:p>
    <w:p w14:paraId="1BE86E61" w14:textId="7A345CFB" w:rsidR="009C7328" w:rsidRPr="002861D0" w:rsidRDefault="009C7328" w:rsidP="009C7328">
      <w:pPr>
        <w:jc w:val="both"/>
        <w:rPr>
          <w:rFonts w:ascii="Times New Roman" w:hAnsi="Times New Roman" w:cs="Times New Roman"/>
          <w:b/>
          <w:bCs/>
          <w:color w:val="FF0000"/>
        </w:rPr>
      </w:pPr>
      <w:r w:rsidRPr="00D93FEB">
        <w:rPr>
          <w:rFonts w:ascii="Times New Roman" w:hAnsi="Times New Roman" w:cs="Times New Roman"/>
        </w:rPr>
        <w:t xml:space="preserve">Headquartered at Cross Hands Food Park in Carmarthenshire, Castell Howell operates a modern fleet of over 200 vehicles and employs more than 900 staff (FUW, 2024), serving thousands of customers across Wales and parts of England. The company now supplies over 14,000 product lines to more than 5,000 customers on a weekly basis, sourcing over £37 million annually from Welsh producers (FUW, 2024). </w:t>
      </w:r>
      <w:r w:rsidR="00C36E1B" w:rsidRPr="00C36E1B">
        <w:rPr>
          <w:rFonts w:ascii="Times New Roman" w:hAnsi="Times New Roman" w:cs="Times New Roman"/>
          <w:color w:val="000000" w:themeColor="text1"/>
        </w:rPr>
        <w:t>The business supports customers, colleagues, and communities by embedding social, cultural, environmental, and economic sustainability in its operations, from distributing 16,000 summer food packs to children (The Grocer, 2022) to piloting low-carbon, local supply chains (Cynnal Cymru, 2023).</w:t>
      </w:r>
    </w:p>
    <w:p w14:paraId="3EDF3F4D"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 xml:space="preserve">Effective return-to-work (RTW) processes are essential organisational management, especially in industries where business continuity and employee wellbeing are closely integrated (Black and Frost, 2011) Castell Howell Foods has recently faced an increased number of employee absences arising from illness, injury, and required operations. These instances have highlighted attention to both strengths and weakness in the organisation’s approach to engaging staff, highlighting the necessity for a more systematic </w:t>
      </w:r>
      <w:r w:rsidRPr="00D93FEB">
        <w:rPr>
          <w:rFonts w:ascii="Times New Roman" w:hAnsi="Times New Roman" w:cs="Times New Roman"/>
          <w:color w:val="000000" w:themeColor="text1"/>
        </w:rPr>
        <w:t xml:space="preserve">and robust </w:t>
      </w:r>
      <w:r w:rsidRPr="00D93FEB">
        <w:rPr>
          <w:rFonts w:ascii="Times New Roman" w:hAnsi="Times New Roman" w:cs="Times New Roman"/>
        </w:rPr>
        <w:t>RTW strategy.</w:t>
      </w:r>
    </w:p>
    <w:p w14:paraId="158C526E" w14:textId="09E1753A" w:rsidR="009C7328" w:rsidRPr="00D93FEB" w:rsidRDefault="00A35F83" w:rsidP="009C7328">
      <w:pPr>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2.2 </w:t>
      </w:r>
      <w:r w:rsidR="009C7328" w:rsidRPr="00D93FEB">
        <w:rPr>
          <w:rFonts w:ascii="Times New Roman" w:hAnsi="Times New Roman" w:cs="Times New Roman"/>
          <w:b/>
          <w:bCs/>
          <w:color w:val="000000" w:themeColor="text1"/>
        </w:rPr>
        <w:t>Rationale</w:t>
      </w:r>
    </w:p>
    <w:p w14:paraId="4342F730" w14:textId="00737F73" w:rsidR="009C7328" w:rsidRPr="00D93FEB" w:rsidRDefault="009C7328" w:rsidP="009C7328">
      <w:pPr>
        <w:jc w:val="both"/>
        <w:rPr>
          <w:rFonts w:ascii="Times New Roman" w:hAnsi="Times New Roman" w:cs="Times New Roman"/>
        </w:rPr>
      </w:pPr>
      <w:r w:rsidRPr="00D93FEB">
        <w:rPr>
          <w:rFonts w:ascii="Times New Roman" w:hAnsi="Times New Roman" w:cs="Times New Roman"/>
        </w:rPr>
        <w:t xml:space="preserve">The need for this research reflects growing recognition that return to work (RTW) practices must balance empathy with operational effectiveness. Quantitative evidence demonstrates that structured approaches such as phased returns, tailored accommodations, and follow up support are associated with measurable reductions in long term absence and improved reintegration outcomes (Hooftman </w:t>
      </w:r>
      <w:r w:rsidRPr="00D93FEB">
        <w:rPr>
          <w:rFonts w:ascii="Times New Roman" w:hAnsi="Times New Roman" w:cs="Times New Roman"/>
          <w:i/>
          <w:iCs/>
        </w:rPr>
        <w:t>et al.,</w:t>
      </w:r>
      <w:r w:rsidRPr="00D93FEB">
        <w:rPr>
          <w:rFonts w:ascii="Times New Roman" w:hAnsi="Times New Roman" w:cs="Times New Roman"/>
        </w:rPr>
        <w:t xml:space="preserve"> 2014</w:t>
      </w:r>
      <w:r w:rsidR="00D93FEB">
        <w:rPr>
          <w:rFonts w:ascii="Times New Roman" w:hAnsi="Times New Roman" w:cs="Times New Roman"/>
        </w:rPr>
        <w:t>).</w:t>
      </w:r>
      <w:r w:rsidRPr="00D93FEB">
        <w:rPr>
          <w:rFonts w:ascii="Times New Roman" w:hAnsi="Times New Roman" w:cs="Times New Roman"/>
        </w:rPr>
        <w:t xml:space="preserve"> As organisations face increasing pressure to safeguard employee wellbeing while sustaining productivity, RTW has become a strategic priority (CIPD, 2022). Effective RTW processes can generate quantifiable benefits including higher retention rates, lower absenteeism, and strengthened managerial capability, while inadequate support is linked to increased disengagement and turnover. Lencioni’s framework of the three signs of a miserable job</w:t>
      </w:r>
      <w:r w:rsidR="002861D0">
        <w:rPr>
          <w:rFonts w:ascii="Times New Roman" w:hAnsi="Times New Roman" w:cs="Times New Roman"/>
        </w:rPr>
        <w:t xml:space="preserve"> -</w:t>
      </w:r>
      <w:r w:rsidRPr="00D93FEB">
        <w:rPr>
          <w:rFonts w:ascii="Times New Roman" w:hAnsi="Times New Roman" w:cs="Times New Roman"/>
        </w:rPr>
        <w:t xml:space="preserve"> anonymity, irrelevance, and immeasurability offers </w:t>
      </w:r>
      <w:r w:rsidRPr="00D93FEB">
        <w:rPr>
          <w:rFonts w:ascii="Times New Roman" w:hAnsi="Times New Roman" w:cs="Times New Roman"/>
        </w:rPr>
        <w:lastRenderedPageBreak/>
        <w:t>further insight into how poor reintegration can negatively influence measurable employee outcomes (Lencioni, 2007).</w:t>
      </w:r>
    </w:p>
    <w:p w14:paraId="7B11D33C" w14:textId="68CC6F9C" w:rsidR="009C7328" w:rsidRPr="00A35F83" w:rsidRDefault="009C7328" w:rsidP="00A35F83">
      <w:pPr>
        <w:pStyle w:val="ListParagraph"/>
        <w:numPr>
          <w:ilvl w:val="0"/>
          <w:numId w:val="11"/>
        </w:numPr>
        <w:jc w:val="both"/>
        <w:rPr>
          <w:rFonts w:ascii="Times New Roman" w:hAnsi="Times New Roman" w:cs="Times New Roman"/>
          <w:b/>
          <w:bCs/>
        </w:rPr>
      </w:pPr>
      <w:r w:rsidRPr="00A35F83">
        <w:rPr>
          <w:rFonts w:ascii="Times New Roman" w:hAnsi="Times New Roman" w:cs="Times New Roman"/>
          <w:b/>
          <w:bCs/>
        </w:rPr>
        <w:t>Literature Review</w:t>
      </w:r>
    </w:p>
    <w:p w14:paraId="75E1AD17" w14:textId="2D96157F" w:rsidR="009C7328" w:rsidRPr="00D93FEB" w:rsidRDefault="00A35F83" w:rsidP="009C7328">
      <w:pPr>
        <w:jc w:val="both"/>
        <w:rPr>
          <w:rFonts w:ascii="Times New Roman" w:hAnsi="Times New Roman" w:cs="Times New Roman"/>
          <w:b/>
          <w:bCs/>
        </w:rPr>
      </w:pPr>
      <w:r>
        <w:rPr>
          <w:rFonts w:ascii="Times New Roman" w:hAnsi="Times New Roman" w:cs="Times New Roman"/>
          <w:b/>
          <w:bCs/>
        </w:rPr>
        <w:t xml:space="preserve">3.1 </w:t>
      </w:r>
      <w:r w:rsidR="009C7328" w:rsidRPr="00D93FEB">
        <w:rPr>
          <w:rFonts w:ascii="Times New Roman" w:hAnsi="Times New Roman" w:cs="Times New Roman"/>
          <w:b/>
          <w:bCs/>
        </w:rPr>
        <w:t>Theoretical Frameworks and Practical Constraints</w:t>
      </w:r>
    </w:p>
    <w:p w14:paraId="6DBA34C7" w14:textId="77777777" w:rsidR="009C7328" w:rsidRPr="00D93FEB" w:rsidRDefault="009C7328" w:rsidP="009C7328">
      <w:pPr>
        <w:jc w:val="both"/>
        <w:rPr>
          <w:rFonts w:ascii="Times New Roman" w:hAnsi="Times New Roman" w:cs="Times New Roman"/>
          <w:color w:val="000000" w:themeColor="text1"/>
        </w:rPr>
      </w:pPr>
      <w:r w:rsidRPr="00D93FEB">
        <w:rPr>
          <w:rFonts w:ascii="Times New Roman" w:hAnsi="Times New Roman" w:cs="Times New Roman"/>
        </w:rPr>
        <w:t xml:space="preserve">The return-to-work (RTW) process is shaped by models such as the biopsychosocial framework and Organisational Support Theory (OST). These highlight the interaction of health, workplace structures and perceived organisational support in determining reintegration outcomes (Eisenberger,1986). Whilst </w:t>
      </w:r>
      <w:r w:rsidRPr="00D93FEB">
        <w:rPr>
          <w:rFonts w:ascii="Times New Roman" w:hAnsi="Times New Roman" w:cs="Times New Roman"/>
          <w:color w:val="000000" w:themeColor="text1"/>
        </w:rPr>
        <w:t>conceptually useful, much of the research remains theoretical and insufficiently translated into practice.</w:t>
      </w:r>
    </w:p>
    <w:p w14:paraId="1B87A603" w14:textId="77777777" w:rsidR="009C7328" w:rsidRPr="00D93FEB" w:rsidRDefault="009C7328" w:rsidP="009C7328">
      <w:pPr>
        <w:jc w:val="both"/>
        <w:rPr>
          <w:rFonts w:ascii="Times New Roman" w:hAnsi="Times New Roman" w:cs="Times New Roman"/>
          <w:color w:val="000000" w:themeColor="text1"/>
        </w:rPr>
      </w:pPr>
      <w:r w:rsidRPr="00D93FEB">
        <w:rPr>
          <w:rFonts w:ascii="Times New Roman" w:hAnsi="Times New Roman" w:cs="Times New Roman"/>
          <w:color w:val="000000" w:themeColor="text1"/>
        </w:rPr>
        <w:t>For instance, the Health and Evidence Exchange Centre (2025) shows 57 studies and concludes that effective RTW depends on coordinated, individualised and collaborative interventions. Yet such recommendations often assume access to dedicated RTW coordinators or extensive occupational health provision resources unlikely to be available in a medium-sized, labour-intensive organisation such as Castell Howell Foods.</w:t>
      </w:r>
    </w:p>
    <w:p w14:paraId="3DF89456" w14:textId="2C5E9525" w:rsidR="009C7328" w:rsidRPr="00D93FEB" w:rsidRDefault="009C7328" w:rsidP="009C7328">
      <w:pPr>
        <w:jc w:val="both"/>
        <w:rPr>
          <w:rFonts w:ascii="Times New Roman" w:hAnsi="Times New Roman" w:cs="Times New Roman"/>
          <w:color w:val="000000" w:themeColor="text1"/>
        </w:rPr>
      </w:pPr>
      <w:r w:rsidRPr="00D93FEB">
        <w:rPr>
          <w:rFonts w:ascii="Times New Roman" w:hAnsi="Times New Roman" w:cs="Times New Roman"/>
          <w:color w:val="000000" w:themeColor="text1"/>
        </w:rPr>
        <w:t xml:space="preserve">Hanson </w:t>
      </w:r>
      <w:r w:rsidRPr="00D93FEB">
        <w:rPr>
          <w:rFonts w:ascii="Times New Roman" w:hAnsi="Times New Roman" w:cs="Times New Roman"/>
          <w:i/>
          <w:iCs/>
          <w:color w:val="000000" w:themeColor="text1"/>
        </w:rPr>
        <w:t>et al.</w:t>
      </w:r>
      <w:r w:rsidR="00317AE8">
        <w:rPr>
          <w:rFonts w:ascii="Times New Roman" w:hAnsi="Times New Roman" w:cs="Times New Roman"/>
          <w:i/>
          <w:iCs/>
          <w:color w:val="000000" w:themeColor="text1"/>
        </w:rPr>
        <w:t>’s</w:t>
      </w:r>
      <w:r w:rsidRPr="00D93FEB">
        <w:rPr>
          <w:rFonts w:ascii="Times New Roman" w:hAnsi="Times New Roman" w:cs="Times New Roman"/>
          <w:color w:val="000000" w:themeColor="text1"/>
        </w:rPr>
        <w:t xml:space="preserve"> </w:t>
      </w:r>
      <w:r w:rsidR="00221AC8">
        <w:rPr>
          <w:rFonts w:ascii="Times New Roman" w:hAnsi="Times New Roman" w:cs="Times New Roman"/>
          <w:color w:val="000000" w:themeColor="text1"/>
        </w:rPr>
        <w:t>(</w:t>
      </w:r>
      <w:r w:rsidRPr="00D93FEB">
        <w:rPr>
          <w:rFonts w:ascii="Times New Roman" w:hAnsi="Times New Roman" w:cs="Times New Roman"/>
          <w:color w:val="000000" w:themeColor="text1"/>
        </w:rPr>
        <w:t xml:space="preserve">2024) feasibility study in Ghana illustrates this challenge. While physiotherapist-led education was effective, workforce shortages and cultural norms of presenteeism limited outcomes. Although not directly comparable to the UK food industry, this research demonstrates that context-specific pressures often undermine theoretically sound approaches. Castell Howell faces similar constraints, high physical demands and lean staffing structures reduce flexibility in accommodating phased returns. </w:t>
      </w:r>
    </w:p>
    <w:p w14:paraId="045F7984" w14:textId="479DA0EF" w:rsidR="009C7328" w:rsidRPr="00D93FEB" w:rsidRDefault="00A35F83" w:rsidP="009C7328">
      <w:pPr>
        <w:jc w:val="both"/>
        <w:rPr>
          <w:rFonts w:ascii="Times New Roman" w:hAnsi="Times New Roman" w:cs="Times New Roman"/>
          <w:b/>
          <w:bCs/>
        </w:rPr>
      </w:pPr>
      <w:r>
        <w:rPr>
          <w:rFonts w:ascii="Times New Roman" w:hAnsi="Times New Roman" w:cs="Times New Roman"/>
          <w:b/>
          <w:bCs/>
        </w:rPr>
        <w:t xml:space="preserve">3.2 </w:t>
      </w:r>
      <w:r w:rsidR="009C7328" w:rsidRPr="00D93FEB">
        <w:rPr>
          <w:rFonts w:ascii="Times New Roman" w:hAnsi="Times New Roman" w:cs="Times New Roman"/>
          <w:b/>
          <w:bCs/>
        </w:rPr>
        <w:t>Mental Health, Managerial Competence and Perceived Support</w:t>
      </w:r>
    </w:p>
    <w:p w14:paraId="5DC5815C"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 xml:space="preserve">Mental health-related RTW has gained prominence, with (Olsson </w:t>
      </w:r>
      <w:r w:rsidRPr="00D93FEB">
        <w:rPr>
          <w:rFonts w:ascii="Times New Roman" w:hAnsi="Times New Roman" w:cs="Times New Roman"/>
          <w:i/>
          <w:iCs/>
        </w:rPr>
        <w:t>et al.</w:t>
      </w:r>
      <w:r w:rsidRPr="00D93FEB">
        <w:rPr>
          <w:rFonts w:ascii="Times New Roman" w:hAnsi="Times New Roman" w:cs="Times New Roman"/>
        </w:rPr>
        <w:t xml:space="preserve">, 2025) showing that communication and support from managers are crucial for young workers recovering from common mental disorders. Although demographic limitations reduce generalisability, the study reinforces OST’s principle that perceived organisational support </w:t>
      </w:r>
      <w:r w:rsidRPr="00D93FEB">
        <w:rPr>
          <w:rFonts w:ascii="Times New Roman" w:hAnsi="Times New Roman" w:cs="Times New Roman"/>
          <w:color w:val="000000" w:themeColor="text1"/>
        </w:rPr>
        <w:t xml:space="preserve">significantly influences RTW success. However, perceptions of support are subjective, shaped as much by interpersonal skills as </w:t>
      </w:r>
      <w:r w:rsidRPr="00D93FEB">
        <w:rPr>
          <w:rFonts w:ascii="Times New Roman" w:hAnsi="Times New Roman" w:cs="Times New Roman"/>
        </w:rPr>
        <w:t>by formal policies (Rhoades and Eisenberger, 2002).</w:t>
      </w:r>
    </w:p>
    <w:p w14:paraId="0D825BC5" w14:textId="0494105B" w:rsidR="009C7328" w:rsidRPr="00D93FEB" w:rsidRDefault="009C7328" w:rsidP="009C7328">
      <w:pPr>
        <w:jc w:val="both"/>
        <w:rPr>
          <w:rFonts w:ascii="Times New Roman" w:hAnsi="Times New Roman" w:cs="Times New Roman"/>
        </w:rPr>
      </w:pPr>
      <w:r w:rsidRPr="00D93FEB">
        <w:rPr>
          <w:rFonts w:ascii="Times New Roman" w:hAnsi="Times New Roman" w:cs="Times New Roman"/>
        </w:rPr>
        <w:t xml:space="preserve">This raises practical challenges for firms such as Castell Howell, where line managers must juggle production pressures with HR responsibilities. The literature consistently identifies line managers as pivotal to successful </w:t>
      </w:r>
      <w:r w:rsidRPr="00D93FEB">
        <w:rPr>
          <w:rFonts w:ascii="Times New Roman" w:hAnsi="Times New Roman" w:cs="Times New Roman"/>
          <w:color w:val="000000" w:themeColor="text1"/>
        </w:rPr>
        <w:t xml:space="preserve">RTW (Tjulin </w:t>
      </w:r>
      <w:r w:rsidRPr="00D93FEB">
        <w:rPr>
          <w:rFonts w:ascii="Times New Roman" w:hAnsi="Times New Roman" w:cs="Times New Roman"/>
          <w:i/>
          <w:iCs/>
          <w:color w:val="000000" w:themeColor="text1"/>
        </w:rPr>
        <w:t>et al.,</w:t>
      </w:r>
      <w:r w:rsidRPr="00D93FEB">
        <w:rPr>
          <w:rFonts w:ascii="Times New Roman" w:hAnsi="Times New Roman" w:cs="Times New Roman"/>
          <w:color w:val="000000" w:themeColor="text1"/>
        </w:rPr>
        <w:t xml:space="preserve"> 2011</w:t>
      </w:r>
      <w:r w:rsidR="00D6609E" w:rsidRPr="00D93FEB">
        <w:rPr>
          <w:rFonts w:ascii="Times New Roman" w:hAnsi="Times New Roman" w:cs="Times New Roman"/>
          <w:color w:val="000000" w:themeColor="text1"/>
        </w:rPr>
        <w:t xml:space="preserve">), </w:t>
      </w:r>
      <w:r w:rsidRPr="00D93FEB">
        <w:rPr>
          <w:rFonts w:ascii="Times New Roman" w:hAnsi="Times New Roman" w:cs="Times New Roman"/>
          <w:color w:val="000000" w:themeColor="text1"/>
        </w:rPr>
        <w:t xml:space="preserve">yet also highlights deficiencies in training and confidence. However, research often treats managers as a homogenous group, overlooking variations across industries. In production-based contexts, the dual responsibility for output and employee welfare may heighten these tensions </w:t>
      </w:r>
      <w:r w:rsidR="00D6609E" w:rsidRPr="00D93FEB">
        <w:rPr>
          <w:rFonts w:ascii="Times New Roman" w:hAnsi="Times New Roman" w:cs="Times New Roman"/>
          <w:color w:val="000000" w:themeColor="text1"/>
        </w:rPr>
        <w:t xml:space="preserve">(James </w:t>
      </w:r>
      <w:r w:rsidR="00D6609E" w:rsidRPr="00D93FEB">
        <w:rPr>
          <w:rFonts w:ascii="Times New Roman" w:hAnsi="Times New Roman" w:cs="Times New Roman"/>
          <w:i/>
          <w:iCs/>
          <w:color w:val="000000" w:themeColor="text1"/>
        </w:rPr>
        <w:t xml:space="preserve">et al., </w:t>
      </w:r>
      <w:r w:rsidR="00D6609E" w:rsidRPr="00D93FEB">
        <w:rPr>
          <w:rFonts w:ascii="Times New Roman" w:hAnsi="Times New Roman" w:cs="Times New Roman"/>
          <w:color w:val="000000" w:themeColor="text1"/>
        </w:rPr>
        <w:t>2018).</w:t>
      </w:r>
    </w:p>
    <w:p w14:paraId="5D074D96" w14:textId="682D6EEB" w:rsidR="009C7328" w:rsidRPr="00D93FEB" w:rsidRDefault="00A35F83" w:rsidP="009C7328">
      <w:pPr>
        <w:jc w:val="both"/>
        <w:rPr>
          <w:rFonts w:ascii="Times New Roman" w:hAnsi="Times New Roman" w:cs="Times New Roman"/>
          <w:b/>
          <w:bCs/>
        </w:rPr>
      </w:pPr>
      <w:r>
        <w:rPr>
          <w:rFonts w:ascii="Times New Roman" w:hAnsi="Times New Roman" w:cs="Times New Roman"/>
          <w:b/>
          <w:bCs/>
        </w:rPr>
        <w:t xml:space="preserve">3.3 </w:t>
      </w:r>
      <w:r w:rsidR="009C7328" w:rsidRPr="00D93FEB">
        <w:rPr>
          <w:rFonts w:ascii="Times New Roman" w:hAnsi="Times New Roman" w:cs="Times New Roman"/>
          <w:b/>
          <w:bCs/>
        </w:rPr>
        <w:t>Measuring Success and the Question of Sustainability</w:t>
      </w:r>
    </w:p>
    <w:p w14:paraId="7C385618" w14:textId="13784872" w:rsidR="009C7328" w:rsidRPr="00D93FEB" w:rsidRDefault="009C7328" w:rsidP="009C7328">
      <w:pPr>
        <w:jc w:val="both"/>
        <w:rPr>
          <w:rFonts w:ascii="Times New Roman" w:hAnsi="Times New Roman" w:cs="Times New Roman"/>
        </w:rPr>
      </w:pPr>
      <w:r w:rsidRPr="00D93FEB">
        <w:rPr>
          <w:rFonts w:ascii="Times New Roman" w:hAnsi="Times New Roman" w:cs="Times New Roman"/>
        </w:rPr>
        <w:t>Another contested issue is how RTW outcomes should be evaluated. Traditional measures, such as the date of return, neglect the sustainability of reintegration. Beekman</w:t>
      </w:r>
      <w:r w:rsidR="00317AE8">
        <w:rPr>
          <w:rFonts w:ascii="Times New Roman" w:hAnsi="Times New Roman" w:cs="Times New Roman"/>
        </w:rPr>
        <w:t xml:space="preserve"> (</w:t>
      </w:r>
      <w:r w:rsidRPr="00D93FEB">
        <w:rPr>
          <w:rFonts w:ascii="Times New Roman" w:hAnsi="Times New Roman" w:cs="Times New Roman"/>
        </w:rPr>
        <w:t>2</w:t>
      </w:r>
      <w:r w:rsidRPr="00D93FEB">
        <w:rPr>
          <w:rFonts w:ascii="Times New Roman" w:hAnsi="Times New Roman" w:cs="Times New Roman"/>
          <w:color w:val="000000" w:themeColor="text1"/>
        </w:rPr>
        <w:t>023) argues that sustainable participation and long term functional outcomes offer more meaningful metrics. This perspective is particularly relevant to physically demanding workforces, where premature return may increase the risk of relapse or disengagement (Institute of Occupational Health, 2025).</w:t>
      </w:r>
    </w:p>
    <w:p w14:paraId="184BD86C"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 xml:space="preserve">Yet sustainability-focused monitoring requires ongoing adjustment and review an approach that is often resource-intensive. For Castell Howell, the feasibility of such monitoring is questionable, given operational and financial constraints. This underscores the recurring gap between academic ideals and workplace realities, although long-term approaches are conceptually superior, they demand capacities that mid-sized firms may not possess. </w:t>
      </w:r>
    </w:p>
    <w:p w14:paraId="2FDE12BC" w14:textId="77777777" w:rsidR="00070F4C" w:rsidRDefault="00070F4C" w:rsidP="009C7328">
      <w:pPr>
        <w:jc w:val="both"/>
        <w:rPr>
          <w:rFonts w:ascii="Times New Roman" w:hAnsi="Times New Roman" w:cs="Times New Roman"/>
          <w:b/>
          <w:bCs/>
        </w:rPr>
      </w:pPr>
    </w:p>
    <w:p w14:paraId="30BA6AE5" w14:textId="2BE29E42" w:rsidR="009C7328" w:rsidRPr="00D93FEB" w:rsidRDefault="00A35F83" w:rsidP="009C7328">
      <w:pPr>
        <w:jc w:val="both"/>
        <w:rPr>
          <w:rFonts w:ascii="Times New Roman" w:hAnsi="Times New Roman" w:cs="Times New Roman"/>
          <w:b/>
          <w:bCs/>
        </w:rPr>
      </w:pPr>
      <w:r>
        <w:rPr>
          <w:rFonts w:ascii="Times New Roman" w:hAnsi="Times New Roman" w:cs="Times New Roman"/>
          <w:b/>
          <w:bCs/>
        </w:rPr>
        <w:lastRenderedPageBreak/>
        <w:t xml:space="preserve">3.4 </w:t>
      </w:r>
      <w:r w:rsidR="009C7328" w:rsidRPr="00D93FEB">
        <w:rPr>
          <w:rFonts w:ascii="Times New Roman" w:hAnsi="Times New Roman" w:cs="Times New Roman"/>
          <w:b/>
          <w:bCs/>
        </w:rPr>
        <w:t>Organisational Context and Policy Benchmarks</w:t>
      </w:r>
    </w:p>
    <w:p w14:paraId="7AA3ADDA" w14:textId="0F254452" w:rsidR="009C7328" w:rsidRPr="00D93FEB" w:rsidRDefault="009C7328" w:rsidP="009C7328">
      <w:pPr>
        <w:jc w:val="both"/>
        <w:rPr>
          <w:rFonts w:ascii="Times New Roman" w:hAnsi="Times New Roman" w:cs="Times New Roman"/>
          <w:color w:val="7030A0"/>
        </w:rPr>
      </w:pPr>
      <w:r w:rsidRPr="00D93FEB">
        <w:rPr>
          <w:rFonts w:ascii="Times New Roman" w:hAnsi="Times New Roman" w:cs="Times New Roman"/>
          <w:color w:val="000000" w:themeColor="text1"/>
        </w:rPr>
        <w:t xml:space="preserve">Cross-national comparisons highlight how context influences return-to-work (RTW) practices. For example, Becker </w:t>
      </w:r>
      <w:r w:rsidRPr="00D93FEB">
        <w:rPr>
          <w:rFonts w:ascii="Times New Roman" w:hAnsi="Times New Roman" w:cs="Times New Roman"/>
          <w:i/>
          <w:iCs/>
          <w:color w:val="000000" w:themeColor="text1"/>
        </w:rPr>
        <w:t>et al.</w:t>
      </w:r>
      <w:r w:rsidRPr="00D93FEB">
        <w:rPr>
          <w:rFonts w:ascii="Times New Roman" w:hAnsi="Times New Roman" w:cs="Times New Roman"/>
          <w:color w:val="000000" w:themeColor="text1"/>
        </w:rPr>
        <w:t xml:space="preserve"> </w:t>
      </w:r>
      <w:r w:rsidR="00926C67">
        <w:rPr>
          <w:rFonts w:ascii="Times New Roman" w:hAnsi="Times New Roman" w:cs="Times New Roman"/>
          <w:color w:val="000000" w:themeColor="text1"/>
        </w:rPr>
        <w:t>(</w:t>
      </w:r>
      <w:r w:rsidRPr="00D93FEB">
        <w:rPr>
          <w:rFonts w:ascii="Times New Roman" w:hAnsi="Times New Roman" w:cs="Times New Roman"/>
          <w:color w:val="000000" w:themeColor="text1"/>
        </w:rPr>
        <w:t>2024) found that structured RTW procedures are more common in countries with strong social security systems. However, their findings may not fully apply to smaller organisations. In their subsample of small enterprises, RTW processes were often inconsistent, a challenge likely reflected at Castell Howell</w:t>
      </w:r>
      <w:r w:rsidRPr="00D93FEB">
        <w:rPr>
          <w:rFonts w:ascii="Times New Roman" w:hAnsi="Times New Roman" w:cs="Times New Roman"/>
          <w:color w:val="7030A0"/>
        </w:rPr>
        <w:t>.</w:t>
      </w:r>
    </w:p>
    <w:p w14:paraId="74517C27" w14:textId="112DB66C" w:rsidR="009C7328" w:rsidRPr="00D93FEB" w:rsidRDefault="00A35F83" w:rsidP="009C7328">
      <w:pPr>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3.5 </w:t>
      </w:r>
      <w:r w:rsidR="009C7328" w:rsidRPr="00D93FEB">
        <w:rPr>
          <w:rFonts w:ascii="Times New Roman" w:hAnsi="Times New Roman" w:cs="Times New Roman"/>
          <w:b/>
          <w:bCs/>
          <w:color w:val="000000" w:themeColor="text1"/>
        </w:rPr>
        <w:t xml:space="preserve">Secondary data </w:t>
      </w:r>
    </w:p>
    <w:p w14:paraId="3C702EEF" w14:textId="29D0549D" w:rsidR="009C7328" w:rsidRPr="00D93FEB" w:rsidRDefault="009C7328" w:rsidP="009C7328">
      <w:pPr>
        <w:jc w:val="both"/>
        <w:rPr>
          <w:rFonts w:ascii="Times New Roman" w:hAnsi="Times New Roman" w:cs="Times New Roman"/>
          <w:color w:val="000000" w:themeColor="text1"/>
        </w:rPr>
      </w:pPr>
      <w:r w:rsidRPr="00D93FEB">
        <w:rPr>
          <w:rFonts w:ascii="Times New Roman" w:hAnsi="Times New Roman" w:cs="Times New Roman"/>
          <w:color w:val="000000" w:themeColor="text1"/>
        </w:rPr>
        <w:t xml:space="preserve">Its previous and current RTW procedures, phased returns, review meetings and reasonable adjustments do reflect needed recommendations from the Health and Safety Executive (HSE, 2023) and ACAS </w:t>
      </w:r>
      <w:r w:rsidR="0009409B" w:rsidRPr="00D93FEB">
        <w:rPr>
          <w:rFonts w:ascii="Times New Roman" w:hAnsi="Times New Roman" w:cs="Times New Roman"/>
          <w:color w:val="000000" w:themeColor="text1"/>
        </w:rPr>
        <w:t>(</w:t>
      </w:r>
      <w:r w:rsidRPr="00D93FEB">
        <w:rPr>
          <w:rFonts w:ascii="Times New Roman" w:hAnsi="Times New Roman" w:cs="Times New Roman"/>
          <w:color w:val="000000" w:themeColor="text1"/>
        </w:rPr>
        <w:t xml:space="preserve"> 2023). These mostly include early intervention and people focused flexibility. Furthermore, Black and Frost</w:t>
      </w:r>
      <w:r w:rsidR="00925023" w:rsidRPr="00D93FEB">
        <w:rPr>
          <w:rFonts w:ascii="Times New Roman" w:hAnsi="Times New Roman" w:cs="Times New Roman"/>
          <w:color w:val="000000" w:themeColor="text1"/>
        </w:rPr>
        <w:t xml:space="preserve"> (</w:t>
      </w:r>
      <w:r w:rsidRPr="00D93FEB">
        <w:rPr>
          <w:rFonts w:ascii="Times New Roman" w:hAnsi="Times New Roman" w:cs="Times New Roman"/>
          <w:color w:val="000000" w:themeColor="text1"/>
        </w:rPr>
        <w:t>2011) stress the importance of communication, a feature present in Castell Howell’s policies but one potentially not embedded from a review of the secondary data. Alignment on paper does not guarantee consistent application in practice, particularly where managerial competence and resource capacity are limited.</w:t>
      </w:r>
    </w:p>
    <w:p w14:paraId="4B5F7F58" w14:textId="2EE22233" w:rsidR="009C7328" w:rsidRPr="00A35F83" w:rsidRDefault="009C7328" w:rsidP="00A35F83">
      <w:pPr>
        <w:pStyle w:val="ListParagraph"/>
        <w:numPr>
          <w:ilvl w:val="0"/>
          <w:numId w:val="11"/>
        </w:numPr>
        <w:jc w:val="both"/>
        <w:rPr>
          <w:rFonts w:ascii="Times New Roman" w:hAnsi="Times New Roman" w:cs="Times New Roman"/>
          <w:b/>
          <w:bCs/>
          <w:color w:val="000000" w:themeColor="text1"/>
        </w:rPr>
      </w:pPr>
      <w:r w:rsidRPr="00A35F83">
        <w:rPr>
          <w:rFonts w:ascii="Times New Roman" w:hAnsi="Times New Roman" w:cs="Times New Roman"/>
          <w:b/>
          <w:bCs/>
          <w:color w:val="000000" w:themeColor="text1"/>
        </w:rPr>
        <w:t>Methodology</w:t>
      </w:r>
    </w:p>
    <w:p w14:paraId="29A54131" w14:textId="103D6575" w:rsidR="009C7328" w:rsidRPr="00D93FEB" w:rsidRDefault="00A35F83" w:rsidP="009C7328">
      <w:pPr>
        <w:jc w:val="both"/>
        <w:rPr>
          <w:rFonts w:ascii="Times New Roman" w:hAnsi="Times New Roman" w:cs="Times New Roman"/>
          <w:b/>
          <w:bCs/>
        </w:rPr>
      </w:pPr>
      <w:r>
        <w:rPr>
          <w:rFonts w:ascii="Times New Roman" w:hAnsi="Times New Roman" w:cs="Times New Roman"/>
          <w:b/>
          <w:bCs/>
        </w:rPr>
        <w:t xml:space="preserve">4.1 </w:t>
      </w:r>
      <w:r w:rsidR="009C7328" w:rsidRPr="00D93FEB">
        <w:rPr>
          <w:rFonts w:ascii="Times New Roman" w:hAnsi="Times New Roman" w:cs="Times New Roman"/>
          <w:b/>
          <w:bCs/>
        </w:rPr>
        <w:t>Research Philosophy</w:t>
      </w:r>
    </w:p>
    <w:p w14:paraId="43C2AFB2"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This research adopts a pragmatic research philosophy, which prioritises practical outcomes and emphasises the application of knowledge to real world contexts. Pragmatism supports methodological flexibility, enabling researchers to select strategies most suited to addressing the research question (Bryman, 2016). In this case, the use of quantitative methods was considered appropriate because they enable the generation of objective, generalisable insights that can inform organisational policy and practice (Stokes and Wall, 2014). This approach aligns with the applied nature of the study, where the ultimate goal is to develop actionable recommendations for improving RTW processes.</w:t>
      </w:r>
    </w:p>
    <w:p w14:paraId="1EDB10AA" w14:textId="44D84C06" w:rsidR="009C7328" w:rsidRPr="00D93FEB" w:rsidRDefault="00A35F83" w:rsidP="009C7328">
      <w:pPr>
        <w:jc w:val="both"/>
        <w:rPr>
          <w:rFonts w:ascii="Times New Roman" w:hAnsi="Times New Roman" w:cs="Times New Roman"/>
          <w:b/>
          <w:bCs/>
        </w:rPr>
      </w:pPr>
      <w:r>
        <w:rPr>
          <w:rFonts w:ascii="Times New Roman" w:hAnsi="Times New Roman" w:cs="Times New Roman"/>
          <w:b/>
          <w:bCs/>
        </w:rPr>
        <w:t xml:space="preserve">4.2 </w:t>
      </w:r>
      <w:r w:rsidR="009C7328" w:rsidRPr="00D93FEB">
        <w:rPr>
          <w:rFonts w:ascii="Times New Roman" w:hAnsi="Times New Roman" w:cs="Times New Roman"/>
          <w:b/>
          <w:bCs/>
        </w:rPr>
        <w:t>Research Methodology</w:t>
      </w:r>
    </w:p>
    <w:p w14:paraId="551B0ACB"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A quantitative approach was employed for this study. Quantitative research is particularly effective in capturing measurable variables, identifying patterns, and drawing comparisons across large groups (McNeill and Chapman, 2005). This approach was deemed suitable as it provides clarity and universality, making it possible to detect trends within the workforce that might otherwise remain hidden in smaller, qualitative samples.</w:t>
      </w:r>
    </w:p>
    <w:p w14:paraId="097A0110" w14:textId="3C5C6E27" w:rsidR="009C7328" w:rsidRPr="00D93FEB" w:rsidRDefault="00A35F83" w:rsidP="009C7328">
      <w:pPr>
        <w:jc w:val="both"/>
        <w:rPr>
          <w:rFonts w:ascii="Times New Roman" w:hAnsi="Times New Roman" w:cs="Times New Roman"/>
          <w:b/>
          <w:bCs/>
        </w:rPr>
      </w:pPr>
      <w:r>
        <w:rPr>
          <w:rFonts w:ascii="Times New Roman" w:hAnsi="Times New Roman" w:cs="Times New Roman"/>
          <w:b/>
          <w:bCs/>
        </w:rPr>
        <w:t xml:space="preserve">4.3 </w:t>
      </w:r>
      <w:r w:rsidR="009C7328" w:rsidRPr="00D93FEB">
        <w:rPr>
          <w:rFonts w:ascii="Times New Roman" w:hAnsi="Times New Roman" w:cs="Times New Roman"/>
          <w:b/>
          <w:bCs/>
        </w:rPr>
        <w:t>Primary Research and Participants</w:t>
      </w:r>
    </w:p>
    <w:p w14:paraId="28878B32"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Primary data refers to information collected directly from participants for the purpose of addressing the research question. In this research, a questionnaire was utilised as the primary data collection tool. Structured questionnaires are widely used in quantitative research as they ensure consistency in responses and allow for systematic statistical analysis (Bryman, 2016).</w:t>
      </w:r>
    </w:p>
    <w:p w14:paraId="72F3C278"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The questionnaire was designed to capture employee attitudes and experiences related to the RTW process. It consisted predominantly of closed ended questions, using multiple-choice and scaled response options. These focused on key themes such as satisfaction with RTW procedures, perceptions of organisational support, adequacy of workplace adjustments, and effectiveness of communication during the RTW phase. While most items were closed ended, limited open-response options were included to provide additional context. This structured design enhanced reliability by ensuring consistent interpretation across participants, while still allowing space for complex input (Stokes and Wall, 2014).</w:t>
      </w:r>
    </w:p>
    <w:p w14:paraId="03AAEEA6" w14:textId="77777777" w:rsidR="00070F4C" w:rsidRDefault="00070F4C" w:rsidP="009C7328">
      <w:pPr>
        <w:jc w:val="both"/>
        <w:rPr>
          <w:rFonts w:ascii="Times New Roman" w:hAnsi="Times New Roman" w:cs="Times New Roman"/>
          <w:b/>
          <w:bCs/>
        </w:rPr>
      </w:pPr>
    </w:p>
    <w:p w14:paraId="0C787679" w14:textId="1F2FB120" w:rsidR="009C7328" w:rsidRPr="00D93FEB" w:rsidRDefault="00A35F83" w:rsidP="009C7328">
      <w:pPr>
        <w:jc w:val="both"/>
        <w:rPr>
          <w:rFonts w:ascii="Times New Roman" w:hAnsi="Times New Roman" w:cs="Times New Roman"/>
          <w:b/>
          <w:bCs/>
        </w:rPr>
      </w:pPr>
      <w:r>
        <w:rPr>
          <w:rFonts w:ascii="Times New Roman" w:hAnsi="Times New Roman" w:cs="Times New Roman"/>
          <w:b/>
          <w:bCs/>
        </w:rPr>
        <w:lastRenderedPageBreak/>
        <w:t xml:space="preserve">4.4 </w:t>
      </w:r>
      <w:r w:rsidR="009C7328" w:rsidRPr="00D93FEB">
        <w:rPr>
          <w:rFonts w:ascii="Times New Roman" w:hAnsi="Times New Roman" w:cs="Times New Roman"/>
          <w:b/>
          <w:bCs/>
        </w:rPr>
        <w:t>Participant Access and Response Rate</w:t>
      </w:r>
    </w:p>
    <w:p w14:paraId="0465C39F"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The questionnaire was distributed to the entire workforce at Castell Howell Foods, rather than relying on purposive or random sampling. This inclusive strategy minimised the risk of selection bias and ensured equal opportunity for participation across departments and roles (Stokes and Wall, 2014). A total of 102 completed responses were returned, representing a substantial proportion of the organisation’s workforce. This strong response rate enhanced the robustness of the findings and permitted comparative analysis across teams. However, it was recognised that not all employees had direct experience of the RTW process. To mitigate this, data analysis focused specifically on the subset of responses from employees who indicated experience with RTW procedures.</w:t>
      </w:r>
    </w:p>
    <w:p w14:paraId="4F0E5F10" w14:textId="20338A7C" w:rsidR="009C7328" w:rsidRPr="00D93FEB" w:rsidRDefault="00A35F83" w:rsidP="009C7328">
      <w:pPr>
        <w:jc w:val="both"/>
        <w:rPr>
          <w:rFonts w:ascii="Times New Roman" w:hAnsi="Times New Roman" w:cs="Times New Roman"/>
          <w:b/>
          <w:bCs/>
        </w:rPr>
      </w:pPr>
      <w:r>
        <w:rPr>
          <w:rFonts w:ascii="Times New Roman" w:hAnsi="Times New Roman" w:cs="Times New Roman"/>
          <w:b/>
          <w:bCs/>
        </w:rPr>
        <w:t xml:space="preserve">4.5 </w:t>
      </w:r>
      <w:r w:rsidR="009C7328" w:rsidRPr="00D93FEB">
        <w:rPr>
          <w:rFonts w:ascii="Times New Roman" w:hAnsi="Times New Roman" w:cs="Times New Roman"/>
          <w:b/>
          <w:bCs/>
        </w:rPr>
        <w:t>Ethical Considerations</w:t>
      </w:r>
    </w:p>
    <w:p w14:paraId="5A030A8E" w14:textId="4282A912" w:rsidR="009C7328" w:rsidRPr="00D93FEB" w:rsidRDefault="009C7328" w:rsidP="009C7328">
      <w:pPr>
        <w:jc w:val="both"/>
        <w:rPr>
          <w:rFonts w:ascii="Times New Roman" w:hAnsi="Times New Roman" w:cs="Times New Roman"/>
        </w:rPr>
      </w:pPr>
      <w:r w:rsidRPr="00D93FEB">
        <w:rPr>
          <w:rFonts w:ascii="Times New Roman" w:hAnsi="Times New Roman" w:cs="Times New Roman"/>
        </w:rPr>
        <w:t>Prior to data collection, ethical approval was obtained. Participants were fully informed about the purpose and scope of the study and provided assurances regarding confidentiality and anonymity. They were also advised of their right to withdraw at any stage without consequence. Informed consent was secured from all participants, ensuring alignment with recognised ethical standards and promoting honest, open engagement (McNeill and Chapman, 2005).</w:t>
      </w:r>
    </w:p>
    <w:p w14:paraId="41B8DF73" w14:textId="35B6C009" w:rsidR="009C7328" w:rsidRPr="00D93FEB" w:rsidRDefault="00A35F83" w:rsidP="009C7328">
      <w:pPr>
        <w:jc w:val="both"/>
        <w:rPr>
          <w:rFonts w:ascii="Times New Roman" w:hAnsi="Times New Roman" w:cs="Times New Roman"/>
          <w:b/>
          <w:bCs/>
        </w:rPr>
      </w:pPr>
      <w:r>
        <w:rPr>
          <w:rFonts w:ascii="Times New Roman" w:hAnsi="Times New Roman" w:cs="Times New Roman"/>
          <w:b/>
          <w:bCs/>
        </w:rPr>
        <w:t xml:space="preserve">4.6 </w:t>
      </w:r>
      <w:r w:rsidR="009C7328" w:rsidRPr="00D93FEB">
        <w:rPr>
          <w:rFonts w:ascii="Times New Roman" w:hAnsi="Times New Roman" w:cs="Times New Roman"/>
          <w:b/>
          <w:bCs/>
        </w:rPr>
        <w:t>Reliability, Validity, and Limitations</w:t>
      </w:r>
    </w:p>
    <w:p w14:paraId="6C610DE6"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Reliability was supported through Survey Monkey, in which the questionnaire was sent to all employees. Feedback from this phase informed refinements to clarify ambiguous items and ensure consistency. The structured design of the questionnaire further supported reliability by standardising participant responses (Bryman, 2016).</w:t>
      </w:r>
    </w:p>
    <w:p w14:paraId="625F2990"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Validity was enhanced by basing the survey items on established theoretical frameworks, including the biopsychosocial model and Organisational Support Theory. These frameworks ensured that the measures were conceptually relevant to the RTW experience (Bryman, 2016). Validity was further strengthened through triangulation, comparing survey responses with secondary data such as HR policies and absence records (Stokes and Wall, 2014).</w:t>
      </w:r>
    </w:p>
    <w:p w14:paraId="34570048" w14:textId="03146640" w:rsidR="00580E43" w:rsidRPr="00D93FEB" w:rsidRDefault="009C7328" w:rsidP="009C7328">
      <w:pPr>
        <w:jc w:val="both"/>
        <w:rPr>
          <w:rFonts w:ascii="Times New Roman" w:hAnsi="Times New Roman" w:cs="Times New Roman"/>
        </w:rPr>
      </w:pPr>
      <w:r w:rsidRPr="00D93FEB">
        <w:rPr>
          <w:rFonts w:ascii="Times New Roman" w:hAnsi="Times New Roman" w:cs="Times New Roman"/>
        </w:rPr>
        <w:t>Despite these measures, several limitations must be acknowledged. The study was confined to a single organisation, which restricts the external validity and generalisability of findings. Self-reported data may also have been influenced by social desirability bias or inaccuracies of recall. Moreover, the exclusive reliance on quantitative methods limited the ability to capture rich, in-depth insights into individual employee experiences. Incorporating qualitative methods such as interviews could have provided a deeper understanding of the organisational culture surrounding RTW (McNeill and Chapman, 2005).</w:t>
      </w:r>
    </w:p>
    <w:p w14:paraId="29EA3990" w14:textId="62E23DE9" w:rsidR="009C7328" w:rsidRPr="00D93FEB" w:rsidRDefault="00A35F83" w:rsidP="009C7328">
      <w:pPr>
        <w:jc w:val="both"/>
        <w:rPr>
          <w:rFonts w:ascii="Times New Roman" w:hAnsi="Times New Roman" w:cs="Times New Roman"/>
          <w:b/>
          <w:bCs/>
        </w:rPr>
      </w:pPr>
      <w:r>
        <w:rPr>
          <w:rFonts w:ascii="Times New Roman" w:hAnsi="Times New Roman" w:cs="Times New Roman"/>
          <w:b/>
          <w:bCs/>
        </w:rPr>
        <w:t xml:space="preserve">4.7 </w:t>
      </w:r>
      <w:r w:rsidR="009C7328" w:rsidRPr="00D93FEB">
        <w:rPr>
          <w:rFonts w:ascii="Times New Roman" w:hAnsi="Times New Roman" w:cs="Times New Roman"/>
          <w:b/>
          <w:bCs/>
        </w:rPr>
        <w:t>Data Analysis</w:t>
      </w:r>
    </w:p>
    <w:p w14:paraId="19AF15F8"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The data collected were analysed using descriptive statistics to identify trends and patterns across the workforce. Comparative analysis was conducted to explore variations between departments and job roles. Filtering ensured that only responses from employees with RTW experience were included in the final analysis, thereby enhancing the relevance of the findings (Bryman, 2016). The systematic approach to analysis enabled the identification of key areas for organisational improvement and the formulation of practical recommendations.</w:t>
      </w:r>
    </w:p>
    <w:p w14:paraId="6CEA7799" w14:textId="2B50C3ED" w:rsidR="009C7328" w:rsidRPr="00A35F83" w:rsidRDefault="009C7328" w:rsidP="00A35F83">
      <w:pPr>
        <w:pStyle w:val="ListParagraph"/>
        <w:numPr>
          <w:ilvl w:val="0"/>
          <w:numId w:val="11"/>
        </w:numPr>
        <w:jc w:val="both"/>
        <w:rPr>
          <w:rFonts w:ascii="Times New Roman" w:hAnsi="Times New Roman" w:cs="Times New Roman"/>
          <w:b/>
          <w:bCs/>
          <w:color w:val="000000" w:themeColor="text1"/>
        </w:rPr>
      </w:pPr>
      <w:r w:rsidRPr="00A35F83">
        <w:rPr>
          <w:rFonts w:ascii="Times New Roman" w:hAnsi="Times New Roman" w:cs="Times New Roman"/>
          <w:b/>
          <w:bCs/>
          <w:color w:val="000000" w:themeColor="text1"/>
        </w:rPr>
        <w:t>Findings &amp; Data Analysis</w:t>
      </w:r>
    </w:p>
    <w:p w14:paraId="79FB24BC" w14:textId="62C09CF7" w:rsidR="009C7328" w:rsidRPr="00D93FEB" w:rsidRDefault="00A35F83" w:rsidP="009C7328">
      <w:pPr>
        <w:rPr>
          <w:rFonts w:ascii="Times New Roman" w:hAnsi="Times New Roman" w:cs="Times New Roman"/>
          <w:b/>
          <w:bCs/>
        </w:rPr>
      </w:pPr>
      <w:r>
        <w:rPr>
          <w:rFonts w:ascii="Times New Roman" w:hAnsi="Times New Roman" w:cs="Times New Roman"/>
          <w:b/>
          <w:bCs/>
        </w:rPr>
        <w:t xml:space="preserve">5.1 </w:t>
      </w:r>
      <w:r w:rsidR="009C7328" w:rsidRPr="00D93FEB">
        <w:rPr>
          <w:rFonts w:ascii="Times New Roman" w:hAnsi="Times New Roman" w:cs="Times New Roman"/>
          <w:b/>
          <w:bCs/>
        </w:rPr>
        <w:t>Participant Demographics and Employment Information</w:t>
      </w:r>
    </w:p>
    <w:p w14:paraId="32BD3FC0" w14:textId="0C13FD4C" w:rsidR="009C7328" w:rsidRPr="00D93FEB" w:rsidRDefault="009C4D91" w:rsidP="009C7328">
      <w:pPr>
        <w:jc w:val="both"/>
        <w:rPr>
          <w:rFonts w:ascii="Times New Roman" w:hAnsi="Times New Roman" w:cs="Times New Roman"/>
        </w:rPr>
      </w:pPr>
      <w:r w:rsidRPr="00D93FEB">
        <w:rPr>
          <w:rFonts w:ascii="Times New Roman" w:hAnsi="Times New Roman" w:cs="Times New Roman"/>
        </w:rPr>
        <w:t>Participants</w:t>
      </w:r>
      <w:r w:rsidR="009C7328" w:rsidRPr="00D93FEB">
        <w:rPr>
          <w:rFonts w:ascii="Times New Roman" w:hAnsi="Times New Roman" w:cs="Times New Roman"/>
        </w:rPr>
        <w:t xml:space="preserve"> represented a wide range of roles across the organisation, including warehouse operatives, production staff, distribution workers, </w:t>
      </w:r>
      <w:r w:rsidR="00445742" w:rsidRPr="00D93FEB">
        <w:rPr>
          <w:rFonts w:ascii="Times New Roman" w:hAnsi="Times New Roman" w:cs="Times New Roman"/>
        </w:rPr>
        <w:t>office-based</w:t>
      </w:r>
      <w:r w:rsidR="009C7328" w:rsidRPr="00D93FEB">
        <w:rPr>
          <w:rFonts w:ascii="Times New Roman" w:hAnsi="Times New Roman" w:cs="Times New Roman"/>
        </w:rPr>
        <w:t xml:space="preserve"> employees, night shift staff, and managerial </w:t>
      </w:r>
      <w:r w:rsidR="009C7328" w:rsidRPr="00D93FEB">
        <w:rPr>
          <w:rFonts w:ascii="Times New Roman" w:hAnsi="Times New Roman" w:cs="Times New Roman"/>
        </w:rPr>
        <w:lastRenderedPageBreak/>
        <w:t>positions. This distribution reflects the company’s workforce composition, where operational roles form the majority.</w:t>
      </w:r>
    </w:p>
    <w:p w14:paraId="2143818B"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The demographic range supports the representativeness of the findings, particularly given the inclusion of multiple departments and role levels. Having both short tenured and long-serving employees enriches the data, as perspectives on absence and reintegration can differ depending on experience and familiarity with organisational systems. The high proportion of recent returnees strengthens the reliability of findings, since their reflections are fresh and directly relevant to current RTW practices.</w:t>
      </w:r>
    </w:p>
    <w:p w14:paraId="250EC5F7" w14:textId="2EC46C99" w:rsidR="009C7328" w:rsidRPr="00D93FEB" w:rsidRDefault="009C7328" w:rsidP="009C7328">
      <w:pPr>
        <w:jc w:val="both"/>
        <w:rPr>
          <w:rFonts w:ascii="Times New Roman" w:hAnsi="Times New Roman" w:cs="Times New Roman"/>
        </w:rPr>
      </w:pPr>
      <w:r w:rsidRPr="00D93FEB">
        <w:rPr>
          <w:rFonts w:ascii="Times New Roman" w:hAnsi="Times New Roman" w:cs="Times New Roman"/>
        </w:rPr>
        <w:t>Fink</w:t>
      </w:r>
      <w:r w:rsidR="00317AE8">
        <w:rPr>
          <w:rFonts w:ascii="Times New Roman" w:hAnsi="Times New Roman" w:cs="Times New Roman"/>
        </w:rPr>
        <w:t xml:space="preserve"> (</w:t>
      </w:r>
      <w:r w:rsidRPr="00D93FEB">
        <w:rPr>
          <w:rFonts w:ascii="Times New Roman" w:hAnsi="Times New Roman" w:cs="Times New Roman"/>
        </w:rPr>
        <w:t xml:space="preserve">2017) argues that representative sampling across job types is essential for accurate workforce analysis. Similarly, Black </w:t>
      </w:r>
      <w:r w:rsidR="00317AE8">
        <w:rPr>
          <w:rFonts w:ascii="Times New Roman" w:hAnsi="Times New Roman" w:cs="Times New Roman"/>
        </w:rPr>
        <w:t>(</w:t>
      </w:r>
      <w:r w:rsidRPr="00D93FEB">
        <w:rPr>
          <w:rFonts w:ascii="Times New Roman" w:hAnsi="Times New Roman" w:cs="Times New Roman"/>
        </w:rPr>
        <w:t>2008) highlights that length of service can influence employee expectations and experiences of RTW, with newer staff often needing more guidance compared to long-tenured colleagues.</w:t>
      </w:r>
    </w:p>
    <w:p w14:paraId="189685F6" w14:textId="59E6972C" w:rsidR="00D93FEB" w:rsidRPr="006D5FF3" w:rsidRDefault="00BC2793" w:rsidP="00BC2793">
      <w:pPr>
        <w:tabs>
          <w:tab w:val="left" w:pos="2010"/>
          <w:tab w:val="center" w:pos="4513"/>
        </w:tabs>
        <w:rPr>
          <w:rFonts w:ascii="Times New Roman" w:hAnsi="Times New Roman" w:cs="Times New Roman"/>
          <w:color w:val="000000" w:themeColor="text1"/>
        </w:rPr>
      </w:pPr>
      <w:r>
        <w:rPr>
          <w:rFonts w:ascii="Times New Roman" w:hAnsi="Times New Roman" w:cs="Times New Roman"/>
          <w:color w:val="000000" w:themeColor="text1"/>
        </w:rPr>
        <w:tab/>
      </w:r>
      <w:r>
        <w:rPr>
          <w:rFonts w:ascii="Times New Roman" w:hAnsi="Times New Roman" w:cs="Times New Roman"/>
          <w:color w:val="000000" w:themeColor="text1"/>
        </w:rPr>
        <w:tab/>
      </w:r>
      <w:r w:rsidR="006D5FF3" w:rsidRPr="006D5FF3">
        <w:rPr>
          <w:rFonts w:ascii="Times New Roman" w:hAnsi="Times New Roman" w:cs="Times New Roman"/>
          <w:noProof/>
        </w:rPr>
        <mc:AlternateContent>
          <mc:Choice Requires="wps">
            <w:drawing>
              <wp:anchor distT="45720" distB="45720" distL="114300" distR="114300" simplePos="0" relativeHeight="251661312" behindDoc="1" locked="0" layoutInCell="1" allowOverlap="1" wp14:anchorId="165A30C0" wp14:editId="6D18E47A">
                <wp:simplePos x="0" y="0"/>
                <wp:positionH relativeFrom="margin">
                  <wp:posOffset>889000</wp:posOffset>
                </wp:positionH>
                <wp:positionV relativeFrom="paragraph">
                  <wp:posOffset>3175</wp:posOffset>
                </wp:positionV>
                <wp:extent cx="802640" cy="309880"/>
                <wp:effectExtent l="0" t="0" r="0" b="0"/>
                <wp:wrapNone/>
                <wp:docPr id="1349821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2640" cy="309880"/>
                        </a:xfrm>
                        <a:prstGeom prst="rect">
                          <a:avLst/>
                        </a:prstGeom>
                        <a:solidFill>
                          <a:srgbClr val="FFFFFF"/>
                        </a:solidFill>
                        <a:ln w="9525">
                          <a:noFill/>
                          <a:miter lim="800000"/>
                          <a:headEnd/>
                          <a:tailEnd/>
                        </a:ln>
                      </wps:spPr>
                      <wps:txbx>
                        <w:txbxContent>
                          <w:p w14:paraId="49F45AFA" w14:textId="4BC61E81" w:rsidR="006D5FF3" w:rsidRPr="00BC2793" w:rsidRDefault="006D5FF3">
                            <w:pPr>
                              <w:rPr>
                                <w:rFonts w:ascii="Times New Roman" w:hAnsi="Times New Roman" w:cs="Times New Roman"/>
                                <w:lang w:val="en-US"/>
                              </w:rPr>
                            </w:pPr>
                            <w:r w:rsidRPr="00BC2793">
                              <w:rPr>
                                <w:rFonts w:ascii="Times New Roman" w:hAnsi="Times New Roman" w:cs="Times New Roman"/>
                                <w:lang w:val="en-US"/>
                              </w:rP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5A30C0" id="_x0000_t202" coordsize="21600,21600" o:spt="202" path="m,l,21600r21600,l21600,xe">
                <v:stroke joinstyle="miter"/>
                <v:path gradientshapeok="t" o:connecttype="rect"/>
              </v:shapetype>
              <v:shape id="Text Box 2" o:spid="_x0000_s1026" type="#_x0000_t202" style="position:absolute;margin-left:70pt;margin-top:.25pt;width:63.2pt;height:24.4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" stroked="f">
                <v:textbox>
                  <w:txbxContent>
                    <w:p w14:paraId="49F45AFA" w14:textId="4BC61E81" w:rsidR="006D5FF3" w:rsidRPr="00BC2793" w:rsidRDefault="006D5FF3">
                      <w:pPr>
                        <w:rPr>
                          <w:rFonts w:ascii="Times New Roman" w:hAnsi="Times New Roman" w:cs="Times New Roman"/>
                          <w:lang w:val="en-US"/>
                        </w:rPr>
                      </w:pPr>
                      <w:r w:rsidRPr="00BC2793">
                        <w:rPr>
                          <w:rFonts w:ascii="Times New Roman" w:hAnsi="Times New Roman" w:cs="Times New Roman"/>
                          <w:lang w:val="en-US"/>
                        </w:rPr>
                        <w:t>Figure 1:</w:t>
                      </w:r>
                    </w:p>
                  </w:txbxContent>
                </v:textbox>
                <w10:wrap anchorx="margin"/>
              </v:shape>
            </w:pict>
          </mc:Fallback>
        </mc:AlternateContent>
      </w:r>
      <w:r w:rsidR="00D93FEB" w:rsidRPr="006D5FF3">
        <w:rPr>
          <w:rFonts w:ascii="Times New Roman" w:hAnsi="Times New Roman" w:cs="Times New Roman"/>
          <w:noProof/>
        </w:rPr>
        <w:drawing>
          <wp:inline distT="0" distB="0" distL="0" distR="0" wp14:anchorId="5A6A60BA" wp14:editId="3974C1F8">
            <wp:extent cx="2396067" cy="2035848"/>
            <wp:effectExtent l="0" t="0" r="4445" b="2540"/>
            <wp:docPr id="1759079072" name="Picture 1" descr="User 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 uploaded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22155" cy="2058014"/>
                    </a:xfrm>
                    <a:prstGeom prst="rect">
                      <a:avLst/>
                    </a:prstGeom>
                    <a:noFill/>
                    <a:ln>
                      <a:noFill/>
                    </a:ln>
                  </pic:spPr>
                </pic:pic>
              </a:graphicData>
            </a:graphic>
          </wp:inline>
        </w:drawing>
      </w:r>
    </w:p>
    <w:p w14:paraId="385691C0" w14:textId="1E5ADE77" w:rsidR="009C7328" w:rsidRPr="00D93FEB" w:rsidRDefault="009C7328" w:rsidP="009C7328">
      <w:pPr>
        <w:jc w:val="both"/>
        <w:rPr>
          <w:rFonts w:ascii="Times New Roman" w:hAnsi="Times New Roman" w:cs="Times New Roman"/>
          <w:color w:val="000000" w:themeColor="text1"/>
        </w:rPr>
      </w:pPr>
      <w:r w:rsidRPr="00D93FEB">
        <w:rPr>
          <w:rFonts w:ascii="Times New Roman" w:hAnsi="Times New Roman" w:cs="Times New Roman"/>
          <w:color w:val="000000" w:themeColor="text1"/>
        </w:rPr>
        <w:t>While short-term absences were most common</w:t>
      </w:r>
      <w:r w:rsidR="006D5FF3">
        <w:rPr>
          <w:rFonts w:ascii="Times New Roman" w:hAnsi="Times New Roman" w:cs="Times New Roman"/>
          <w:color w:val="000000" w:themeColor="text1"/>
        </w:rPr>
        <w:t xml:space="preserve"> (as shown in Figure 1)</w:t>
      </w:r>
      <w:r w:rsidRPr="00D93FEB">
        <w:rPr>
          <w:rFonts w:ascii="Times New Roman" w:hAnsi="Times New Roman" w:cs="Times New Roman"/>
          <w:color w:val="000000" w:themeColor="text1"/>
        </w:rPr>
        <w:t>, nearly half the sample experienced absences lasting longer than one month (UK</w:t>
      </w:r>
      <w:r w:rsidR="00317AE8">
        <w:rPr>
          <w:rFonts w:ascii="Times New Roman" w:hAnsi="Times New Roman" w:cs="Times New Roman"/>
          <w:color w:val="000000" w:themeColor="text1"/>
        </w:rPr>
        <w:t xml:space="preserve"> Government</w:t>
      </w:r>
      <w:r w:rsidRPr="00D93FEB">
        <w:rPr>
          <w:rFonts w:ascii="Times New Roman" w:hAnsi="Times New Roman" w:cs="Times New Roman"/>
          <w:color w:val="000000" w:themeColor="text1"/>
        </w:rPr>
        <w:t>, 2024). These longer periods are critical because they often require greater support for reintegration (Health and Safety Executive, 2024). Employees absent for over three months, in particular, face physical, psychological, and social challenges upon returning, which necessitates structured planning and tailored interventions (</w:t>
      </w:r>
      <w:r w:rsidR="00317AE8" w:rsidRPr="00D93FEB">
        <w:rPr>
          <w:rFonts w:ascii="Times New Roman" w:hAnsi="Times New Roman" w:cs="Times New Roman"/>
          <w:color w:val="000000" w:themeColor="text1"/>
        </w:rPr>
        <w:t>UK</w:t>
      </w:r>
      <w:r w:rsidR="00317AE8">
        <w:rPr>
          <w:rFonts w:ascii="Times New Roman" w:hAnsi="Times New Roman" w:cs="Times New Roman"/>
          <w:color w:val="000000" w:themeColor="text1"/>
        </w:rPr>
        <w:t xml:space="preserve"> Government</w:t>
      </w:r>
      <w:r w:rsidRPr="00D93FEB">
        <w:rPr>
          <w:rFonts w:ascii="Times New Roman" w:hAnsi="Times New Roman" w:cs="Times New Roman"/>
          <w:color w:val="000000" w:themeColor="text1"/>
        </w:rPr>
        <w:t>, 2021).</w:t>
      </w:r>
    </w:p>
    <w:p w14:paraId="0C964702" w14:textId="071F079F" w:rsidR="00ED7108" w:rsidRDefault="009C7328" w:rsidP="009C7328">
      <w:pPr>
        <w:jc w:val="both"/>
        <w:rPr>
          <w:rFonts w:ascii="Times New Roman" w:hAnsi="Times New Roman" w:cs="Times New Roman"/>
        </w:rPr>
      </w:pPr>
      <w:r w:rsidRPr="00D93FEB">
        <w:rPr>
          <w:rFonts w:ascii="Times New Roman" w:hAnsi="Times New Roman" w:cs="Times New Roman"/>
        </w:rPr>
        <w:t xml:space="preserve">Waddell and Burton </w:t>
      </w:r>
      <w:r w:rsidR="000F5801" w:rsidRPr="00D93FEB">
        <w:rPr>
          <w:rFonts w:ascii="Times New Roman" w:hAnsi="Times New Roman" w:cs="Times New Roman"/>
        </w:rPr>
        <w:t>(</w:t>
      </w:r>
      <w:r w:rsidRPr="00D93FEB">
        <w:rPr>
          <w:rFonts w:ascii="Times New Roman" w:hAnsi="Times New Roman" w:cs="Times New Roman"/>
        </w:rPr>
        <w:t>2006) emphasise that prolonged absence significantly increases barriers to returning, both in terms of physical recovery and confidence. Their research demonstrates that employees with long absences are at higher risk of delayed or unsuccessful reintegration without structured support mechanisms.</w:t>
      </w:r>
    </w:p>
    <w:p w14:paraId="41C11A35" w14:textId="1B4D6D4E" w:rsidR="00ED7108" w:rsidRPr="00D93FEB" w:rsidRDefault="00ED7108" w:rsidP="009C7328">
      <w:pPr>
        <w:jc w:val="both"/>
        <w:rPr>
          <w:rFonts w:ascii="Times New Roman" w:hAnsi="Times New Roman" w:cs="Times New Roman"/>
        </w:rPr>
      </w:pPr>
      <w:r w:rsidRPr="00ED7108">
        <w:rPr>
          <w:rFonts w:ascii="Times New Roman" w:hAnsi="Times New Roman" w:cs="Times New Roman"/>
          <w:noProof/>
        </w:rPr>
        <mc:AlternateContent>
          <mc:Choice Requires="wps">
            <w:drawing>
              <wp:anchor distT="45720" distB="45720" distL="114300" distR="114300" simplePos="0" relativeHeight="251659264" behindDoc="1" locked="0" layoutInCell="1" allowOverlap="1" wp14:anchorId="3AFC7350" wp14:editId="2B0CC1AE">
                <wp:simplePos x="0" y="0"/>
                <wp:positionH relativeFrom="column">
                  <wp:posOffset>980440</wp:posOffset>
                </wp:positionH>
                <wp:positionV relativeFrom="paragraph">
                  <wp:posOffset>232410</wp:posOffset>
                </wp:positionV>
                <wp:extent cx="746760" cy="27940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760" cy="279400"/>
                        </a:xfrm>
                        <a:prstGeom prst="rect">
                          <a:avLst/>
                        </a:prstGeom>
                        <a:solidFill>
                          <a:srgbClr val="FFFFFF"/>
                        </a:solidFill>
                        <a:ln w="9525">
                          <a:noFill/>
                          <a:miter lim="800000"/>
                          <a:headEnd/>
                          <a:tailEnd/>
                        </a:ln>
                      </wps:spPr>
                      <wps:txbx>
                        <w:txbxContent>
                          <w:p w14:paraId="04E59430" w14:textId="03EB1827" w:rsidR="00ED7108" w:rsidRPr="00ED7108" w:rsidRDefault="00ED7108">
                            <w:pPr>
                              <w:rPr>
                                <w:rFonts w:ascii="Times New Roman" w:hAnsi="Times New Roman" w:cs="Times New Roman"/>
                                <w:lang w:val="en-US"/>
                              </w:rPr>
                            </w:pPr>
                            <w:r w:rsidRPr="00ED7108">
                              <w:rPr>
                                <w:rFonts w:ascii="Times New Roman" w:hAnsi="Times New Roman" w:cs="Times New Roman"/>
                                <w:lang w:val="en-US"/>
                              </w:rP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FC7350" id="_x0000_s1027" type="#_x0000_t202" style="position:absolute;left:0;text-align:left;margin-left:77.2pt;margin-top:18.3pt;width:58.8pt;height:22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" stroked="f">
                <v:textbox>
                  <w:txbxContent>
                    <w:p w14:paraId="04E59430" w14:textId="03EB1827" w:rsidR="00ED7108" w:rsidRPr="00ED7108" w:rsidRDefault="00ED7108">
                      <w:pPr>
                        <w:rPr>
                          <w:rFonts w:ascii="Times New Roman" w:hAnsi="Times New Roman" w:cs="Times New Roman"/>
                          <w:lang w:val="en-US"/>
                        </w:rPr>
                      </w:pPr>
                      <w:r w:rsidRPr="00ED7108">
                        <w:rPr>
                          <w:rFonts w:ascii="Times New Roman" w:hAnsi="Times New Roman" w:cs="Times New Roman"/>
                          <w:lang w:val="en-US"/>
                        </w:rPr>
                        <w:t>Figure 2:</w:t>
                      </w:r>
                    </w:p>
                  </w:txbxContent>
                </v:textbox>
              </v:shape>
            </w:pict>
          </mc:Fallback>
        </mc:AlternateContent>
      </w:r>
    </w:p>
    <w:p w14:paraId="068308A6" w14:textId="6631B083" w:rsidR="00D93FEB" w:rsidRPr="00D93FEB" w:rsidRDefault="00D93FEB" w:rsidP="00D93FEB">
      <w:pPr>
        <w:jc w:val="center"/>
        <w:rPr>
          <w:rFonts w:ascii="Times New Roman" w:hAnsi="Times New Roman" w:cs="Times New Roman"/>
        </w:rPr>
      </w:pPr>
      <w:r w:rsidRPr="00D93FEB">
        <w:rPr>
          <w:rFonts w:ascii="Times New Roman" w:hAnsi="Times New Roman" w:cs="Times New Roman"/>
          <w:noProof/>
        </w:rPr>
        <w:drawing>
          <wp:inline distT="0" distB="0" distL="0" distR="0" wp14:anchorId="65F0E14D" wp14:editId="53855452">
            <wp:extent cx="2380730" cy="2192866"/>
            <wp:effectExtent l="0" t="0" r="635" b="0"/>
            <wp:docPr id="540572394" name="Picture 2" descr="User 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 uploaded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0730" cy="2192866"/>
                    </a:xfrm>
                    <a:prstGeom prst="rect">
                      <a:avLst/>
                    </a:prstGeom>
                    <a:noFill/>
                    <a:ln>
                      <a:noFill/>
                    </a:ln>
                  </pic:spPr>
                </pic:pic>
              </a:graphicData>
            </a:graphic>
          </wp:inline>
        </w:drawing>
      </w:r>
    </w:p>
    <w:p w14:paraId="53C6AAF3" w14:textId="63745986" w:rsidR="009C7328" w:rsidRPr="00D93FEB" w:rsidRDefault="009C7328" w:rsidP="009C7328">
      <w:pPr>
        <w:jc w:val="both"/>
        <w:rPr>
          <w:rFonts w:ascii="Times New Roman" w:hAnsi="Times New Roman" w:cs="Times New Roman"/>
        </w:rPr>
      </w:pPr>
      <w:r w:rsidRPr="00D93FEB">
        <w:rPr>
          <w:rFonts w:ascii="Times New Roman" w:hAnsi="Times New Roman" w:cs="Times New Roman"/>
        </w:rPr>
        <w:lastRenderedPageBreak/>
        <w:t>Over half of respondents described their RTW support as good or excellent, indicating positive organisational practices</w:t>
      </w:r>
      <w:r w:rsidR="00ED7108">
        <w:rPr>
          <w:rFonts w:ascii="Times New Roman" w:hAnsi="Times New Roman" w:cs="Times New Roman"/>
        </w:rPr>
        <w:t xml:space="preserve"> (as shown in Figure 2)</w:t>
      </w:r>
      <w:r w:rsidRPr="00D93FEB">
        <w:rPr>
          <w:rFonts w:ascii="Times New Roman" w:hAnsi="Times New Roman" w:cs="Times New Roman"/>
        </w:rPr>
        <w:t>. However, a sizeable minority reported neutral or poor experiences, suggesting inconsistency across departments. Qualitative comments highlighted phased returns and supportive managers as particularly helpful. Conversely, lack of clarity and communication were frequently cited as barriers to a smooth reintegratio</w:t>
      </w:r>
      <w:r w:rsidR="00796B46">
        <w:rPr>
          <w:rFonts w:ascii="Times New Roman" w:hAnsi="Times New Roman" w:cs="Times New Roman"/>
        </w:rPr>
        <w:t xml:space="preserve">n. </w:t>
      </w:r>
    </w:p>
    <w:p w14:paraId="0798FC3B" w14:textId="790FF531" w:rsidR="009C7328" w:rsidRPr="00D93FEB" w:rsidRDefault="009C7328" w:rsidP="009C7328">
      <w:pPr>
        <w:jc w:val="both"/>
        <w:rPr>
          <w:rFonts w:ascii="Times New Roman" w:hAnsi="Times New Roman" w:cs="Times New Roman"/>
        </w:rPr>
      </w:pPr>
      <w:r w:rsidRPr="00D93FEB">
        <w:rPr>
          <w:rFonts w:ascii="Times New Roman" w:hAnsi="Times New Roman" w:cs="Times New Roman"/>
        </w:rPr>
        <w:t xml:space="preserve">Shaw </w:t>
      </w:r>
      <w:r w:rsidRPr="00D93FEB">
        <w:rPr>
          <w:rFonts w:ascii="Times New Roman" w:hAnsi="Times New Roman" w:cs="Times New Roman"/>
          <w:i/>
          <w:iCs/>
        </w:rPr>
        <w:t>et al.</w:t>
      </w:r>
      <w:r w:rsidRPr="00D93FEB">
        <w:rPr>
          <w:rFonts w:ascii="Times New Roman" w:hAnsi="Times New Roman" w:cs="Times New Roman"/>
        </w:rPr>
        <w:t xml:space="preserve"> </w:t>
      </w:r>
      <w:r w:rsidR="00796B46">
        <w:rPr>
          <w:rFonts w:ascii="Times New Roman" w:hAnsi="Times New Roman" w:cs="Times New Roman"/>
        </w:rPr>
        <w:t>(</w:t>
      </w:r>
      <w:r w:rsidRPr="00D93FEB">
        <w:rPr>
          <w:rFonts w:ascii="Times New Roman" w:hAnsi="Times New Roman" w:cs="Times New Roman"/>
        </w:rPr>
        <w:t>2008) found that structured RTW programme and proactive communication significantly improve employee satisfaction and wellbeing during reintegration. Their research underscores the importance of clarity and ongoing dialogue, echoing employee feedback from this survey.</w:t>
      </w:r>
    </w:p>
    <w:p w14:paraId="3FF272FF" w14:textId="713712F2" w:rsidR="006F79FC" w:rsidRDefault="003459CC" w:rsidP="006F79FC">
      <w:pPr>
        <w:jc w:val="center"/>
        <w:rPr>
          <w:rFonts w:ascii="Times New Roman" w:hAnsi="Times New Roman" w:cs="Times New Roman"/>
        </w:rPr>
      </w:pPr>
      <w:r w:rsidRPr="003459CC">
        <w:rPr>
          <w:rFonts w:ascii="Times New Roman" w:hAnsi="Times New Roman" w:cs="Times New Roman"/>
          <w:b/>
          <w:bCs/>
          <w:noProof/>
        </w:rPr>
        <mc:AlternateContent>
          <mc:Choice Requires="wps">
            <w:drawing>
              <wp:anchor distT="45720" distB="45720" distL="114300" distR="114300" simplePos="0" relativeHeight="251663360" behindDoc="1" locked="0" layoutInCell="1" allowOverlap="1" wp14:anchorId="39769705" wp14:editId="63E8D839">
                <wp:simplePos x="0" y="0"/>
                <wp:positionH relativeFrom="column">
                  <wp:posOffset>497840</wp:posOffset>
                </wp:positionH>
                <wp:positionV relativeFrom="paragraph">
                  <wp:posOffset>74930</wp:posOffset>
                </wp:positionV>
                <wp:extent cx="762000" cy="1404620"/>
                <wp:effectExtent l="0" t="0" r="0" b="5715"/>
                <wp:wrapNone/>
                <wp:docPr id="9438379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1404620"/>
                        </a:xfrm>
                        <a:prstGeom prst="rect">
                          <a:avLst/>
                        </a:prstGeom>
                        <a:solidFill>
                          <a:srgbClr val="FFFFFF"/>
                        </a:solidFill>
                        <a:ln w="9525">
                          <a:noFill/>
                          <a:miter lim="800000"/>
                          <a:headEnd/>
                          <a:tailEnd/>
                        </a:ln>
                      </wps:spPr>
                      <wps:txbx>
                        <w:txbxContent>
                          <w:p w14:paraId="3B1DAAF0" w14:textId="243DBAA0" w:rsidR="003459CC" w:rsidRPr="003459CC" w:rsidRDefault="003459CC">
                            <w:pPr>
                              <w:rPr>
                                <w:rFonts w:ascii="Times New Roman" w:hAnsi="Times New Roman" w:cs="Times New Roman"/>
                              </w:rPr>
                            </w:pPr>
                            <w:r w:rsidRPr="003459CC">
                              <w:rPr>
                                <w:rFonts w:ascii="Times New Roman" w:hAnsi="Times New Roman" w:cs="Times New Roman"/>
                              </w:rPr>
                              <w:t>Figure 3</w:t>
                            </w:r>
                            <w:r>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769705" id="_x0000_s1028" type="#_x0000_t202" style="position:absolute;left:0;text-align:left;margin-left:39.2pt;margin-top:5.9pt;width:60pt;height:110.6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" stroked="f">
                <v:textbox style="mso-fit-shape-to-text:t">
                  <w:txbxContent>
                    <w:p w14:paraId="3B1DAAF0" w14:textId="243DBAA0" w:rsidR="003459CC" w:rsidRPr="003459CC" w:rsidRDefault="003459CC">
                      <w:pPr>
                        <w:rPr>
                          <w:rFonts w:ascii="Times New Roman" w:hAnsi="Times New Roman" w:cs="Times New Roman"/>
                        </w:rPr>
                      </w:pPr>
                      <w:r w:rsidRPr="003459CC">
                        <w:rPr>
                          <w:rFonts w:ascii="Times New Roman" w:hAnsi="Times New Roman" w:cs="Times New Roman"/>
                        </w:rPr>
                        <w:t>Figure 3</w:t>
                      </w:r>
                      <w:r>
                        <w:rPr>
                          <w:rFonts w:ascii="Times New Roman" w:hAnsi="Times New Roman" w:cs="Times New Roman"/>
                        </w:rPr>
                        <w:t>:</w:t>
                      </w:r>
                    </w:p>
                  </w:txbxContent>
                </v:textbox>
              </v:shape>
            </w:pict>
          </mc:Fallback>
        </mc:AlternateContent>
      </w:r>
      <w:r w:rsidR="006F79FC">
        <w:rPr>
          <w:noProof/>
        </w:rPr>
        <w:drawing>
          <wp:inline distT="0" distB="0" distL="0" distR="0" wp14:anchorId="1833DD8C" wp14:editId="42F84432">
            <wp:extent cx="3474720" cy="2316352"/>
            <wp:effectExtent l="0" t="0" r="0" b="8255"/>
            <wp:docPr id="300310670" name="Picture 2" descr="A graph of blue bars and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10670" name="Picture 2" descr="A graph of blue bars and a pie char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4074" cy="2322587"/>
                    </a:xfrm>
                    <a:prstGeom prst="rect">
                      <a:avLst/>
                    </a:prstGeom>
                    <a:noFill/>
                    <a:ln>
                      <a:noFill/>
                    </a:ln>
                  </pic:spPr>
                </pic:pic>
              </a:graphicData>
            </a:graphic>
          </wp:inline>
        </w:drawing>
      </w:r>
    </w:p>
    <w:p w14:paraId="382E2721" w14:textId="08BA8D4F" w:rsidR="009C7328" w:rsidRPr="00D93FEB" w:rsidRDefault="009C7328" w:rsidP="00926C67">
      <w:pPr>
        <w:jc w:val="both"/>
        <w:rPr>
          <w:rFonts w:ascii="Times New Roman" w:hAnsi="Times New Roman" w:cs="Times New Roman"/>
        </w:rPr>
      </w:pPr>
      <w:r w:rsidRPr="00D93FEB">
        <w:rPr>
          <w:rFonts w:ascii="Times New Roman" w:hAnsi="Times New Roman" w:cs="Times New Roman"/>
        </w:rPr>
        <w:t>While most employees received adjustments such as ergonomic support, modified duties, or phased hours, preparedness varied</w:t>
      </w:r>
      <w:r w:rsidR="003459CC">
        <w:rPr>
          <w:rFonts w:ascii="Times New Roman" w:hAnsi="Times New Roman" w:cs="Times New Roman"/>
        </w:rPr>
        <w:t xml:space="preserve"> (as shown in Figure 3)</w:t>
      </w:r>
      <w:r w:rsidRPr="00D93FEB">
        <w:rPr>
          <w:rFonts w:ascii="Times New Roman" w:hAnsi="Times New Roman" w:cs="Times New Roman"/>
        </w:rPr>
        <w:t>. Employees in physically demanding roles were more likely to feel partially prepared or unprepared, revealing inequities in how support is applied. These differences point to the need for consistent pre-return assessments and tailored adjustment plans.</w:t>
      </w:r>
    </w:p>
    <w:p w14:paraId="5B4BC604" w14:textId="60AD3E2C" w:rsidR="009C7328" w:rsidRPr="006F79FC" w:rsidRDefault="009C7328" w:rsidP="009C7328">
      <w:pPr>
        <w:jc w:val="both"/>
        <w:rPr>
          <w:rFonts w:ascii="Times New Roman" w:hAnsi="Times New Roman" w:cs="Times New Roman"/>
          <w:color w:val="000000" w:themeColor="text1"/>
        </w:rPr>
      </w:pPr>
      <w:r w:rsidRPr="00D93FEB">
        <w:rPr>
          <w:rFonts w:ascii="Times New Roman" w:hAnsi="Times New Roman" w:cs="Times New Roman"/>
          <w:color w:val="000000" w:themeColor="text1"/>
        </w:rPr>
        <w:t xml:space="preserve">Over half of </w:t>
      </w:r>
      <w:r w:rsidR="001F7C0A" w:rsidRPr="00D93FEB">
        <w:rPr>
          <w:rFonts w:ascii="Times New Roman" w:hAnsi="Times New Roman" w:cs="Times New Roman"/>
          <w:color w:val="000000" w:themeColor="text1"/>
        </w:rPr>
        <w:t>participants</w:t>
      </w:r>
      <w:r w:rsidRPr="00D93FEB">
        <w:rPr>
          <w:rFonts w:ascii="Times New Roman" w:hAnsi="Times New Roman" w:cs="Times New Roman"/>
          <w:color w:val="000000" w:themeColor="text1"/>
        </w:rPr>
        <w:t xml:space="preserve"> described their RTW support as good or excellent, indicating positive organisational practices. However, a sizeable minority reported neutral or poor experiences, suggesting inconsistency across departments. Qualitative comments highlighted phased returns and supportive managers as particularly helpful. Conversely, lack of clarity and communication were frequently cited </w:t>
      </w:r>
      <w:r w:rsidRPr="006F79FC">
        <w:rPr>
          <w:rFonts w:ascii="Times New Roman" w:hAnsi="Times New Roman" w:cs="Times New Roman"/>
          <w:color w:val="000000" w:themeColor="text1"/>
        </w:rPr>
        <w:t xml:space="preserve">as barriers to a smooth reintegration. </w:t>
      </w:r>
    </w:p>
    <w:p w14:paraId="49ECB292" w14:textId="422D4CC6" w:rsidR="009C7328" w:rsidRPr="00D93FEB" w:rsidRDefault="009C7328" w:rsidP="009C7328">
      <w:pPr>
        <w:jc w:val="both"/>
        <w:rPr>
          <w:rFonts w:ascii="Times New Roman" w:hAnsi="Times New Roman" w:cs="Times New Roman"/>
          <w:color w:val="7030A0"/>
        </w:rPr>
      </w:pPr>
      <w:r w:rsidRPr="006F79FC">
        <w:rPr>
          <w:rFonts w:ascii="Times New Roman" w:hAnsi="Times New Roman" w:cs="Times New Roman"/>
          <w:color w:val="000000" w:themeColor="text1"/>
        </w:rPr>
        <w:t xml:space="preserve">Nieuwenhuijsen </w:t>
      </w:r>
      <w:r w:rsidRPr="006F79FC">
        <w:rPr>
          <w:rFonts w:ascii="Times New Roman" w:hAnsi="Times New Roman" w:cs="Times New Roman"/>
          <w:i/>
          <w:iCs/>
          <w:color w:val="000000" w:themeColor="text1"/>
        </w:rPr>
        <w:t>et al.</w:t>
      </w:r>
      <w:r w:rsidR="00317AE8">
        <w:rPr>
          <w:rFonts w:ascii="Times New Roman" w:hAnsi="Times New Roman" w:cs="Times New Roman"/>
          <w:i/>
          <w:iCs/>
          <w:color w:val="000000" w:themeColor="text1"/>
        </w:rPr>
        <w:t xml:space="preserve"> </w:t>
      </w:r>
      <w:r w:rsidR="006F79FC" w:rsidRPr="006F79FC">
        <w:rPr>
          <w:rFonts w:ascii="Times New Roman" w:hAnsi="Times New Roman" w:cs="Times New Roman"/>
          <w:i/>
          <w:iCs/>
          <w:color w:val="000000" w:themeColor="text1"/>
        </w:rPr>
        <w:t>(</w:t>
      </w:r>
      <w:r w:rsidRPr="006F79FC">
        <w:rPr>
          <w:rFonts w:ascii="Times New Roman" w:hAnsi="Times New Roman" w:cs="Times New Roman"/>
          <w:color w:val="000000" w:themeColor="text1"/>
        </w:rPr>
        <w:t xml:space="preserve">2013) demonstrate that workplace adjustments are strongly linked with sustained RTW outcomes, particularly for employees with physical limitations, as such adaptations reduce the likelihood of relapse or </w:t>
      </w:r>
      <w:r w:rsidRPr="00D93FEB">
        <w:rPr>
          <w:rFonts w:ascii="Times New Roman" w:hAnsi="Times New Roman" w:cs="Times New Roman"/>
          <w:color w:val="000000" w:themeColor="text1"/>
        </w:rPr>
        <w:t xml:space="preserve">further absence. Extending this argument, inclusive management styles that recognise neurodiverse needs are increasingly more to effective reintegration, as supportive managers can tailor communication, flexibility, and phased returns to individual requirements (Branicki </w:t>
      </w:r>
      <w:r w:rsidRPr="00D93FEB">
        <w:rPr>
          <w:rFonts w:ascii="Times New Roman" w:hAnsi="Times New Roman" w:cs="Times New Roman"/>
          <w:i/>
          <w:iCs/>
          <w:color w:val="000000" w:themeColor="text1"/>
        </w:rPr>
        <w:t>et al.,</w:t>
      </w:r>
      <w:r w:rsidRPr="00D93FEB">
        <w:rPr>
          <w:rFonts w:ascii="Times New Roman" w:hAnsi="Times New Roman" w:cs="Times New Roman"/>
          <w:color w:val="000000" w:themeColor="text1"/>
        </w:rPr>
        <w:t xml:space="preserve"> 2024). By contrast, rigid or inconsistent managerial practices may exacerbate difficulties, highlighting the importance of equipping line managers with both awareness and resources to deliver consistent, equitable support across departments.</w:t>
      </w:r>
    </w:p>
    <w:p w14:paraId="43F2A4F6" w14:textId="56C1B0CA" w:rsidR="003459CC" w:rsidRDefault="003459CC" w:rsidP="00ED1784">
      <w:pPr>
        <w:rPr>
          <w:rFonts w:ascii="Times New Roman" w:hAnsi="Times New Roman" w:cs="Times New Roman"/>
          <w:b/>
          <w:bCs/>
        </w:rPr>
      </w:pPr>
      <w:r w:rsidRPr="003459CC">
        <w:rPr>
          <w:rFonts w:ascii="Times New Roman" w:hAnsi="Times New Roman" w:cs="Times New Roman"/>
          <w:b/>
          <w:bCs/>
          <w:noProof/>
        </w:rPr>
        <mc:AlternateContent>
          <mc:Choice Requires="wps">
            <w:drawing>
              <wp:anchor distT="45720" distB="45720" distL="114300" distR="114300" simplePos="0" relativeHeight="251665408" behindDoc="0" locked="0" layoutInCell="1" allowOverlap="1" wp14:anchorId="5FA8143E" wp14:editId="45BA2236">
                <wp:simplePos x="0" y="0"/>
                <wp:positionH relativeFrom="margin">
                  <wp:align>center</wp:align>
                </wp:positionH>
                <wp:positionV relativeFrom="paragraph">
                  <wp:posOffset>75565</wp:posOffset>
                </wp:positionV>
                <wp:extent cx="3761740" cy="317500"/>
                <wp:effectExtent l="0" t="0" r="0" b="6350"/>
                <wp:wrapSquare wrapText="bothSides"/>
                <wp:docPr id="1278079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1740" cy="317500"/>
                        </a:xfrm>
                        <a:prstGeom prst="rect">
                          <a:avLst/>
                        </a:prstGeom>
                        <a:solidFill>
                          <a:srgbClr val="FFFFFF"/>
                        </a:solidFill>
                        <a:ln w="9525">
                          <a:noFill/>
                          <a:miter lim="800000"/>
                          <a:headEnd/>
                          <a:tailEnd/>
                        </a:ln>
                      </wps:spPr>
                      <wps:txbx>
                        <w:txbxContent>
                          <w:p w14:paraId="1B3E66A5" w14:textId="76E0D34F" w:rsidR="003459CC" w:rsidRDefault="003459CC" w:rsidP="003459CC">
                            <w:pPr>
                              <w:rPr>
                                <w:rFonts w:ascii="Times New Roman" w:hAnsi="Times New Roman" w:cs="Times New Roman"/>
                                <w:b/>
                                <w:bCs/>
                              </w:rPr>
                            </w:pPr>
                            <w:r w:rsidRPr="003459CC">
                              <w:rPr>
                                <w:rFonts w:ascii="Times New Roman" w:hAnsi="Times New Roman" w:cs="Times New Roman"/>
                              </w:rPr>
                              <w:t>Figure 4:</w:t>
                            </w:r>
                            <w:r>
                              <w:rPr>
                                <w:rFonts w:ascii="Times New Roman" w:hAnsi="Times New Roman" w:cs="Times New Roman"/>
                                <w:b/>
                                <w:bCs/>
                              </w:rPr>
                              <w:t xml:space="preserve"> </w:t>
                            </w:r>
                            <w:r w:rsidRPr="00D93FEB">
                              <w:rPr>
                                <w:rFonts w:ascii="Times New Roman" w:hAnsi="Times New Roman" w:cs="Times New Roman"/>
                                <w:b/>
                                <w:bCs/>
                              </w:rPr>
                              <w:t>Involvement in Planning and Communication</w:t>
                            </w:r>
                          </w:p>
                          <w:p w14:paraId="78F67C43" w14:textId="7D0F8CF7" w:rsidR="003459CC" w:rsidRDefault="003459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A8143E" id="_x0000_s1029" type="#_x0000_t202" style="position:absolute;margin-left:0;margin-top:5.95pt;width:296.2pt;height:2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" stroked="f">
                <v:textbox>
                  <w:txbxContent>
                    <w:p w14:paraId="1B3E66A5" w14:textId="76E0D34F" w:rsidR="003459CC" w:rsidRDefault="003459CC" w:rsidP="003459CC">
                      <w:pPr>
                        <w:rPr>
                          <w:rFonts w:ascii="Times New Roman" w:hAnsi="Times New Roman" w:cs="Times New Roman"/>
                          <w:b/>
                          <w:bCs/>
                        </w:rPr>
                      </w:pPr>
                      <w:r w:rsidRPr="003459CC">
                        <w:rPr>
                          <w:rFonts w:ascii="Times New Roman" w:hAnsi="Times New Roman" w:cs="Times New Roman"/>
                        </w:rPr>
                        <w:t>Figure 4:</w:t>
                      </w:r>
                      <w:r>
                        <w:rPr>
                          <w:rFonts w:ascii="Times New Roman" w:hAnsi="Times New Roman" w:cs="Times New Roman"/>
                          <w:b/>
                          <w:bCs/>
                        </w:rPr>
                        <w:t xml:space="preserve"> </w:t>
                      </w:r>
                      <w:r w:rsidRPr="00D93FEB">
                        <w:rPr>
                          <w:rFonts w:ascii="Times New Roman" w:hAnsi="Times New Roman" w:cs="Times New Roman"/>
                          <w:b/>
                          <w:bCs/>
                        </w:rPr>
                        <w:t>Involvement in Planning and Communication</w:t>
                      </w:r>
                    </w:p>
                    <w:p w14:paraId="78F67C43" w14:textId="7D0F8CF7" w:rsidR="003459CC" w:rsidRDefault="003459CC"/>
                  </w:txbxContent>
                </v:textbox>
                <w10:wrap type="square" anchorx="margin"/>
              </v:shape>
            </w:pict>
          </mc:Fallback>
        </mc:AlternateContent>
      </w:r>
    </w:p>
    <w:p w14:paraId="188745DA" w14:textId="77777777" w:rsidR="003459CC" w:rsidRDefault="003459CC" w:rsidP="00ED1784">
      <w:pPr>
        <w:rPr>
          <w:rFonts w:ascii="Times New Roman" w:hAnsi="Times New Roman" w:cs="Times New Roman"/>
          <w:b/>
          <w:bCs/>
        </w:rPr>
      </w:pPr>
    </w:p>
    <w:p w14:paraId="52994133" w14:textId="77777777" w:rsidR="003459CC" w:rsidRDefault="003459CC" w:rsidP="00ED1784">
      <w:pPr>
        <w:rPr>
          <w:rFonts w:ascii="Times New Roman" w:hAnsi="Times New Roman" w:cs="Times New Roman"/>
          <w:b/>
          <w:bCs/>
        </w:rPr>
      </w:pPr>
    </w:p>
    <w:p w14:paraId="78F0E992" w14:textId="77777777" w:rsidR="003459CC" w:rsidRDefault="003459CC" w:rsidP="00ED1784">
      <w:pPr>
        <w:rPr>
          <w:rFonts w:ascii="Times New Roman" w:hAnsi="Times New Roman" w:cs="Times New Roman"/>
          <w:b/>
          <w:bCs/>
        </w:rPr>
      </w:pPr>
    </w:p>
    <w:p w14:paraId="49D2C709" w14:textId="77777777" w:rsidR="003459CC" w:rsidRDefault="003459CC" w:rsidP="00ED1784">
      <w:pPr>
        <w:rPr>
          <w:rFonts w:ascii="Times New Roman" w:hAnsi="Times New Roman" w:cs="Times New Roman"/>
          <w:b/>
          <w:bCs/>
        </w:rPr>
      </w:pPr>
    </w:p>
    <w:p w14:paraId="16E16D99" w14:textId="77777777" w:rsidR="003459CC" w:rsidRPr="00D93FEB" w:rsidRDefault="003459CC" w:rsidP="00ED1784">
      <w:pPr>
        <w:rPr>
          <w:rFonts w:ascii="Times New Roman" w:hAnsi="Times New Roman" w:cs="Times New Roman"/>
          <w:b/>
          <w:bCs/>
        </w:rPr>
      </w:pPr>
    </w:p>
    <w:p w14:paraId="42B7F63F" w14:textId="77777777" w:rsidR="006F79FC" w:rsidRDefault="006F79FC" w:rsidP="006F79FC">
      <w:pPr>
        <w:jc w:val="center"/>
        <w:rPr>
          <w:rFonts w:ascii="Times New Roman" w:hAnsi="Times New Roman" w:cs="Times New Roman"/>
        </w:rPr>
      </w:pPr>
      <w:r>
        <w:rPr>
          <w:noProof/>
        </w:rPr>
        <w:lastRenderedPageBreak/>
        <w:drawing>
          <wp:inline distT="0" distB="0" distL="0" distR="0" wp14:anchorId="00016A14" wp14:editId="4578514F">
            <wp:extent cx="3143422" cy="2095500"/>
            <wp:effectExtent l="0" t="0" r="0" b="0"/>
            <wp:docPr id="1929077281" name="Picture 1" descr="A graph of blue rectangular ba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077281" name="Picture 1" descr="A graph of blue rectangular bars with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3404" cy="2102154"/>
                    </a:xfrm>
                    <a:prstGeom prst="rect">
                      <a:avLst/>
                    </a:prstGeom>
                    <a:noFill/>
                    <a:ln>
                      <a:noFill/>
                    </a:ln>
                  </pic:spPr>
                </pic:pic>
              </a:graphicData>
            </a:graphic>
          </wp:inline>
        </w:drawing>
      </w:r>
    </w:p>
    <w:p w14:paraId="08D6B291" w14:textId="43BDA020" w:rsidR="009C7328" w:rsidRPr="00D93FEB" w:rsidRDefault="009C7328" w:rsidP="009C7328">
      <w:pPr>
        <w:jc w:val="both"/>
        <w:rPr>
          <w:rFonts w:ascii="Times New Roman" w:hAnsi="Times New Roman" w:cs="Times New Roman"/>
        </w:rPr>
      </w:pPr>
      <w:r w:rsidRPr="00D93FEB">
        <w:rPr>
          <w:rFonts w:ascii="Times New Roman" w:hAnsi="Times New Roman" w:cs="Times New Roman"/>
        </w:rPr>
        <w:t>The majority of employees were included in RTW planning discussions, which is positive</w:t>
      </w:r>
      <w:r w:rsidR="003459CC">
        <w:rPr>
          <w:rFonts w:ascii="Times New Roman" w:hAnsi="Times New Roman" w:cs="Times New Roman"/>
        </w:rPr>
        <w:t xml:space="preserve"> (as shown in Figure 4)</w:t>
      </w:r>
      <w:r w:rsidRPr="00D93FEB">
        <w:rPr>
          <w:rFonts w:ascii="Times New Roman" w:hAnsi="Times New Roman" w:cs="Times New Roman"/>
        </w:rPr>
        <w:t>. However, a significant minority were excluded, and many reported they would have benefited from clearer communication and structured planning. Concerns around disclosure also surfaced: while most were comfortable sharing limitations, some withheld information due to fears of judgment or negative career impacts.</w:t>
      </w:r>
    </w:p>
    <w:p w14:paraId="2F8D0CD7" w14:textId="57BB0E17" w:rsidR="009C7328" w:rsidRPr="00A35F83" w:rsidRDefault="009C7328" w:rsidP="009C7328">
      <w:pPr>
        <w:jc w:val="both"/>
        <w:rPr>
          <w:rFonts w:ascii="Times New Roman" w:hAnsi="Times New Roman" w:cs="Times New Roman"/>
          <w:color w:val="000000" w:themeColor="text1"/>
        </w:rPr>
      </w:pPr>
      <w:r w:rsidRPr="00A35F83">
        <w:rPr>
          <w:rFonts w:ascii="Times New Roman" w:hAnsi="Times New Roman" w:cs="Times New Roman"/>
          <w:color w:val="000000" w:themeColor="text1"/>
        </w:rPr>
        <w:t xml:space="preserve">Carroll </w:t>
      </w:r>
      <w:r w:rsidRPr="00A35F83">
        <w:rPr>
          <w:rFonts w:ascii="Times New Roman" w:hAnsi="Times New Roman" w:cs="Times New Roman"/>
          <w:i/>
          <w:iCs/>
          <w:color w:val="000000" w:themeColor="text1"/>
        </w:rPr>
        <w:t>et al.</w:t>
      </w:r>
      <w:r w:rsidRPr="00A35F83">
        <w:rPr>
          <w:rFonts w:ascii="Times New Roman" w:hAnsi="Times New Roman" w:cs="Times New Roman"/>
          <w:color w:val="000000" w:themeColor="text1"/>
        </w:rPr>
        <w:t xml:space="preserve"> </w:t>
      </w:r>
      <w:r w:rsidR="00A35F83" w:rsidRPr="00A35F83">
        <w:rPr>
          <w:rFonts w:ascii="Times New Roman" w:hAnsi="Times New Roman" w:cs="Times New Roman"/>
          <w:color w:val="000000" w:themeColor="text1"/>
        </w:rPr>
        <w:t>(</w:t>
      </w:r>
      <w:r w:rsidRPr="00A35F83">
        <w:rPr>
          <w:rFonts w:ascii="Times New Roman" w:hAnsi="Times New Roman" w:cs="Times New Roman"/>
          <w:color w:val="000000" w:themeColor="text1"/>
        </w:rPr>
        <w:t xml:space="preserve">2010) highlight that employee involvement in RTW planning enhances satisfaction, motivation, and reintegration outcomes. Cullen </w:t>
      </w:r>
      <w:r w:rsidRPr="00A35F83">
        <w:rPr>
          <w:rFonts w:ascii="Times New Roman" w:hAnsi="Times New Roman" w:cs="Times New Roman"/>
          <w:i/>
          <w:iCs/>
          <w:color w:val="000000" w:themeColor="text1"/>
        </w:rPr>
        <w:t>et al</w:t>
      </w:r>
      <w:r w:rsidRPr="00A35F83">
        <w:rPr>
          <w:rFonts w:ascii="Times New Roman" w:hAnsi="Times New Roman" w:cs="Times New Roman"/>
          <w:color w:val="000000" w:themeColor="text1"/>
        </w:rPr>
        <w:t xml:space="preserve">. </w:t>
      </w:r>
      <w:r w:rsidR="00A35F83" w:rsidRPr="00A35F83">
        <w:rPr>
          <w:rFonts w:ascii="Times New Roman" w:hAnsi="Times New Roman" w:cs="Times New Roman"/>
          <w:color w:val="000000" w:themeColor="text1"/>
        </w:rPr>
        <w:t>(</w:t>
      </w:r>
      <w:r w:rsidRPr="00A35F83">
        <w:rPr>
          <w:rFonts w:ascii="Times New Roman" w:hAnsi="Times New Roman" w:cs="Times New Roman"/>
          <w:color w:val="000000" w:themeColor="text1"/>
        </w:rPr>
        <w:t>2018) further demonstrates how stigma can discourage employees from disclosing health limitations, undermining the effectiveness of RTW arrangements.</w:t>
      </w:r>
    </w:p>
    <w:p w14:paraId="3A72E201" w14:textId="3E18620C" w:rsidR="00926C67" w:rsidRDefault="00A5734D" w:rsidP="00926C67">
      <w:pPr>
        <w:jc w:val="center"/>
        <w:rPr>
          <w:rFonts w:ascii="Times New Roman" w:hAnsi="Times New Roman" w:cs="Times New Roman"/>
        </w:rPr>
      </w:pPr>
      <w:r w:rsidRPr="003459CC">
        <w:rPr>
          <w:rFonts w:ascii="Times New Roman" w:hAnsi="Times New Roman" w:cs="Times New Roman"/>
          <w:noProof/>
        </w:rPr>
        <mc:AlternateContent>
          <mc:Choice Requires="wps">
            <w:drawing>
              <wp:anchor distT="45720" distB="45720" distL="114300" distR="114300" simplePos="0" relativeHeight="251667456" behindDoc="1" locked="0" layoutInCell="1" allowOverlap="1" wp14:anchorId="261ECC1A" wp14:editId="73209984">
                <wp:simplePos x="0" y="0"/>
                <wp:positionH relativeFrom="margin">
                  <wp:posOffset>390525</wp:posOffset>
                </wp:positionH>
                <wp:positionV relativeFrom="paragraph">
                  <wp:posOffset>83820</wp:posOffset>
                </wp:positionV>
                <wp:extent cx="714375" cy="1404620"/>
                <wp:effectExtent l="0" t="0" r="9525" b="5715"/>
                <wp:wrapNone/>
                <wp:docPr id="4150829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404620"/>
                        </a:xfrm>
                        <a:prstGeom prst="rect">
                          <a:avLst/>
                        </a:prstGeom>
                        <a:solidFill>
                          <a:srgbClr val="FFFFFF"/>
                        </a:solidFill>
                        <a:ln w="9525">
                          <a:noFill/>
                          <a:miter lim="800000"/>
                          <a:headEnd/>
                          <a:tailEnd/>
                        </a:ln>
                      </wps:spPr>
                      <wps:txbx>
                        <w:txbxContent>
                          <w:p w14:paraId="29508C73" w14:textId="6082AAED" w:rsidR="003459CC" w:rsidRPr="00A5734D" w:rsidRDefault="003459CC">
                            <w:pPr>
                              <w:rPr>
                                <w:rFonts w:ascii="Times New Roman" w:hAnsi="Times New Roman" w:cs="Times New Roman"/>
                              </w:rPr>
                            </w:pPr>
                            <w:r w:rsidRPr="00A5734D">
                              <w:rPr>
                                <w:rFonts w:ascii="Times New Roman" w:hAnsi="Times New Roman" w:cs="Times New Roman"/>
                              </w:rPr>
                              <w:t>Figure 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1ECC1A" id="_x0000_s1030" type="#_x0000_t202" style="position:absolute;left:0;text-align:left;margin-left:30.75pt;margin-top:6.6pt;width:56.25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" stroked="f">
                <v:textbox style="mso-fit-shape-to-text:t">
                  <w:txbxContent>
                    <w:p w14:paraId="29508C73" w14:textId="6082AAED" w:rsidR="003459CC" w:rsidRPr="00A5734D" w:rsidRDefault="003459CC">
                      <w:pPr>
                        <w:rPr>
                          <w:rFonts w:ascii="Times New Roman" w:hAnsi="Times New Roman" w:cs="Times New Roman"/>
                        </w:rPr>
                      </w:pPr>
                      <w:r w:rsidRPr="00A5734D">
                        <w:rPr>
                          <w:rFonts w:ascii="Times New Roman" w:hAnsi="Times New Roman" w:cs="Times New Roman"/>
                        </w:rPr>
                        <w:t>Figure 5:</w:t>
                      </w:r>
                    </w:p>
                  </w:txbxContent>
                </v:textbox>
                <w10:wrap anchorx="margin"/>
              </v:shape>
            </w:pict>
          </mc:Fallback>
        </mc:AlternateContent>
      </w:r>
      <w:r w:rsidR="00926C67">
        <w:rPr>
          <w:noProof/>
        </w:rPr>
        <w:drawing>
          <wp:inline distT="0" distB="0" distL="0" distR="0" wp14:anchorId="02FEBE51" wp14:editId="0E8E3CE8">
            <wp:extent cx="3512820" cy="2341750"/>
            <wp:effectExtent l="0" t="0" r="0" b="1905"/>
            <wp:docPr id="130650794" name="Picture 3"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0794" name="Picture 3" descr="A graph of a number of peopl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21725" cy="2347686"/>
                    </a:xfrm>
                    <a:prstGeom prst="rect">
                      <a:avLst/>
                    </a:prstGeom>
                    <a:noFill/>
                    <a:ln>
                      <a:noFill/>
                    </a:ln>
                  </pic:spPr>
                </pic:pic>
              </a:graphicData>
            </a:graphic>
          </wp:inline>
        </w:drawing>
      </w:r>
    </w:p>
    <w:p w14:paraId="44060356" w14:textId="67F627F9" w:rsidR="009C7328" w:rsidRPr="00D93FEB" w:rsidRDefault="009C7328" w:rsidP="00926C67">
      <w:pPr>
        <w:rPr>
          <w:rFonts w:ascii="Times New Roman" w:hAnsi="Times New Roman" w:cs="Times New Roman"/>
        </w:rPr>
      </w:pPr>
      <w:r w:rsidRPr="00D93FEB">
        <w:rPr>
          <w:rFonts w:ascii="Times New Roman" w:hAnsi="Times New Roman" w:cs="Times New Roman"/>
        </w:rPr>
        <w:t>Nearly half of participants were not clearly aware of RTW policies</w:t>
      </w:r>
      <w:r w:rsidR="003459CC">
        <w:rPr>
          <w:rFonts w:ascii="Times New Roman" w:hAnsi="Times New Roman" w:cs="Times New Roman"/>
        </w:rPr>
        <w:t xml:space="preserve"> (as shown in Figure 5)</w:t>
      </w:r>
      <w:r w:rsidRPr="00D93FEB">
        <w:rPr>
          <w:rFonts w:ascii="Times New Roman" w:hAnsi="Times New Roman" w:cs="Times New Roman"/>
        </w:rPr>
        <w:t>. This lack of awareness creates inconsistency in practice, with some employees relying on supportive managers while others navigate the process with limited guidance.</w:t>
      </w:r>
    </w:p>
    <w:p w14:paraId="35BAD030" w14:textId="16D53F6A" w:rsidR="009C7328" w:rsidRPr="00D93FEB" w:rsidRDefault="00A35F83" w:rsidP="009C7328">
      <w:pPr>
        <w:jc w:val="both"/>
        <w:rPr>
          <w:rFonts w:ascii="Times New Roman" w:hAnsi="Times New Roman" w:cs="Times New Roman"/>
        </w:rPr>
      </w:pPr>
      <w:r>
        <w:rPr>
          <w:rFonts w:ascii="Times New Roman" w:hAnsi="Times New Roman" w:cs="Times New Roman"/>
          <w:b/>
          <w:bCs/>
        </w:rPr>
        <w:t xml:space="preserve">5.2 </w:t>
      </w:r>
      <w:r w:rsidR="009C7328" w:rsidRPr="00D93FEB">
        <w:rPr>
          <w:rFonts w:ascii="Times New Roman" w:hAnsi="Times New Roman" w:cs="Times New Roman"/>
          <w:b/>
          <w:bCs/>
        </w:rPr>
        <w:t>Research Link:</w:t>
      </w:r>
      <w:r w:rsidR="009C7328" w:rsidRPr="00D93FEB">
        <w:rPr>
          <w:rFonts w:ascii="Times New Roman" w:hAnsi="Times New Roman" w:cs="Times New Roman"/>
        </w:rPr>
        <w:t xml:space="preserve">  MacEachen </w:t>
      </w:r>
      <w:r w:rsidR="009C7328" w:rsidRPr="00D93FEB">
        <w:rPr>
          <w:rFonts w:ascii="Times New Roman" w:hAnsi="Times New Roman" w:cs="Times New Roman"/>
          <w:i/>
          <w:iCs/>
        </w:rPr>
        <w:t>et al</w:t>
      </w:r>
      <w:r w:rsidR="009C7328" w:rsidRPr="00D93FEB">
        <w:rPr>
          <w:rFonts w:ascii="Times New Roman" w:hAnsi="Times New Roman" w:cs="Times New Roman"/>
        </w:rPr>
        <w:t>.</w:t>
      </w:r>
      <w:r w:rsidR="00317AE8">
        <w:rPr>
          <w:rFonts w:ascii="Times New Roman" w:hAnsi="Times New Roman" w:cs="Times New Roman"/>
        </w:rPr>
        <w:t xml:space="preserve"> (</w:t>
      </w:r>
      <w:r w:rsidR="009C7328" w:rsidRPr="00D93FEB">
        <w:rPr>
          <w:rFonts w:ascii="Times New Roman" w:hAnsi="Times New Roman" w:cs="Times New Roman"/>
        </w:rPr>
        <w:t xml:space="preserve">2006) argue that poor communication of RTW policies leads to fragmented practices across organisations. Their findings stress the need for transparent policy dissemination and training to ensure consistent application across departments </w:t>
      </w:r>
    </w:p>
    <w:p w14:paraId="5AD18206" w14:textId="0C42439C" w:rsidR="009C7328" w:rsidRPr="00D93FEB" w:rsidRDefault="00A35F83" w:rsidP="009C7328">
      <w:pPr>
        <w:jc w:val="both"/>
        <w:rPr>
          <w:rFonts w:ascii="Times New Roman" w:hAnsi="Times New Roman" w:cs="Times New Roman"/>
          <w:b/>
          <w:bCs/>
        </w:rPr>
      </w:pPr>
      <w:r>
        <w:rPr>
          <w:rFonts w:ascii="Times New Roman" w:hAnsi="Times New Roman" w:cs="Times New Roman"/>
          <w:b/>
          <w:bCs/>
        </w:rPr>
        <w:t xml:space="preserve">5.3 </w:t>
      </w:r>
      <w:r w:rsidR="009C7328" w:rsidRPr="00D93FEB">
        <w:rPr>
          <w:rFonts w:ascii="Times New Roman" w:hAnsi="Times New Roman" w:cs="Times New Roman"/>
          <w:b/>
          <w:bCs/>
        </w:rPr>
        <w:t>Reflective Feedback</w:t>
      </w:r>
    </w:p>
    <w:p w14:paraId="3276100C"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 xml:space="preserve">Employees praised supportive managers, phased returns, flexible hours, colleague support, and regular check-ins. These practices reduced stress and aided gradual reintegration. Positive feedback reinforces the importance of interpersonal support and flexibility in the RTW process. </w:t>
      </w:r>
    </w:p>
    <w:p w14:paraId="76527D77"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lastRenderedPageBreak/>
        <w:t xml:space="preserve">Common issues included heavy workloads, unclear policies, fatigue, and difficulty readjusting. Long-term absentees particularly struggled with stamina and workload management. The findings highlight gaps in structured support, particularly for employees returning after long absences. </w:t>
      </w:r>
    </w:p>
    <w:p w14:paraId="55A427A7" w14:textId="532AD118" w:rsidR="009C7328" w:rsidRPr="00D93FEB" w:rsidRDefault="00A35F83" w:rsidP="009C7328">
      <w:pPr>
        <w:jc w:val="both"/>
        <w:rPr>
          <w:rFonts w:ascii="Times New Roman" w:hAnsi="Times New Roman" w:cs="Times New Roman"/>
          <w:b/>
          <w:bCs/>
        </w:rPr>
      </w:pPr>
      <w:r>
        <w:rPr>
          <w:rFonts w:ascii="Times New Roman" w:hAnsi="Times New Roman" w:cs="Times New Roman"/>
          <w:b/>
          <w:bCs/>
        </w:rPr>
        <w:t xml:space="preserve">5.4 </w:t>
      </w:r>
      <w:r w:rsidR="009C7328" w:rsidRPr="00D93FEB">
        <w:rPr>
          <w:rFonts w:ascii="Times New Roman" w:hAnsi="Times New Roman" w:cs="Times New Roman"/>
          <w:b/>
          <w:bCs/>
        </w:rPr>
        <w:t>Perceptions of Organisational Commitment to Wellbeing</w:t>
      </w:r>
    </w:p>
    <w:p w14:paraId="15922164"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 xml:space="preserve">65% of participants perceived strong organisational commitment to wellbeing, while others highlighted inconsistencies between departments. The majority view is encouraging, but disparities between teams suggest uneven implementation of wellbeing practices, undermining trust and equity. </w:t>
      </w:r>
    </w:p>
    <w:p w14:paraId="2217A623" w14:textId="73386F09" w:rsidR="009C7328" w:rsidRPr="00A35F83" w:rsidRDefault="00A35F83" w:rsidP="00A35F83">
      <w:pPr>
        <w:pStyle w:val="ListParagraph"/>
        <w:numPr>
          <w:ilvl w:val="0"/>
          <w:numId w:val="11"/>
        </w:numPr>
        <w:rPr>
          <w:rFonts w:ascii="Times New Roman" w:hAnsi="Times New Roman" w:cs="Times New Roman"/>
          <w:b/>
          <w:bCs/>
        </w:rPr>
      </w:pPr>
      <w:r w:rsidRPr="00A35F83">
        <w:rPr>
          <w:rFonts w:ascii="Times New Roman" w:hAnsi="Times New Roman" w:cs="Times New Roman"/>
          <w:b/>
          <w:bCs/>
        </w:rPr>
        <w:t xml:space="preserve"> </w:t>
      </w:r>
      <w:r w:rsidR="009C7328" w:rsidRPr="00A35F83">
        <w:rPr>
          <w:rFonts w:ascii="Times New Roman" w:hAnsi="Times New Roman" w:cs="Times New Roman"/>
          <w:b/>
          <w:bCs/>
        </w:rPr>
        <w:t>Conclusion</w:t>
      </w:r>
    </w:p>
    <w:p w14:paraId="004D5806" w14:textId="77777777" w:rsidR="009C7328" w:rsidRPr="00D93FEB" w:rsidRDefault="009C7328" w:rsidP="009C7328">
      <w:pPr>
        <w:jc w:val="both"/>
        <w:rPr>
          <w:rFonts w:ascii="Times New Roman" w:hAnsi="Times New Roman" w:cs="Times New Roman"/>
        </w:rPr>
      </w:pPr>
      <w:r w:rsidRPr="00D93FEB">
        <w:rPr>
          <w:rFonts w:ascii="Times New Roman" w:hAnsi="Times New Roman" w:cs="Times New Roman"/>
        </w:rPr>
        <w:t>Overall, the survey results reveal a workforce with diverse experiences of returning to work. While many employees reported supportive managers, phased returns, and helpful adjustments, challenges such as inconsistent communication, lack of policy awareness, and uneven departmental practices remain. Research consistently shows that structured planning, transparent communication, and equitable implementation of policies are critical for successful reintegration. By addressing these gaps, the organisation can improve employee wellbeing, enhance return-to-work outcomes, and strengthen its reputation as a supportive employer.</w:t>
      </w:r>
    </w:p>
    <w:p w14:paraId="32368059" w14:textId="161AAB4B" w:rsidR="009C7328" w:rsidRPr="00A35F83" w:rsidRDefault="00C36E1B" w:rsidP="00A35F83">
      <w:pPr>
        <w:pStyle w:val="ListParagraph"/>
        <w:numPr>
          <w:ilvl w:val="0"/>
          <w:numId w:val="11"/>
        </w:numPr>
        <w:rPr>
          <w:rFonts w:ascii="Times New Roman" w:hAnsi="Times New Roman" w:cs="Times New Roman"/>
          <w:b/>
          <w:bCs/>
        </w:rPr>
      </w:pPr>
      <w:r w:rsidRPr="00A35F83">
        <w:rPr>
          <w:rFonts w:ascii="Times New Roman" w:hAnsi="Times New Roman" w:cs="Times New Roman"/>
          <w:b/>
          <w:bCs/>
        </w:rPr>
        <w:t>Infographic</w:t>
      </w:r>
    </w:p>
    <w:p w14:paraId="79748BB3" w14:textId="641F0403" w:rsidR="00C36E1B" w:rsidRPr="00104C15" w:rsidRDefault="00C36E1B" w:rsidP="00C36E1B">
      <w:pPr>
        <w:jc w:val="both"/>
        <w:rPr>
          <w:rFonts w:ascii="Times New Roman" w:hAnsi="Times New Roman" w:cs="Times New Roman"/>
        </w:rPr>
      </w:pPr>
      <w:r w:rsidRPr="00C36E1B">
        <w:rPr>
          <w:rFonts w:ascii="Times New Roman" w:hAnsi="Times New Roman" w:cs="Times New Roman"/>
          <w:b/>
          <w:bCs/>
        </w:rPr>
        <w:t>Introduction</w:t>
      </w:r>
      <w:r w:rsidRPr="00104C15">
        <w:rPr>
          <w:rFonts w:ascii="Times New Roman" w:hAnsi="Times New Roman" w:cs="Times New Roman"/>
        </w:rPr>
        <w:br/>
        <w:t>Castell Howell Foods</w:t>
      </w:r>
      <w:r>
        <w:rPr>
          <w:rFonts w:ascii="Times New Roman" w:hAnsi="Times New Roman" w:cs="Times New Roman"/>
        </w:rPr>
        <w:t xml:space="preserve"> growth </w:t>
      </w:r>
      <w:r w:rsidRPr="00104C15">
        <w:rPr>
          <w:rFonts w:ascii="Times New Roman" w:hAnsi="Times New Roman" w:cs="Times New Roman"/>
        </w:rPr>
        <w:t>reflects operational expansion</w:t>
      </w:r>
      <w:r>
        <w:rPr>
          <w:rFonts w:ascii="Times New Roman" w:hAnsi="Times New Roman" w:cs="Times New Roman"/>
        </w:rPr>
        <w:t xml:space="preserve"> and</w:t>
      </w:r>
      <w:r w:rsidRPr="00104C15">
        <w:rPr>
          <w:rFonts w:ascii="Times New Roman" w:hAnsi="Times New Roman" w:cs="Times New Roman"/>
        </w:rPr>
        <w:t xml:space="preserve"> a sustained focus on workforce wellbein</w:t>
      </w:r>
      <w:r>
        <w:rPr>
          <w:rFonts w:ascii="Times New Roman" w:hAnsi="Times New Roman" w:cs="Times New Roman"/>
        </w:rPr>
        <w:t>g</w:t>
      </w:r>
      <w:r w:rsidRPr="00104C15">
        <w:rPr>
          <w:rFonts w:ascii="Times New Roman" w:hAnsi="Times New Roman" w:cs="Times New Roman"/>
        </w:rPr>
        <w:t xml:space="preserve"> integral to the organisation’s values. </w:t>
      </w:r>
      <w:r>
        <w:rPr>
          <w:rFonts w:ascii="Times New Roman" w:hAnsi="Times New Roman" w:cs="Times New Roman"/>
        </w:rPr>
        <w:t>It holds</w:t>
      </w:r>
      <w:r w:rsidRPr="00104C15">
        <w:rPr>
          <w:rFonts w:ascii="Times New Roman" w:hAnsi="Times New Roman" w:cs="Times New Roman"/>
        </w:rPr>
        <w:t xml:space="preserve"> a reputation for combining commercial success with ethical business practices, emphasising employee development, community engagement and environmental sustainability. Th</w:t>
      </w:r>
      <w:r>
        <w:rPr>
          <w:rFonts w:ascii="Times New Roman" w:hAnsi="Times New Roman" w:cs="Times New Roman"/>
        </w:rPr>
        <w:t xml:space="preserve">e </w:t>
      </w:r>
      <w:r w:rsidRPr="00104C15">
        <w:rPr>
          <w:rFonts w:ascii="Times New Roman" w:hAnsi="Times New Roman" w:cs="Times New Roman"/>
        </w:rPr>
        <w:t>focus underpins the organisation’s long-term strategic vision and its ability to adapt t</w:t>
      </w:r>
      <w:r>
        <w:rPr>
          <w:rFonts w:ascii="Times New Roman" w:hAnsi="Times New Roman" w:cs="Times New Roman"/>
        </w:rPr>
        <w:t xml:space="preserve">o </w:t>
      </w:r>
      <w:r w:rsidRPr="00104C15">
        <w:rPr>
          <w:rFonts w:ascii="Times New Roman" w:hAnsi="Times New Roman" w:cs="Times New Roman"/>
        </w:rPr>
        <w:t>evolving foodservice sector</w:t>
      </w:r>
      <w:r>
        <w:rPr>
          <w:rFonts w:ascii="Times New Roman" w:hAnsi="Times New Roman" w:cs="Times New Roman"/>
        </w:rPr>
        <w:t>s</w:t>
      </w:r>
      <w:r w:rsidRPr="00104C15">
        <w:rPr>
          <w:rFonts w:ascii="Times New Roman" w:hAnsi="Times New Roman" w:cs="Times New Roman"/>
        </w:rPr>
        <w:t>.</w:t>
      </w:r>
    </w:p>
    <w:p w14:paraId="7A19FFFA" w14:textId="67FE4F40" w:rsidR="00C36E1B" w:rsidRPr="00104C15" w:rsidRDefault="00C36E1B" w:rsidP="00C36E1B">
      <w:pPr>
        <w:jc w:val="both"/>
        <w:rPr>
          <w:rFonts w:ascii="Times New Roman" w:hAnsi="Times New Roman" w:cs="Times New Roman"/>
        </w:rPr>
      </w:pPr>
      <w:r w:rsidRPr="00104C15">
        <w:rPr>
          <w:rFonts w:ascii="Times New Roman" w:hAnsi="Times New Roman" w:cs="Times New Roman"/>
        </w:rPr>
        <w:t>Effective return to work (RTW) processes are a critical component of organisational management, enabling employees recovering from illness, injury or medical treatment to reintegrate</w:t>
      </w:r>
      <w:r>
        <w:rPr>
          <w:rFonts w:ascii="Times New Roman" w:hAnsi="Times New Roman" w:cs="Times New Roman"/>
        </w:rPr>
        <w:t>. P</w:t>
      </w:r>
      <w:r w:rsidRPr="00104C15">
        <w:rPr>
          <w:rFonts w:ascii="Times New Roman" w:hAnsi="Times New Roman" w:cs="Times New Roman"/>
        </w:rPr>
        <w:t>rocesses safeguar</w:t>
      </w:r>
      <w:r>
        <w:rPr>
          <w:rFonts w:ascii="Times New Roman" w:hAnsi="Times New Roman" w:cs="Times New Roman"/>
        </w:rPr>
        <w:t>d</w:t>
      </w:r>
      <w:r w:rsidRPr="00104C15">
        <w:rPr>
          <w:rFonts w:ascii="Times New Roman" w:hAnsi="Times New Roman" w:cs="Times New Roman"/>
        </w:rPr>
        <w:t xml:space="preserve"> physical and mental health while supporting business continuity, efficiency and staff morale (Black </w:t>
      </w:r>
      <w:r w:rsidR="00317AE8">
        <w:rPr>
          <w:rFonts w:ascii="Times New Roman" w:hAnsi="Times New Roman" w:cs="Times New Roman"/>
        </w:rPr>
        <w:t>and</w:t>
      </w:r>
      <w:r w:rsidRPr="00104C15">
        <w:rPr>
          <w:rFonts w:ascii="Times New Roman" w:hAnsi="Times New Roman" w:cs="Times New Roman"/>
        </w:rPr>
        <w:t xml:space="preserve"> Frost, 2011). </w:t>
      </w:r>
      <w:r>
        <w:rPr>
          <w:rFonts w:ascii="Times New Roman" w:hAnsi="Times New Roman" w:cs="Times New Roman"/>
        </w:rPr>
        <w:t xml:space="preserve">Recently </w:t>
      </w:r>
      <w:r w:rsidRPr="00104C15">
        <w:rPr>
          <w:rFonts w:ascii="Times New Roman" w:hAnsi="Times New Roman" w:cs="Times New Roman"/>
        </w:rPr>
        <w:t>Castell Howell Foods has reported increasing levels of health-related absence</w:t>
      </w:r>
      <w:r>
        <w:rPr>
          <w:rFonts w:ascii="Times New Roman" w:hAnsi="Times New Roman" w:cs="Times New Roman"/>
        </w:rPr>
        <w:t xml:space="preserve">, </w:t>
      </w:r>
      <w:r w:rsidRPr="00104C15">
        <w:rPr>
          <w:rFonts w:ascii="Times New Roman" w:hAnsi="Times New Roman" w:cs="Times New Roman"/>
        </w:rPr>
        <w:t>inconsistencies in structure, delivery and communication have been observed, which may reduce the overall effectiveness of the RTW process</w:t>
      </w:r>
      <w:r>
        <w:rPr>
          <w:rFonts w:ascii="Times New Roman" w:hAnsi="Times New Roman" w:cs="Times New Roman"/>
        </w:rPr>
        <w:t>.</w:t>
      </w:r>
    </w:p>
    <w:p w14:paraId="4C3D388B" w14:textId="6F00B846" w:rsidR="00C36E1B" w:rsidRPr="00104C15" w:rsidRDefault="00C36E1B" w:rsidP="00C36E1B">
      <w:pPr>
        <w:rPr>
          <w:rFonts w:ascii="Times New Roman" w:hAnsi="Times New Roman" w:cs="Times New Roman"/>
        </w:rPr>
      </w:pPr>
      <w:r w:rsidRPr="00C36E1B">
        <w:rPr>
          <w:rFonts w:ascii="Times New Roman" w:hAnsi="Times New Roman" w:cs="Times New Roman"/>
          <w:b/>
          <w:bCs/>
        </w:rPr>
        <w:t xml:space="preserve">Literature Review </w:t>
      </w:r>
      <w:r w:rsidRPr="00104C15">
        <w:rPr>
          <w:rFonts w:ascii="Times New Roman" w:hAnsi="Times New Roman" w:cs="Times New Roman"/>
        </w:rPr>
        <w:br/>
        <w:t xml:space="preserve">The RTW process is shaped by theoretical models such as the biopsychosocial framework and Organisational Support Theory (OST), which emphasise the interaction between individual health, workplace structures and perceived organisational support (Eisenberger, 1986). Although conceptually robust, frameworks are often insufficiently translated into practical workplace strategies. Research by the Health and Evidence Exchange Centre (2025) highlights the effectiveness of coordinated, individualised and collaborative interventions, yet it assumes access to resources such as dedicated RTW coordinators, which are seldom available in medium-sized, labour-intensive firms like Castell Howell. Similarly, Hanson </w:t>
      </w:r>
      <w:r w:rsidRPr="00317AE8">
        <w:rPr>
          <w:rFonts w:ascii="Times New Roman" w:hAnsi="Times New Roman" w:cs="Times New Roman"/>
          <w:i/>
          <w:iCs/>
        </w:rPr>
        <w:t>et al</w:t>
      </w:r>
      <w:r w:rsidRPr="00104C15">
        <w:rPr>
          <w:rFonts w:ascii="Times New Roman" w:hAnsi="Times New Roman" w:cs="Times New Roman"/>
        </w:rPr>
        <w:t>. (2024) illustrate how workforce shortages, pressures and cultures can undermine</w:t>
      </w:r>
      <w:r>
        <w:rPr>
          <w:rFonts w:ascii="Times New Roman" w:hAnsi="Times New Roman" w:cs="Times New Roman"/>
        </w:rPr>
        <w:t xml:space="preserve"> theory</w:t>
      </w:r>
      <w:r w:rsidRPr="00104C15">
        <w:rPr>
          <w:rFonts w:ascii="Times New Roman" w:hAnsi="Times New Roman" w:cs="Times New Roman"/>
        </w:rPr>
        <w:t xml:space="preserve">, emphasising the need for </w:t>
      </w:r>
      <w:r>
        <w:rPr>
          <w:rFonts w:ascii="Times New Roman" w:hAnsi="Times New Roman" w:cs="Times New Roman"/>
        </w:rPr>
        <w:t xml:space="preserve">tailored </w:t>
      </w:r>
      <w:r w:rsidRPr="00104C15">
        <w:rPr>
          <w:rFonts w:ascii="Times New Roman" w:hAnsi="Times New Roman" w:cs="Times New Roman"/>
        </w:rPr>
        <w:t>context-specific solutions</w:t>
      </w:r>
      <w:r>
        <w:rPr>
          <w:rFonts w:ascii="Times New Roman" w:hAnsi="Times New Roman" w:cs="Times New Roman"/>
        </w:rPr>
        <w:t>.</w:t>
      </w:r>
    </w:p>
    <w:p w14:paraId="63AF0090" w14:textId="1F7334B5" w:rsidR="00C36E1B" w:rsidRPr="00104C15" w:rsidRDefault="00C36E1B" w:rsidP="00C36E1B">
      <w:pPr>
        <w:jc w:val="both"/>
        <w:rPr>
          <w:rFonts w:ascii="Times New Roman" w:hAnsi="Times New Roman" w:cs="Times New Roman"/>
        </w:rPr>
      </w:pPr>
      <w:r>
        <w:rPr>
          <w:rFonts w:ascii="Times New Roman" w:hAnsi="Times New Roman" w:cs="Times New Roman"/>
        </w:rPr>
        <w:t>M</w:t>
      </w:r>
      <w:r w:rsidRPr="00104C15">
        <w:rPr>
          <w:rFonts w:ascii="Times New Roman" w:hAnsi="Times New Roman" w:cs="Times New Roman"/>
        </w:rPr>
        <w:t>ental health</w:t>
      </w:r>
      <w:r>
        <w:rPr>
          <w:rFonts w:ascii="Times New Roman" w:hAnsi="Times New Roman" w:cs="Times New Roman"/>
        </w:rPr>
        <w:t xml:space="preserve"> studies</w:t>
      </w:r>
      <w:r w:rsidRPr="00104C15">
        <w:rPr>
          <w:rFonts w:ascii="Times New Roman" w:hAnsi="Times New Roman" w:cs="Times New Roman"/>
        </w:rPr>
        <w:t xml:space="preserve"> highlight the importance of managerial competence,</w:t>
      </w:r>
      <w:r>
        <w:rPr>
          <w:rFonts w:ascii="Times New Roman" w:hAnsi="Times New Roman" w:cs="Times New Roman"/>
        </w:rPr>
        <w:t xml:space="preserve"> </w:t>
      </w:r>
      <w:r w:rsidRPr="00104C15">
        <w:rPr>
          <w:rFonts w:ascii="Times New Roman" w:hAnsi="Times New Roman" w:cs="Times New Roman"/>
        </w:rPr>
        <w:t xml:space="preserve">support and organisational backing for successful reintegration (Olsson </w:t>
      </w:r>
      <w:r w:rsidRPr="00317AE8">
        <w:rPr>
          <w:rFonts w:ascii="Times New Roman" w:hAnsi="Times New Roman" w:cs="Times New Roman"/>
          <w:i/>
          <w:iCs/>
        </w:rPr>
        <w:t>et al.,</w:t>
      </w:r>
      <w:r w:rsidRPr="00104C15">
        <w:rPr>
          <w:rFonts w:ascii="Times New Roman" w:hAnsi="Times New Roman" w:cs="Times New Roman"/>
        </w:rPr>
        <w:t xml:space="preserve"> 2025; Rhoades </w:t>
      </w:r>
      <w:r w:rsidR="00317AE8">
        <w:rPr>
          <w:rFonts w:ascii="Times New Roman" w:hAnsi="Times New Roman" w:cs="Times New Roman"/>
        </w:rPr>
        <w:t>and</w:t>
      </w:r>
      <w:r w:rsidRPr="00104C15">
        <w:rPr>
          <w:rFonts w:ascii="Times New Roman" w:hAnsi="Times New Roman" w:cs="Times New Roman"/>
        </w:rPr>
        <w:t xml:space="preserve"> Eisenberger, 2002). </w:t>
      </w:r>
      <w:r>
        <w:rPr>
          <w:rFonts w:ascii="Times New Roman" w:hAnsi="Times New Roman" w:cs="Times New Roman"/>
        </w:rPr>
        <w:t>C</w:t>
      </w:r>
      <w:r w:rsidRPr="00104C15">
        <w:rPr>
          <w:rFonts w:ascii="Times New Roman" w:hAnsi="Times New Roman" w:cs="Times New Roman"/>
        </w:rPr>
        <w:t xml:space="preserve">ommunication and proactive engagement by line managers are pivotal, yet production-oriented firms face challenges as operational demands may conflict with employee welfare considerations, a tension often underestimated in the literature. Sustainability warrants attention, as conventional RTW measures, such as return dates, often overlook long-term functional outcomes, including ongoing wellbeing, retention and productivity (Beekman, 2023). While Castell Howell’s policies align with HSE and ACAS </w:t>
      </w:r>
      <w:r w:rsidRPr="00104C15">
        <w:rPr>
          <w:rFonts w:ascii="Times New Roman" w:hAnsi="Times New Roman" w:cs="Times New Roman"/>
        </w:rPr>
        <w:lastRenderedPageBreak/>
        <w:t>guidance, secondary data suggest that implementation can vary due to managerial capacity and operational pressures.</w:t>
      </w:r>
      <w:r>
        <w:rPr>
          <w:rFonts w:ascii="Times New Roman" w:hAnsi="Times New Roman" w:cs="Times New Roman"/>
        </w:rPr>
        <w:t xml:space="preserve"> L</w:t>
      </w:r>
      <w:r w:rsidRPr="00104C15">
        <w:rPr>
          <w:rFonts w:ascii="Times New Roman" w:hAnsi="Times New Roman" w:cs="Times New Roman"/>
        </w:rPr>
        <w:t>iterature reinforces the principles of coordination, individualisation, support and sustainability, highlighting the gap between theor</w:t>
      </w:r>
      <w:r>
        <w:rPr>
          <w:rFonts w:ascii="Times New Roman" w:hAnsi="Times New Roman" w:cs="Times New Roman"/>
        </w:rPr>
        <w:t xml:space="preserve">y and practice. </w:t>
      </w:r>
    </w:p>
    <w:p w14:paraId="4BB58CDF" w14:textId="27E4A242" w:rsidR="00C36E1B" w:rsidRPr="00104C15" w:rsidRDefault="00C36E1B" w:rsidP="00C36E1B">
      <w:pPr>
        <w:jc w:val="both"/>
        <w:rPr>
          <w:rFonts w:ascii="Times New Roman" w:hAnsi="Times New Roman" w:cs="Times New Roman"/>
        </w:rPr>
      </w:pPr>
      <w:r w:rsidRPr="00C36E1B">
        <w:rPr>
          <w:rFonts w:ascii="Times New Roman" w:hAnsi="Times New Roman" w:cs="Times New Roman"/>
          <w:b/>
          <w:bCs/>
          <w:color w:val="000000" w:themeColor="text1"/>
        </w:rPr>
        <w:t>Methodology</w:t>
      </w:r>
      <w:r w:rsidRPr="00143B28">
        <w:rPr>
          <w:rFonts w:ascii="Times New Roman" w:hAnsi="Times New Roman" w:cs="Times New Roman"/>
          <w:color w:val="000000" w:themeColor="text1"/>
        </w:rPr>
        <w:br/>
      </w:r>
      <w:r w:rsidRPr="00104C15">
        <w:rPr>
          <w:rFonts w:ascii="Times New Roman" w:hAnsi="Times New Roman" w:cs="Times New Roman"/>
        </w:rPr>
        <w:t>This research adopts a pragmatic philosophy, prioritising practical outcomes and</w:t>
      </w:r>
      <w:r>
        <w:rPr>
          <w:rFonts w:ascii="Times New Roman" w:hAnsi="Times New Roman" w:cs="Times New Roman"/>
        </w:rPr>
        <w:t xml:space="preserve"> </w:t>
      </w:r>
      <w:r w:rsidRPr="00104C15">
        <w:rPr>
          <w:rFonts w:ascii="Times New Roman" w:hAnsi="Times New Roman" w:cs="Times New Roman"/>
        </w:rPr>
        <w:t>application of knowledge to real</w:t>
      </w:r>
      <w:r>
        <w:rPr>
          <w:rFonts w:ascii="Times New Roman" w:hAnsi="Times New Roman" w:cs="Times New Roman"/>
        </w:rPr>
        <w:t xml:space="preserve"> context</w:t>
      </w:r>
      <w:r w:rsidRPr="00104C15">
        <w:rPr>
          <w:rFonts w:ascii="Times New Roman" w:hAnsi="Times New Roman" w:cs="Times New Roman"/>
        </w:rPr>
        <w:t xml:space="preserve"> (Bryman, 2016). Pragmatism allows flexibility</w:t>
      </w:r>
      <w:r>
        <w:rPr>
          <w:rFonts w:ascii="Times New Roman" w:hAnsi="Times New Roman" w:cs="Times New Roman"/>
        </w:rPr>
        <w:t xml:space="preserve"> around questions and context</w:t>
      </w:r>
      <w:r w:rsidRPr="00104C15">
        <w:rPr>
          <w:rFonts w:ascii="Times New Roman" w:hAnsi="Times New Roman" w:cs="Times New Roman"/>
        </w:rPr>
        <w:t xml:space="preserve">. </w:t>
      </w:r>
      <w:r>
        <w:rPr>
          <w:rFonts w:ascii="Times New Roman" w:hAnsi="Times New Roman" w:cs="Times New Roman"/>
        </w:rPr>
        <w:t>Any</w:t>
      </w:r>
      <w:r w:rsidRPr="00104C15">
        <w:rPr>
          <w:rFonts w:ascii="Times New Roman" w:hAnsi="Times New Roman" w:cs="Times New Roman"/>
        </w:rPr>
        <w:t xml:space="preserve"> quantitative strategy measure</w:t>
      </w:r>
      <w:r>
        <w:rPr>
          <w:rFonts w:ascii="Times New Roman" w:hAnsi="Times New Roman" w:cs="Times New Roman"/>
        </w:rPr>
        <w:t>s</w:t>
      </w:r>
      <w:r w:rsidRPr="00104C15">
        <w:rPr>
          <w:rFonts w:ascii="Times New Roman" w:hAnsi="Times New Roman" w:cs="Times New Roman"/>
        </w:rPr>
        <w:t xml:space="preserve"> key variables, identif</w:t>
      </w:r>
      <w:r>
        <w:rPr>
          <w:rFonts w:ascii="Times New Roman" w:hAnsi="Times New Roman" w:cs="Times New Roman"/>
        </w:rPr>
        <w:t>ies</w:t>
      </w:r>
      <w:r w:rsidRPr="00104C15">
        <w:rPr>
          <w:rFonts w:ascii="Times New Roman" w:hAnsi="Times New Roman" w:cs="Times New Roman"/>
        </w:rPr>
        <w:t xml:space="preserve"> trends and generate</w:t>
      </w:r>
      <w:r>
        <w:rPr>
          <w:rFonts w:ascii="Times New Roman" w:hAnsi="Times New Roman" w:cs="Times New Roman"/>
        </w:rPr>
        <w:t>s</w:t>
      </w:r>
      <w:r w:rsidRPr="00104C15">
        <w:rPr>
          <w:rFonts w:ascii="Times New Roman" w:hAnsi="Times New Roman" w:cs="Times New Roman"/>
        </w:rPr>
        <w:t xml:space="preserve"> insights </w:t>
      </w:r>
      <w:r>
        <w:rPr>
          <w:rFonts w:ascii="Times New Roman" w:hAnsi="Times New Roman" w:cs="Times New Roman"/>
        </w:rPr>
        <w:t>on</w:t>
      </w:r>
      <w:r w:rsidRPr="00104C15">
        <w:rPr>
          <w:rFonts w:ascii="Times New Roman" w:hAnsi="Times New Roman" w:cs="Times New Roman"/>
        </w:rPr>
        <w:t xml:space="preserve"> RTW</w:t>
      </w:r>
      <w:r>
        <w:rPr>
          <w:rFonts w:ascii="Times New Roman" w:hAnsi="Times New Roman" w:cs="Times New Roman"/>
        </w:rPr>
        <w:t xml:space="preserve">. </w:t>
      </w:r>
      <w:r w:rsidRPr="00104C15">
        <w:rPr>
          <w:rFonts w:ascii="Times New Roman" w:hAnsi="Times New Roman" w:cs="Times New Roman"/>
        </w:rPr>
        <w:t xml:space="preserve">(McNeill </w:t>
      </w:r>
      <w:r w:rsidR="00317AE8">
        <w:rPr>
          <w:rFonts w:ascii="Times New Roman" w:hAnsi="Times New Roman" w:cs="Times New Roman"/>
        </w:rPr>
        <w:t>and</w:t>
      </w:r>
      <w:r w:rsidRPr="00104C15">
        <w:rPr>
          <w:rFonts w:ascii="Times New Roman" w:hAnsi="Times New Roman" w:cs="Times New Roman"/>
        </w:rPr>
        <w:t xml:space="preserve"> Chapman, 2005; Stokes </w:t>
      </w:r>
      <w:r w:rsidR="00317AE8">
        <w:rPr>
          <w:rFonts w:ascii="Times New Roman" w:hAnsi="Times New Roman" w:cs="Times New Roman"/>
        </w:rPr>
        <w:t>and</w:t>
      </w:r>
      <w:r w:rsidRPr="00104C15">
        <w:rPr>
          <w:rFonts w:ascii="Times New Roman" w:hAnsi="Times New Roman" w:cs="Times New Roman"/>
        </w:rPr>
        <w:t xml:space="preserve"> Wall, 2014).</w:t>
      </w:r>
    </w:p>
    <w:p w14:paraId="0EEA2AD2" w14:textId="77777777" w:rsidR="00C36E1B" w:rsidRPr="00104C15" w:rsidRDefault="00C36E1B" w:rsidP="00C36E1B">
      <w:pPr>
        <w:jc w:val="both"/>
        <w:rPr>
          <w:rFonts w:ascii="Times New Roman" w:hAnsi="Times New Roman" w:cs="Times New Roman"/>
        </w:rPr>
      </w:pPr>
      <w:r w:rsidRPr="00104C15">
        <w:rPr>
          <w:rFonts w:ascii="Times New Roman" w:hAnsi="Times New Roman" w:cs="Times New Roman"/>
        </w:rPr>
        <w:t>Primary data were collected via</w:t>
      </w:r>
      <w:r>
        <w:rPr>
          <w:rFonts w:ascii="Times New Roman" w:hAnsi="Times New Roman" w:cs="Times New Roman"/>
        </w:rPr>
        <w:t xml:space="preserve"> a </w:t>
      </w:r>
      <w:r w:rsidRPr="00104C15">
        <w:rPr>
          <w:rFonts w:ascii="Times New Roman" w:hAnsi="Times New Roman" w:cs="Times New Roman"/>
        </w:rPr>
        <w:t>questionnaire distributed to the workforce, capturing employees’ experiences of RTW. Survey items examined satisfaction with procedures, perceptions of support, adjustment</w:t>
      </w:r>
      <w:r>
        <w:rPr>
          <w:rFonts w:ascii="Times New Roman" w:hAnsi="Times New Roman" w:cs="Times New Roman"/>
        </w:rPr>
        <w:t xml:space="preserve"> adequacy</w:t>
      </w:r>
      <w:r w:rsidRPr="00104C15">
        <w:rPr>
          <w:rFonts w:ascii="Times New Roman" w:hAnsi="Times New Roman" w:cs="Times New Roman"/>
        </w:rPr>
        <w:t xml:space="preserve"> and communication. Closed-ended questions ensured consistency in responses, while limited open responses provided additional context, enhancing reliability (Bryman, 2016). A total of 102 responses were received, representing a substantial proportion of the workforce. Data were analysed using descriptive and comparative statistics, filtered to include only employees with RTW experience. Ethical approval was secured</w:t>
      </w:r>
      <w:r>
        <w:rPr>
          <w:rFonts w:ascii="Times New Roman" w:hAnsi="Times New Roman" w:cs="Times New Roman"/>
        </w:rPr>
        <w:t>.</w:t>
      </w:r>
    </w:p>
    <w:p w14:paraId="48796BAB" w14:textId="77777777" w:rsidR="00C36E1B" w:rsidRPr="00104C15" w:rsidRDefault="00C36E1B" w:rsidP="00C36E1B">
      <w:pPr>
        <w:jc w:val="both"/>
        <w:rPr>
          <w:rFonts w:ascii="Times New Roman" w:hAnsi="Times New Roman" w:cs="Times New Roman"/>
        </w:rPr>
      </w:pPr>
      <w:r w:rsidRPr="00104C15">
        <w:rPr>
          <w:rFonts w:ascii="Times New Roman" w:hAnsi="Times New Roman" w:cs="Times New Roman"/>
        </w:rPr>
        <w:t>Limitations include the single-organisation focus, reliance on self-reported data and the absence of extensive qualitative insights, which restrict analytical depth and external generalisability. Validity was strengthened through alignment with theoretical frameworks, triangulation with secondary HR data and consistency checks across survey responses.</w:t>
      </w:r>
    </w:p>
    <w:p w14:paraId="0CBDDAD4" w14:textId="626ED8D1" w:rsidR="00C36E1B" w:rsidRPr="00104C15" w:rsidRDefault="00C36E1B" w:rsidP="00C36E1B">
      <w:pPr>
        <w:rPr>
          <w:rFonts w:ascii="Times New Roman" w:hAnsi="Times New Roman" w:cs="Times New Roman"/>
        </w:rPr>
      </w:pPr>
      <w:r w:rsidRPr="00C36E1B">
        <w:rPr>
          <w:rFonts w:ascii="Times New Roman" w:hAnsi="Times New Roman" w:cs="Times New Roman"/>
          <w:b/>
          <w:bCs/>
        </w:rPr>
        <w:t>Key Findings</w:t>
      </w:r>
      <w:r w:rsidRPr="00104C15">
        <w:rPr>
          <w:rFonts w:ascii="Times New Roman" w:hAnsi="Times New Roman" w:cs="Times New Roman"/>
        </w:rPr>
        <w:br/>
        <w:t xml:space="preserve">Respondents reflected diverse roles (Fink, 2017; Black, 2008). Nearly half reported absences </w:t>
      </w:r>
      <w:r>
        <w:rPr>
          <w:rFonts w:ascii="Times New Roman" w:hAnsi="Times New Roman" w:cs="Times New Roman"/>
        </w:rPr>
        <w:t>greater</w:t>
      </w:r>
      <w:r w:rsidRPr="00104C15">
        <w:rPr>
          <w:rFonts w:ascii="Times New Roman" w:hAnsi="Times New Roman" w:cs="Times New Roman"/>
        </w:rPr>
        <w:t xml:space="preserve"> than one month, highlighting the need for tailored reintegration support (</w:t>
      </w:r>
      <w:r w:rsidR="00317AE8">
        <w:rPr>
          <w:rFonts w:ascii="Times New Roman" w:hAnsi="Times New Roman" w:cs="Times New Roman"/>
        </w:rPr>
        <w:t>UK Government</w:t>
      </w:r>
      <w:r w:rsidRPr="00104C15">
        <w:rPr>
          <w:rFonts w:ascii="Times New Roman" w:hAnsi="Times New Roman" w:cs="Times New Roman"/>
        </w:rPr>
        <w:t xml:space="preserve">, 2024; Waddell </w:t>
      </w:r>
      <w:r w:rsidR="00317AE8">
        <w:rPr>
          <w:rFonts w:ascii="Times New Roman" w:hAnsi="Times New Roman" w:cs="Times New Roman"/>
        </w:rPr>
        <w:t>and</w:t>
      </w:r>
      <w:r w:rsidRPr="00104C15">
        <w:rPr>
          <w:rFonts w:ascii="Times New Roman" w:hAnsi="Times New Roman" w:cs="Times New Roman"/>
        </w:rPr>
        <w:t xml:space="preserve"> Burton, 2006).</w:t>
      </w:r>
    </w:p>
    <w:p w14:paraId="6A80BAD3" w14:textId="77777777" w:rsidR="00C36E1B" w:rsidRPr="00104C15" w:rsidRDefault="00C36E1B" w:rsidP="00C36E1B">
      <w:pPr>
        <w:jc w:val="both"/>
        <w:rPr>
          <w:rFonts w:ascii="Times New Roman" w:hAnsi="Times New Roman" w:cs="Times New Roman"/>
        </w:rPr>
      </w:pPr>
      <w:r w:rsidRPr="00104C15">
        <w:rPr>
          <w:rFonts w:ascii="Times New Roman" w:hAnsi="Times New Roman" w:cs="Times New Roman"/>
        </w:rPr>
        <w:t xml:space="preserve">Over half of employees rated RTW support as good or excellent, citing phased returns and supportive line managers as key enablers. Nonetheless, inconsistencies were evident, with some respondents reporting unclear communication and ambiguous processes (Shaw </w:t>
      </w:r>
      <w:r w:rsidRPr="00317AE8">
        <w:rPr>
          <w:rFonts w:ascii="Times New Roman" w:hAnsi="Times New Roman" w:cs="Times New Roman"/>
          <w:i/>
          <w:iCs/>
        </w:rPr>
        <w:t>et al.,</w:t>
      </w:r>
      <w:r w:rsidRPr="00104C15">
        <w:rPr>
          <w:rFonts w:ascii="Times New Roman" w:hAnsi="Times New Roman" w:cs="Times New Roman"/>
        </w:rPr>
        <w:t xml:space="preserve"> 2008). Workplace adjustments were provided to 60% of employees, although preparedness varied, particularly in physically demanding roles, highlighting inequities in support delivery (Branicki </w:t>
      </w:r>
      <w:r w:rsidRPr="00317AE8">
        <w:rPr>
          <w:rFonts w:ascii="Times New Roman" w:hAnsi="Times New Roman" w:cs="Times New Roman"/>
          <w:i/>
          <w:iCs/>
        </w:rPr>
        <w:t>et al.,</w:t>
      </w:r>
      <w:r w:rsidRPr="00104C15">
        <w:rPr>
          <w:rFonts w:ascii="Times New Roman" w:hAnsi="Times New Roman" w:cs="Times New Roman"/>
        </w:rPr>
        <w:t xml:space="preserve"> 2024). Employee involvement in RTW planning was reported by 60%, stigma led some to withhold disclosure of limitations (Carroll </w:t>
      </w:r>
      <w:r w:rsidRPr="00317AE8">
        <w:rPr>
          <w:rFonts w:ascii="Times New Roman" w:hAnsi="Times New Roman" w:cs="Times New Roman"/>
          <w:i/>
          <w:iCs/>
        </w:rPr>
        <w:t>et al.,</w:t>
      </w:r>
      <w:r w:rsidRPr="00104C15">
        <w:rPr>
          <w:rFonts w:ascii="Times New Roman" w:hAnsi="Times New Roman" w:cs="Times New Roman"/>
        </w:rPr>
        <w:t xml:space="preserve"> 2010; Cullen </w:t>
      </w:r>
      <w:r w:rsidRPr="00317AE8">
        <w:rPr>
          <w:rFonts w:ascii="Times New Roman" w:hAnsi="Times New Roman" w:cs="Times New Roman"/>
          <w:i/>
          <w:iCs/>
        </w:rPr>
        <w:t>et al.,</w:t>
      </w:r>
      <w:r w:rsidRPr="00104C15">
        <w:rPr>
          <w:rFonts w:ascii="Times New Roman" w:hAnsi="Times New Roman" w:cs="Times New Roman"/>
        </w:rPr>
        <w:t xml:space="preserve"> 2018). Nearly half of respondents were unclear on RTW policies, emphasising the need for </w:t>
      </w:r>
      <w:r>
        <w:rPr>
          <w:rFonts w:ascii="Times New Roman" w:hAnsi="Times New Roman" w:cs="Times New Roman"/>
        </w:rPr>
        <w:t xml:space="preserve">improvement </w:t>
      </w:r>
      <w:r w:rsidRPr="00104C15">
        <w:rPr>
          <w:rFonts w:ascii="Times New Roman" w:hAnsi="Times New Roman" w:cs="Times New Roman"/>
        </w:rPr>
        <w:t xml:space="preserve">(MacEachen </w:t>
      </w:r>
      <w:r w:rsidRPr="00317AE8">
        <w:rPr>
          <w:rFonts w:ascii="Times New Roman" w:hAnsi="Times New Roman" w:cs="Times New Roman"/>
          <w:i/>
          <w:iCs/>
        </w:rPr>
        <w:t>et al.,</w:t>
      </w:r>
      <w:r w:rsidRPr="00104C15">
        <w:rPr>
          <w:rFonts w:ascii="Times New Roman" w:hAnsi="Times New Roman" w:cs="Times New Roman"/>
        </w:rPr>
        <w:t xml:space="preserve"> 2006).</w:t>
      </w:r>
    </w:p>
    <w:p w14:paraId="678C1940" w14:textId="77777777" w:rsidR="00C36E1B" w:rsidRPr="00104C15" w:rsidRDefault="00C36E1B" w:rsidP="00C36E1B">
      <w:pPr>
        <w:jc w:val="both"/>
        <w:rPr>
          <w:rFonts w:ascii="Times New Roman" w:hAnsi="Times New Roman" w:cs="Times New Roman"/>
        </w:rPr>
      </w:pPr>
      <w:r w:rsidRPr="00C36E1B">
        <w:rPr>
          <w:rFonts w:ascii="Times New Roman" w:hAnsi="Times New Roman" w:cs="Times New Roman"/>
          <w:b/>
          <w:bCs/>
        </w:rPr>
        <w:t>Conclusion</w:t>
      </w:r>
      <w:r w:rsidRPr="00104C15">
        <w:rPr>
          <w:rFonts w:ascii="Times New Roman" w:hAnsi="Times New Roman" w:cs="Times New Roman"/>
        </w:rPr>
        <w:br/>
        <w:t>Effective RTW at Castell Howell Foods relies on structured policies, competent managerial support and active employee involvement. While many employees experienced phased returns, workplace adjustments and supportive managers, inconsistencies in communication, policy awareness and preparedness were evident. Transparent communication, tailored interventions and equitable implementation are essentia</w:t>
      </w:r>
      <w:r>
        <w:rPr>
          <w:rFonts w:ascii="Times New Roman" w:hAnsi="Times New Roman" w:cs="Times New Roman"/>
        </w:rPr>
        <w:t>l</w:t>
      </w:r>
      <w:r w:rsidRPr="00104C15">
        <w:rPr>
          <w:rFonts w:ascii="Times New Roman" w:hAnsi="Times New Roman" w:cs="Times New Roman"/>
        </w:rPr>
        <w:t xml:space="preserve">. </w:t>
      </w:r>
      <w:r>
        <w:rPr>
          <w:rFonts w:ascii="Times New Roman" w:hAnsi="Times New Roman" w:cs="Times New Roman"/>
        </w:rPr>
        <w:t>C</w:t>
      </w:r>
      <w:r w:rsidRPr="00104C15">
        <w:rPr>
          <w:rFonts w:ascii="Times New Roman" w:hAnsi="Times New Roman" w:cs="Times New Roman"/>
        </w:rPr>
        <w:t>onsistent, people-focused practices can enhance wellbeing, reduce barriers to RTW, improve retention and strengthen organisational trust. Overall, this study demonstrates the importance of combining theo</w:t>
      </w:r>
      <w:r>
        <w:rPr>
          <w:rFonts w:ascii="Times New Roman" w:hAnsi="Times New Roman" w:cs="Times New Roman"/>
        </w:rPr>
        <w:t>ry with context</w:t>
      </w:r>
      <w:r w:rsidRPr="00104C15">
        <w:rPr>
          <w:rFonts w:ascii="Times New Roman" w:hAnsi="Times New Roman" w:cs="Times New Roman"/>
        </w:rPr>
        <w:t xml:space="preserve"> to improve reintegration outcomes in medium-sized, labour-intensive workplaces</w:t>
      </w:r>
      <w:r>
        <w:rPr>
          <w:rFonts w:ascii="Times New Roman" w:hAnsi="Times New Roman" w:cs="Times New Roman"/>
        </w:rPr>
        <w:t>.</w:t>
      </w:r>
    </w:p>
    <w:p w14:paraId="04B19BF9" w14:textId="77777777" w:rsidR="00C36E1B" w:rsidRPr="00CB66FB" w:rsidRDefault="00C36E1B" w:rsidP="00C36E1B">
      <w:pPr>
        <w:jc w:val="both"/>
      </w:pPr>
    </w:p>
    <w:p w14:paraId="507281C8" w14:textId="77777777" w:rsidR="00D11648" w:rsidRDefault="00D11648">
      <w:pPr>
        <w:rPr>
          <w:rFonts w:ascii="Times New Roman" w:hAnsi="Times New Roman" w:cs="Times New Roman"/>
        </w:rPr>
      </w:pPr>
    </w:p>
    <w:p w14:paraId="6F13DDB4" w14:textId="77777777" w:rsidR="00BA7E08" w:rsidRDefault="00BA7E08">
      <w:pPr>
        <w:rPr>
          <w:rFonts w:ascii="Times New Roman" w:hAnsi="Times New Roman" w:cs="Times New Roman"/>
        </w:rPr>
      </w:pPr>
    </w:p>
    <w:p w14:paraId="26CEA787" w14:textId="77777777" w:rsidR="00BA7E08" w:rsidRDefault="00BA7E08">
      <w:pPr>
        <w:rPr>
          <w:rFonts w:ascii="Times New Roman" w:hAnsi="Times New Roman" w:cs="Times New Roman"/>
        </w:rPr>
      </w:pPr>
    </w:p>
    <w:p w14:paraId="4C29A17B" w14:textId="26A59634" w:rsidR="00746941" w:rsidRPr="00746941" w:rsidRDefault="00BA7E08" w:rsidP="00746941">
      <w:pPr>
        <w:rPr>
          <w:rFonts w:ascii="Times New Roman" w:hAnsi="Times New Roman" w:cs="Times New Roman"/>
        </w:rPr>
      </w:pPr>
      <w:r>
        <w:rPr>
          <w:rFonts w:ascii="Times New Roman" w:hAnsi="Times New Roman" w:cs="Times New Roman"/>
        </w:rPr>
        <w:lastRenderedPageBreak/>
        <w:t>Reference List</w:t>
      </w:r>
    </w:p>
    <w:p w14:paraId="7424CD76"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ACAS (2023) </w:t>
      </w:r>
      <w:r w:rsidRPr="00B53958">
        <w:rPr>
          <w:rFonts w:ascii="Times New Roman" w:hAnsi="Times New Roman" w:cs="Times New Roman"/>
          <w:i/>
          <w:iCs/>
        </w:rPr>
        <w:t>Managing sickness absence</w:t>
      </w:r>
      <w:r w:rsidRPr="00B53958">
        <w:rPr>
          <w:rFonts w:ascii="Times New Roman" w:hAnsi="Times New Roman" w:cs="Times New Roman"/>
        </w:rPr>
        <w:t>. London.</w:t>
      </w:r>
    </w:p>
    <w:p w14:paraId="42EB29A5"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Anderson, V., Fontinha, F. and Robson, F. (2019) </w:t>
      </w:r>
      <w:r w:rsidRPr="00ED7108">
        <w:rPr>
          <w:rFonts w:ascii="Times New Roman" w:hAnsi="Times New Roman" w:cs="Times New Roman"/>
          <w:i/>
          <w:iCs/>
        </w:rPr>
        <w:t>Research methods in human resource management: investigating a business issue</w:t>
      </w:r>
      <w:r w:rsidRPr="00B53958">
        <w:rPr>
          <w:rFonts w:ascii="Times New Roman" w:hAnsi="Times New Roman" w:cs="Times New Roman"/>
        </w:rPr>
        <w:t xml:space="preserve">. 4th edn. London: Kogan Page. </w:t>
      </w:r>
    </w:p>
    <w:p w14:paraId="52A9697F"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Becker, A., de Rijk, A., Engels, J. and Verbeek, J. (2024) ‘Cross-national perspectives on structured return-to-work procedures: the role of social security systems’, </w:t>
      </w:r>
      <w:r w:rsidRPr="00B53958">
        <w:rPr>
          <w:rFonts w:ascii="Times New Roman" w:hAnsi="Times New Roman" w:cs="Times New Roman"/>
          <w:i/>
          <w:iCs/>
        </w:rPr>
        <w:t>International Journal of Occupational and Environmental Health</w:t>
      </w:r>
      <w:r w:rsidRPr="00B53958">
        <w:rPr>
          <w:rFonts w:ascii="Times New Roman" w:hAnsi="Times New Roman" w:cs="Times New Roman"/>
        </w:rPr>
        <w:t>, 30(2), pp. 145–158.</w:t>
      </w:r>
    </w:p>
    <w:p w14:paraId="4840FCB6"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Beekman, J. (2023) ‘Measuring sustainable return-to-work: beyond time-to-return metrics’, </w:t>
      </w:r>
      <w:r w:rsidRPr="00B53958">
        <w:rPr>
          <w:rFonts w:ascii="Times New Roman" w:hAnsi="Times New Roman" w:cs="Times New Roman"/>
          <w:i/>
          <w:iCs/>
        </w:rPr>
        <w:t>Journal of Occupational Rehabilitation</w:t>
      </w:r>
      <w:r w:rsidRPr="00B53958">
        <w:rPr>
          <w:rFonts w:ascii="Times New Roman" w:hAnsi="Times New Roman" w:cs="Times New Roman"/>
        </w:rPr>
        <w:t>, 33(1), pp. 12–25.</w:t>
      </w:r>
    </w:p>
    <w:p w14:paraId="002BA837"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Black, C. (2008) </w:t>
      </w:r>
      <w:r w:rsidRPr="00B53958">
        <w:rPr>
          <w:rFonts w:ascii="Times New Roman" w:hAnsi="Times New Roman" w:cs="Times New Roman"/>
          <w:i/>
          <w:iCs/>
        </w:rPr>
        <w:t>Working for a healthier tomorrow</w:t>
      </w:r>
      <w:r w:rsidRPr="00B53958">
        <w:rPr>
          <w:rFonts w:ascii="Times New Roman" w:hAnsi="Times New Roman" w:cs="Times New Roman"/>
        </w:rPr>
        <w:t>. London.</w:t>
      </w:r>
    </w:p>
    <w:p w14:paraId="25E0EE25"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Black, C. and Frost, D. (2011) </w:t>
      </w:r>
      <w:r w:rsidRPr="00B53958">
        <w:rPr>
          <w:rFonts w:ascii="Times New Roman" w:hAnsi="Times New Roman" w:cs="Times New Roman"/>
          <w:i/>
          <w:iCs/>
        </w:rPr>
        <w:t>Health at work – an independent review of sickness absence</w:t>
      </w:r>
      <w:r w:rsidRPr="00B53958">
        <w:rPr>
          <w:rFonts w:ascii="Times New Roman" w:hAnsi="Times New Roman" w:cs="Times New Roman"/>
        </w:rPr>
        <w:t>. London: The Stationery Office.</w:t>
      </w:r>
    </w:p>
    <w:p w14:paraId="411CC2B5"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Branicki, L., Stebbings, S. and Hughes, B. (2024) ‘Neurodiversity and workplace reintegration: inclusive managerial practices for sustained return-to-work’, </w:t>
      </w:r>
      <w:r w:rsidRPr="00B53958">
        <w:rPr>
          <w:rFonts w:ascii="Times New Roman" w:hAnsi="Times New Roman" w:cs="Times New Roman"/>
          <w:i/>
          <w:iCs/>
        </w:rPr>
        <w:t>Work, Employment and Society</w:t>
      </w:r>
      <w:r w:rsidRPr="00B53958">
        <w:rPr>
          <w:rFonts w:ascii="Times New Roman" w:hAnsi="Times New Roman" w:cs="Times New Roman"/>
        </w:rPr>
        <w:t>, 38(1), pp. 55–74.</w:t>
      </w:r>
    </w:p>
    <w:p w14:paraId="076663A3"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Brown, J., Mackay, D., Demou, E., Craig, J., Frank, J. and Macdonald, E.B. (2015) ‘The EASY (Early Access to Support for You) sickness absence service: a four-year evaluation of the impact on absenteeism’, </w:t>
      </w:r>
      <w:r w:rsidRPr="00B53958">
        <w:rPr>
          <w:rFonts w:ascii="Times New Roman" w:hAnsi="Times New Roman" w:cs="Times New Roman"/>
          <w:i/>
          <w:iCs/>
        </w:rPr>
        <w:t>Scandinavian Journal of Work, Environment &amp; Health</w:t>
      </w:r>
      <w:r w:rsidRPr="00B53958">
        <w:rPr>
          <w:rFonts w:ascii="Times New Roman" w:hAnsi="Times New Roman" w:cs="Times New Roman"/>
        </w:rPr>
        <w:t>, 41(3), pp. 204–215.</w:t>
      </w:r>
    </w:p>
    <w:p w14:paraId="7E091B6F"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Bryman, A. (2016) </w:t>
      </w:r>
      <w:r w:rsidRPr="00B53958">
        <w:rPr>
          <w:rFonts w:ascii="Times New Roman" w:hAnsi="Times New Roman" w:cs="Times New Roman"/>
          <w:i/>
          <w:iCs/>
        </w:rPr>
        <w:t>Social research methods</w:t>
      </w:r>
      <w:r w:rsidRPr="00B53958">
        <w:rPr>
          <w:rFonts w:ascii="Times New Roman" w:hAnsi="Times New Roman" w:cs="Times New Roman"/>
        </w:rPr>
        <w:t>. 5th edn. Oxford: Oxford University Press.</w:t>
      </w:r>
    </w:p>
    <w:p w14:paraId="3E6E6C82"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Cameron, E. and Green, M. (2020) Making sense of change management: a complete guide to the models, tools and techniques of organizational change. 5th ed. London: Kogan Page. </w:t>
      </w:r>
    </w:p>
    <w:p w14:paraId="2D458262"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Carroll, C., Rick, J., Pilgrim, H., Cameron, J. and Hillage, J. (2010) ‘Workplace involvement improves return-to-work outcomes: a systematic review’, </w:t>
      </w:r>
      <w:r w:rsidRPr="00B53958">
        <w:rPr>
          <w:rFonts w:ascii="Times New Roman" w:hAnsi="Times New Roman" w:cs="Times New Roman"/>
          <w:i/>
          <w:iCs/>
        </w:rPr>
        <w:t>Occupational Medicine</w:t>
      </w:r>
      <w:r w:rsidRPr="00B53958">
        <w:rPr>
          <w:rFonts w:ascii="Times New Roman" w:hAnsi="Times New Roman" w:cs="Times New Roman"/>
        </w:rPr>
        <w:t>, 60(7), pp. 499–508.</w:t>
      </w:r>
    </w:p>
    <w:p w14:paraId="5EA7A432"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CIPD (2022) </w:t>
      </w:r>
      <w:r w:rsidRPr="00B53958">
        <w:rPr>
          <w:rFonts w:ascii="Times New Roman" w:hAnsi="Times New Roman" w:cs="Times New Roman"/>
          <w:i/>
          <w:iCs/>
        </w:rPr>
        <w:t>Health and wellbeing at work survey</w:t>
      </w:r>
      <w:r w:rsidRPr="00B53958">
        <w:rPr>
          <w:rFonts w:ascii="Times New Roman" w:hAnsi="Times New Roman" w:cs="Times New Roman"/>
        </w:rPr>
        <w:t>. London: Chartered Institute of Personnel and Development.</w:t>
      </w:r>
    </w:p>
    <w:p w14:paraId="6052EDA6"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CIPD (2023) </w:t>
      </w:r>
      <w:r w:rsidRPr="00B53958">
        <w:rPr>
          <w:rFonts w:ascii="Times New Roman" w:hAnsi="Times New Roman" w:cs="Times New Roman"/>
          <w:i/>
          <w:iCs/>
        </w:rPr>
        <w:t>Managing a return to work after long-term absence: guidance for people professionals</w:t>
      </w:r>
      <w:r w:rsidRPr="00B53958">
        <w:rPr>
          <w:rFonts w:ascii="Times New Roman" w:hAnsi="Times New Roman" w:cs="Times New Roman"/>
        </w:rPr>
        <w:t>. London: Chartered Institute of Personnel and Development.</w:t>
      </w:r>
    </w:p>
    <w:p w14:paraId="6873F130"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Cullen, K., Irvin, E., Collie, A., Clay, F., Gensby, U., Jennings, P., Hogg-Johnson, S., Kristman, V., Laberge, M., McKenzie, D., Newnam, S., Palagyi, A., Ruseckaite, R. and Sheppard, D. (2018) ‘Effectiveness of workplace interventions in return-to-work for musculoskeletal and mental health conditions: an updated systematic review’, </w:t>
      </w:r>
      <w:r w:rsidRPr="00B53958">
        <w:rPr>
          <w:rFonts w:ascii="Times New Roman" w:hAnsi="Times New Roman" w:cs="Times New Roman"/>
          <w:i/>
          <w:iCs/>
        </w:rPr>
        <w:t>BMJ Open</w:t>
      </w:r>
      <w:r w:rsidRPr="00B53958">
        <w:rPr>
          <w:rFonts w:ascii="Times New Roman" w:hAnsi="Times New Roman" w:cs="Times New Roman"/>
        </w:rPr>
        <w:t>, 8(7), e019312.</w:t>
      </w:r>
    </w:p>
    <w:p w14:paraId="42F8B041"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Cynnal Cymru (2023) </w:t>
      </w:r>
      <w:r w:rsidRPr="00B53958">
        <w:rPr>
          <w:rFonts w:ascii="Times New Roman" w:hAnsi="Times New Roman" w:cs="Times New Roman"/>
          <w:i/>
          <w:iCs/>
        </w:rPr>
        <w:t>Sustainable food supply chains in Wales: pilot projects with Castell Howell Foods</w:t>
      </w:r>
      <w:r w:rsidRPr="00B53958">
        <w:rPr>
          <w:rFonts w:ascii="Times New Roman" w:hAnsi="Times New Roman" w:cs="Times New Roman"/>
        </w:rPr>
        <w:t>. Cardiff: Cynnal Cymru.</w:t>
      </w:r>
    </w:p>
    <w:p w14:paraId="598E8414"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Eisenberger, R. (1986) ‘Perceived organizational support’, </w:t>
      </w:r>
      <w:r w:rsidRPr="00B53958">
        <w:rPr>
          <w:rFonts w:ascii="Times New Roman" w:hAnsi="Times New Roman" w:cs="Times New Roman"/>
          <w:i/>
          <w:iCs/>
        </w:rPr>
        <w:t>Journal of Applied Psychology</w:t>
      </w:r>
      <w:r w:rsidRPr="00B53958">
        <w:rPr>
          <w:rFonts w:ascii="Times New Roman" w:hAnsi="Times New Roman" w:cs="Times New Roman"/>
        </w:rPr>
        <w:t>, 71(3), pp. 500–507.</w:t>
      </w:r>
    </w:p>
    <w:p w14:paraId="4B6DE4A2"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Fink, A. (2017) </w:t>
      </w:r>
      <w:r w:rsidRPr="00B53958">
        <w:rPr>
          <w:rFonts w:ascii="Times New Roman" w:hAnsi="Times New Roman" w:cs="Times New Roman"/>
          <w:i/>
          <w:iCs/>
        </w:rPr>
        <w:t>How to conduct surveys: a step-by-step guide</w:t>
      </w:r>
      <w:r w:rsidRPr="00B53958">
        <w:rPr>
          <w:rFonts w:ascii="Times New Roman" w:hAnsi="Times New Roman" w:cs="Times New Roman"/>
        </w:rPr>
        <w:t>. 6th edn. London: SAGE Publications.</w:t>
      </w:r>
    </w:p>
    <w:p w14:paraId="51E8EDDF"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Finnes, A., Enebrink, P., Ghaderi, A., Dahl, J., Nager, A. and Öst, L.G. (2019) ‘Psychological treatments for return to work in individuals on sickness absence due to common mental disorders or musculoskeletal disorders: a systematic review and meta-analysis of randomized-controlled trials’, </w:t>
      </w:r>
      <w:r w:rsidRPr="00B53958">
        <w:rPr>
          <w:rFonts w:ascii="Times New Roman" w:hAnsi="Times New Roman" w:cs="Times New Roman"/>
          <w:i/>
          <w:iCs/>
        </w:rPr>
        <w:t>International Archives of Occupational and Environmental Health</w:t>
      </w:r>
      <w:r w:rsidRPr="00B53958">
        <w:rPr>
          <w:rFonts w:ascii="Times New Roman" w:hAnsi="Times New Roman" w:cs="Times New Roman"/>
        </w:rPr>
        <w:t>, 92(3), pp. 273–293.</w:t>
      </w:r>
    </w:p>
    <w:p w14:paraId="6FFA67BD"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lastRenderedPageBreak/>
        <w:t xml:space="preserve">FUW (2024) </w:t>
      </w:r>
      <w:r w:rsidRPr="00B53958">
        <w:rPr>
          <w:rFonts w:ascii="Times New Roman" w:hAnsi="Times New Roman" w:cs="Times New Roman"/>
          <w:i/>
          <w:iCs/>
        </w:rPr>
        <w:t>Castell Howell Foods celebrates success and growth</w:t>
      </w:r>
      <w:r w:rsidRPr="00B53958">
        <w:rPr>
          <w:rFonts w:ascii="Times New Roman" w:hAnsi="Times New Roman" w:cs="Times New Roman"/>
        </w:rPr>
        <w:t>. Available at: https://fuw.org.uk/ (Accessed: 15 September 2024).</w:t>
      </w:r>
    </w:p>
    <w:p w14:paraId="65707B70"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Grant, M., Rees, S., Underwood, M. and Froud, R. (2019) ‘Obstacles to returning to work with chronic pain: in-depth interviews with people who are off work due to chronic pain and employers’, </w:t>
      </w:r>
      <w:r w:rsidRPr="00B53958">
        <w:rPr>
          <w:rFonts w:ascii="Times New Roman" w:hAnsi="Times New Roman" w:cs="Times New Roman"/>
          <w:i/>
          <w:iCs/>
        </w:rPr>
        <w:t>BMC Musculoskeletal Disorders</w:t>
      </w:r>
      <w:r w:rsidRPr="00B53958">
        <w:rPr>
          <w:rFonts w:ascii="Times New Roman" w:hAnsi="Times New Roman" w:cs="Times New Roman"/>
        </w:rPr>
        <w:t>, 20(1), p. 1.</w:t>
      </w:r>
    </w:p>
    <w:p w14:paraId="273C6409"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Hanson, C., Kofie, H., Mohammed, A. and Owusu, G. (2024) ‘Feasibility of physiotherapist-led education for return-to-work in Ghana: a pilot study’, </w:t>
      </w:r>
      <w:r w:rsidRPr="00B53958">
        <w:rPr>
          <w:rFonts w:ascii="Times New Roman" w:hAnsi="Times New Roman" w:cs="Times New Roman"/>
          <w:i/>
          <w:iCs/>
        </w:rPr>
        <w:t>International Journal of Rehabilitation Research</w:t>
      </w:r>
      <w:r w:rsidRPr="00B53958">
        <w:rPr>
          <w:rFonts w:ascii="Times New Roman" w:hAnsi="Times New Roman" w:cs="Times New Roman"/>
        </w:rPr>
        <w:t>, 47(2), pp. 101–110.</w:t>
      </w:r>
    </w:p>
    <w:p w14:paraId="52D679C5"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Health and Safety Executive (2004) </w:t>
      </w:r>
      <w:r w:rsidRPr="00B53958">
        <w:rPr>
          <w:rFonts w:ascii="Times New Roman" w:hAnsi="Times New Roman" w:cs="Times New Roman"/>
          <w:i/>
          <w:iCs/>
        </w:rPr>
        <w:t>Managing sickness absence and return to work: an employers' and managers' guide</w:t>
      </w:r>
      <w:r w:rsidRPr="00B53958">
        <w:rPr>
          <w:rFonts w:ascii="Times New Roman" w:hAnsi="Times New Roman" w:cs="Times New Roman"/>
        </w:rPr>
        <w:t>. London: HSE Books.</w:t>
      </w:r>
    </w:p>
    <w:p w14:paraId="090A65DE"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Health and Safety Executive (2023) </w:t>
      </w:r>
      <w:r w:rsidRPr="00B53958">
        <w:rPr>
          <w:rFonts w:ascii="Times New Roman" w:hAnsi="Times New Roman" w:cs="Times New Roman"/>
          <w:i/>
          <w:iCs/>
        </w:rPr>
        <w:t>Managing sickness absence and return to work</w:t>
      </w:r>
      <w:r w:rsidRPr="00B53958">
        <w:rPr>
          <w:rFonts w:ascii="Times New Roman" w:hAnsi="Times New Roman" w:cs="Times New Roman"/>
        </w:rPr>
        <w:t>. London: HSE.</w:t>
      </w:r>
    </w:p>
    <w:p w14:paraId="6EF2AD51"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Health and Safety Executive (2024) </w:t>
      </w:r>
      <w:r w:rsidRPr="00B53958">
        <w:rPr>
          <w:rFonts w:ascii="Times New Roman" w:hAnsi="Times New Roman" w:cs="Times New Roman"/>
          <w:i/>
          <w:iCs/>
        </w:rPr>
        <w:t>Work-related ill health and sickness absence statistics</w:t>
      </w:r>
      <w:r w:rsidRPr="00B53958">
        <w:rPr>
          <w:rFonts w:ascii="Times New Roman" w:hAnsi="Times New Roman" w:cs="Times New Roman"/>
        </w:rPr>
        <w:t>. London: HSE.</w:t>
      </w:r>
    </w:p>
    <w:p w14:paraId="6EEFFB0D"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Hesketh, I. and Cooper, C. (2022) </w:t>
      </w:r>
      <w:r w:rsidRPr="00B53958">
        <w:rPr>
          <w:rFonts w:ascii="Times New Roman" w:hAnsi="Times New Roman" w:cs="Times New Roman"/>
          <w:i/>
          <w:iCs/>
        </w:rPr>
        <w:t>Managing workplace health and wellbeing during a crisis: how to support your staff in difficult times</w:t>
      </w:r>
      <w:r w:rsidRPr="00B53958">
        <w:rPr>
          <w:rFonts w:ascii="Times New Roman" w:hAnsi="Times New Roman" w:cs="Times New Roman"/>
        </w:rPr>
        <w:t>. 1st edn. London: Kogan Page.</w:t>
      </w:r>
    </w:p>
    <w:p w14:paraId="077F2108"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Hesketh, I. and Cooper, C. (2023) </w:t>
      </w:r>
      <w:r w:rsidRPr="00B53958">
        <w:rPr>
          <w:rFonts w:ascii="Times New Roman" w:hAnsi="Times New Roman" w:cs="Times New Roman"/>
          <w:i/>
          <w:iCs/>
        </w:rPr>
        <w:t>Wellbeing at work: how to design, implement and evaluate an effective strategy</w:t>
      </w:r>
      <w:r w:rsidRPr="00B53958">
        <w:rPr>
          <w:rFonts w:ascii="Times New Roman" w:hAnsi="Times New Roman" w:cs="Times New Roman"/>
        </w:rPr>
        <w:t>. 2nd edn. London: Kogan Page.</w:t>
      </w:r>
    </w:p>
    <w:p w14:paraId="3322D466"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Hodges, J. (2021) Managing and leading people through organizational change: the theory and practice of sustaining change through people. London: Kogan Page.</w:t>
      </w:r>
    </w:p>
    <w:p w14:paraId="5A3B1223"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Holbeche, L. (2018) The agile organization: how to build an engaged, innovative and resilient business. 2nd ed. London: CIPD Kogan Page. </w:t>
      </w:r>
    </w:p>
    <w:p w14:paraId="2733B4B0"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Hooftman, W.E., </w:t>
      </w:r>
      <w:r w:rsidRPr="00B53958">
        <w:rPr>
          <w:rFonts w:ascii="Times New Roman" w:hAnsi="Times New Roman" w:cs="Times New Roman"/>
          <w:i/>
          <w:iCs/>
        </w:rPr>
        <w:t xml:space="preserve">et al </w:t>
      </w:r>
      <w:r w:rsidRPr="00B53958">
        <w:rPr>
          <w:rFonts w:ascii="Times New Roman" w:hAnsi="Times New Roman" w:cs="Times New Roman"/>
        </w:rPr>
        <w:t xml:space="preserve">(2014) ‘Sustained effectiveness of return-to-work interventions: a systematic review’, </w:t>
      </w:r>
      <w:r w:rsidRPr="00B53958">
        <w:rPr>
          <w:rFonts w:ascii="Times New Roman" w:hAnsi="Times New Roman" w:cs="Times New Roman"/>
          <w:i/>
          <w:iCs/>
        </w:rPr>
        <w:t>Occupational and Environmental Medicine</w:t>
      </w:r>
      <w:r w:rsidRPr="00B53958">
        <w:rPr>
          <w:rFonts w:ascii="Times New Roman" w:hAnsi="Times New Roman" w:cs="Times New Roman"/>
        </w:rPr>
        <w:t>, 71(4), pp. 245–252.</w:t>
      </w:r>
    </w:p>
    <w:p w14:paraId="05A793F7"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Institute of Occupational Health (2025) </w:t>
      </w:r>
      <w:r w:rsidRPr="00B53958">
        <w:rPr>
          <w:rFonts w:ascii="Times New Roman" w:hAnsi="Times New Roman" w:cs="Times New Roman"/>
          <w:i/>
          <w:iCs/>
        </w:rPr>
        <w:t>Monitoring long-term reintegration in the workplace</w:t>
      </w:r>
      <w:r w:rsidRPr="00B53958">
        <w:rPr>
          <w:rFonts w:ascii="Times New Roman" w:hAnsi="Times New Roman" w:cs="Times New Roman"/>
        </w:rPr>
        <w:t>. London: IOH Press.</w:t>
      </w:r>
    </w:p>
    <w:p w14:paraId="08E41DE9"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James, C., Cunningham, I. and Dibben, P. (2018) ‘Line managers and return-to-work processes: balancing production and employee support’, </w:t>
      </w:r>
      <w:r w:rsidRPr="00B53958">
        <w:rPr>
          <w:rFonts w:ascii="Times New Roman" w:hAnsi="Times New Roman" w:cs="Times New Roman"/>
          <w:i/>
          <w:iCs/>
        </w:rPr>
        <w:t>Human Resource Management Journal</w:t>
      </w:r>
      <w:r w:rsidRPr="00B53958">
        <w:rPr>
          <w:rFonts w:ascii="Times New Roman" w:hAnsi="Times New Roman" w:cs="Times New Roman"/>
        </w:rPr>
        <w:t>, 28(2), pp. 267–282.</w:t>
      </w:r>
    </w:p>
    <w:p w14:paraId="325C2972"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Karanika-Murray, M. and Cooper, C.L. (2018) </w:t>
      </w:r>
      <w:r w:rsidRPr="00B53958">
        <w:rPr>
          <w:rFonts w:ascii="Times New Roman" w:hAnsi="Times New Roman" w:cs="Times New Roman"/>
          <w:i/>
          <w:iCs/>
        </w:rPr>
        <w:t>Navigating the return-to-work experience for new parents: maintaining work-family well-being</w:t>
      </w:r>
      <w:r w:rsidRPr="00B53958">
        <w:rPr>
          <w:rFonts w:ascii="Times New Roman" w:hAnsi="Times New Roman" w:cs="Times New Roman"/>
        </w:rPr>
        <w:t>. Abingdon: Routledge.</w:t>
      </w:r>
    </w:p>
    <w:p w14:paraId="14AEBDED"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Lencioni, P. (2007) </w:t>
      </w:r>
      <w:r w:rsidRPr="00B53958">
        <w:rPr>
          <w:rFonts w:ascii="Times New Roman" w:hAnsi="Times New Roman" w:cs="Times New Roman"/>
          <w:i/>
          <w:iCs/>
        </w:rPr>
        <w:t>The three signs of a miserable job: a fable for managers (and their employees)</w:t>
      </w:r>
      <w:r w:rsidRPr="00B53958">
        <w:rPr>
          <w:rFonts w:ascii="Times New Roman" w:hAnsi="Times New Roman" w:cs="Times New Roman"/>
        </w:rPr>
        <w:t>. San Francisco: Jossey-Bass.</w:t>
      </w:r>
    </w:p>
    <w:p w14:paraId="0EB8F9D4"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MacEachen, E., Clarke, J., Franche, R.L. and Irvin, E. (2006) ‘Systematic review of the qualitative literature on return-to-work after injury’, </w:t>
      </w:r>
      <w:r w:rsidRPr="00B53958">
        <w:rPr>
          <w:rFonts w:ascii="Times New Roman" w:hAnsi="Times New Roman" w:cs="Times New Roman"/>
          <w:i/>
          <w:iCs/>
        </w:rPr>
        <w:t>Scandinavian Journal of Work, Environment and Health</w:t>
      </w:r>
      <w:r w:rsidRPr="00B53958">
        <w:rPr>
          <w:rFonts w:ascii="Times New Roman" w:hAnsi="Times New Roman" w:cs="Times New Roman"/>
        </w:rPr>
        <w:t>, 32(4), pp. 257–269.</w:t>
      </w:r>
    </w:p>
    <w:p w14:paraId="6954ED7D"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Marchington, M., Wilkinson, A. and Donnelly, R. (2020) Human resource management at work: the definitive guide. 7th edn. London: Kogan Page. (Chapter 14 in particular but also see chapters 1, 3, 7, 9 and 10 for case studies based on workforce analytics.) </w:t>
      </w:r>
    </w:p>
    <w:p w14:paraId="7A27CC71"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Marr, B. (2018) Data-driven HR: how to use analytics and metrics to drive performance. London: Kogan Page.</w:t>
      </w:r>
    </w:p>
    <w:p w14:paraId="63DB0ACD"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lastRenderedPageBreak/>
        <w:t xml:space="preserve">McNeill, P. and Chapman, S. (2005) </w:t>
      </w:r>
      <w:r w:rsidRPr="00B53958">
        <w:rPr>
          <w:rFonts w:ascii="Times New Roman" w:hAnsi="Times New Roman" w:cs="Times New Roman"/>
          <w:i/>
          <w:iCs/>
        </w:rPr>
        <w:t>Research methods</w:t>
      </w:r>
      <w:r w:rsidRPr="00B53958">
        <w:rPr>
          <w:rFonts w:ascii="Times New Roman" w:hAnsi="Times New Roman" w:cs="Times New Roman"/>
        </w:rPr>
        <w:t>. 3rd edn. London: Routledge.</w:t>
      </w:r>
    </w:p>
    <w:p w14:paraId="653A4F22"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Moran, S. (2022) </w:t>
      </w:r>
      <w:r w:rsidRPr="00B53958">
        <w:rPr>
          <w:rFonts w:ascii="Times New Roman" w:hAnsi="Times New Roman" w:cs="Times New Roman"/>
          <w:i/>
          <w:iCs/>
        </w:rPr>
        <w:t>Managing employee burnout: how to develop a happy, healthy and engaged workforce</w:t>
      </w:r>
      <w:r w:rsidRPr="00B53958">
        <w:rPr>
          <w:rFonts w:ascii="Times New Roman" w:hAnsi="Times New Roman" w:cs="Times New Roman"/>
        </w:rPr>
        <w:t>. 1st edn. London: Kogan Page.</w:t>
      </w:r>
    </w:p>
    <w:p w14:paraId="08FAC470"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Morris, A. (2024) </w:t>
      </w:r>
      <w:r w:rsidRPr="00B53958">
        <w:rPr>
          <w:rFonts w:ascii="Times New Roman" w:hAnsi="Times New Roman" w:cs="Times New Roman"/>
          <w:i/>
          <w:iCs/>
        </w:rPr>
        <w:t>How to manage long term sickness absence</w:t>
      </w:r>
      <w:r w:rsidRPr="00B53958">
        <w:rPr>
          <w:rFonts w:ascii="Times New Roman" w:hAnsi="Times New Roman" w:cs="Times New Roman"/>
        </w:rPr>
        <w:t>. London: DavidsonMorris.</w:t>
      </w:r>
    </w:p>
    <w:p w14:paraId="174EC48C"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Nieuwenhuijsen, K., Verbeek, J.H., de Boer, A.G., Blonk, R.W. and van Dijk, F.J. (2008) ‘Supervisory behaviour as a predictor of return-to-work in employees absent due to mental health problems’, </w:t>
      </w:r>
      <w:r w:rsidRPr="00B53958">
        <w:rPr>
          <w:rFonts w:ascii="Times New Roman" w:hAnsi="Times New Roman" w:cs="Times New Roman"/>
          <w:i/>
          <w:iCs/>
        </w:rPr>
        <w:t>Occupational and Environmental Medicine</w:t>
      </w:r>
      <w:r w:rsidRPr="00B53958">
        <w:rPr>
          <w:rFonts w:ascii="Times New Roman" w:hAnsi="Times New Roman" w:cs="Times New Roman"/>
        </w:rPr>
        <w:t>, 65(11), pp. 804–809.</w:t>
      </w:r>
    </w:p>
    <w:p w14:paraId="43D6E9C1"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Nieuwenhuijsen, K., Verbeek, J.H., de Boer, A.G., Blonk, R.W. and van Dijk, F.J. (2013) ‘Workplace interventions for employees with mental health problems: a systematic review’, </w:t>
      </w:r>
      <w:r w:rsidRPr="00B53958">
        <w:rPr>
          <w:rFonts w:ascii="Times New Roman" w:hAnsi="Times New Roman" w:cs="Times New Roman"/>
          <w:i/>
          <w:iCs/>
        </w:rPr>
        <w:t>Occupational and Environmental Medicine</w:t>
      </w:r>
      <w:r w:rsidRPr="00B53958">
        <w:rPr>
          <w:rFonts w:ascii="Times New Roman" w:hAnsi="Times New Roman" w:cs="Times New Roman"/>
        </w:rPr>
        <w:t>, 70(12), pp. 927–934.</w:t>
      </w:r>
    </w:p>
    <w:p w14:paraId="26D2621D"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Popa, A.E., Akgüç, M. and Amir, Z. (2022) ‘Return to work following long term sickness absence: a comparative analysis of stakeholders’ views and experiences in six European countries’, </w:t>
      </w:r>
      <w:r w:rsidRPr="00B53958">
        <w:rPr>
          <w:rFonts w:ascii="Times New Roman" w:hAnsi="Times New Roman" w:cs="Times New Roman"/>
          <w:i/>
          <w:iCs/>
        </w:rPr>
        <w:t>Journal of Occupational Rehabilitation</w:t>
      </w:r>
      <w:r w:rsidRPr="00B53958">
        <w:rPr>
          <w:rFonts w:ascii="Times New Roman" w:hAnsi="Times New Roman" w:cs="Times New Roman"/>
        </w:rPr>
        <w:t>, 33(1), pp. 213–225.</w:t>
      </w:r>
    </w:p>
    <w:p w14:paraId="700AB392"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Rhoades, L. and Eisenberger, R. (2002) ‘Perceived organizational support: a review of the literature’, </w:t>
      </w:r>
      <w:r w:rsidRPr="00B53958">
        <w:rPr>
          <w:rFonts w:ascii="Times New Roman" w:hAnsi="Times New Roman" w:cs="Times New Roman"/>
          <w:i/>
          <w:iCs/>
        </w:rPr>
        <w:t>Journal of Applied Psychology</w:t>
      </w:r>
      <w:r w:rsidRPr="00B53958">
        <w:rPr>
          <w:rFonts w:ascii="Times New Roman" w:hAnsi="Times New Roman" w:cs="Times New Roman"/>
        </w:rPr>
        <w:t>, 87(4), pp. 698–714.</w:t>
      </w:r>
    </w:p>
    <w:p w14:paraId="6597DB5A"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Robart, R. and Boyle, P. (2021) ‘Supporting workers with lower back injuries to return to work: a meta-ethnography’, </w:t>
      </w:r>
      <w:r w:rsidRPr="00B53958">
        <w:rPr>
          <w:rFonts w:ascii="Times New Roman" w:hAnsi="Times New Roman" w:cs="Times New Roman"/>
          <w:i/>
          <w:iCs/>
        </w:rPr>
        <w:t>British Journal of Occupational Therapy</w:t>
      </w:r>
      <w:r w:rsidRPr="00B53958">
        <w:rPr>
          <w:rFonts w:ascii="Times New Roman" w:hAnsi="Times New Roman" w:cs="Times New Roman"/>
        </w:rPr>
        <w:t>, 84(2), pp. 93–101.</w:t>
      </w:r>
    </w:p>
    <w:p w14:paraId="0DC6FA85"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Saunders, M.N.K., Lewis, P. and Thornhill, A. (2019) Research methods for business students. 8th edn. Harlow: Pearson Education.</w:t>
      </w:r>
    </w:p>
    <w:p w14:paraId="2585663B"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Shaw, W.S., Robertson, M.M., Pransky, G.S. and McLellan, R.K. (2008) ‘Employee perspectives on the role of supervisors to facilitate return-to-work after injury’, </w:t>
      </w:r>
      <w:r w:rsidRPr="00B53958">
        <w:rPr>
          <w:rFonts w:ascii="Times New Roman" w:hAnsi="Times New Roman" w:cs="Times New Roman"/>
          <w:i/>
          <w:iCs/>
        </w:rPr>
        <w:t>Journal of Occupational Rehabilitation</w:t>
      </w:r>
      <w:r w:rsidRPr="00B53958">
        <w:rPr>
          <w:rFonts w:ascii="Times New Roman" w:hAnsi="Times New Roman" w:cs="Times New Roman"/>
        </w:rPr>
        <w:t>, 18(4), pp. 377–386.</w:t>
      </w:r>
    </w:p>
    <w:p w14:paraId="09AFBBD4"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Squires, H., Rick, J., Carroll, C., Hillage, J., Drever, F., Reeves, P. and Dawson, J. (2012) ‘Cost-effectiveness of interventions to return employees to work following long-term sickness absence due to musculoskeletal disorders’, </w:t>
      </w:r>
      <w:r w:rsidRPr="00B53958">
        <w:rPr>
          <w:rFonts w:ascii="Times New Roman" w:hAnsi="Times New Roman" w:cs="Times New Roman"/>
          <w:i/>
          <w:iCs/>
        </w:rPr>
        <w:t>Journal of Public Health (Oxford, England)</w:t>
      </w:r>
      <w:r w:rsidRPr="00B53958">
        <w:rPr>
          <w:rFonts w:ascii="Times New Roman" w:hAnsi="Times New Roman" w:cs="Times New Roman"/>
        </w:rPr>
        <w:t>, 34(1), pp. 115–124.</w:t>
      </w:r>
    </w:p>
    <w:p w14:paraId="35C5780D"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Stallard Kane (2023) </w:t>
      </w:r>
      <w:r w:rsidRPr="00B53958">
        <w:rPr>
          <w:rFonts w:ascii="Times New Roman" w:hAnsi="Times New Roman" w:cs="Times New Roman"/>
          <w:i/>
          <w:iCs/>
        </w:rPr>
        <w:t>Managing long term absence: best practices and responsibilities</w:t>
      </w:r>
      <w:r w:rsidRPr="00B53958">
        <w:rPr>
          <w:rFonts w:ascii="Times New Roman" w:hAnsi="Times New Roman" w:cs="Times New Roman"/>
        </w:rPr>
        <w:t>. London: Stallard Kane.</w:t>
      </w:r>
    </w:p>
    <w:p w14:paraId="739B61DD"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Stokes, J. and Wall, T. (2014) </w:t>
      </w:r>
      <w:r w:rsidRPr="00B53958">
        <w:rPr>
          <w:rFonts w:ascii="Times New Roman" w:hAnsi="Times New Roman" w:cs="Times New Roman"/>
          <w:i/>
          <w:iCs/>
        </w:rPr>
        <w:t>Research methods in organisational behaviour and work psychology</w:t>
      </w:r>
      <w:r w:rsidRPr="00B53958">
        <w:rPr>
          <w:rFonts w:ascii="Times New Roman" w:hAnsi="Times New Roman" w:cs="Times New Roman"/>
        </w:rPr>
        <w:t>. London: SAGE Publications.</w:t>
      </w:r>
    </w:p>
    <w:p w14:paraId="2B063EA4"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The Grocer (2022) </w:t>
      </w:r>
      <w:r w:rsidRPr="00B53958">
        <w:rPr>
          <w:rFonts w:ascii="Times New Roman" w:hAnsi="Times New Roman" w:cs="Times New Roman"/>
          <w:i/>
          <w:iCs/>
        </w:rPr>
        <w:t>Castell Howell delivers 16,000 food packs to children during summer holidays</w:t>
      </w:r>
      <w:r w:rsidRPr="00B53958">
        <w:rPr>
          <w:rFonts w:ascii="Times New Roman" w:hAnsi="Times New Roman" w:cs="Times New Roman"/>
        </w:rPr>
        <w:t>. Available at: https://www.thegrocer.co.uk/ (Accessed: 15 September 2024).</w:t>
      </w:r>
    </w:p>
    <w:p w14:paraId="299DEE06"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Timms, P. (2020) The energized workplace: designing organizations where people flourish. London: Kogan Page.  </w:t>
      </w:r>
    </w:p>
    <w:p w14:paraId="2AC12ADB" w14:textId="77777777" w:rsidR="00746941" w:rsidRDefault="00746941" w:rsidP="00746941">
      <w:pPr>
        <w:rPr>
          <w:rFonts w:ascii="Times New Roman" w:hAnsi="Times New Roman" w:cs="Times New Roman"/>
        </w:rPr>
      </w:pPr>
      <w:r w:rsidRPr="00B53958">
        <w:rPr>
          <w:rFonts w:ascii="Times New Roman" w:hAnsi="Times New Roman" w:cs="Times New Roman"/>
        </w:rPr>
        <w:t xml:space="preserve">Tjulin, A., MacEachen, E. and Ekberg, K. (2010) ‘Exploring workplace actors’ experiences of the social organization of return-to-work’, </w:t>
      </w:r>
      <w:r w:rsidRPr="00B53958">
        <w:rPr>
          <w:rFonts w:ascii="Times New Roman" w:hAnsi="Times New Roman" w:cs="Times New Roman"/>
          <w:i/>
          <w:iCs/>
        </w:rPr>
        <w:t>Journal of Occupational Rehabilitation</w:t>
      </w:r>
      <w:r w:rsidRPr="00B53958">
        <w:rPr>
          <w:rFonts w:ascii="Times New Roman" w:hAnsi="Times New Roman" w:cs="Times New Roman"/>
        </w:rPr>
        <w:t>, 21(3), pp. 313–321.</w:t>
      </w:r>
    </w:p>
    <w:p w14:paraId="429C6F71" w14:textId="77777777" w:rsidR="00FD08E1" w:rsidRPr="00FD08E1" w:rsidRDefault="00FD08E1" w:rsidP="00FD08E1">
      <w:pPr>
        <w:rPr>
          <w:rFonts w:ascii="Times New Roman" w:hAnsi="Times New Roman" w:cs="Times New Roman"/>
        </w:rPr>
      </w:pPr>
      <w:r w:rsidRPr="00FD08E1">
        <w:rPr>
          <w:rFonts w:ascii="Times New Roman" w:hAnsi="Times New Roman" w:cs="Times New Roman"/>
        </w:rPr>
        <w:t xml:space="preserve">UK Government (2021) </w:t>
      </w:r>
      <w:r w:rsidRPr="00FD08E1">
        <w:rPr>
          <w:rFonts w:ascii="Times New Roman" w:hAnsi="Times New Roman" w:cs="Times New Roman"/>
          <w:i/>
          <w:iCs/>
        </w:rPr>
        <w:t>Managing long-term sickness absence</w:t>
      </w:r>
      <w:r w:rsidRPr="00FD08E1">
        <w:rPr>
          <w:rFonts w:ascii="Times New Roman" w:hAnsi="Times New Roman" w:cs="Times New Roman"/>
        </w:rPr>
        <w:t>. London.</w:t>
      </w:r>
    </w:p>
    <w:p w14:paraId="06F00FD7" w14:textId="7A7CE242" w:rsidR="00FD08E1" w:rsidRPr="00FD08E1" w:rsidRDefault="00FD08E1" w:rsidP="00746941">
      <w:pPr>
        <w:rPr>
          <w:rFonts w:ascii="Times New Roman" w:hAnsi="Times New Roman" w:cs="Times New Roman"/>
        </w:rPr>
      </w:pPr>
      <w:r w:rsidRPr="00FD08E1">
        <w:rPr>
          <w:rFonts w:ascii="Times New Roman" w:hAnsi="Times New Roman" w:cs="Times New Roman"/>
        </w:rPr>
        <w:t xml:space="preserve">UK Government (2024) </w:t>
      </w:r>
      <w:r w:rsidRPr="00FD08E1">
        <w:rPr>
          <w:rFonts w:ascii="Times New Roman" w:hAnsi="Times New Roman" w:cs="Times New Roman"/>
          <w:i/>
          <w:iCs/>
        </w:rPr>
        <w:t>Sickness absence in the UK labour market</w:t>
      </w:r>
      <w:r w:rsidRPr="00FD08E1">
        <w:rPr>
          <w:rFonts w:ascii="Times New Roman" w:hAnsi="Times New Roman" w:cs="Times New Roman"/>
        </w:rPr>
        <w:t xml:space="preserve">. London. </w:t>
      </w:r>
    </w:p>
    <w:p w14:paraId="4F95E2C2" w14:textId="77777777" w:rsidR="00746941" w:rsidRPr="00B53958" w:rsidRDefault="00746941" w:rsidP="00746941">
      <w:pPr>
        <w:rPr>
          <w:rFonts w:ascii="Times New Roman" w:hAnsi="Times New Roman" w:cs="Times New Roman"/>
        </w:rPr>
      </w:pPr>
      <w:r w:rsidRPr="00B53958">
        <w:rPr>
          <w:rFonts w:ascii="Times New Roman" w:hAnsi="Times New Roman" w:cs="Times New Roman"/>
        </w:rPr>
        <w:t xml:space="preserve">Waddell, G. and Burton, A.K. (2006) </w:t>
      </w:r>
      <w:r w:rsidRPr="00B53958">
        <w:rPr>
          <w:rFonts w:ascii="Times New Roman" w:hAnsi="Times New Roman" w:cs="Times New Roman"/>
          <w:i/>
          <w:iCs/>
        </w:rPr>
        <w:t>Is work good for your health and wellbeing?</w:t>
      </w:r>
      <w:r w:rsidRPr="00B53958">
        <w:rPr>
          <w:rFonts w:ascii="Times New Roman" w:hAnsi="Times New Roman" w:cs="Times New Roman"/>
        </w:rPr>
        <w:t xml:space="preserve"> London: The Stationery Office.</w:t>
      </w:r>
    </w:p>
    <w:p w14:paraId="609D19C0" w14:textId="77777777" w:rsidR="00BA7E08" w:rsidRPr="00D93FEB" w:rsidRDefault="00BA7E08">
      <w:pPr>
        <w:rPr>
          <w:rFonts w:ascii="Times New Roman" w:hAnsi="Times New Roman" w:cs="Times New Roman"/>
        </w:rPr>
      </w:pPr>
    </w:p>
    <w:sectPr w:rsidR="00BA7E08" w:rsidRPr="00D93FE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DD442" w14:textId="77777777" w:rsidR="00F01F7B" w:rsidRDefault="00F01F7B" w:rsidP="00070F4C">
      <w:pPr>
        <w:spacing w:after="0" w:line="240" w:lineRule="auto"/>
      </w:pPr>
      <w:r>
        <w:separator/>
      </w:r>
    </w:p>
  </w:endnote>
  <w:endnote w:type="continuationSeparator" w:id="0">
    <w:p w14:paraId="43F8E68C" w14:textId="77777777" w:rsidR="00F01F7B" w:rsidRDefault="00F01F7B" w:rsidP="00070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0877136"/>
      <w:docPartObj>
        <w:docPartGallery w:val="Page Numbers (Bottom of Page)"/>
        <w:docPartUnique/>
      </w:docPartObj>
    </w:sdtPr>
    <w:sdtEndPr>
      <w:rPr>
        <w:noProof/>
      </w:rPr>
    </w:sdtEndPr>
    <w:sdtContent>
      <w:p w14:paraId="7EC35392" w14:textId="407DD045" w:rsidR="00070F4C" w:rsidRDefault="00070F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F1AA32" w14:textId="77777777" w:rsidR="00070F4C" w:rsidRDefault="00070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7A824" w14:textId="77777777" w:rsidR="00F01F7B" w:rsidRDefault="00F01F7B" w:rsidP="00070F4C">
      <w:pPr>
        <w:spacing w:after="0" w:line="240" w:lineRule="auto"/>
      </w:pPr>
      <w:r>
        <w:separator/>
      </w:r>
    </w:p>
  </w:footnote>
  <w:footnote w:type="continuationSeparator" w:id="0">
    <w:p w14:paraId="52222540" w14:textId="77777777" w:rsidR="00F01F7B" w:rsidRDefault="00F01F7B" w:rsidP="00070F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46769"/>
    <w:multiLevelType w:val="multilevel"/>
    <w:tmpl w:val="08C82B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849E1"/>
    <w:multiLevelType w:val="hybridMultilevel"/>
    <w:tmpl w:val="03F2C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3B01A1"/>
    <w:multiLevelType w:val="multilevel"/>
    <w:tmpl w:val="7DA462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17450A"/>
    <w:multiLevelType w:val="hybridMultilevel"/>
    <w:tmpl w:val="B7388168"/>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7A18CD"/>
    <w:multiLevelType w:val="multilevel"/>
    <w:tmpl w:val="AFE8C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31162E"/>
    <w:multiLevelType w:val="hybridMultilevel"/>
    <w:tmpl w:val="1102E668"/>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6" w15:restartNumberingAfterBreak="0">
    <w:nsid w:val="3C816587"/>
    <w:multiLevelType w:val="multilevel"/>
    <w:tmpl w:val="579EC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5A744D"/>
    <w:multiLevelType w:val="hybridMultilevel"/>
    <w:tmpl w:val="1EC6E40E"/>
    <w:lvl w:ilvl="0" w:tplc="B1627746">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C01A6E"/>
    <w:multiLevelType w:val="multilevel"/>
    <w:tmpl w:val="655CE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282FC9"/>
    <w:multiLevelType w:val="multilevel"/>
    <w:tmpl w:val="E0A00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4D3821"/>
    <w:multiLevelType w:val="multilevel"/>
    <w:tmpl w:val="11A0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2A3C0A"/>
    <w:multiLevelType w:val="hybridMultilevel"/>
    <w:tmpl w:val="1D6E6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3D6AEB"/>
    <w:multiLevelType w:val="multilevel"/>
    <w:tmpl w:val="F14E0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517825"/>
    <w:multiLevelType w:val="hybridMultilevel"/>
    <w:tmpl w:val="0D20D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420768"/>
    <w:multiLevelType w:val="hybridMultilevel"/>
    <w:tmpl w:val="75BE8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E2037A"/>
    <w:multiLevelType w:val="multilevel"/>
    <w:tmpl w:val="23586F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01864673">
    <w:abstractNumId w:val="4"/>
  </w:num>
  <w:num w:numId="2" w16cid:durableId="402684035">
    <w:abstractNumId w:val="9"/>
  </w:num>
  <w:num w:numId="3" w16cid:durableId="1874732030">
    <w:abstractNumId w:val="6"/>
  </w:num>
  <w:num w:numId="4" w16cid:durableId="944312253">
    <w:abstractNumId w:val="15"/>
  </w:num>
  <w:num w:numId="5" w16cid:durableId="188876225">
    <w:abstractNumId w:val="2"/>
  </w:num>
  <w:num w:numId="6" w16cid:durableId="1348480569">
    <w:abstractNumId w:val="0"/>
  </w:num>
  <w:num w:numId="7" w16cid:durableId="1598951552">
    <w:abstractNumId w:val="5"/>
  </w:num>
  <w:num w:numId="8" w16cid:durableId="1479883680">
    <w:abstractNumId w:val="14"/>
  </w:num>
  <w:num w:numId="9" w16cid:durableId="1259757730">
    <w:abstractNumId w:val="13"/>
  </w:num>
  <w:num w:numId="10" w16cid:durableId="1900629014">
    <w:abstractNumId w:val="12"/>
  </w:num>
  <w:num w:numId="11" w16cid:durableId="461074225">
    <w:abstractNumId w:val="11"/>
  </w:num>
  <w:num w:numId="12" w16cid:durableId="428818828">
    <w:abstractNumId w:val="7"/>
  </w:num>
  <w:num w:numId="13" w16cid:durableId="1241405005">
    <w:abstractNumId w:val="3"/>
  </w:num>
  <w:num w:numId="14" w16cid:durableId="1329747082">
    <w:abstractNumId w:val="1"/>
  </w:num>
  <w:num w:numId="15" w16cid:durableId="1740521394">
    <w:abstractNumId w:val="8"/>
  </w:num>
  <w:num w:numId="16" w16cid:durableId="20861490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328"/>
    <w:rsid w:val="00070F4C"/>
    <w:rsid w:val="0009409B"/>
    <w:rsid w:val="000F5801"/>
    <w:rsid w:val="001037C0"/>
    <w:rsid w:val="00185773"/>
    <w:rsid w:val="001F144C"/>
    <w:rsid w:val="001F7C0A"/>
    <w:rsid w:val="002158B6"/>
    <w:rsid w:val="00221AC8"/>
    <w:rsid w:val="00273610"/>
    <w:rsid w:val="002861D0"/>
    <w:rsid w:val="002A5B0C"/>
    <w:rsid w:val="003143B3"/>
    <w:rsid w:val="00314A4B"/>
    <w:rsid w:val="00317AE8"/>
    <w:rsid w:val="003459CC"/>
    <w:rsid w:val="0036099E"/>
    <w:rsid w:val="00400039"/>
    <w:rsid w:val="00445742"/>
    <w:rsid w:val="0049369D"/>
    <w:rsid w:val="004E2394"/>
    <w:rsid w:val="00580E43"/>
    <w:rsid w:val="0065335F"/>
    <w:rsid w:val="0069609F"/>
    <w:rsid w:val="006D5FF3"/>
    <w:rsid w:val="006F79FC"/>
    <w:rsid w:val="00712C3A"/>
    <w:rsid w:val="00716FA3"/>
    <w:rsid w:val="00746941"/>
    <w:rsid w:val="00796B46"/>
    <w:rsid w:val="00825574"/>
    <w:rsid w:val="00844978"/>
    <w:rsid w:val="00925023"/>
    <w:rsid w:val="00926C67"/>
    <w:rsid w:val="009A24A2"/>
    <w:rsid w:val="009C4D91"/>
    <w:rsid w:val="009C7328"/>
    <w:rsid w:val="00A17E6C"/>
    <w:rsid w:val="00A35F83"/>
    <w:rsid w:val="00A5734D"/>
    <w:rsid w:val="00AC4572"/>
    <w:rsid w:val="00B66842"/>
    <w:rsid w:val="00B74940"/>
    <w:rsid w:val="00B82CA6"/>
    <w:rsid w:val="00BA7E08"/>
    <w:rsid w:val="00BB0747"/>
    <w:rsid w:val="00BC2793"/>
    <w:rsid w:val="00C36E1B"/>
    <w:rsid w:val="00C93E3C"/>
    <w:rsid w:val="00CB47E0"/>
    <w:rsid w:val="00CC5362"/>
    <w:rsid w:val="00D11648"/>
    <w:rsid w:val="00D6609E"/>
    <w:rsid w:val="00D67B5B"/>
    <w:rsid w:val="00D93FEB"/>
    <w:rsid w:val="00E23630"/>
    <w:rsid w:val="00EA334A"/>
    <w:rsid w:val="00ED1784"/>
    <w:rsid w:val="00ED7108"/>
    <w:rsid w:val="00EE38AB"/>
    <w:rsid w:val="00F01F7B"/>
    <w:rsid w:val="00F36758"/>
    <w:rsid w:val="00F54A6A"/>
    <w:rsid w:val="00FC34BD"/>
    <w:rsid w:val="00FD0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85012"/>
  <w15:chartTrackingRefBased/>
  <w15:docId w15:val="{C89A0293-4A3B-430D-AEED-F386F4C85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328"/>
  </w:style>
  <w:style w:type="paragraph" w:styleId="Heading1">
    <w:name w:val="heading 1"/>
    <w:basedOn w:val="Normal"/>
    <w:next w:val="Normal"/>
    <w:link w:val="Heading1Char"/>
    <w:uiPriority w:val="9"/>
    <w:qFormat/>
    <w:rsid w:val="009C73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73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73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73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3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3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3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3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3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3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3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3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3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3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3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3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3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328"/>
    <w:rPr>
      <w:rFonts w:eastAsiaTheme="majorEastAsia" w:cstheme="majorBidi"/>
      <w:color w:val="272727" w:themeColor="text1" w:themeTint="D8"/>
    </w:rPr>
  </w:style>
  <w:style w:type="paragraph" w:styleId="Title">
    <w:name w:val="Title"/>
    <w:basedOn w:val="Normal"/>
    <w:next w:val="Normal"/>
    <w:link w:val="TitleChar"/>
    <w:uiPriority w:val="10"/>
    <w:qFormat/>
    <w:rsid w:val="009C73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3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3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3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328"/>
    <w:pPr>
      <w:spacing w:before="160"/>
      <w:jc w:val="center"/>
    </w:pPr>
    <w:rPr>
      <w:i/>
      <w:iCs/>
      <w:color w:val="404040" w:themeColor="text1" w:themeTint="BF"/>
    </w:rPr>
  </w:style>
  <w:style w:type="character" w:customStyle="1" w:styleId="QuoteChar">
    <w:name w:val="Quote Char"/>
    <w:basedOn w:val="DefaultParagraphFont"/>
    <w:link w:val="Quote"/>
    <w:uiPriority w:val="29"/>
    <w:rsid w:val="009C7328"/>
    <w:rPr>
      <w:i/>
      <w:iCs/>
      <w:color w:val="404040" w:themeColor="text1" w:themeTint="BF"/>
    </w:rPr>
  </w:style>
  <w:style w:type="paragraph" w:styleId="ListParagraph">
    <w:name w:val="List Paragraph"/>
    <w:basedOn w:val="Normal"/>
    <w:uiPriority w:val="34"/>
    <w:qFormat/>
    <w:rsid w:val="009C7328"/>
    <w:pPr>
      <w:ind w:left="720"/>
      <w:contextualSpacing/>
    </w:pPr>
  </w:style>
  <w:style w:type="character" w:styleId="IntenseEmphasis">
    <w:name w:val="Intense Emphasis"/>
    <w:basedOn w:val="DefaultParagraphFont"/>
    <w:uiPriority w:val="21"/>
    <w:qFormat/>
    <w:rsid w:val="009C7328"/>
    <w:rPr>
      <w:i/>
      <w:iCs/>
      <w:color w:val="0F4761" w:themeColor="accent1" w:themeShade="BF"/>
    </w:rPr>
  </w:style>
  <w:style w:type="paragraph" w:styleId="IntenseQuote">
    <w:name w:val="Intense Quote"/>
    <w:basedOn w:val="Normal"/>
    <w:next w:val="Normal"/>
    <w:link w:val="IntenseQuoteChar"/>
    <w:uiPriority w:val="30"/>
    <w:qFormat/>
    <w:rsid w:val="009C73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328"/>
    <w:rPr>
      <w:i/>
      <w:iCs/>
      <w:color w:val="0F4761" w:themeColor="accent1" w:themeShade="BF"/>
    </w:rPr>
  </w:style>
  <w:style w:type="character" w:styleId="IntenseReference">
    <w:name w:val="Intense Reference"/>
    <w:basedOn w:val="DefaultParagraphFont"/>
    <w:uiPriority w:val="32"/>
    <w:qFormat/>
    <w:rsid w:val="009C7328"/>
    <w:rPr>
      <w:b/>
      <w:bCs/>
      <w:smallCaps/>
      <w:color w:val="0F4761" w:themeColor="accent1" w:themeShade="BF"/>
      <w:spacing w:val="5"/>
    </w:rPr>
  </w:style>
  <w:style w:type="character" w:styleId="CommentReference">
    <w:name w:val="annotation reference"/>
    <w:basedOn w:val="DefaultParagraphFont"/>
    <w:uiPriority w:val="99"/>
    <w:semiHidden/>
    <w:unhideWhenUsed/>
    <w:rsid w:val="009C7328"/>
    <w:rPr>
      <w:sz w:val="16"/>
      <w:szCs w:val="16"/>
    </w:rPr>
  </w:style>
  <w:style w:type="paragraph" w:styleId="CommentText">
    <w:name w:val="annotation text"/>
    <w:basedOn w:val="Normal"/>
    <w:link w:val="CommentTextChar"/>
    <w:uiPriority w:val="99"/>
    <w:unhideWhenUsed/>
    <w:rsid w:val="009C7328"/>
    <w:pPr>
      <w:spacing w:line="240" w:lineRule="auto"/>
    </w:pPr>
    <w:rPr>
      <w:sz w:val="20"/>
      <w:szCs w:val="20"/>
    </w:rPr>
  </w:style>
  <w:style w:type="character" w:customStyle="1" w:styleId="CommentTextChar">
    <w:name w:val="Comment Text Char"/>
    <w:basedOn w:val="DefaultParagraphFont"/>
    <w:link w:val="CommentText"/>
    <w:uiPriority w:val="99"/>
    <w:rsid w:val="009C7328"/>
    <w:rPr>
      <w:sz w:val="20"/>
      <w:szCs w:val="20"/>
    </w:rPr>
  </w:style>
  <w:style w:type="paragraph" w:styleId="BodyText">
    <w:name w:val="Body Text"/>
    <w:basedOn w:val="Normal"/>
    <w:link w:val="BodyTextChar"/>
    <w:rsid w:val="009C7328"/>
    <w:pPr>
      <w:spacing w:after="0" w:line="240" w:lineRule="auto"/>
      <w:jc w:val="both"/>
    </w:pPr>
    <w:rPr>
      <w:rFonts w:ascii="Arial" w:eastAsia="Times New Roman" w:hAnsi="Arial" w:cs="Times New Roman"/>
      <w:kern w:val="0"/>
      <w:szCs w:val="24"/>
      <w14:ligatures w14:val="none"/>
    </w:rPr>
  </w:style>
  <w:style w:type="character" w:customStyle="1" w:styleId="BodyTextChar">
    <w:name w:val="Body Text Char"/>
    <w:basedOn w:val="DefaultParagraphFont"/>
    <w:link w:val="BodyText"/>
    <w:rsid w:val="009C7328"/>
    <w:rPr>
      <w:rFonts w:ascii="Arial" w:eastAsia="Times New Roman" w:hAnsi="Arial" w:cs="Times New Roman"/>
      <w:kern w:val="0"/>
      <w:szCs w:val="24"/>
      <w14:ligatures w14:val="none"/>
    </w:rPr>
  </w:style>
  <w:style w:type="paragraph" w:styleId="NormalWeb">
    <w:name w:val="Normal (Web)"/>
    <w:basedOn w:val="Normal"/>
    <w:uiPriority w:val="99"/>
    <w:unhideWhenUsed/>
    <w:rsid w:val="009C732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9C7328"/>
    <w:rPr>
      <w:i/>
      <w:iCs/>
    </w:rPr>
  </w:style>
  <w:style w:type="character" w:styleId="Hyperlink">
    <w:name w:val="Hyperlink"/>
    <w:basedOn w:val="DefaultParagraphFont"/>
    <w:uiPriority w:val="99"/>
    <w:semiHidden/>
    <w:unhideWhenUsed/>
    <w:rsid w:val="009C7328"/>
    <w:rPr>
      <w:color w:val="0000FF"/>
      <w:u w:val="single"/>
    </w:rPr>
  </w:style>
  <w:style w:type="paragraph" w:styleId="CommentSubject">
    <w:name w:val="annotation subject"/>
    <w:basedOn w:val="CommentText"/>
    <w:next w:val="CommentText"/>
    <w:link w:val="CommentSubjectChar"/>
    <w:uiPriority w:val="99"/>
    <w:semiHidden/>
    <w:unhideWhenUsed/>
    <w:rsid w:val="003143B3"/>
    <w:rPr>
      <w:b/>
      <w:bCs/>
    </w:rPr>
  </w:style>
  <w:style w:type="character" w:customStyle="1" w:styleId="CommentSubjectChar">
    <w:name w:val="Comment Subject Char"/>
    <w:basedOn w:val="CommentTextChar"/>
    <w:link w:val="CommentSubject"/>
    <w:uiPriority w:val="99"/>
    <w:semiHidden/>
    <w:rsid w:val="003143B3"/>
    <w:rPr>
      <w:b/>
      <w:bCs/>
      <w:sz w:val="20"/>
      <w:szCs w:val="20"/>
    </w:rPr>
  </w:style>
  <w:style w:type="paragraph" w:styleId="Header">
    <w:name w:val="header"/>
    <w:basedOn w:val="Normal"/>
    <w:link w:val="HeaderChar"/>
    <w:uiPriority w:val="99"/>
    <w:unhideWhenUsed/>
    <w:rsid w:val="00070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F4C"/>
  </w:style>
  <w:style w:type="paragraph" w:styleId="Footer">
    <w:name w:val="footer"/>
    <w:basedOn w:val="Normal"/>
    <w:link w:val="FooterChar"/>
    <w:uiPriority w:val="99"/>
    <w:unhideWhenUsed/>
    <w:rsid w:val="00070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F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5908</Words>
  <Characters>33678</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Owens</cp:lastModifiedBy>
  <cp:revision>6</cp:revision>
  <dcterms:created xsi:type="dcterms:W3CDTF">2025-09-29T18:12:00Z</dcterms:created>
  <dcterms:modified xsi:type="dcterms:W3CDTF">2025-09-29T19:34:00Z</dcterms:modified>
</cp:coreProperties>
</file>