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jc w:val="both"/>
        <w:rPr>
          <w:rFonts w:hint="default"/>
          <w:b/>
          <w:sz w:val="28"/>
          <w:szCs w:val="28"/>
          <w:lang w:val="en-GB"/>
        </w:rPr>
      </w:pPr>
      <w:r>
        <w:rPr>
          <w:rFonts w:hint="default"/>
          <w:b/>
          <w:sz w:val="28"/>
          <w:szCs w:val="28"/>
          <w:lang w:val="en-GB"/>
        </w:rPr>
        <w:t>Name:Alexandra Elena Vlad                   Module:BMIH5003</w:t>
      </w:r>
    </w:p>
    <w:p>
      <w:pPr>
        <w:pStyle w:val="3"/>
        <w:jc w:val="both"/>
        <w:rPr>
          <w:rFonts w:hint="default"/>
          <w:b/>
          <w:sz w:val="28"/>
          <w:szCs w:val="28"/>
          <w:lang w:val="en-GB"/>
        </w:rPr>
      </w:pPr>
      <w:r>
        <w:rPr>
          <w:rFonts w:hint="default"/>
          <w:b/>
          <w:sz w:val="28"/>
          <w:szCs w:val="28"/>
          <w:lang w:val="en-GB"/>
        </w:rPr>
        <w:t>Student id:2118684                                   Lecturer:Rodrigo F Aguilera</w:t>
      </w:r>
    </w:p>
    <w:p>
      <w:pPr>
        <w:pStyle w:val="3"/>
        <w:jc w:val="center"/>
        <w:rPr>
          <w:b/>
          <w:sz w:val="28"/>
          <w:szCs w:val="28"/>
          <w:lang w:val="en-GB"/>
        </w:rPr>
      </w:pPr>
    </w:p>
    <w:p>
      <w:pPr>
        <w:pStyle w:val="3"/>
        <w:jc w:val="both"/>
        <w:rPr>
          <w:b/>
          <w:sz w:val="28"/>
          <w:szCs w:val="28"/>
          <w:lang w:val="en-GB"/>
        </w:rPr>
      </w:pPr>
    </w:p>
    <w:p>
      <w:pPr>
        <w:pStyle w:val="3"/>
        <w:jc w:val="center"/>
        <w:rPr>
          <w:b/>
          <w:sz w:val="28"/>
          <w:szCs w:val="28"/>
          <w:lang w:val="en-GB"/>
        </w:rPr>
      </w:pPr>
    </w:p>
    <w:p>
      <w:pPr>
        <w:pStyle w:val="3"/>
        <w:jc w:val="center"/>
        <w:rPr>
          <w:b/>
          <w:sz w:val="28"/>
          <w:szCs w:val="28"/>
          <w:lang w:val="en-GB"/>
        </w:rPr>
      </w:pPr>
    </w:p>
    <w:p>
      <w:pPr>
        <w:pStyle w:val="3"/>
        <w:jc w:val="center"/>
        <w:rPr>
          <w:b/>
          <w:sz w:val="28"/>
          <w:szCs w:val="28"/>
          <w:lang w:val="en-GB"/>
        </w:rPr>
      </w:pPr>
    </w:p>
    <w:p>
      <w:pPr>
        <w:pStyle w:val="3"/>
        <w:jc w:val="center"/>
        <w:rPr>
          <w:b/>
          <w:sz w:val="28"/>
          <w:szCs w:val="28"/>
          <w:lang w:val="en-GB"/>
        </w:rPr>
      </w:pPr>
    </w:p>
    <w:p>
      <w:pPr>
        <w:pStyle w:val="3"/>
        <w:jc w:val="center"/>
        <w:rPr>
          <w:b/>
          <w:sz w:val="28"/>
          <w:szCs w:val="28"/>
          <w:lang w:val="en-GB"/>
        </w:rPr>
      </w:pPr>
    </w:p>
    <w:p>
      <w:pPr>
        <w:pStyle w:val="3"/>
        <w:jc w:val="center"/>
        <w:rPr>
          <w:b/>
          <w:sz w:val="28"/>
          <w:szCs w:val="28"/>
          <w:lang w:val="en-GB"/>
        </w:rPr>
      </w:pPr>
      <w:r>
        <w:rPr>
          <w:b/>
          <w:sz w:val="28"/>
          <w:szCs w:val="28"/>
          <w:lang w:val="en-GB"/>
        </w:rPr>
        <w:t>CULTURAL AWARENESS</w:t>
      </w:r>
    </w:p>
    <w:p>
      <w:pPr>
        <w:pStyle w:val="3"/>
        <w:jc w:val="center"/>
        <w:rPr>
          <w:b/>
          <w:sz w:val="28"/>
          <w:szCs w:val="28"/>
          <w:lang w:val="en-GB"/>
        </w:rPr>
      </w:pPr>
      <w:r>
        <w:rPr>
          <w:rFonts w:hint="default"/>
          <w:lang w:val="en-GB"/>
        </w:rPr>
        <w:t xml:space="preserve">Portofolio </w:t>
      </w:r>
      <w:bookmarkStart w:id="15" w:name="_GoBack"/>
      <w:bookmarkEnd w:id="15"/>
      <w:r>
        <w:rPr>
          <w:lang w:val="en-GB"/>
        </w:rPr>
        <w:br w:type="page"/>
      </w:r>
    </w:p>
    <w:sdt>
      <w:sdtPr>
        <w:id w:val="782534626"/>
        <w:docPartObj>
          <w:docPartGallery w:val="Table of Contents"/>
          <w:docPartUnique/>
        </w:docPartObj>
      </w:sdtPr>
      <w:sdtEndPr>
        <w:rPr>
          <w:rFonts w:ascii="Times New Roman" w:hAnsi="Times New Roman" w:eastAsia="Times New Roman" w:cs="Times New Roman"/>
          <w:b w:val="0"/>
          <w:bCs w:val="0"/>
          <w:color w:val="auto"/>
          <w:sz w:val="24"/>
          <w:szCs w:val="24"/>
        </w:rPr>
      </w:sdtEndPr>
      <w:sdtContent>
        <w:p>
          <w:pPr>
            <w:pStyle w:val="19"/>
            <w:jc w:val="center"/>
          </w:pPr>
          <w:r>
            <w:rPr>
              <w:rFonts w:ascii="Times New Roman" w:hAnsi="Times New Roman" w:cs="Times New Roman"/>
            </w:rPr>
            <w:t>Table of Contents</w:t>
          </w:r>
        </w:p>
        <w:p>
          <w:pPr>
            <w:pStyle w:val="15"/>
            <w:tabs>
              <w:tab w:val="right" w:leader="dot" w:pos="9350"/>
            </w:tabs>
          </w:pPr>
          <w:r>
            <w:fldChar w:fldCharType="begin"/>
          </w:r>
          <w:r>
            <w:instrText xml:space="preserve"> TOC \o "1-3" \h \z \u </w:instrText>
          </w:r>
          <w:r>
            <w:fldChar w:fldCharType="separate"/>
          </w:r>
          <w:r>
            <w:fldChar w:fldCharType="begin"/>
          </w:r>
          <w:r>
            <w:instrText xml:space="preserve"> HYPERLINK \l "_Toc127017129" </w:instrText>
          </w:r>
          <w:r>
            <w:fldChar w:fldCharType="separate"/>
          </w:r>
          <w:r>
            <w:rPr>
              <w:rStyle w:val="12"/>
              <w:lang w:val="en-GB"/>
            </w:rPr>
            <w:t>Introduction</w:t>
          </w:r>
          <w:r>
            <w:tab/>
          </w:r>
          <w:r>
            <w:fldChar w:fldCharType="begin"/>
          </w:r>
          <w:r>
            <w:instrText xml:space="preserve"> PAGEREF _Toc127017129 \h </w:instrText>
          </w:r>
          <w:r>
            <w:fldChar w:fldCharType="separate"/>
          </w:r>
          <w:r>
            <w:t>3</w:t>
          </w:r>
          <w:r>
            <w:fldChar w:fldCharType="end"/>
          </w:r>
          <w:r>
            <w:fldChar w:fldCharType="end"/>
          </w:r>
        </w:p>
        <w:p>
          <w:pPr>
            <w:pStyle w:val="15"/>
            <w:tabs>
              <w:tab w:val="right" w:leader="dot" w:pos="9350"/>
            </w:tabs>
          </w:pPr>
          <w:r>
            <w:fldChar w:fldCharType="begin"/>
          </w:r>
          <w:r>
            <w:instrText xml:space="preserve"> HYPERLINK \l "_Toc127017130" </w:instrText>
          </w:r>
          <w:r>
            <w:fldChar w:fldCharType="separate"/>
          </w:r>
          <w:r>
            <w:rPr>
              <w:rStyle w:val="12"/>
              <w:lang w:val="en-GB"/>
            </w:rPr>
            <w:t>Country A Hotel location</w:t>
          </w:r>
          <w:r>
            <w:tab/>
          </w:r>
          <w:r>
            <w:fldChar w:fldCharType="begin"/>
          </w:r>
          <w:r>
            <w:instrText xml:space="preserve"> PAGEREF _Toc127017130 \h </w:instrText>
          </w:r>
          <w:r>
            <w:fldChar w:fldCharType="separate"/>
          </w:r>
          <w:r>
            <w:t>3</w:t>
          </w:r>
          <w:r>
            <w:fldChar w:fldCharType="end"/>
          </w:r>
          <w:r>
            <w:fldChar w:fldCharType="end"/>
          </w:r>
        </w:p>
        <w:p>
          <w:pPr>
            <w:pStyle w:val="15"/>
            <w:tabs>
              <w:tab w:val="right" w:leader="dot" w:pos="9350"/>
            </w:tabs>
          </w:pPr>
          <w:r>
            <w:fldChar w:fldCharType="begin"/>
          </w:r>
          <w:r>
            <w:instrText xml:space="preserve"> HYPERLINK \l "_Toc127017131" </w:instrText>
          </w:r>
          <w:r>
            <w:fldChar w:fldCharType="separate"/>
          </w:r>
          <w:r>
            <w:rPr>
              <w:rStyle w:val="12"/>
              <w:lang w:val="en-GB"/>
            </w:rPr>
            <w:t>Country B guest home country and culture</w:t>
          </w:r>
          <w:r>
            <w:tab/>
          </w:r>
          <w:r>
            <w:fldChar w:fldCharType="begin"/>
          </w:r>
          <w:r>
            <w:instrText xml:space="preserve"> PAGEREF _Toc127017131 \h </w:instrText>
          </w:r>
          <w:r>
            <w:fldChar w:fldCharType="separate"/>
          </w:r>
          <w:r>
            <w:t>5</w:t>
          </w:r>
          <w:r>
            <w:fldChar w:fldCharType="end"/>
          </w:r>
          <w:r>
            <w:fldChar w:fldCharType="end"/>
          </w:r>
        </w:p>
        <w:p>
          <w:pPr>
            <w:pStyle w:val="15"/>
            <w:tabs>
              <w:tab w:val="right" w:leader="dot" w:pos="9350"/>
            </w:tabs>
          </w:pPr>
          <w:r>
            <w:fldChar w:fldCharType="begin"/>
          </w:r>
          <w:r>
            <w:instrText xml:space="preserve"> HYPERLINK \l "_Toc127017132" </w:instrText>
          </w:r>
          <w:r>
            <w:fldChar w:fldCharType="separate"/>
          </w:r>
          <w:r>
            <w:rPr>
              <w:rStyle w:val="12"/>
              <w:lang w:val="en-GB"/>
            </w:rPr>
            <w:t>Country Analysis</w:t>
          </w:r>
          <w:r>
            <w:tab/>
          </w:r>
          <w:r>
            <w:fldChar w:fldCharType="begin"/>
          </w:r>
          <w:r>
            <w:instrText xml:space="preserve"> PAGEREF _Toc127017132 \h </w:instrText>
          </w:r>
          <w:r>
            <w:fldChar w:fldCharType="separate"/>
          </w:r>
          <w:r>
            <w:t>6</w:t>
          </w:r>
          <w:r>
            <w:fldChar w:fldCharType="end"/>
          </w:r>
          <w:r>
            <w:fldChar w:fldCharType="end"/>
          </w:r>
        </w:p>
        <w:p>
          <w:pPr>
            <w:pStyle w:val="15"/>
            <w:tabs>
              <w:tab w:val="right" w:leader="dot" w:pos="9350"/>
            </w:tabs>
          </w:pPr>
          <w:r>
            <w:fldChar w:fldCharType="begin"/>
          </w:r>
          <w:r>
            <w:instrText xml:space="preserve"> HYPERLINK \l "_Toc127017133" </w:instrText>
          </w:r>
          <w:r>
            <w:fldChar w:fldCharType="separate"/>
          </w:r>
          <w:r>
            <w:rPr>
              <w:rStyle w:val="12"/>
              <w:lang w:val="en-GB"/>
            </w:rPr>
            <w:t>Hotel Handbook</w:t>
          </w:r>
          <w:r>
            <w:tab/>
          </w:r>
          <w:r>
            <w:fldChar w:fldCharType="begin"/>
          </w:r>
          <w:r>
            <w:instrText xml:space="preserve"> PAGEREF _Toc127017133 \h </w:instrText>
          </w:r>
          <w:r>
            <w:fldChar w:fldCharType="separate"/>
          </w:r>
          <w:r>
            <w:t>6</w:t>
          </w:r>
          <w:r>
            <w:fldChar w:fldCharType="end"/>
          </w:r>
          <w:r>
            <w:fldChar w:fldCharType="end"/>
          </w:r>
        </w:p>
        <w:p>
          <w:pPr>
            <w:pStyle w:val="15"/>
            <w:tabs>
              <w:tab w:val="right" w:leader="dot" w:pos="9350"/>
            </w:tabs>
          </w:pPr>
          <w:r>
            <w:fldChar w:fldCharType="begin"/>
          </w:r>
          <w:r>
            <w:instrText xml:space="preserve"> HYPERLINK \l "_Toc127017134" </w:instrText>
          </w:r>
          <w:r>
            <w:fldChar w:fldCharType="separate"/>
          </w:r>
          <w:r>
            <w:rPr>
              <w:rStyle w:val="12"/>
              <w:lang w:val="en-GB"/>
            </w:rPr>
            <w:t>Conclusion</w:t>
          </w:r>
          <w:r>
            <w:tab/>
          </w:r>
          <w:r>
            <w:fldChar w:fldCharType="begin"/>
          </w:r>
          <w:r>
            <w:instrText xml:space="preserve"> PAGEREF _Toc127017134 \h </w:instrText>
          </w:r>
          <w:r>
            <w:fldChar w:fldCharType="separate"/>
          </w:r>
          <w:r>
            <w:t>6</w:t>
          </w:r>
          <w:r>
            <w:fldChar w:fldCharType="end"/>
          </w:r>
          <w:r>
            <w:fldChar w:fldCharType="end"/>
          </w:r>
        </w:p>
        <w:p>
          <w:pPr>
            <w:pStyle w:val="15"/>
            <w:tabs>
              <w:tab w:val="right" w:leader="dot" w:pos="9350"/>
            </w:tabs>
          </w:pPr>
          <w:r>
            <w:fldChar w:fldCharType="begin"/>
          </w:r>
          <w:r>
            <w:instrText xml:space="preserve"> HYPERLINK \l "_Toc127017135" </w:instrText>
          </w:r>
          <w:r>
            <w:fldChar w:fldCharType="separate"/>
          </w:r>
          <w:r>
            <w:rPr>
              <w:rStyle w:val="12"/>
              <w:lang w:val="en-GB"/>
            </w:rPr>
            <w:t>Reference List</w:t>
          </w:r>
          <w:r>
            <w:tab/>
          </w:r>
          <w:r>
            <w:fldChar w:fldCharType="begin"/>
          </w:r>
          <w:r>
            <w:instrText xml:space="preserve"> PAGEREF _Toc127017135 \h </w:instrText>
          </w:r>
          <w:r>
            <w:fldChar w:fldCharType="separate"/>
          </w:r>
          <w:r>
            <w:t>7</w:t>
          </w:r>
          <w:r>
            <w:fldChar w:fldCharType="end"/>
          </w:r>
          <w:r>
            <w:fldChar w:fldCharType="end"/>
          </w:r>
        </w:p>
        <w:p>
          <w:r>
            <w:fldChar w:fldCharType="end"/>
          </w:r>
        </w:p>
      </w:sdtContent>
    </w:sdt>
    <w:p>
      <w:pPr>
        <w:rPr>
          <w:b/>
          <w:sz w:val="28"/>
          <w:szCs w:val="28"/>
          <w:lang w:val="en-GB"/>
        </w:rPr>
      </w:pPr>
      <w:r>
        <w:rPr>
          <w:b/>
          <w:sz w:val="28"/>
          <w:szCs w:val="28"/>
          <w:lang w:val="en-GB"/>
        </w:rPr>
        <w:br w:type="page"/>
      </w:r>
    </w:p>
    <w:p>
      <w:pPr>
        <w:pStyle w:val="3"/>
        <w:jc w:val="center"/>
        <w:rPr>
          <w:b/>
          <w:sz w:val="28"/>
          <w:szCs w:val="28"/>
          <w:lang w:val="en-GB"/>
        </w:rPr>
      </w:pPr>
    </w:p>
    <w:p>
      <w:pPr>
        <w:pStyle w:val="3"/>
        <w:jc w:val="center"/>
        <w:rPr>
          <w:b/>
          <w:sz w:val="28"/>
          <w:szCs w:val="28"/>
          <w:lang w:val="en-GB"/>
        </w:rPr>
      </w:pPr>
      <w:r>
        <w:rPr>
          <w:b/>
          <w:sz w:val="28"/>
          <w:szCs w:val="28"/>
          <w:lang w:val="en-GB"/>
        </w:rPr>
        <w:t>Executive Summary</w:t>
      </w:r>
    </w:p>
    <w:p>
      <w:pPr>
        <w:pStyle w:val="3"/>
        <w:rPr>
          <w:lang w:val="en-GB"/>
        </w:rPr>
      </w:pPr>
      <w:r>
        <w:rPr>
          <w:lang w:val="en-GB"/>
        </w:rPr>
        <w:t xml:space="preserve">cultural awareness is essential in the generation of an improved experience for guest experience development. This study focused on providing an improved experience to Canadian guests through the servicing capacity of the UK country. It uses the Hofstede model to analyze the cultural situations of both countries for beneficial value development. </w:t>
      </w:r>
    </w:p>
    <w:p>
      <w:pPr>
        <w:pStyle w:val="3"/>
        <w:jc w:val="left"/>
        <w:rPr>
          <w:b/>
          <w:sz w:val="28"/>
          <w:szCs w:val="28"/>
          <w:lang w:val="en-GB"/>
        </w:rPr>
      </w:pPr>
    </w:p>
    <w:p>
      <w:pPr>
        <w:pStyle w:val="3"/>
        <w:jc w:val="left"/>
        <w:rPr>
          <w:b/>
          <w:sz w:val="28"/>
          <w:szCs w:val="28"/>
          <w:lang w:val="en-GB"/>
        </w:rPr>
      </w:pPr>
      <w:r>
        <w:rPr>
          <w:lang w:val="en-GB"/>
        </w:rPr>
        <w:br w:type="page"/>
      </w:r>
    </w:p>
    <w:p>
      <w:pPr>
        <w:pStyle w:val="2"/>
        <w:rPr>
          <w:lang w:val="en-GB"/>
        </w:rPr>
      </w:pPr>
      <w:bookmarkStart w:id="0" w:name="_jgh0c6rps25k" w:colFirst="0" w:colLast="0"/>
      <w:bookmarkEnd w:id="0"/>
      <w:bookmarkStart w:id="1" w:name="_Toc127017129"/>
      <w:r>
        <w:rPr>
          <w:lang w:val="en-GB"/>
        </w:rPr>
        <w:t>Introduction</w:t>
      </w:r>
      <w:bookmarkEnd w:id="1"/>
    </w:p>
    <w:p>
      <w:pPr>
        <w:pStyle w:val="3"/>
        <w:rPr>
          <w:lang w:val="en-GB"/>
        </w:rPr>
      </w:pPr>
      <w:r>
        <w:rPr>
          <w:lang w:val="en-GB"/>
        </w:rPr>
        <w:t>Guest service experiences are considered an essential component in determining the success of the hotels by generating improved facilities for international visitors (</w:t>
      </w:r>
      <w:r>
        <w:rPr>
          <w:color w:val="222222"/>
          <w:highlight w:val="white"/>
          <w:lang w:val="en-GB"/>
        </w:rPr>
        <w:t xml:space="preserve">Rahimian </w:t>
      </w:r>
      <w:r>
        <w:rPr>
          <w:i/>
          <w:color w:val="222222"/>
          <w:highlight w:val="white"/>
          <w:lang w:val="en-GB"/>
        </w:rPr>
        <w:t xml:space="preserve">et al., </w:t>
      </w:r>
      <w:r>
        <w:rPr>
          <w:color w:val="222222"/>
          <w:highlight w:val="white"/>
          <w:lang w:val="en-GB"/>
        </w:rPr>
        <w:t>2020</w:t>
      </w:r>
      <w:r>
        <w:rPr>
          <w:lang w:val="en-GB"/>
        </w:rPr>
        <w:t xml:space="preserve">). This includes the engagement of different cultural peoples coming from various countries that require developing cultural diversity to provide helpful accommodation for them. The culture of organizations increases with the generation of higher value and collaboration among the employees, managers and customers. Cultural collaboration is influential in managing organizational conflicts to provide the beneficial capacity for organizational development. This study is engaged to develop a customer operation strategy for UK hotels in handling the different cultural peoples coming from Canada. </w:t>
      </w:r>
    </w:p>
    <w:p>
      <w:pPr>
        <w:pStyle w:val="2"/>
        <w:rPr>
          <w:lang w:val="en-GB"/>
        </w:rPr>
      </w:pPr>
      <w:bookmarkStart w:id="2" w:name="_2gtz74rl29gc" w:colFirst="0" w:colLast="0"/>
      <w:bookmarkEnd w:id="2"/>
      <w:bookmarkStart w:id="3" w:name="_Toc127017130"/>
      <w:r>
        <w:rPr>
          <w:lang w:val="en-GB"/>
        </w:rPr>
        <w:t>Country A Hotel location</w:t>
      </w:r>
      <w:bookmarkEnd w:id="3"/>
    </w:p>
    <w:p>
      <w:pPr>
        <w:pStyle w:val="3"/>
        <w:rPr>
          <w:lang w:val="en-GB"/>
        </w:rPr>
      </w:pPr>
      <w:r>
        <w:rPr>
          <w:lang w:val="en-GB"/>
        </w:rPr>
        <w:t>The handling of the customers is enraged with the fruitful location which can be influential in providing the customers with effective cultural relationships. All the necessary activities of the travellers are engaged with the provision of the beneficial location that increases the customer flexibility in advancing the growth with useful value. The UK is considered a home for lining up the incredible attractions that can be beneficial for tourists in the improved experience development. The revenue in travel and tourism has reached 33.91 billion USD in 2022 which is expected to reach up to 39.14 billion USD in 2023 (Statista, 2023).</w:t>
      </w:r>
    </w:p>
    <w:p>
      <w:pPr>
        <w:pStyle w:val="3"/>
        <w:jc w:val="center"/>
        <w:rPr>
          <w:lang w:val="en-GB"/>
        </w:rPr>
      </w:pPr>
      <w:r>
        <w:rPr>
          <w:lang w:val="en-GB"/>
        </w:rPr>
        <w:drawing>
          <wp:inline distT="114300" distB="114300" distL="114300" distR="114300">
            <wp:extent cx="5943600" cy="3670300"/>
            <wp:effectExtent l="19050" t="19050" r="1905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943600" cy="3670300"/>
                    </a:xfrm>
                    <a:prstGeom prst="rect">
                      <a:avLst/>
                    </a:prstGeom>
                    <a:ln>
                      <a:solidFill>
                        <a:schemeClr val="tx1"/>
                      </a:solidFill>
                    </a:ln>
                  </pic:spPr>
                </pic:pic>
              </a:graphicData>
            </a:graphic>
          </wp:inline>
        </w:drawing>
      </w:r>
    </w:p>
    <w:p>
      <w:pPr>
        <w:pStyle w:val="3"/>
        <w:jc w:val="center"/>
        <w:rPr>
          <w:b/>
          <w:lang w:val="en-GB"/>
        </w:rPr>
      </w:pPr>
      <w:r>
        <w:rPr>
          <w:b/>
          <w:lang w:val="en-GB"/>
        </w:rPr>
        <w:t>Figure 1: Travel industry revenue UK</w:t>
      </w:r>
    </w:p>
    <w:p>
      <w:pPr>
        <w:pStyle w:val="3"/>
        <w:jc w:val="center"/>
        <w:rPr>
          <w:lang w:val="en-GB"/>
        </w:rPr>
      </w:pPr>
      <w:r>
        <w:rPr>
          <w:lang w:val="en-GB"/>
        </w:rPr>
        <w:t>(Source: Statista, 2023)</w:t>
      </w:r>
    </w:p>
    <w:p>
      <w:pPr>
        <w:pStyle w:val="3"/>
        <w:rPr>
          <w:b/>
          <w:lang w:val="en-GB"/>
        </w:rPr>
      </w:pPr>
      <w:r>
        <w:rPr>
          <w:b/>
          <w:lang w:val="en-GB"/>
        </w:rPr>
        <w:t xml:space="preserve">Hofstede model for the UK: </w:t>
      </w:r>
    </w:p>
    <w:p>
      <w:pPr>
        <w:pStyle w:val="3"/>
        <w:rPr>
          <w:lang w:val="en-GB"/>
        </w:rPr>
      </w:pPr>
      <w:r>
        <w:rPr>
          <w:b/>
          <w:i/>
          <w:lang w:val="en-GB"/>
        </w:rPr>
        <w:t>Power Distance Index:</w:t>
      </w:r>
      <w:r>
        <w:rPr>
          <w:lang w:val="en-GB"/>
        </w:rPr>
        <w:t xml:space="preserve"> The UK society has got a PDI ranking of 35 which is very low compared to other developed countries (Hofstede-insights, 2023). The British culture is engaged in driving the analysis that can generate the importance of social adherence for managing equality to increase customer value in the tourism industry.  </w:t>
      </w:r>
    </w:p>
    <w:p>
      <w:pPr>
        <w:pStyle w:val="3"/>
        <w:rPr>
          <w:lang w:val="en-GB"/>
        </w:rPr>
      </w:pPr>
      <w:r>
        <w:rPr>
          <w:b/>
          <w:i/>
          <w:lang w:val="en-GB"/>
        </w:rPr>
        <w:t xml:space="preserve">Individualism: </w:t>
      </w:r>
      <w:r>
        <w:rPr>
          <w:lang w:val="en-GB"/>
        </w:rPr>
        <w:t>The UK culture has got individualism score of 89 which tell that the people are very self-oriented and private (</w:t>
      </w:r>
      <w:r>
        <w:rPr>
          <w:color w:val="222222"/>
          <w:highlight w:val="white"/>
          <w:lang w:val="en-GB"/>
        </w:rPr>
        <w:t>Kristjánsdóttir and Karlsdóttir, 2020</w:t>
      </w:r>
      <w:r>
        <w:rPr>
          <w:lang w:val="en-GB"/>
        </w:rPr>
        <w:t xml:space="preserve">). They are taught from an early age to think of their benefits rather than think of others. The tourism industry in the UK has to work under this scenario to generate user-specific services for the customers. </w:t>
      </w:r>
    </w:p>
    <w:p>
      <w:pPr>
        <w:pStyle w:val="3"/>
        <w:rPr>
          <w:lang w:val="en-GB"/>
        </w:rPr>
      </w:pPr>
      <w:r>
        <w:rPr>
          <w:b/>
          <w:i/>
          <w:lang w:val="en-GB"/>
        </w:rPr>
        <w:t xml:space="preserve">Masculinity: </w:t>
      </w:r>
      <w:r>
        <w:rPr>
          <w:lang w:val="en-GB"/>
        </w:rPr>
        <w:t xml:space="preserve">The Masculinity score of 66 in the UK society generate a high impact of men over women. The contradictions prevailed as feminine cultures like Scandinavian are not given useful priority in the UK. This gives the power to the males in the handling of the essential responsibilities in the UK tourism industry. </w:t>
      </w:r>
    </w:p>
    <w:p>
      <w:pPr>
        <w:pStyle w:val="3"/>
        <w:rPr>
          <w:lang w:val="en-GB"/>
        </w:rPr>
      </w:pPr>
      <w:r>
        <w:rPr>
          <w:b/>
          <w:i/>
          <w:lang w:val="en-GB"/>
        </w:rPr>
        <w:t xml:space="preserve">Uncertainty Avoidance: </w:t>
      </w:r>
      <w:r>
        <w:rPr>
          <w:lang w:val="en-GB"/>
        </w:rPr>
        <w:t>The Score of the UK under this category is 35 which bring the country under uncertainty and they are happy in bringing change in plans at any moment (</w:t>
      </w:r>
      <w:r>
        <w:rPr>
          <w:color w:val="222222"/>
          <w:highlight w:val="white"/>
          <w:lang w:val="en-GB"/>
        </w:rPr>
        <w:t xml:space="preserve">Dhaundiyal </w:t>
      </w:r>
      <w:r>
        <w:rPr>
          <w:i/>
          <w:color w:val="222222"/>
          <w:highlight w:val="white"/>
          <w:lang w:val="en-GB"/>
        </w:rPr>
        <w:t xml:space="preserve">et al. </w:t>
      </w:r>
      <w:r>
        <w:rPr>
          <w:color w:val="222222"/>
          <w:highlight w:val="white"/>
          <w:lang w:val="en-GB"/>
        </w:rPr>
        <w:t>2020</w:t>
      </w:r>
      <w:r>
        <w:rPr>
          <w:lang w:val="en-GB"/>
        </w:rPr>
        <w:t xml:space="preserve">). However, this helps in handling the ambiguous situation in the tourism industry to deal with different cultural peoples.  </w:t>
      </w:r>
    </w:p>
    <w:p>
      <w:pPr>
        <w:pStyle w:val="3"/>
        <w:rPr>
          <w:lang w:val="en-GB"/>
        </w:rPr>
      </w:pPr>
      <w:r>
        <w:rPr>
          <w:b/>
          <w:i/>
          <w:lang w:val="en-GB"/>
        </w:rPr>
        <w:t xml:space="preserve">Long-term orientation: </w:t>
      </w:r>
      <w:r>
        <w:rPr>
          <w:lang w:val="en-GB"/>
        </w:rPr>
        <w:t xml:space="preserve">The score for the UK under this category is 51 which require engaging past performances for reducing the challenges. This can be influential in dealing with the challenges in the UK tourism industry. </w:t>
      </w:r>
    </w:p>
    <w:p>
      <w:pPr>
        <w:pStyle w:val="3"/>
        <w:rPr>
          <w:lang w:val="en-GB"/>
        </w:rPr>
      </w:pPr>
      <w:r>
        <w:rPr>
          <w:b/>
          <w:i/>
          <w:lang w:val="en-GB"/>
        </w:rPr>
        <w:t xml:space="preserve">Indulgence: </w:t>
      </w:r>
      <w:r>
        <w:rPr>
          <w:lang w:val="en-GB"/>
        </w:rPr>
        <w:t xml:space="preserve">The indulgence score of 69 tells that people in the UK try to control their desires and impulses in an effective capacity however the restraint is not engaged due to the prevalence of indulgence. This increases the capacity of the UK people in enjoying life and has fun which can be useful in the operation of the tourism industry for delivering useful hotel experience. </w:t>
      </w:r>
    </w:p>
    <w:p>
      <w:pPr>
        <w:pStyle w:val="2"/>
        <w:rPr>
          <w:lang w:val="en-GB"/>
        </w:rPr>
      </w:pPr>
      <w:bookmarkStart w:id="4" w:name="_wx6z44vaz64u" w:colFirst="0" w:colLast="0"/>
      <w:bookmarkEnd w:id="4"/>
      <w:bookmarkStart w:id="5" w:name="_Toc127017131"/>
      <w:r>
        <w:rPr>
          <w:lang w:val="en-GB"/>
        </w:rPr>
        <w:t>Country B guest home country and culture</w:t>
      </w:r>
      <w:bookmarkEnd w:id="5"/>
      <w:r>
        <w:rPr>
          <w:lang w:val="en-GB"/>
        </w:rPr>
        <w:t xml:space="preserve"> </w:t>
      </w:r>
    </w:p>
    <w:p>
      <w:pPr>
        <w:pStyle w:val="3"/>
        <w:rPr>
          <w:lang w:val="en-GB"/>
        </w:rPr>
      </w:pPr>
      <w:r>
        <w:rPr>
          <w:lang w:val="en-GB"/>
        </w:rPr>
        <w:t xml:space="preserve">The culture of Canada is engaged in embodying artistry with the use of humour, musical, political and social components. The use of Hofstede's model is useful in analyzing the culture of Canada to handle their guests. </w:t>
      </w:r>
    </w:p>
    <w:p>
      <w:pPr>
        <w:pStyle w:val="3"/>
        <w:rPr>
          <w:lang w:val="en-GB"/>
        </w:rPr>
      </w:pPr>
      <w:r>
        <w:rPr>
          <w:b/>
          <w:i/>
          <w:lang w:val="en-GB"/>
        </w:rPr>
        <w:t>Power Distance Index:</w:t>
      </w:r>
      <w:r>
        <w:rPr>
          <w:lang w:val="en-GB"/>
        </w:rPr>
        <w:t xml:space="preserve"> The Cultural value of Canada can be defined with a score of 39 which is influenced by the interdependence of the inhabitants. Canadian values the development of straightforward connections that can be influential for effective guest experience development. </w:t>
      </w:r>
    </w:p>
    <w:p>
      <w:pPr>
        <w:pStyle w:val="3"/>
        <w:rPr>
          <w:lang w:val="en-GB"/>
        </w:rPr>
      </w:pPr>
      <w:r>
        <w:rPr>
          <w:b/>
          <w:i/>
          <w:lang w:val="en-GB"/>
        </w:rPr>
        <w:t>Individualism:</w:t>
      </w:r>
      <w:r>
        <w:rPr>
          <w:lang w:val="en-GB"/>
        </w:rPr>
        <w:t xml:space="preserve"> Canada has developed a score of 80 under this dimension which translates into a loosely knit society for indusial cultural development (Hofstede-insights, 2023). This can be influential in providing an improved experience to the Canadian people. </w:t>
      </w:r>
    </w:p>
    <w:p>
      <w:pPr>
        <w:pStyle w:val="3"/>
        <w:rPr>
          <w:lang w:val="en-GB"/>
        </w:rPr>
      </w:pPr>
      <w:r>
        <w:rPr>
          <w:b/>
          <w:i/>
          <w:lang w:val="en-GB"/>
        </w:rPr>
        <w:t xml:space="preserve">Masculinity: </w:t>
      </w:r>
      <w:r>
        <w:rPr>
          <w:lang w:val="en-GB"/>
        </w:rPr>
        <w:t xml:space="preserve">Canada has a score of 52 under this category which can be termed as a moderate masculinity influence which also gives respect and value to women in the useful culture development for the guests. </w:t>
      </w:r>
    </w:p>
    <w:p>
      <w:pPr>
        <w:pStyle w:val="3"/>
        <w:rPr>
          <w:lang w:val="en-GB"/>
        </w:rPr>
      </w:pPr>
      <w:r>
        <w:rPr>
          <w:b/>
          <w:i/>
          <w:lang w:val="en-GB"/>
        </w:rPr>
        <w:t xml:space="preserve">Uncertainty Avoidance: </w:t>
      </w:r>
      <w:r>
        <w:rPr>
          <w:lang w:val="en-GB"/>
        </w:rPr>
        <w:t>The score of Canada in this category is 48 which define the easy acceptance of innovative ideas in cultural growth development (</w:t>
      </w:r>
      <w:r>
        <w:rPr>
          <w:color w:val="222222"/>
          <w:highlight w:val="white"/>
          <w:lang w:val="en-GB"/>
        </w:rPr>
        <w:t xml:space="preserve">Tze </w:t>
      </w:r>
      <w:r>
        <w:rPr>
          <w:i/>
          <w:color w:val="222222"/>
          <w:highlight w:val="white"/>
          <w:lang w:val="en-GB"/>
        </w:rPr>
        <w:t xml:space="preserve">et al., </w:t>
      </w:r>
      <w:r>
        <w:rPr>
          <w:color w:val="222222"/>
          <w:highlight w:val="white"/>
          <w:lang w:val="en-GB"/>
        </w:rPr>
        <w:t>2022</w:t>
      </w:r>
      <w:r>
        <w:rPr>
          <w:lang w:val="en-GB"/>
        </w:rPr>
        <w:t xml:space="preserve">). This can be influential in providing an improved experience to the customers.  </w:t>
      </w:r>
    </w:p>
    <w:p>
      <w:pPr>
        <w:pStyle w:val="3"/>
        <w:rPr>
          <w:lang w:val="en-GB"/>
        </w:rPr>
      </w:pPr>
      <w:r>
        <w:rPr>
          <w:b/>
          <w:i/>
          <w:lang w:val="en-GB"/>
        </w:rPr>
        <w:t>Long-term orientation:</w:t>
      </w:r>
      <w:r>
        <w:rPr>
          <w:lang w:val="en-GB"/>
        </w:rPr>
        <w:t xml:space="preserve"> The score of Canada in this category is about 36, which makes them a normati8ve society for exhibiting great respect for traditions. </w:t>
      </w:r>
    </w:p>
    <w:p>
      <w:pPr>
        <w:pStyle w:val="3"/>
        <w:rPr>
          <w:lang w:val="en-GB"/>
        </w:rPr>
      </w:pPr>
      <w:r>
        <w:rPr>
          <w:b/>
          <w:i/>
          <w:lang w:val="en-GB"/>
        </w:rPr>
        <w:t xml:space="preserve">Indulgence: </w:t>
      </w:r>
      <w:r>
        <w:rPr>
          <w:lang w:val="en-GB"/>
        </w:rPr>
        <w:t>The score of 68 under this dimension is significant that peoples enjoy getting fun experiences for a healthy lifestyle (</w:t>
      </w:r>
      <w:r>
        <w:rPr>
          <w:color w:val="222222"/>
          <w:highlight w:val="white"/>
          <w:lang w:val="en-GB"/>
        </w:rPr>
        <w:t xml:space="preserve">Kot </w:t>
      </w:r>
      <w:r>
        <w:rPr>
          <w:i/>
          <w:color w:val="222222"/>
          <w:highlight w:val="white"/>
          <w:lang w:val="en-GB"/>
        </w:rPr>
        <w:t xml:space="preserve">et al., </w:t>
      </w:r>
      <w:r>
        <w:rPr>
          <w:color w:val="222222"/>
          <w:highlight w:val="white"/>
          <w:lang w:val="en-GB"/>
        </w:rPr>
        <w:t>2019</w:t>
      </w:r>
      <w:r>
        <w:rPr>
          <w:lang w:val="en-GB"/>
        </w:rPr>
        <w:t>). This can help generate an improved guest experience.</w:t>
      </w:r>
    </w:p>
    <w:p>
      <w:pPr>
        <w:pStyle w:val="2"/>
        <w:rPr>
          <w:lang w:val="en-GB"/>
        </w:rPr>
      </w:pPr>
      <w:bookmarkStart w:id="6" w:name="_u75ynfuqubc3" w:colFirst="0" w:colLast="0"/>
      <w:bookmarkEnd w:id="6"/>
      <w:bookmarkStart w:id="7" w:name="_Toc127017132"/>
      <w:r>
        <w:rPr>
          <w:lang w:val="en-GB"/>
        </w:rPr>
        <w:t>Country Analysis</w:t>
      </w:r>
      <w:bookmarkEnd w:id="7"/>
    </w:p>
    <w:p>
      <w:pPr>
        <w:pStyle w:val="3"/>
        <w:rPr>
          <w:lang w:val="en-GB"/>
        </w:rPr>
      </w:pPr>
      <w:r>
        <w:rPr>
          <w:lang w:val="en-GB"/>
        </w:rPr>
        <w:t>The generation of strategies is necessary for analyzing the growth capacity that can be influential in guest satisfaction development. The UK culture is engaged to generate the traditional alignment that can be influential as the guests come from countries like Canada, America, India and Pakistan. On the other hand, Canadian culture has immigrants 79.5 percent of that love moving out to different countries to generate beneficial value in the country's growth development (</w:t>
      </w:r>
      <w:r>
        <w:rPr>
          <w:color w:val="222222"/>
          <w:highlight w:val="white"/>
          <w:lang w:val="en-GB"/>
        </w:rPr>
        <w:t xml:space="preserve">Liu </w:t>
      </w:r>
      <w:r>
        <w:rPr>
          <w:i/>
          <w:color w:val="222222"/>
          <w:highlight w:val="white"/>
          <w:lang w:val="en-GB"/>
        </w:rPr>
        <w:t xml:space="preserve">et al., </w:t>
      </w:r>
      <w:r>
        <w:rPr>
          <w:color w:val="222222"/>
          <w:highlight w:val="white"/>
          <w:lang w:val="en-GB"/>
        </w:rPr>
        <w:t>2020</w:t>
      </w:r>
      <w:r>
        <w:rPr>
          <w:lang w:val="en-GB"/>
        </w:rPr>
        <w:t xml:space="preserve">). </w:t>
      </w:r>
    </w:p>
    <w:p>
      <w:pPr>
        <w:pStyle w:val="2"/>
        <w:rPr>
          <w:lang w:val="en-GB"/>
        </w:rPr>
      </w:pPr>
      <w:bookmarkStart w:id="8" w:name="_ghjxn0p74yl2" w:colFirst="0" w:colLast="0"/>
      <w:bookmarkEnd w:id="8"/>
      <w:bookmarkStart w:id="9" w:name="_Toc127017133"/>
      <w:r>
        <w:rPr>
          <w:lang w:val="en-GB"/>
        </w:rPr>
        <w:t>Hotel Handbook</w:t>
      </w:r>
      <w:bookmarkEnd w:id="9"/>
    </w:p>
    <w:tbl>
      <w:tblPr>
        <w:tblStyle w:val="17"/>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680"/>
        <w:gridCol w:w="468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tblHeader/>
        </w:trPr>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jc w:val="left"/>
              <w:rPr>
                <w:b/>
                <w:lang w:val="en-GB"/>
              </w:rPr>
            </w:pPr>
            <w:r>
              <w:rPr>
                <w:b/>
                <w:lang w:val="en-GB"/>
              </w:rPr>
              <w:t xml:space="preserve">Do’s </w:t>
            </w:r>
          </w:p>
        </w:tc>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jc w:val="left"/>
              <w:rPr>
                <w:b/>
                <w:lang w:val="en-GB"/>
              </w:rPr>
            </w:pPr>
            <w:r>
              <w:rPr>
                <w:b/>
                <w:lang w:val="en-GB"/>
              </w:rPr>
              <w:t xml:space="preserve">Don’ts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4680" w:type="dxa"/>
            <w:shd w:val="clear" w:color="auto" w:fill="auto"/>
            <w:tcMar>
              <w:top w:w="100" w:type="dxa"/>
              <w:left w:w="100" w:type="dxa"/>
              <w:bottom w:w="100" w:type="dxa"/>
              <w:right w:w="100" w:type="dxa"/>
            </w:tcMar>
          </w:tcPr>
          <w:p>
            <w:pPr>
              <w:pStyle w:val="3"/>
              <w:widowControl w:val="0"/>
              <w:numPr>
                <w:ilvl w:val="0"/>
                <w:numId w:val="1"/>
              </w:numPr>
              <w:pBdr>
                <w:top w:val="none" w:color="auto" w:sz="0" w:space="0"/>
                <w:left w:val="none" w:color="auto" w:sz="0" w:space="0"/>
                <w:bottom w:val="none" w:color="auto" w:sz="0" w:space="0"/>
                <w:right w:val="none" w:color="auto" w:sz="0" w:space="0"/>
                <w:between w:val="none" w:color="auto" w:sz="0" w:space="0"/>
              </w:pBdr>
              <w:jc w:val="left"/>
              <w:rPr>
                <w:lang w:val="en-GB"/>
              </w:rPr>
            </w:pPr>
            <w:r>
              <w:rPr>
                <w:lang w:val="en-GB"/>
              </w:rPr>
              <w:t xml:space="preserve">Do listen to the guests </w:t>
            </w:r>
          </w:p>
          <w:p>
            <w:pPr>
              <w:pStyle w:val="3"/>
              <w:widowControl w:val="0"/>
              <w:numPr>
                <w:ilvl w:val="0"/>
                <w:numId w:val="1"/>
              </w:numPr>
              <w:pBdr>
                <w:top w:val="none" w:color="auto" w:sz="0" w:space="0"/>
                <w:left w:val="none" w:color="auto" w:sz="0" w:space="0"/>
                <w:bottom w:val="none" w:color="auto" w:sz="0" w:space="0"/>
                <w:right w:val="none" w:color="auto" w:sz="0" w:space="0"/>
                <w:between w:val="none" w:color="auto" w:sz="0" w:space="0"/>
              </w:pBdr>
              <w:jc w:val="left"/>
              <w:rPr>
                <w:lang w:val="en-GB"/>
              </w:rPr>
            </w:pPr>
            <w:r>
              <w:rPr>
                <w:lang w:val="en-GB"/>
              </w:rPr>
              <w:t xml:space="preserve">Do keep it clean </w:t>
            </w:r>
          </w:p>
          <w:p>
            <w:pPr>
              <w:pStyle w:val="3"/>
              <w:widowControl w:val="0"/>
              <w:numPr>
                <w:ilvl w:val="0"/>
                <w:numId w:val="1"/>
              </w:numPr>
              <w:pBdr>
                <w:top w:val="none" w:color="auto" w:sz="0" w:space="0"/>
                <w:left w:val="none" w:color="auto" w:sz="0" w:space="0"/>
                <w:bottom w:val="none" w:color="auto" w:sz="0" w:space="0"/>
                <w:right w:val="none" w:color="auto" w:sz="0" w:space="0"/>
                <w:between w:val="none" w:color="auto" w:sz="0" w:space="0"/>
              </w:pBdr>
              <w:jc w:val="left"/>
              <w:rPr>
                <w:lang w:val="en-GB"/>
              </w:rPr>
            </w:pPr>
            <w:r>
              <w:rPr>
                <w:lang w:val="en-GB"/>
              </w:rPr>
              <w:t>Do the maintenance of the quality standard.</w:t>
            </w:r>
          </w:p>
          <w:p>
            <w:pPr>
              <w:pStyle w:val="3"/>
              <w:widowControl w:val="0"/>
              <w:numPr>
                <w:ilvl w:val="0"/>
                <w:numId w:val="1"/>
              </w:numPr>
              <w:pBdr>
                <w:top w:val="none" w:color="auto" w:sz="0" w:space="0"/>
                <w:left w:val="none" w:color="auto" w:sz="0" w:space="0"/>
                <w:bottom w:val="none" w:color="auto" w:sz="0" w:space="0"/>
                <w:right w:val="none" w:color="auto" w:sz="0" w:space="0"/>
                <w:between w:val="none" w:color="auto" w:sz="0" w:space="0"/>
              </w:pBdr>
              <w:jc w:val="left"/>
              <w:rPr>
                <w:lang w:val="en-GB"/>
              </w:rPr>
            </w:pPr>
            <w:r>
              <w:rPr>
                <w:lang w:val="en-GB"/>
              </w:rPr>
              <w:t>Do keep focus on the guest's issues.</w:t>
            </w:r>
          </w:p>
          <w:p>
            <w:pPr>
              <w:pStyle w:val="3"/>
              <w:widowControl w:val="0"/>
              <w:numPr>
                <w:ilvl w:val="0"/>
                <w:numId w:val="1"/>
              </w:numPr>
              <w:pBdr>
                <w:top w:val="none" w:color="auto" w:sz="0" w:space="0"/>
                <w:left w:val="none" w:color="auto" w:sz="0" w:space="0"/>
                <w:bottom w:val="none" w:color="auto" w:sz="0" w:space="0"/>
                <w:right w:val="none" w:color="auto" w:sz="0" w:space="0"/>
                <w:between w:val="none" w:color="auto" w:sz="0" w:space="0"/>
              </w:pBdr>
              <w:jc w:val="left"/>
              <w:rPr>
                <w:lang w:val="en-GB"/>
              </w:rPr>
            </w:pPr>
            <w:r>
              <w:rPr>
                <w:lang w:val="en-GB"/>
              </w:rPr>
              <w:t xml:space="preserve">Do increase communication with the customers. </w:t>
            </w:r>
          </w:p>
        </w:tc>
        <w:tc>
          <w:tcPr>
            <w:tcW w:w="4680" w:type="dxa"/>
            <w:shd w:val="clear" w:color="auto" w:fill="auto"/>
            <w:tcMar>
              <w:top w:w="100" w:type="dxa"/>
              <w:left w:w="100" w:type="dxa"/>
              <w:bottom w:w="100" w:type="dxa"/>
              <w:right w:w="100" w:type="dxa"/>
            </w:tcMar>
          </w:tcPr>
          <w:p>
            <w:pPr>
              <w:pStyle w:val="3"/>
              <w:widowControl w:val="0"/>
              <w:numPr>
                <w:ilvl w:val="0"/>
                <w:numId w:val="2"/>
              </w:numPr>
              <w:pBdr>
                <w:top w:val="none" w:color="auto" w:sz="0" w:space="0"/>
                <w:left w:val="none" w:color="auto" w:sz="0" w:space="0"/>
                <w:bottom w:val="none" w:color="auto" w:sz="0" w:space="0"/>
                <w:right w:val="none" w:color="auto" w:sz="0" w:space="0"/>
                <w:between w:val="none" w:color="auto" w:sz="0" w:space="0"/>
              </w:pBdr>
              <w:jc w:val="left"/>
              <w:rPr>
                <w:lang w:val="en-GB"/>
              </w:rPr>
            </w:pPr>
            <w:r>
              <w:rPr>
                <w:lang w:val="en-GB"/>
              </w:rPr>
              <w:t>Don’t ignore the customer's issues.</w:t>
            </w:r>
          </w:p>
          <w:p>
            <w:pPr>
              <w:pStyle w:val="3"/>
              <w:widowControl w:val="0"/>
              <w:numPr>
                <w:ilvl w:val="0"/>
                <w:numId w:val="2"/>
              </w:numPr>
              <w:pBdr>
                <w:top w:val="none" w:color="auto" w:sz="0" w:space="0"/>
                <w:left w:val="none" w:color="auto" w:sz="0" w:space="0"/>
                <w:bottom w:val="none" w:color="auto" w:sz="0" w:space="0"/>
                <w:right w:val="none" w:color="auto" w:sz="0" w:space="0"/>
                <w:between w:val="none" w:color="auto" w:sz="0" w:space="0"/>
              </w:pBdr>
              <w:jc w:val="left"/>
              <w:rPr>
                <w:lang w:val="en-GB"/>
              </w:rPr>
            </w:pPr>
            <w:r>
              <w:rPr>
                <w:lang w:val="en-GB"/>
              </w:rPr>
              <w:t xml:space="preserve">Don’t slack on providing beneficial training. </w:t>
            </w:r>
          </w:p>
          <w:p>
            <w:pPr>
              <w:pStyle w:val="3"/>
              <w:widowControl w:val="0"/>
              <w:numPr>
                <w:ilvl w:val="0"/>
                <w:numId w:val="2"/>
              </w:numPr>
              <w:pBdr>
                <w:top w:val="none" w:color="auto" w:sz="0" w:space="0"/>
                <w:left w:val="none" w:color="auto" w:sz="0" w:space="0"/>
                <w:bottom w:val="none" w:color="auto" w:sz="0" w:space="0"/>
                <w:right w:val="none" w:color="auto" w:sz="0" w:space="0"/>
                <w:between w:val="none" w:color="auto" w:sz="0" w:space="0"/>
              </w:pBdr>
              <w:jc w:val="left"/>
              <w:rPr>
                <w:lang w:val="en-GB"/>
              </w:rPr>
            </w:pPr>
            <w:r>
              <w:rPr>
                <w:lang w:val="en-GB"/>
              </w:rPr>
              <w:t xml:space="preserve">Don’t ignore the customer's preference </w:t>
            </w:r>
          </w:p>
          <w:p>
            <w:pPr>
              <w:pStyle w:val="3"/>
              <w:widowControl w:val="0"/>
              <w:numPr>
                <w:ilvl w:val="0"/>
                <w:numId w:val="2"/>
              </w:numPr>
              <w:pBdr>
                <w:top w:val="none" w:color="auto" w:sz="0" w:space="0"/>
                <w:left w:val="none" w:color="auto" w:sz="0" w:space="0"/>
                <w:bottom w:val="none" w:color="auto" w:sz="0" w:space="0"/>
                <w:right w:val="none" w:color="auto" w:sz="0" w:space="0"/>
                <w:between w:val="none" w:color="auto" w:sz="0" w:space="0"/>
              </w:pBdr>
              <w:jc w:val="left"/>
              <w:rPr>
                <w:lang w:val="en-GB"/>
              </w:rPr>
            </w:pPr>
            <w:r>
              <w:rPr>
                <w:lang w:val="en-GB"/>
              </w:rPr>
              <w:t xml:space="preserve">Do not ignore the financial delegations. </w:t>
            </w:r>
          </w:p>
          <w:p>
            <w:pPr>
              <w:pStyle w:val="3"/>
              <w:widowControl w:val="0"/>
              <w:numPr>
                <w:ilvl w:val="0"/>
                <w:numId w:val="2"/>
              </w:numPr>
              <w:pBdr>
                <w:top w:val="none" w:color="auto" w:sz="0" w:space="0"/>
                <w:left w:val="none" w:color="auto" w:sz="0" w:space="0"/>
                <w:bottom w:val="none" w:color="auto" w:sz="0" w:space="0"/>
                <w:right w:val="none" w:color="auto" w:sz="0" w:space="0"/>
                <w:between w:val="none" w:color="auto" w:sz="0" w:space="0"/>
              </w:pBdr>
              <w:jc w:val="left"/>
              <w:rPr>
                <w:lang w:val="en-GB"/>
              </w:rPr>
            </w:pPr>
            <w:r>
              <w:rPr>
                <w:lang w:val="en-GB"/>
              </w:rPr>
              <w:t xml:space="preserve">Don’t be afraid to ask the customers about their day. </w:t>
            </w:r>
          </w:p>
        </w:tc>
      </w:tr>
    </w:tbl>
    <w:p>
      <w:pPr>
        <w:pStyle w:val="3"/>
        <w:jc w:val="center"/>
        <w:rPr>
          <w:b/>
          <w:lang w:val="en-GB"/>
        </w:rPr>
      </w:pPr>
    </w:p>
    <w:p>
      <w:pPr>
        <w:pStyle w:val="3"/>
        <w:jc w:val="center"/>
        <w:rPr>
          <w:b/>
          <w:lang w:val="en-GB"/>
        </w:rPr>
      </w:pPr>
      <w:r>
        <w:rPr>
          <w:b/>
          <w:lang w:val="en-GB"/>
        </w:rPr>
        <w:t xml:space="preserve">Table 1: Hotel Handbook for guest handling </w:t>
      </w:r>
    </w:p>
    <w:p>
      <w:pPr>
        <w:pStyle w:val="3"/>
        <w:jc w:val="center"/>
        <w:rPr>
          <w:lang w:val="en-GB"/>
        </w:rPr>
      </w:pPr>
      <w:r>
        <w:rPr>
          <w:lang w:val="en-GB"/>
        </w:rPr>
        <w:t>(Self-made)</w:t>
      </w:r>
    </w:p>
    <w:p>
      <w:pPr>
        <w:pStyle w:val="2"/>
        <w:rPr>
          <w:lang w:val="en-GB"/>
        </w:rPr>
      </w:pPr>
      <w:bookmarkStart w:id="10" w:name="_bjuqusjf0oq9" w:colFirst="0" w:colLast="0"/>
      <w:bookmarkEnd w:id="10"/>
      <w:bookmarkStart w:id="11" w:name="_Toc127017134"/>
      <w:r>
        <w:rPr>
          <w:lang w:val="en-GB"/>
        </w:rPr>
        <w:t>Conclusion</w:t>
      </w:r>
      <w:bookmarkEnd w:id="11"/>
      <w:r>
        <w:rPr>
          <w:lang w:val="en-GB"/>
        </w:rPr>
        <w:t xml:space="preserve"> </w:t>
      </w:r>
    </w:p>
    <w:p>
      <w:pPr>
        <w:pStyle w:val="3"/>
        <w:rPr>
          <w:lang w:val="en-GB"/>
        </w:rPr>
      </w:pPr>
      <w:r>
        <w:rPr>
          <w:lang w:val="en-GB"/>
        </w:rPr>
        <w:t xml:space="preserve">The development of a useful guest experience is beneficial for the hotel organization to generate improved growth and revenue enhancement. The guests are required to be provided with advanced facilities that can be influential in cultural relationship development. Hotel organizations need to maintain quality standards for the customers. Apart from that, it is necessary to focus on the guest's issues for generating improved features in customer service development. </w:t>
      </w:r>
      <w:bookmarkStart w:id="12" w:name="_qno2tazh6tyf" w:colFirst="0" w:colLast="0"/>
      <w:bookmarkEnd w:id="12"/>
    </w:p>
    <w:p>
      <w:pPr>
        <w:pStyle w:val="2"/>
        <w:rPr>
          <w:lang w:val="en-GB"/>
        </w:rPr>
      </w:pPr>
      <w:bookmarkStart w:id="13" w:name="_rwk551v4lz7" w:colFirst="0" w:colLast="0"/>
      <w:bookmarkEnd w:id="13"/>
      <w:bookmarkStart w:id="14" w:name="_Toc127017135"/>
      <w:r>
        <w:rPr>
          <w:lang w:val="en-GB"/>
        </w:rPr>
        <w:t>Reference List</w:t>
      </w:r>
      <w:bookmarkEnd w:id="14"/>
    </w:p>
    <w:p>
      <w:pPr>
        <w:pStyle w:val="3"/>
        <w:rPr>
          <w:color w:val="222222"/>
          <w:sz w:val="28"/>
          <w:szCs w:val="28"/>
          <w:highlight w:val="white"/>
          <w:lang w:val="en-GB"/>
        </w:rPr>
      </w:pPr>
      <w:r>
        <w:rPr>
          <w:color w:val="222222"/>
          <w:highlight w:val="white"/>
          <w:lang w:val="en-GB"/>
        </w:rPr>
        <w:t xml:space="preserve">Dhaundiyal, D., Chakravarty, R. and N. Joshi, A., (2020), November. Hofstede and Hobbitses: Generational Evolution of Power Distance and Masculinity in UK in Popular Literature. In </w:t>
      </w:r>
      <w:r>
        <w:rPr>
          <w:i/>
          <w:color w:val="222222"/>
          <w:highlight w:val="white"/>
          <w:lang w:val="en-GB"/>
        </w:rPr>
        <w:t>IndiaHCI'20: Proceedings of the 11th Indian Conference on Human-Computer Interaction</w:t>
      </w:r>
      <w:r>
        <w:rPr>
          <w:color w:val="222222"/>
          <w:highlight w:val="white"/>
          <w:lang w:val="en-GB"/>
        </w:rPr>
        <w:t xml:space="preserve"> (pp. 1-11).</w:t>
      </w:r>
    </w:p>
    <w:p>
      <w:pPr>
        <w:pStyle w:val="3"/>
        <w:rPr>
          <w:lang w:val="en-GB"/>
        </w:rPr>
      </w:pPr>
      <w:r>
        <w:rPr>
          <w:lang w:val="en-GB"/>
        </w:rPr>
        <w:t xml:space="preserve">Hofstede-insights, (2023), </w:t>
      </w:r>
      <w:r>
        <w:rPr>
          <w:i/>
          <w:lang w:val="en-GB"/>
        </w:rPr>
        <w:t xml:space="preserve">WHAT ABOUT CANADA?. </w:t>
      </w:r>
      <w:r>
        <w:rPr>
          <w:lang w:val="en-GB"/>
        </w:rPr>
        <w:t xml:space="preserve">&lt;Available at: </w:t>
      </w:r>
      <w:r>
        <w:fldChar w:fldCharType="begin"/>
      </w:r>
      <w:r>
        <w:instrText xml:space="preserve"> HYPERLINK "https://www.hofstede-insights.com/country/canada/" \h </w:instrText>
      </w:r>
      <w:r>
        <w:fldChar w:fldCharType="separate"/>
      </w:r>
      <w:r>
        <w:rPr>
          <w:color w:val="1155CC"/>
          <w:u w:val="single"/>
          <w:lang w:val="en-GB"/>
        </w:rPr>
        <w:t>https://www.hofstede-insights.com/country/canada/</w:t>
      </w:r>
      <w:r>
        <w:rPr>
          <w:color w:val="1155CC"/>
          <w:u w:val="single"/>
          <w:lang w:val="en-GB"/>
        </w:rPr>
        <w:fldChar w:fldCharType="end"/>
      </w:r>
      <w:r>
        <w:rPr>
          <w:lang w:val="en-GB"/>
        </w:rPr>
        <w:t>&gt;, [Acessed on 10 February 2023]</w:t>
      </w:r>
    </w:p>
    <w:p>
      <w:pPr>
        <w:pStyle w:val="3"/>
        <w:rPr>
          <w:lang w:val="en-GB"/>
        </w:rPr>
      </w:pPr>
      <w:r>
        <w:rPr>
          <w:lang w:val="en-GB"/>
        </w:rPr>
        <w:t xml:space="preserve">Hofstede-insights, (2023), </w:t>
      </w:r>
      <w:r>
        <w:rPr>
          <w:i/>
          <w:lang w:val="en-GB"/>
        </w:rPr>
        <w:t xml:space="preserve">WHAT ABOUT THE UK?. </w:t>
      </w:r>
      <w:r>
        <w:rPr>
          <w:lang w:val="en-GB"/>
        </w:rPr>
        <w:t xml:space="preserve">&lt;Available at: </w:t>
      </w:r>
      <w:r>
        <w:fldChar w:fldCharType="begin"/>
      </w:r>
      <w:r>
        <w:instrText xml:space="preserve"> HYPERLINK "https://www.hofstede-insights.com/country/the-uk/" \h </w:instrText>
      </w:r>
      <w:r>
        <w:fldChar w:fldCharType="separate"/>
      </w:r>
      <w:r>
        <w:rPr>
          <w:color w:val="1155CC"/>
          <w:u w:val="single"/>
          <w:lang w:val="en-GB"/>
        </w:rPr>
        <w:t>https://www.hofstede-insights.com/country/the-uk/</w:t>
      </w:r>
      <w:r>
        <w:rPr>
          <w:color w:val="1155CC"/>
          <w:u w:val="single"/>
          <w:lang w:val="en-GB"/>
        </w:rPr>
        <w:fldChar w:fldCharType="end"/>
      </w:r>
      <w:r>
        <w:rPr>
          <w:lang w:val="en-GB"/>
        </w:rPr>
        <w:t>&gt;, [Acessed on 10 February 2023]</w:t>
      </w:r>
    </w:p>
    <w:p>
      <w:pPr>
        <w:pStyle w:val="3"/>
        <w:rPr>
          <w:color w:val="222222"/>
          <w:highlight w:val="white"/>
          <w:lang w:val="en-GB"/>
        </w:rPr>
      </w:pPr>
      <w:r>
        <w:rPr>
          <w:color w:val="222222"/>
          <w:highlight w:val="white"/>
          <w:lang w:val="en-GB"/>
        </w:rPr>
        <w:t xml:space="preserve">Kot, S., Haque, A.U. and Kozlovski, E., (2019). Mediating effect of strategic supply chain management on social and environmental sustainability: Evidence from SMEs of Canada, Iran and Turkey. </w:t>
      </w:r>
      <w:r>
        <w:rPr>
          <w:i/>
          <w:color w:val="222222"/>
          <w:highlight w:val="white"/>
          <w:lang w:val="en-GB"/>
        </w:rPr>
        <w:t>International Journal of Supply Chain Management</w:t>
      </w:r>
      <w:r>
        <w:rPr>
          <w:color w:val="222222"/>
          <w:highlight w:val="white"/>
          <w:lang w:val="en-GB"/>
        </w:rPr>
        <w:t xml:space="preserve">, </w:t>
      </w:r>
      <w:r>
        <w:rPr>
          <w:i/>
          <w:color w:val="222222"/>
          <w:highlight w:val="white"/>
          <w:lang w:val="en-GB"/>
        </w:rPr>
        <w:t>8</w:t>
      </w:r>
      <w:r>
        <w:rPr>
          <w:color w:val="222222"/>
          <w:highlight w:val="white"/>
          <w:lang w:val="en-GB"/>
        </w:rPr>
        <w:t>(6), pp.105-117.</w:t>
      </w:r>
    </w:p>
    <w:p>
      <w:pPr>
        <w:pStyle w:val="3"/>
        <w:rPr>
          <w:color w:val="222222"/>
          <w:highlight w:val="white"/>
          <w:lang w:val="en-GB"/>
        </w:rPr>
      </w:pPr>
      <w:r>
        <w:rPr>
          <w:color w:val="222222"/>
          <w:highlight w:val="white"/>
          <w:lang w:val="en-GB"/>
        </w:rPr>
        <w:t xml:space="preserve">Kristjánsdóttir, H. and Karlsdóttir, F.B., (2020). UK foreign direct investment in the oecd, culture and geography. </w:t>
      </w:r>
      <w:r>
        <w:rPr>
          <w:i/>
          <w:color w:val="222222"/>
          <w:highlight w:val="white"/>
          <w:lang w:val="en-GB"/>
        </w:rPr>
        <w:t>Baltic Journal of Economic Studies</w:t>
      </w:r>
      <w:r>
        <w:rPr>
          <w:color w:val="222222"/>
          <w:highlight w:val="white"/>
          <w:lang w:val="en-GB"/>
        </w:rPr>
        <w:t xml:space="preserve">, </w:t>
      </w:r>
      <w:r>
        <w:rPr>
          <w:i/>
          <w:color w:val="222222"/>
          <w:highlight w:val="white"/>
          <w:lang w:val="en-GB"/>
        </w:rPr>
        <w:t>6</w:t>
      </w:r>
      <w:r>
        <w:rPr>
          <w:color w:val="222222"/>
          <w:highlight w:val="white"/>
          <w:lang w:val="en-GB"/>
        </w:rPr>
        <w:t>(5), pp.8-14.</w:t>
      </w:r>
    </w:p>
    <w:p>
      <w:pPr>
        <w:pStyle w:val="3"/>
        <w:rPr>
          <w:color w:val="222222"/>
          <w:sz w:val="28"/>
          <w:szCs w:val="28"/>
          <w:highlight w:val="white"/>
          <w:lang w:val="en-GB"/>
        </w:rPr>
      </w:pPr>
      <w:r>
        <w:rPr>
          <w:color w:val="222222"/>
          <w:highlight w:val="white"/>
          <w:lang w:val="en-GB"/>
        </w:rPr>
        <w:t xml:space="preserve">Liu, Y., Chen, S., Bell, C. and Tan, J., (2020). How do power and status differ in predicting unethical decisions? A cross-national comparison of China and Canada. </w:t>
      </w:r>
      <w:r>
        <w:rPr>
          <w:i/>
          <w:color w:val="222222"/>
          <w:highlight w:val="white"/>
          <w:lang w:val="en-GB"/>
        </w:rPr>
        <w:t>Journal of Business Ethics</w:t>
      </w:r>
      <w:r>
        <w:rPr>
          <w:color w:val="222222"/>
          <w:highlight w:val="white"/>
          <w:lang w:val="en-GB"/>
        </w:rPr>
        <w:t xml:space="preserve">, </w:t>
      </w:r>
      <w:r>
        <w:rPr>
          <w:i/>
          <w:color w:val="222222"/>
          <w:highlight w:val="white"/>
          <w:lang w:val="en-GB"/>
        </w:rPr>
        <w:t>167</w:t>
      </w:r>
      <w:r>
        <w:rPr>
          <w:color w:val="222222"/>
          <w:highlight w:val="white"/>
          <w:lang w:val="en-GB"/>
        </w:rPr>
        <w:t>, pp.745-760.</w:t>
      </w:r>
    </w:p>
    <w:p>
      <w:pPr>
        <w:pStyle w:val="3"/>
        <w:rPr>
          <w:color w:val="222222"/>
          <w:highlight w:val="white"/>
          <w:lang w:val="en-GB"/>
        </w:rPr>
      </w:pPr>
      <w:r>
        <w:rPr>
          <w:color w:val="222222"/>
          <w:highlight w:val="white"/>
          <w:lang w:val="en-GB"/>
        </w:rPr>
        <w:t xml:space="preserve">Rahimian, S., ShamiZanjani, M., Manian, A. and Esfiddani, M.R., (2020). Developing a Customer Experience Management Framework in Hoteling Industry: A Systematic Review of Theoretical Foundations. </w:t>
      </w:r>
      <w:r>
        <w:rPr>
          <w:i/>
          <w:color w:val="222222"/>
          <w:highlight w:val="white"/>
          <w:lang w:val="en-GB"/>
        </w:rPr>
        <w:t>Journal of Business Management</w:t>
      </w:r>
      <w:r>
        <w:rPr>
          <w:color w:val="222222"/>
          <w:highlight w:val="white"/>
          <w:lang w:val="en-GB"/>
        </w:rPr>
        <w:t xml:space="preserve">, </w:t>
      </w:r>
      <w:r>
        <w:rPr>
          <w:i/>
          <w:color w:val="222222"/>
          <w:highlight w:val="white"/>
          <w:lang w:val="en-GB"/>
        </w:rPr>
        <w:t>12</w:t>
      </w:r>
      <w:r>
        <w:rPr>
          <w:color w:val="222222"/>
          <w:highlight w:val="white"/>
          <w:lang w:val="en-GB"/>
        </w:rPr>
        <w:t>(3), pp.523-547.</w:t>
      </w:r>
    </w:p>
    <w:p>
      <w:pPr>
        <w:pStyle w:val="3"/>
        <w:rPr>
          <w:lang w:val="en-GB"/>
        </w:rPr>
      </w:pPr>
      <w:r>
        <w:rPr>
          <w:lang w:val="en-GB"/>
        </w:rPr>
        <w:t xml:space="preserve">Statista, (2023), </w:t>
      </w:r>
      <w:r>
        <w:rPr>
          <w:i/>
          <w:lang w:val="en-GB"/>
        </w:rPr>
        <w:t xml:space="preserve">Travel &amp; Tourism - United Kingdom. </w:t>
      </w:r>
      <w:r>
        <w:rPr>
          <w:lang w:val="en-GB"/>
        </w:rPr>
        <w:t xml:space="preserve">&lt;Available at:  </w:t>
      </w:r>
      <w:r>
        <w:fldChar w:fldCharType="begin"/>
      </w:r>
      <w:r>
        <w:instrText xml:space="preserve"> HYPERLINK "https://www.statista.com/outlook/mmo/travel-tourism/united-kingdom" \l ":~:text=Travel%20%26%20Tourism%20%2D%20United%20Kingdom&amp;text=Revenue%20in%20the%20Travel%20%26%20Tourism,US%2441.67bn%20by%202027" \h </w:instrText>
      </w:r>
      <w:r>
        <w:fldChar w:fldCharType="separate"/>
      </w:r>
      <w:r>
        <w:rPr>
          <w:color w:val="1155CC"/>
          <w:u w:val="single"/>
          <w:lang w:val="en-GB"/>
        </w:rPr>
        <w:t>https://www.statista.com/outlook/mmo/travel-tourism/united-kingdom#:~:text=Travel%20%26%20Tourism%20%2D%20United%20Kingdom&amp;text=Revenue%20in%20the%20Travel%20%26%20Tourism,US%2441.67bn%20by%202027</w:t>
      </w:r>
      <w:r>
        <w:rPr>
          <w:color w:val="1155CC"/>
          <w:u w:val="single"/>
          <w:lang w:val="en-GB"/>
        </w:rPr>
        <w:fldChar w:fldCharType="end"/>
      </w:r>
      <w:r>
        <w:rPr>
          <w:lang w:val="en-GB"/>
        </w:rPr>
        <w:t>&gt;, [Acessed on 10 February 2023]</w:t>
      </w:r>
    </w:p>
    <w:p>
      <w:pPr>
        <w:pStyle w:val="3"/>
        <w:rPr>
          <w:color w:val="222222"/>
          <w:highlight w:val="white"/>
          <w:lang w:val="en-GB"/>
        </w:rPr>
      </w:pPr>
      <w:r>
        <w:rPr>
          <w:color w:val="222222"/>
          <w:highlight w:val="white"/>
          <w:lang w:val="en-GB"/>
        </w:rPr>
        <w:t xml:space="preserve">Tze, V.M., Li, J.C.H. and Daniels, L.M., (2022). Similarities and differences in social and emotional profiles among students in Canada, USA, China, and Singapore: PISA 2015. </w:t>
      </w:r>
      <w:r>
        <w:rPr>
          <w:i/>
          <w:color w:val="222222"/>
          <w:highlight w:val="white"/>
          <w:lang w:val="en-GB"/>
        </w:rPr>
        <w:t>Research Papers in Education</w:t>
      </w:r>
      <w:r>
        <w:rPr>
          <w:color w:val="222222"/>
          <w:highlight w:val="white"/>
          <w:lang w:val="en-GB"/>
        </w:rPr>
        <w:t xml:space="preserve">, </w:t>
      </w:r>
      <w:r>
        <w:rPr>
          <w:i/>
          <w:color w:val="222222"/>
          <w:highlight w:val="white"/>
          <w:lang w:val="en-GB"/>
        </w:rPr>
        <w:t>37</w:t>
      </w:r>
      <w:r>
        <w:rPr>
          <w:color w:val="222222"/>
          <w:highlight w:val="white"/>
          <w:lang w:val="en-GB"/>
        </w:rPr>
        <w:t>(4), pp.558-583.</w:t>
      </w:r>
    </w:p>
    <w:p>
      <w:pPr>
        <w:pStyle w:val="3"/>
        <w:rPr>
          <w:lang w:val="en-GB"/>
        </w:rPr>
      </w:pPr>
    </w:p>
    <w:p>
      <w:pPr>
        <w:pStyle w:val="3"/>
        <w:jc w:val="left"/>
        <w:rPr>
          <w:b/>
          <w:sz w:val="28"/>
          <w:szCs w:val="28"/>
          <w:lang w:val="en-GB"/>
        </w:rPr>
      </w:pPr>
    </w:p>
    <w:p>
      <w:pPr>
        <w:pStyle w:val="3"/>
        <w:rPr>
          <w:sz w:val="28"/>
          <w:szCs w:val="28"/>
          <w:lang w:val="en-GB"/>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right"/>
    </w:pPr>
    <w:r>
      <w:fldChar w:fldCharType="begin"/>
    </w:r>
    <w:r>
      <w:instrText xml:space="preserve">PAGE</w:instrText>
    </w:r>
    <w:r>
      <w:fldChar w:fldCharType="separate"/>
    </w:r>
    <w:r>
      <w:t>7</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2B5E938"/>
    <w:multiLevelType w:val="multilevel"/>
    <w:tmpl w:val="02B5E93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56BFAE10"/>
    <w:multiLevelType w:val="multilevel"/>
    <w:tmpl w:val="56BFAE1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4D0F1E"/>
    <w:rsid w:val="000C2D99"/>
    <w:rsid w:val="0027626F"/>
    <w:rsid w:val="004D0F1E"/>
    <w:rsid w:val="00EA653D"/>
    <w:rsid w:val="308A5F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eastAsia="en-US" w:bidi="ar-SA"/>
    </w:rPr>
  </w:style>
  <w:style w:type="paragraph" w:styleId="2">
    <w:name w:val="heading 1"/>
    <w:basedOn w:val="3"/>
    <w:next w:val="3"/>
    <w:uiPriority w:val="0"/>
    <w:pPr>
      <w:keepNext/>
      <w:keepLines/>
      <w:outlineLvl w:val="0"/>
    </w:pPr>
    <w:rPr>
      <w:b/>
      <w:sz w:val="28"/>
      <w:szCs w:val="28"/>
    </w:rPr>
  </w:style>
  <w:style w:type="paragraph" w:styleId="4">
    <w:name w:val="heading 2"/>
    <w:basedOn w:val="3"/>
    <w:next w:val="3"/>
    <w:uiPriority w:val="0"/>
    <w:pPr>
      <w:keepNext/>
      <w:keepLines/>
      <w:spacing w:before="360" w:after="120"/>
      <w:outlineLvl w:val="1"/>
    </w:pPr>
    <w:rPr>
      <w:sz w:val="32"/>
      <w:szCs w:val="32"/>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rPr>
  </w:style>
  <w:style w:type="paragraph" w:styleId="7">
    <w:name w:val="heading 5"/>
    <w:basedOn w:val="3"/>
    <w:next w:val="3"/>
    <w:uiPriority w:val="0"/>
    <w:pPr>
      <w:keepNext/>
      <w:keepLines/>
      <w:spacing w:before="240" w:after="80"/>
      <w:outlineLvl w:val="4"/>
    </w:pPr>
    <w:rPr>
      <w:color w:val="666666"/>
      <w:sz w:val="22"/>
      <w:szCs w:val="22"/>
    </w:rPr>
  </w:style>
  <w:style w:type="paragraph" w:styleId="8">
    <w:name w:val="heading 6"/>
    <w:basedOn w:val="3"/>
    <w:next w:val="3"/>
    <w:uiPriority w:val="0"/>
    <w:pPr>
      <w:keepNext/>
      <w:keepLines/>
      <w:spacing w:before="240" w:after="80"/>
      <w:outlineLvl w:val="5"/>
    </w:pPr>
    <w:rPr>
      <w:i/>
      <w:color w:val="666666"/>
      <w:sz w:val="22"/>
      <w:szCs w:val="22"/>
    </w:rPr>
  </w:style>
  <w:style w:type="character" w:default="1" w:styleId="9">
    <w:name w:val="Default Paragraph Font"/>
    <w:semiHidden/>
    <w:unhideWhenUsed/>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
    <w:uiPriority w:val="0"/>
    <w:pPr>
      <w:spacing w:line="360" w:lineRule="auto"/>
      <w:jc w:val="both"/>
    </w:pPr>
    <w:rPr>
      <w:rFonts w:ascii="Times New Roman" w:hAnsi="Times New Roman" w:eastAsia="Times New Roman" w:cs="Times New Roman"/>
      <w:sz w:val="24"/>
      <w:szCs w:val="24"/>
      <w:lang w:eastAsia="en-US" w:bidi="ar-SA"/>
    </w:rPr>
  </w:style>
  <w:style w:type="paragraph" w:styleId="11">
    <w:name w:val="Balloon Text"/>
    <w:basedOn w:val="1"/>
    <w:link w:val="18"/>
    <w:semiHidden/>
    <w:unhideWhenUsed/>
    <w:uiPriority w:val="99"/>
    <w:pPr>
      <w:spacing w:line="240" w:lineRule="auto"/>
    </w:pPr>
    <w:rPr>
      <w:rFonts w:ascii="Tahoma" w:hAnsi="Tahoma" w:cs="Tahoma"/>
      <w:sz w:val="16"/>
      <w:szCs w:val="16"/>
    </w:rPr>
  </w:style>
  <w:style w:type="character" w:styleId="12">
    <w:name w:val="Hyperlink"/>
    <w:basedOn w:val="9"/>
    <w:unhideWhenUsed/>
    <w:uiPriority w:val="99"/>
    <w:rPr>
      <w:color w:val="0000FF" w:themeColor="hyperlink"/>
      <w:u w:val="single"/>
    </w:rPr>
  </w:style>
  <w:style w:type="paragraph" w:styleId="13">
    <w:name w:val="Subtitle"/>
    <w:basedOn w:val="3"/>
    <w:next w:val="3"/>
    <w:uiPriority w:val="0"/>
    <w:pPr>
      <w:keepNext/>
      <w:keepLines/>
      <w:spacing w:after="320"/>
    </w:pPr>
    <w:rPr>
      <w:rFonts w:ascii="Arial" w:hAnsi="Arial" w:eastAsia="Arial" w:cs="Arial"/>
      <w:color w:val="666666"/>
      <w:sz w:val="30"/>
      <w:szCs w:val="30"/>
    </w:rPr>
  </w:style>
  <w:style w:type="paragraph" w:styleId="14">
    <w:name w:val="Title"/>
    <w:basedOn w:val="3"/>
    <w:next w:val="3"/>
    <w:uiPriority w:val="0"/>
    <w:pPr>
      <w:keepNext/>
      <w:keepLines/>
      <w:spacing w:after="60"/>
    </w:pPr>
    <w:rPr>
      <w:sz w:val="52"/>
      <w:szCs w:val="52"/>
    </w:rPr>
  </w:style>
  <w:style w:type="paragraph" w:styleId="15">
    <w:name w:val="toc 1"/>
    <w:basedOn w:val="1"/>
    <w:next w:val="1"/>
    <w:unhideWhenUsed/>
    <w:uiPriority w:val="39"/>
    <w:pPr>
      <w:spacing w:after="100"/>
    </w:pPr>
  </w:style>
  <w:style w:type="table" w:customStyle="1" w:styleId="16">
    <w:name w:val="Table Normal1"/>
    <w:uiPriority w:val="0"/>
    <w:tblPr>
      <w:tblCellMar>
        <w:top w:w="0" w:type="dxa"/>
        <w:left w:w="0" w:type="dxa"/>
        <w:bottom w:w="0" w:type="dxa"/>
        <w:right w:w="0" w:type="dxa"/>
      </w:tblCellMar>
    </w:tblPr>
  </w:style>
  <w:style w:type="table" w:customStyle="1" w:styleId="17">
    <w:name w:val="Table1"/>
    <w:basedOn w:val="16"/>
    <w:uiPriority w:val="0"/>
    <w:tblPr>
      <w:tblCellMar>
        <w:top w:w="100" w:type="dxa"/>
        <w:left w:w="100" w:type="dxa"/>
        <w:bottom w:w="100" w:type="dxa"/>
        <w:right w:w="100" w:type="dxa"/>
      </w:tblCellMar>
    </w:tblPr>
  </w:style>
  <w:style w:type="character" w:customStyle="1" w:styleId="18">
    <w:name w:val="Balloon Text Char"/>
    <w:basedOn w:val="9"/>
    <w:link w:val="11"/>
    <w:semiHidden/>
    <w:uiPriority w:val="99"/>
    <w:rPr>
      <w:rFonts w:ascii="Tahoma" w:hAnsi="Tahoma" w:cs="Tahoma"/>
      <w:sz w:val="16"/>
      <w:szCs w:val="16"/>
    </w:rPr>
  </w:style>
  <w:style w:type="paragraph" w:customStyle="1" w:styleId="19">
    <w:name w:val="TOC Heading"/>
    <w:basedOn w:val="2"/>
    <w:next w:val="1"/>
    <w:semiHidden/>
    <w:unhideWhenUsed/>
    <w:qFormat/>
    <w:uiPriority w:val="39"/>
    <w:pPr>
      <w:spacing w:before="480" w:line="276" w:lineRule="auto"/>
      <w:jc w:val="left"/>
      <w:outlineLvl w:val="9"/>
    </w:pPr>
    <w:rPr>
      <w:rFonts w:asciiTheme="majorHAnsi" w:hAnsiTheme="majorHAnsi" w:eastAsiaTheme="majorEastAsia" w:cstheme="majorBidi"/>
      <w:bCs/>
      <w:color w:val="366091" w:themeColor="accent1" w:themeShade="BF"/>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B8147F-3275-41F5-A9CE-2A643F0028F6}">
  <ds:schemaRefs/>
</ds:datastoreItem>
</file>

<file path=docProps/app.xml><?xml version="1.0" encoding="utf-8"?>
<Properties xmlns="http://schemas.openxmlformats.org/officeDocument/2006/extended-properties" xmlns:vt="http://schemas.openxmlformats.org/officeDocument/2006/docPropsVTypes">
  <Template>Normal.dotm</Template>
  <Pages>8</Pages>
  <Words>1495</Words>
  <Characters>8526</Characters>
  <Lines>71</Lines>
  <Paragraphs>20</Paragraphs>
  <TotalTime>8</TotalTime>
  <ScaleCrop>false</ScaleCrop>
  <LinksUpToDate>false</LinksUpToDate>
  <CharactersWithSpaces>10001</CharactersWithSpaces>
  <Application>WPS Office_11.2.0.11219_F1E327BC-269C-435d-A152-05C5408002CA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2023-02-11T08:39:00Z</dcterms:created>
  <dc:creator>mario</dc:creator>
  <cp:lastModifiedBy>mario</cp:lastModifiedBy>
  <dcterms:modified xsi:type="dcterms:W3CDTF">2023-02-28T19:21:24Z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D35DC07DBCBB4B7786CDF666BB1D4B24</vt:lpwstr>
  </property>
</Properties>
</file>