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A8F3" w14:textId="77777777" w:rsidR="00D356AD" w:rsidRDefault="007F38C8" w:rsidP="007D1AD4">
      <w:pPr>
        <w:pStyle w:val="Title"/>
        <w:ind w:firstLine="720"/>
        <w:rPr>
          <w:rFonts w:ascii="Times New Roman" w:hAnsi="Times New Roman" w:cs="Times New Roman"/>
          <w:b/>
          <w:bCs/>
          <w:color w:val="000000" w:themeColor="text1"/>
        </w:rPr>
      </w:pPr>
      <w:r w:rsidRPr="003A4EE0">
        <w:rPr>
          <w:rFonts w:ascii="Times New Roman" w:hAnsi="Times New Roman" w:cs="Times New Roman"/>
          <w:b/>
          <w:bCs/>
          <w:color w:val="000000" w:themeColor="text1"/>
        </w:rPr>
        <w:t xml:space="preserve">ACCOUNING FUNDAMENTALS </w:t>
      </w:r>
    </w:p>
    <w:p w14:paraId="20AEFF4C" w14:textId="77777777" w:rsidR="00D356AD" w:rsidRDefault="00D356AD" w:rsidP="00D356AD">
      <w:pPr>
        <w:rPr>
          <w:rFonts w:ascii="Aptos Narrow" w:hAnsi="Aptos Narrow"/>
          <w:sz w:val="40"/>
          <w:szCs w:val="40"/>
          <w:lang w:val="en-US"/>
        </w:rPr>
      </w:pPr>
    </w:p>
    <w:p w14:paraId="245F1E98" w14:textId="77777777" w:rsidR="00D356AD" w:rsidRDefault="00D356AD" w:rsidP="00D356AD">
      <w:pPr>
        <w:rPr>
          <w:rFonts w:ascii="Aptos Narrow" w:hAnsi="Aptos Narrow"/>
          <w:sz w:val="40"/>
          <w:szCs w:val="40"/>
          <w:lang w:val="en-US"/>
        </w:rPr>
      </w:pPr>
    </w:p>
    <w:p w14:paraId="69A72889" w14:textId="77777777" w:rsidR="00D356AD" w:rsidRDefault="00D356AD" w:rsidP="00D356AD">
      <w:pPr>
        <w:rPr>
          <w:rFonts w:ascii="Aptos Narrow" w:hAnsi="Aptos Narrow"/>
          <w:sz w:val="40"/>
          <w:szCs w:val="40"/>
          <w:lang w:val="en-US"/>
        </w:rPr>
      </w:pPr>
    </w:p>
    <w:p w14:paraId="2131432C" w14:textId="77777777" w:rsidR="00D356AD" w:rsidRDefault="00D356AD" w:rsidP="00D356AD">
      <w:pPr>
        <w:rPr>
          <w:rFonts w:ascii="Aptos Narrow" w:hAnsi="Aptos Narrow"/>
          <w:sz w:val="40"/>
          <w:szCs w:val="40"/>
          <w:lang w:val="en-US"/>
        </w:rPr>
      </w:pPr>
    </w:p>
    <w:p w14:paraId="3ABA8B47" w14:textId="77777777" w:rsidR="00D356AD" w:rsidRDefault="00D356AD" w:rsidP="00D356AD">
      <w:pPr>
        <w:rPr>
          <w:rFonts w:ascii="Aptos Narrow" w:hAnsi="Aptos Narrow"/>
          <w:sz w:val="40"/>
          <w:szCs w:val="40"/>
          <w:lang w:val="en-US"/>
        </w:rPr>
      </w:pPr>
    </w:p>
    <w:p w14:paraId="7B1D8FD4" w14:textId="77777777" w:rsidR="00D356AD" w:rsidRDefault="00D356AD" w:rsidP="00D356AD">
      <w:pPr>
        <w:rPr>
          <w:rFonts w:ascii="Aptos Narrow" w:hAnsi="Aptos Narrow"/>
          <w:sz w:val="40"/>
          <w:szCs w:val="40"/>
          <w:lang w:val="en-US"/>
        </w:rPr>
      </w:pPr>
    </w:p>
    <w:p w14:paraId="4C39DB48" w14:textId="77777777" w:rsidR="00D356AD" w:rsidRDefault="00D356AD" w:rsidP="00D356AD">
      <w:pPr>
        <w:rPr>
          <w:rFonts w:ascii="Aptos Narrow" w:hAnsi="Aptos Narrow"/>
          <w:sz w:val="40"/>
          <w:szCs w:val="40"/>
          <w:lang w:val="en-US"/>
        </w:rPr>
      </w:pPr>
    </w:p>
    <w:p w14:paraId="6AD209E6" w14:textId="77777777" w:rsidR="00D356AD" w:rsidRDefault="00D356AD" w:rsidP="00D356AD">
      <w:pPr>
        <w:rPr>
          <w:rFonts w:ascii="Aptos Narrow" w:hAnsi="Aptos Narrow"/>
          <w:sz w:val="40"/>
          <w:szCs w:val="40"/>
          <w:lang w:val="en-US"/>
        </w:rPr>
      </w:pPr>
    </w:p>
    <w:p w14:paraId="230D357D" w14:textId="629E37DD" w:rsidR="00D356AD" w:rsidRPr="00D356AD" w:rsidRDefault="00D356AD" w:rsidP="00D356AD">
      <w:pPr>
        <w:rPr>
          <w:rFonts w:ascii="Bahnschrift SemiLight SemiConde" w:hAnsi="Bahnschrift SemiLight SemiConde"/>
          <w:sz w:val="48"/>
          <w:szCs w:val="48"/>
          <w:lang w:val="en-US"/>
        </w:rPr>
      </w:pPr>
      <w:r w:rsidRPr="00D356AD">
        <w:rPr>
          <w:rFonts w:ascii="Bahnschrift SemiLight SemiConde" w:hAnsi="Bahnschrift SemiLight SemiConde"/>
          <w:sz w:val="48"/>
          <w:szCs w:val="48"/>
          <w:lang w:val="en-US"/>
        </w:rPr>
        <w:t>Name- JANNAT</w:t>
      </w:r>
    </w:p>
    <w:p w14:paraId="4CC9D3A1" w14:textId="77777777" w:rsidR="00D356AD" w:rsidRPr="00D356AD" w:rsidRDefault="00D356AD" w:rsidP="00D356AD">
      <w:pPr>
        <w:rPr>
          <w:rFonts w:ascii="Bahnschrift SemiLight SemiConde" w:hAnsi="Bahnschrift SemiLight SemiConde"/>
          <w:sz w:val="48"/>
          <w:szCs w:val="48"/>
          <w:lang w:val="en-US"/>
        </w:rPr>
      </w:pPr>
      <w:r w:rsidRPr="00D356AD">
        <w:rPr>
          <w:rFonts w:ascii="Bahnschrift SemiLight SemiConde" w:hAnsi="Bahnschrift SemiLight SemiConde"/>
          <w:sz w:val="48"/>
          <w:szCs w:val="48"/>
          <w:lang w:val="en-US"/>
        </w:rPr>
        <w:t>Student ID- 2239865</w:t>
      </w:r>
    </w:p>
    <w:p w14:paraId="75C896F2" w14:textId="77777777" w:rsidR="00D356AD" w:rsidRPr="00D356AD" w:rsidRDefault="00D356AD" w:rsidP="00D356AD">
      <w:pPr>
        <w:rPr>
          <w:rFonts w:ascii="Bahnschrift SemiLight SemiConde" w:hAnsi="Bahnschrift SemiLight SemiConde"/>
          <w:sz w:val="48"/>
          <w:szCs w:val="48"/>
          <w:lang w:val="en-US"/>
        </w:rPr>
      </w:pPr>
      <w:r w:rsidRPr="00D356AD">
        <w:rPr>
          <w:rFonts w:ascii="Bahnschrift SemiLight SemiConde" w:hAnsi="Bahnschrift SemiLight SemiConde"/>
          <w:sz w:val="48"/>
          <w:szCs w:val="48"/>
          <w:lang w:val="en-US"/>
        </w:rPr>
        <w:t>Module code- LCBB4003</w:t>
      </w:r>
    </w:p>
    <w:p w14:paraId="2B53C723" w14:textId="4CDBAF14" w:rsidR="00D356AD" w:rsidRPr="00D356AD" w:rsidRDefault="00D356AD" w:rsidP="00D356AD">
      <w:pPr>
        <w:rPr>
          <w:rFonts w:ascii="Bahnschrift SemiLight SemiConde" w:hAnsi="Bahnschrift SemiLight SemiConde"/>
          <w:sz w:val="48"/>
          <w:szCs w:val="48"/>
          <w:lang w:val="en-US"/>
        </w:rPr>
      </w:pPr>
      <w:r w:rsidRPr="00D356AD">
        <w:rPr>
          <w:rFonts w:ascii="Bahnschrift SemiLight SemiConde" w:hAnsi="Bahnschrift SemiLight SemiConde"/>
          <w:sz w:val="48"/>
          <w:szCs w:val="48"/>
          <w:lang w:val="en-US"/>
        </w:rPr>
        <w:t xml:space="preserve">Module Name- </w:t>
      </w:r>
      <w:r>
        <w:rPr>
          <w:rFonts w:ascii="Bahnschrift SemiLight SemiConde" w:hAnsi="Bahnschrift SemiLight SemiConde"/>
          <w:sz w:val="48"/>
          <w:szCs w:val="48"/>
          <w:lang w:val="en-US"/>
        </w:rPr>
        <w:t xml:space="preserve">ACCOUNTING FUNDAMENTALS </w:t>
      </w:r>
    </w:p>
    <w:p w14:paraId="395753BD" w14:textId="0C8E82CE" w:rsidR="00D356AD" w:rsidRDefault="00D356AD" w:rsidP="00D356AD">
      <w:pPr>
        <w:pStyle w:val="Title"/>
        <w:rPr>
          <w:rFonts w:ascii="Times New Roman" w:hAnsi="Times New Roman" w:cs="Times New Roman"/>
          <w:b/>
          <w:bCs/>
        </w:rPr>
      </w:pPr>
      <w:r w:rsidRPr="00D356AD">
        <w:rPr>
          <w:rFonts w:ascii="Bahnschrift SemiLight SemiConde" w:hAnsi="Bahnschrift SemiLight SemiConde"/>
          <w:sz w:val="48"/>
          <w:szCs w:val="48"/>
          <w:lang w:val="en-US"/>
        </w:rPr>
        <w:t xml:space="preserve">Lecturer- </w:t>
      </w:r>
      <w:r>
        <w:rPr>
          <w:rFonts w:ascii="Bahnschrift SemiLight SemiConde" w:hAnsi="Bahnschrift SemiLight SemiConde"/>
          <w:sz w:val="48"/>
          <w:szCs w:val="48"/>
          <w:lang w:val="en-US"/>
        </w:rPr>
        <w:t>KONSTAN</w:t>
      </w:r>
      <w:r w:rsidR="00197406">
        <w:rPr>
          <w:rFonts w:ascii="Bahnschrift SemiLight SemiConde" w:hAnsi="Bahnschrift SemiLight SemiConde"/>
          <w:sz w:val="48"/>
          <w:szCs w:val="48"/>
          <w:lang w:val="en-US"/>
        </w:rPr>
        <w:t>TINA MARI</w:t>
      </w:r>
      <w:r w:rsidRPr="005A373F">
        <w:rPr>
          <w:rFonts w:ascii="Aptos Narrow" w:hAnsi="Aptos Narrow"/>
          <w:b/>
          <w:color w:val="000000" w:themeColor="text1"/>
          <w:szCs w:val="32"/>
        </w:rPr>
        <w:br w:type="page"/>
      </w:r>
    </w:p>
    <w:sdt>
      <w:sdtPr>
        <w:rPr>
          <w:rFonts w:ascii="Times New Roman" w:eastAsia="Arial" w:hAnsi="Times New Roman" w:cs="Arial"/>
          <w:color w:val="000000" w:themeColor="text1"/>
          <w:sz w:val="24"/>
          <w:szCs w:val="22"/>
          <w:lang w:val="en-GB" w:eastAsia="en-IN"/>
        </w:rPr>
        <w:id w:val="837733291"/>
        <w:docPartObj>
          <w:docPartGallery w:val="Table of Contents"/>
          <w:docPartUnique/>
        </w:docPartObj>
      </w:sdtPr>
      <w:sdtEndPr>
        <w:rPr>
          <w:b/>
          <w:bCs/>
          <w:noProof/>
        </w:rPr>
      </w:sdtEndPr>
      <w:sdtContent>
        <w:p w14:paraId="3C99D24E" w14:textId="482472DD" w:rsidR="00D97F4B" w:rsidRPr="007E3CC2" w:rsidRDefault="00D97F4B" w:rsidP="00D356AD">
          <w:pPr>
            <w:pStyle w:val="TOCHeading"/>
            <w:spacing w:after="240" w:line="360" w:lineRule="auto"/>
            <w:jc w:val="both"/>
            <w:rPr>
              <w:rFonts w:ascii="Times New Roman" w:hAnsi="Times New Roman" w:cs="Times New Roman"/>
              <w:b/>
              <w:bCs/>
              <w:color w:val="000000" w:themeColor="text1"/>
              <w:sz w:val="24"/>
              <w:szCs w:val="24"/>
            </w:rPr>
          </w:pPr>
          <w:r w:rsidRPr="007E3CC2">
            <w:rPr>
              <w:rFonts w:ascii="Times New Roman" w:hAnsi="Times New Roman" w:cs="Times New Roman"/>
              <w:b/>
              <w:bCs/>
              <w:color w:val="000000" w:themeColor="text1"/>
              <w:sz w:val="24"/>
              <w:szCs w:val="24"/>
            </w:rPr>
            <w:t>Table of Contents</w:t>
          </w:r>
        </w:p>
        <w:p w14:paraId="7888CB10" w14:textId="6ED9B5FE" w:rsidR="007D1AD4" w:rsidRDefault="00D97F4B">
          <w:pPr>
            <w:pStyle w:val="TOC1"/>
            <w:tabs>
              <w:tab w:val="right" w:leader="dot" w:pos="9019"/>
            </w:tabs>
            <w:rPr>
              <w:rFonts w:asciiTheme="minorHAnsi" w:eastAsiaTheme="minorEastAsia" w:hAnsiTheme="minorHAnsi" w:cstheme="minorBidi"/>
              <w:noProof/>
              <w:kern w:val="2"/>
              <w:lang w:val="en-IN"/>
              <w14:ligatures w14:val="standardContextual"/>
            </w:rPr>
          </w:pPr>
          <w:r w:rsidRPr="007E3CC2">
            <w:rPr>
              <w:rFonts w:ascii="Times New Roman" w:hAnsi="Times New Roman" w:cs="Times New Roman"/>
              <w:color w:val="000000" w:themeColor="text1"/>
              <w:sz w:val="24"/>
              <w:szCs w:val="24"/>
            </w:rPr>
            <w:fldChar w:fldCharType="begin"/>
          </w:r>
          <w:r w:rsidRPr="007E3CC2">
            <w:rPr>
              <w:rFonts w:ascii="Times New Roman" w:hAnsi="Times New Roman" w:cs="Times New Roman"/>
              <w:color w:val="000000" w:themeColor="text1"/>
              <w:sz w:val="24"/>
              <w:szCs w:val="24"/>
            </w:rPr>
            <w:instrText xml:space="preserve"> TOC \o "1-3" \h \z \u </w:instrText>
          </w:r>
          <w:r w:rsidRPr="007E3CC2">
            <w:rPr>
              <w:rFonts w:ascii="Times New Roman" w:hAnsi="Times New Roman" w:cs="Times New Roman"/>
              <w:color w:val="000000" w:themeColor="text1"/>
              <w:sz w:val="24"/>
              <w:szCs w:val="24"/>
            </w:rPr>
            <w:fldChar w:fldCharType="separate"/>
          </w:r>
          <w:hyperlink w:anchor="_Toc153958253" w:history="1">
            <w:r w:rsidR="007D1AD4" w:rsidRPr="00CB3FBE">
              <w:rPr>
                <w:rStyle w:val="Hyperlink"/>
                <w:rFonts w:ascii="Times New Roman" w:hAnsi="Times New Roman"/>
                <w:b/>
                <w:bCs/>
                <w:noProof/>
              </w:rPr>
              <w:t>Introduction</w:t>
            </w:r>
            <w:r w:rsidR="007D1AD4">
              <w:rPr>
                <w:noProof/>
                <w:webHidden/>
              </w:rPr>
              <w:tab/>
            </w:r>
            <w:r w:rsidR="007D1AD4">
              <w:rPr>
                <w:noProof/>
                <w:webHidden/>
              </w:rPr>
              <w:fldChar w:fldCharType="begin"/>
            </w:r>
            <w:r w:rsidR="007D1AD4">
              <w:rPr>
                <w:noProof/>
                <w:webHidden/>
              </w:rPr>
              <w:instrText xml:space="preserve"> PAGEREF _Toc153958253 \h </w:instrText>
            </w:r>
            <w:r w:rsidR="007D1AD4">
              <w:rPr>
                <w:noProof/>
                <w:webHidden/>
              </w:rPr>
            </w:r>
            <w:r w:rsidR="007D1AD4">
              <w:rPr>
                <w:noProof/>
                <w:webHidden/>
              </w:rPr>
              <w:fldChar w:fldCharType="separate"/>
            </w:r>
            <w:r w:rsidR="007D1AD4">
              <w:rPr>
                <w:noProof/>
                <w:webHidden/>
              </w:rPr>
              <w:t>3</w:t>
            </w:r>
            <w:r w:rsidR="007D1AD4">
              <w:rPr>
                <w:noProof/>
                <w:webHidden/>
              </w:rPr>
              <w:fldChar w:fldCharType="end"/>
            </w:r>
          </w:hyperlink>
        </w:p>
        <w:p w14:paraId="32E32132" w14:textId="5B7D1674" w:rsidR="007D1AD4" w:rsidRDefault="007D1AD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3958254" w:history="1">
            <w:r w:rsidRPr="00CB3FBE">
              <w:rPr>
                <w:rStyle w:val="Hyperlink"/>
                <w:rFonts w:ascii="Times New Roman" w:hAnsi="Times New Roman"/>
                <w:b/>
                <w:bCs/>
                <w:noProof/>
              </w:rPr>
              <w:t>Question 1</w:t>
            </w:r>
            <w:r>
              <w:rPr>
                <w:noProof/>
                <w:webHidden/>
              </w:rPr>
              <w:tab/>
            </w:r>
            <w:r>
              <w:rPr>
                <w:noProof/>
                <w:webHidden/>
              </w:rPr>
              <w:fldChar w:fldCharType="begin"/>
            </w:r>
            <w:r>
              <w:rPr>
                <w:noProof/>
                <w:webHidden/>
              </w:rPr>
              <w:instrText xml:space="preserve"> PAGEREF _Toc153958254 \h </w:instrText>
            </w:r>
            <w:r>
              <w:rPr>
                <w:noProof/>
                <w:webHidden/>
              </w:rPr>
            </w:r>
            <w:r>
              <w:rPr>
                <w:noProof/>
                <w:webHidden/>
              </w:rPr>
              <w:fldChar w:fldCharType="separate"/>
            </w:r>
            <w:r>
              <w:rPr>
                <w:noProof/>
                <w:webHidden/>
              </w:rPr>
              <w:t>4</w:t>
            </w:r>
            <w:r>
              <w:rPr>
                <w:noProof/>
                <w:webHidden/>
              </w:rPr>
              <w:fldChar w:fldCharType="end"/>
            </w:r>
          </w:hyperlink>
        </w:p>
        <w:p w14:paraId="4E7D42B8" w14:textId="0CC2A892" w:rsidR="007D1AD4" w:rsidRDefault="007D1AD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3958255" w:history="1">
            <w:r w:rsidRPr="00CB3FBE">
              <w:rPr>
                <w:rStyle w:val="Hyperlink"/>
                <w:rFonts w:ascii="Times New Roman" w:hAnsi="Times New Roman"/>
                <w:b/>
                <w:bCs/>
                <w:noProof/>
              </w:rPr>
              <w:t>Question 2</w:t>
            </w:r>
            <w:r>
              <w:rPr>
                <w:noProof/>
                <w:webHidden/>
              </w:rPr>
              <w:tab/>
            </w:r>
            <w:r>
              <w:rPr>
                <w:noProof/>
                <w:webHidden/>
              </w:rPr>
              <w:fldChar w:fldCharType="begin"/>
            </w:r>
            <w:r>
              <w:rPr>
                <w:noProof/>
                <w:webHidden/>
              </w:rPr>
              <w:instrText xml:space="preserve"> PAGEREF _Toc153958255 \h </w:instrText>
            </w:r>
            <w:r>
              <w:rPr>
                <w:noProof/>
                <w:webHidden/>
              </w:rPr>
            </w:r>
            <w:r>
              <w:rPr>
                <w:noProof/>
                <w:webHidden/>
              </w:rPr>
              <w:fldChar w:fldCharType="separate"/>
            </w:r>
            <w:r>
              <w:rPr>
                <w:noProof/>
                <w:webHidden/>
              </w:rPr>
              <w:t>7</w:t>
            </w:r>
            <w:r>
              <w:rPr>
                <w:noProof/>
                <w:webHidden/>
              </w:rPr>
              <w:fldChar w:fldCharType="end"/>
            </w:r>
          </w:hyperlink>
        </w:p>
        <w:p w14:paraId="36757897" w14:textId="2D60904A" w:rsidR="007D1AD4" w:rsidRDefault="007D1AD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3958256" w:history="1">
            <w:r w:rsidRPr="00CB3FBE">
              <w:rPr>
                <w:rStyle w:val="Hyperlink"/>
                <w:rFonts w:ascii="Times New Roman" w:hAnsi="Times New Roman"/>
                <w:b/>
                <w:bCs/>
                <w:noProof/>
              </w:rPr>
              <w:t>Question 3</w:t>
            </w:r>
            <w:r>
              <w:rPr>
                <w:noProof/>
                <w:webHidden/>
              </w:rPr>
              <w:tab/>
            </w:r>
            <w:r>
              <w:rPr>
                <w:noProof/>
                <w:webHidden/>
              </w:rPr>
              <w:fldChar w:fldCharType="begin"/>
            </w:r>
            <w:r>
              <w:rPr>
                <w:noProof/>
                <w:webHidden/>
              </w:rPr>
              <w:instrText xml:space="preserve"> PAGEREF _Toc153958256 \h </w:instrText>
            </w:r>
            <w:r>
              <w:rPr>
                <w:noProof/>
                <w:webHidden/>
              </w:rPr>
            </w:r>
            <w:r>
              <w:rPr>
                <w:noProof/>
                <w:webHidden/>
              </w:rPr>
              <w:fldChar w:fldCharType="separate"/>
            </w:r>
            <w:r>
              <w:rPr>
                <w:noProof/>
                <w:webHidden/>
              </w:rPr>
              <w:t>9</w:t>
            </w:r>
            <w:r>
              <w:rPr>
                <w:noProof/>
                <w:webHidden/>
              </w:rPr>
              <w:fldChar w:fldCharType="end"/>
            </w:r>
          </w:hyperlink>
        </w:p>
        <w:p w14:paraId="53A01A56" w14:textId="57601BA2" w:rsidR="007D1AD4" w:rsidRDefault="007D1AD4">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3958257" w:history="1">
            <w:r w:rsidRPr="00CB3FBE">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_Toc153958257 \h </w:instrText>
            </w:r>
            <w:r>
              <w:rPr>
                <w:noProof/>
                <w:webHidden/>
              </w:rPr>
            </w:r>
            <w:r>
              <w:rPr>
                <w:noProof/>
                <w:webHidden/>
              </w:rPr>
              <w:fldChar w:fldCharType="separate"/>
            </w:r>
            <w:r>
              <w:rPr>
                <w:noProof/>
                <w:webHidden/>
              </w:rPr>
              <w:t>11</w:t>
            </w:r>
            <w:r>
              <w:rPr>
                <w:noProof/>
                <w:webHidden/>
              </w:rPr>
              <w:fldChar w:fldCharType="end"/>
            </w:r>
          </w:hyperlink>
        </w:p>
        <w:p w14:paraId="7425BC7F" w14:textId="401F3B25" w:rsidR="00D97F4B" w:rsidRPr="00D97F4B" w:rsidRDefault="00D97F4B" w:rsidP="00D97F4B">
          <w:pPr>
            <w:spacing w:before="240" w:after="240" w:line="360" w:lineRule="auto"/>
            <w:jc w:val="both"/>
            <w:rPr>
              <w:rFonts w:ascii="Times New Roman" w:hAnsi="Times New Roman"/>
              <w:color w:val="000000" w:themeColor="text1"/>
              <w:sz w:val="24"/>
            </w:rPr>
          </w:pPr>
          <w:r w:rsidRPr="007E3CC2">
            <w:rPr>
              <w:rFonts w:ascii="Times New Roman" w:hAnsi="Times New Roman" w:cs="Times New Roman"/>
              <w:noProof/>
              <w:color w:val="000000" w:themeColor="text1"/>
              <w:sz w:val="24"/>
              <w:szCs w:val="24"/>
            </w:rPr>
            <w:fldChar w:fldCharType="end"/>
          </w:r>
        </w:p>
      </w:sdtContent>
    </w:sdt>
    <w:p w14:paraId="00BE6F3B" w14:textId="77777777" w:rsidR="00FA738B" w:rsidRPr="00D97F4B" w:rsidRDefault="00FA738B" w:rsidP="00D97F4B">
      <w:pPr>
        <w:spacing w:before="240" w:after="240" w:line="360" w:lineRule="auto"/>
        <w:jc w:val="both"/>
        <w:rPr>
          <w:rFonts w:ascii="Times New Roman" w:eastAsia="Times New Roman" w:hAnsi="Times New Roman" w:cs="Times New Roman"/>
          <w:b/>
          <w:color w:val="000000" w:themeColor="text1"/>
          <w:sz w:val="24"/>
          <w:szCs w:val="28"/>
        </w:rPr>
      </w:pPr>
      <w:r w:rsidRPr="00D97F4B">
        <w:rPr>
          <w:rFonts w:ascii="Times New Roman" w:eastAsia="Times New Roman" w:hAnsi="Times New Roman" w:cs="Times New Roman"/>
          <w:b/>
          <w:color w:val="000000" w:themeColor="text1"/>
          <w:sz w:val="24"/>
          <w:szCs w:val="28"/>
        </w:rPr>
        <w:br w:type="page"/>
      </w:r>
    </w:p>
    <w:p w14:paraId="00F65C3E" w14:textId="19B99CBB" w:rsidR="00F27FA4" w:rsidRPr="00D97F4B" w:rsidRDefault="007F38C8" w:rsidP="00D97F4B">
      <w:pPr>
        <w:pStyle w:val="Heading1"/>
        <w:spacing w:before="240" w:after="240" w:line="360" w:lineRule="auto"/>
        <w:jc w:val="both"/>
        <w:rPr>
          <w:rFonts w:ascii="Times New Roman" w:hAnsi="Times New Roman"/>
          <w:b/>
          <w:bCs/>
          <w:color w:val="000000" w:themeColor="text1"/>
          <w:sz w:val="24"/>
        </w:rPr>
      </w:pPr>
      <w:bookmarkStart w:id="0" w:name="_Toc153958253"/>
      <w:r w:rsidRPr="00D97F4B">
        <w:rPr>
          <w:rFonts w:ascii="Times New Roman" w:hAnsi="Times New Roman"/>
          <w:b/>
          <w:bCs/>
          <w:color w:val="000000" w:themeColor="text1"/>
          <w:sz w:val="24"/>
        </w:rPr>
        <w:lastRenderedPageBreak/>
        <w:t>Introduction</w:t>
      </w:r>
      <w:bookmarkEnd w:id="0"/>
      <w:r w:rsidRPr="00D97F4B">
        <w:rPr>
          <w:rFonts w:ascii="Times New Roman" w:hAnsi="Times New Roman"/>
          <w:b/>
          <w:bCs/>
          <w:color w:val="000000" w:themeColor="text1"/>
          <w:sz w:val="24"/>
        </w:rPr>
        <w:t xml:space="preserve"> </w:t>
      </w:r>
    </w:p>
    <w:p w14:paraId="063D692E" w14:textId="39695A4A"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Accounting is directly related to the financial environment of the companies by which the external and internal capabilities of the firm for operating its activities in the market can be understood. It consists of some crucial steps such as recording, segmenting, analysing and making decisions based on the summarisation of the monetary transactions that occurred within a certain period. Effective accounting denotes economic flexibility as well as the operational performance of the companies which gathers information about the profit generated within the financial years (</w:t>
      </w:r>
      <w:r w:rsidRPr="00D97F4B">
        <w:rPr>
          <w:rFonts w:ascii="Times New Roman" w:eastAsia="Times New Roman" w:hAnsi="Times New Roman" w:cs="Times New Roman"/>
          <w:color w:val="000000" w:themeColor="text1"/>
          <w:sz w:val="24"/>
          <w:szCs w:val="24"/>
          <w:highlight w:val="white"/>
        </w:rPr>
        <w:t>Warren</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 xml:space="preserve">et al., </w:t>
      </w:r>
      <w:r w:rsidRPr="00D97F4B">
        <w:rPr>
          <w:rFonts w:ascii="Times New Roman" w:eastAsia="Times New Roman" w:hAnsi="Times New Roman" w:cs="Times New Roman"/>
          <w:color w:val="000000" w:themeColor="text1"/>
          <w:sz w:val="24"/>
          <w:szCs w:val="24"/>
          <w:highlight w:val="white"/>
        </w:rPr>
        <w:t>2020)</w:t>
      </w:r>
      <w:r w:rsidRPr="00D97F4B">
        <w:rPr>
          <w:rFonts w:ascii="Times New Roman" w:eastAsia="Times New Roman" w:hAnsi="Times New Roman" w:cs="Times New Roman"/>
          <w:color w:val="000000" w:themeColor="text1"/>
          <w:sz w:val="24"/>
          <w:szCs w:val="24"/>
        </w:rPr>
        <w:t>. For this reason, both the financial and management accounting teams of the firms intend to implement accounting fundamentals that can guide to establishment of effective accounting procedures. Accounting fundamentals contain the rules and regulations which assist in measuring the financial performance of the companies by directing different financial statements. There are five most established accounting fundamentals which are cost principles, matching principles, objectivity principles, revenue recognition principles and full disclosure principles (</w:t>
      </w:r>
      <w:r w:rsidRPr="00D97F4B">
        <w:rPr>
          <w:rFonts w:ascii="Times New Roman" w:eastAsia="Times New Roman" w:hAnsi="Times New Roman" w:cs="Times New Roman"/>
          <w:color w:val="000000" w:themeColor="text1"/>
          <w:sz w:val="24"/>
          <w:szCs w:val="24"/>
          <w:highlight w:val="white"/>
        </w:rPr>
        <w:t>Cai, 2021)</w:t>
      </w:r>
      <w:r w:rsidRPr="00D97F4B">
        <w:rPr>
          <w:rFonts w:ascii="Times New Roman" w:eastAsia="Times New Roman" w:hAnsi="Times New Roman" w:cs="Times New Roman"/>
          <w:color w:val="000000" w:themeColor="text1"/>
          <w:sz w:val="24"/>
          <w:szCs w:val="24"/>
        </w:rPr>
        <w:t xml:space="preserve">. Each of these principles is interrelated with the concept of financial statements that can help in observing the current market positions of the firms and optimise future decision-making processes. The main purpose of accounting fundamentals is to provide an in-depth knowledge of the operational growth of the firms by utilising its strength to generate revenue and identify key drivers causing economic loss. </w:t>
      </w:r>
    </w:p>
    <w:p w14:paraId="7CF8B518" w14:textId="77777777" w:rsidR="00F27FA4" w:rsidRPr="00D97F4B" w:rsidRDefault="007F38C8" w:rsidP="00D97F4B">
      <w:pPr>
        <w:spacing w:before="240" w:after="240" w:line="360" w:lineRule="auto"/>
        <w:jc w:val="both"/>
        <w:rPr>
          <w:rFonts w:ascii="Times New Roman" w:eastAsia="Times New Roman" w:hAnsi="Times New Roman" w:cs="Times New Roman"/>
          <w:b/>
          <w:color w:val="000000" w:themeColor="text1"/>
          <w:sz w:val="24"/>
          <w:szCs w:val="24"/>
        </w:rPr>
      </w:pPr>
      <w:r w:rsidRPr="00D97F4B">
        <w:rPr>
          <w:rFonts w:ascii="Times New Roman" w:eastAsia="Times New Roman" w:hAnsi="Times New Roman" w:cs="Times New Roman"/>
          <w:color w:val="000000" w:themeColor="text1"/>
          <w:sz w:val="24"/>
          <w:szCs w:val="24"/>
        </w:rPr>
        <w:t xml:space="preserve">In this essay, some accounting concepts and statements will be discussed by giving significant information according to accounting standards. An income statement will be computed based on the information given for Wales Plc. in the financial year 2022 to gather knowledge about its performance in the market. Along with that, a ratio analysis statement will be done for Sweet Plc. to show the comparison between its performance in the market for the fiscal years 2021 and 2022. </w:t>
      </w:r>
    </w:p>
    <w:p w14:paraId="61F1BFE3" w14:textId="77777777" w:rsidR="00D97F4B" w:rsidRPr="00D97F4B" w:rsidRDefault="00D97F4B" w:rsidP="00D97F4B">
      <w:pPr>
        <w:spacing w:before="240" w:after="240" w:line="360" w:lineRule="auto"/>
        <w:jc w:val="both"/>
        <w:rPr>
          <w:rFonts w:ascii="Times New Roman" w:hAnsi="Times New Roman"/>
          <w:color w:val="000000" w:themeColor="text1"/>
          <w:sz w:val="24"/>
          <w:szCs w:val="40"/>
        </w:rPr>
      </w:pPr>
      <w:r w:rsidRPr="00D97F4B">
        <w:rPr>
          <w:rFonts w:ascii="Times New Roman" w:hAnsi="Times New Roman"/>
          <w:color w:val="000000" w:themeColor="text1"/>
          <w:sz w:val="24"/>
        </w:rPr>
        <w:br w:type="page"/>
      </w:r>
    </w:p>
    <w:p w14:paraId="6C484592" w14:textId="1E9F57A3" w:rsidR="00F27FA4" w:rsidRPr="00D97F4B" w:rsidRDefault="007F38C8" w:rsidP="00D97F4B">
      <w:pPr>
        <w:pStyle w:val="Heading1"/>
        <w:spacing w:before="240" w:after="240" w:line="360" w:lineRule="auto"/>
        <w:jc w:val="both"/>
        <w:rPr>
          <w:rFonts w:ascii="Times New Roman" w:hAnsi="Times New Roman"/>
          <w:b/>
          <w:bCs/>
          <w:color w:val="000000" w:themeColor="text1"/>
          <w:sz w:val="24"/>
        </w:rPr>
      </w:pPr>
      <w:bookmarkStart w:id="1" w:name="_Toc153958254"/>
      <w:r w:rsidRPr="00D97F4B">
        <w:rPr>
          <w:rFonts w:ascii="Times New Roman" w:hAnsi="Times New Roman"/>
          <w:b/>
          <w:bCs/>
          <w:color w:val="000000" w:themeColor="text1"/>
          <w:sz w:val="24"/>
        </w:rPr>
        <w:lastRenderedPageBreak/>
        <w:t>Question 1</w:t>
      </w:r>
      <w:bookmarkEnd w:id="1"/>
      <w:r w:rsidRPr="00D97F4B">
        <w:rPr>
          <w:rFonts w:ascii="Times New Roman" w:hAnsi="Times New Roman"/>
          <w:b/>
          <w:bCs/>
          <w:color w:val="000000" w:themeColor="text1"/>
          <w:sz w:val="24"/>
        </w:rPr>
        <w:t xml:space="preserve"> </w:t>
      </w:r>
    </w:p>
    <w:p w14:paraId="2BA1E98D" w14:textId="24BDCDE0"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The statement of the financial position of a firm contains a consolidated balance sheet reflecting its performance in a particular fiscal year. A balance sheet provides a detailed insight into the assets, liabilities, expenses and revenues collected by the company (</w:t>
      </w:r>
      <w:r w:rsidRPr="00D97F4B">
        <w:rPr>
          <w:rFonts w:ascii="Times New Roman" w:eastAsia="Times New Roman" w:hAnsi="Times New Roman" w:cs="Times New Roman"/>
          <w:color w:val="000000" w:themeColor="text1"/>
          <w:sz w:val="24"/>
          <w:szCs w:val="24"/>
          <w:highlight w:val="white"/>
        </w:rPr>
        <w:t>Song</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et al.,</w:t>
      </w:r>
      <w:r w:rsidRPr="00D97F4B">
        <w:rPr>
          <w:rFonts w:ascii="Times New Roman" w:eastAsia="Times New Roman" w:hAnsi="Times New Roman" w:cs="Times New Roman"/>
          <w:color w:val="000000" w:themeColor="text1"/>
          <w:sz w:val="24"/>
          <w:szCs w:val="24"/>
          <w:highlight w:val="white"/>
        </w:rPr>
        <w:t xml:space="preserve"> 2019)</w:t>
      </w:r>
      <w:r w:rsidRPr="00D97F4B">
        <w:rPr>
          <w:rFonts w:ascii="Times New Roman" w:eastAsia="Times New Roman" w:hAnsi="Times New Roman" w:cs="Times New Roman"/>
          <w:color w:val="000000" w:themeColor="text1"/>
          <w:sz w:val="24"/>
          <w:szCs w:val="24"/>
        </w:rPr>
        <w:t>. In those segments, both cash and non-cash items are included made by the cash flow statements or other financial statements. The purpose of conducting a detailed balance sheet is to identify the expenses and liabilities created for operating business activities and generate revenue or create assets at the end of the year. For this reason, companies show information related to the share market, creditors, loans and assets purchased by utilising cash and credit facilities. Cash comes under the current asset section whereas purchases such as machinery or plant is fixed assets. Similarly, long-term liabilities and investments also have to be considered in the liability side of the balance sheet which justifies the overall performance of the company. According to the periodical concept of accounting concept, a balance sheet determines the impact of regular transactions held in a firm by identifying revenue generation, tax computation and gathering profit by using the liabilities and assets (</w:t>
      </w:r>
      <w:r w:rsidRPr="00D97F4B">
        <w:rPr>
          <w:rFonts w:ascii="Times New Roman" w:eastAsia="Times New Roman" w:hAnsi="Times New Roman" w:cs="Times New Roman"/>
          <w:color w:val="000000" w:themeColor="text1"/>
          <w:sz w:val="24"/>
          <w:szCs w:val="24"/>
          <w:highlight w:val="white"/>
        </w:rPr>
        <w:t>Apostol, 2021)</w:t>
      </w:r>
      <w:r w:rsidRPr="00D97F4B">
        <w:rPr>
          <w:rFonts w:ascii="Times New Roman" w:eastAsia="Times New Roman" w:hAnsi="Times New Roman" w:cs="Times New Roman"/>
          <w:color w:val="000000" w:themeColor="text1"/>
          <w:sz w:val="24"/>
          <w:szCs w:val="24"/>
        </w:rPr>
        <w:t xml:space="preserve">. Therefore, it can be stated that the balance sheet does not only reflect the cash-related transactions and creates an overall understanding of the business activities of the companies. </w:t>
      </w:r>
    </w:p>
    <w:p w14:paraId="7D899545" w14:textId="2203AE23"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Non-current assets denote the assets that cannot be converted into cash within a short period. Machinery, land, factory equipment, vehicles and bonds are examples of non-current assets that hold a large amount of investment for a long period. Non-current assets can be segmented into three kinds which are tangible assets, intangible assets and natural resources (</w:t>
      </w:r>
      <w:r w:rsidRPr="00D97F4B">
        <w:rPr>
          <w:rFonts w:ascii="Times New Roman" w:eastAsia="Times New Roman" w:hAnsi="Times New Roman" w:cs="Times New Roman"/>
          <w:color w:val="000000" w:themeColor="text1"/>
          <w:sz w:val="24"/>
          <w:szCs w:val="24"/>
          <w:highlight w:val="white"/>
        </w:rPr>
        <w:t xml:space="preserve">Marmul </w:t>
      </w:r>
      <w:r w:rsidR="00FA738B" w:rsidRPr="00D97F4B">
        <w:rPr>
          <w:rFonts w:ascii="Times New Roman" w:eastAsia="Times New Roman" w:hAnsi="Times New Roman" w:cs="Times New Roman"/>
          <w:color w:val="000000" w:themeColor="text1"/>
          <w:sz w:val="24"/>
          <w:szCs w:val="24"/>
          <w:highlight w:val="white"/>
        </w:rPr>
        <w:t>&amp;</w:t>
      </w:r>
      <w:r w:rsidRPr="00D97F4B">
        <w:rPr>
          <w:rFonts w:ascii="Times New Roman" w:eastAsia="Times New Roman" w:hAnsi="Times New Roman" w:cs="Times New Roman"/>
          <w:color w:val="000000" w:themeColor="text1"/>
          <w:sz w:val="24"/>
          <w:szCs w:val="24"/>
          <w:highlight w:val="white"/>
        </w:rPr>
        <w:t xml:space="preserve"> Kucherenko, 2021)</w:t>
      </w:r>
      <w:r w:rsidRPr="00D97F4B">
        <w:rPr>
          <w:rFonts w:ascii="Times New Roman" w:eastAsia="Times New Roman" w:hAnsi="Times New Roman" w:cs="Times New Roman"/>
          <w:color w:val="000000" w:themeColor="text1"/>
          <w:sz w:val="24"/>
          <w:szCs w:val="24"/>
        </w:rPr>
        <w:t xml:space="preserve">. Tangible assets indicate the assets that have a long-term useful value and a physical existence. Some of the tangible assets are land, factory, equipment and others. Being a physician substance, these tangible assets can be moved as per the requirement but cannot be easily converted into cash. On the other hand, intangible assets do not have a physical existence but can be purchased by money and have a contribution to the revenue generation process of the companies. Goodwill, trademarks, patents, copyrights, licences and brand value are intangible assets which are gathered by firms by operating in the market successfully and have benefits for a long time. Intangible assets cannot be moved because for have no physical existence and cannot be purchased or sold. Similarly, natural resources such as mines, and oil fields owned by companies cannot be moved but can be purchased or sold to other business </w:t>
      </w:r>
      <w:r w:rsidRPr="00D97F4B">
        <w:rPr>
          <w:rFonts w:ascii="Times New Roman" w:eastAsia="Times New Roman" w:hAnsi="Times New Roman" w:cs="Times New Roman"/>
          <w:color w:val="000000" w:themeColor="text1"/>
          <w:sz w:val="24"/>
          <w:szCs w:val="24"/>
        </w:rPr>
        <w:lastRenderedPageBreak/>
        <w:t xml:space="preserve">entities. Therefore, it can be stated that all non-current assets cannot be moved for having no physical existence but some of them can be moved as per the instruction of the firms. </w:t>
      </w:r>
    </w:p>
    <w:p w14:paraId="22306A1C" w14:textId="77777777"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Shareholders play a huge role in a company by contributing capital funds to maintain the business operations for a long time. They also participate in the decision-making process that helps in making adaptive changes within the business strategy and gain more benefits by which they can get more returns. Shareholders show their active involvement with companies that have strong economic backgrounds as their main focus is to get expected returns (</w:t>
      </w:r>
      <w:r w:rsidRPr="00D97F4B">
        <w:rPr>
          <w:rFonts w:ascii="Times New Roman" w:eastAsia="Times New Roman" w:hAnsi="Times New Roman" w:cs="Times New Roman"/>
          <w:color w:val="000000" w:themeColor="text1"/>
          <w:sz w:val="24"/>
          <w:szCs w:val="24"/>
          <w:highlight w:val="white"/>
        </w:rPr>
        <w:t xml:space="preserve">Battilana </w:t>
      </w:r>
      <w:r w:rsidRPr="00D97F4B">
        <w:rPr>
          <w:rFonts w:ascii="Times New Roman" w:eastAsia="Times New Roman" w:hAnsi="Times New Roman" w:cs="Times New Roman"/>
          <w:i/>
          <w:color w:val="000000" w:themeColor="text1"/>
          <w:sz w:val="24"/>
          <w:szCs w:val="24"/>
          <w:highlight w:val="white"/>
        </w:rPr>
        <w:t>et al.,</w:t>
      </w:r>
      <w:r w:rsidRPr="00D97F4B">
        <w:rPr>
          <w:rFonts w:ascii="Times New Roman" w:eastAsia="Times New Roman" w:hAnsi="Times New Roman" w:cs="Times New Roman"/>
          <w:color w:val="000000" w:themeColor="text1"/>
          <w:sz w:val="24"/>
          <w:szCs w:val="24"/>
          <w:highlight w:val="white"/>
        </w:rPr>
        <w:t xml:space="preserve"> 2022)</w:t>
      </w:r>
      <w:r w:rsidRPr="00D97F4B">
        <w:rPr>
          <w:rFonts w:ascii="Times New Roman" w:eastAsia="Times New Roman" w:hAnsi="Times New Roman" w:cs="Times New Roman"/>
          <w:color w:val="000000" w:themeColor="text1"/>
          <w:sz w:val="24"/>
          <w:szCs w:val="24"/>
        </w:rPr>
        <w:t xml:space="preserve">. For this reason, the business teams want to attract more potential shareholders for the future who will provide funds for continuous business operations. Managers of the financial or management accounting team are responsible for interacting with future shareholders and maintaining communication to involve them with the companies. In order to attract potential shareholders, they can provide financial information about the firm to both current and future shareholders. Effective supply of the financial information of the companies to the current shareholders maintains their constant participation whereas future shareholders will find the suitability to invest in the future. </w:t>
      </w:r>
    </w:p>
    <w:p w14:paraId="36637955" w14:textId="023C3B14"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The statement of financial position or the balance sheet should consist of both accrued and prepayment transactions to reflect the actual performance of the firms in the market. Accrued transactions indicate short-term liabilities for companies that cannot be paid within the current financial year. Transactions that are not fulfilled within the current financial year are recognised which should occur in the balance sheet along with recording in the following years in which they will be paid (</w:t>
      </w:r>
      <w:r w:rsidRPr="00D97F4B">
        <w:rPr>
          <w:rFonts w:ascii="Times New Roman" w:eastAsia="Times New Roman" w:hAnsi="Times New Roman" w:cs="Times New Roman"/>
          <w:color w:val="000000" w:themeColor="text1"/>
          <w:sz w:val="24"/>
          <w:szCs w:val="24"/>
          <w:highlight w:val="white"/>
        </w:rPr>
        <w:t>Barker</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i/>
          <w:color w:val="000000" w:themeColor="text1"/>
          <w:sz w:val="24"/>
          <w:szCs w:val="24"/>
          <w:highlight w:val="white"/>
        </w:rPr>
        <w:t xml:space="preserve"> et al.,</w:t>
      </w:r>
      <w:r w:rsidRPr="00D97F4B">
        <w:rPr>
          <w:rFonts w:ascii="Times New Roman" w:eastAsia="Times New Roman" w:hAnsi="Times New Roman" w:cs="Times New Roman"/>
          <w:color w:val="000000" w:themeColor="text1"/>
          <w:sz w:val="24"/>
          <w:szCs w:val="24"/>
          <w:highlight w:val="white"/>
        </w:rPr>
        <w:t xml:space="preserve"> 2020)</w:t>
      </w:r>
      <w:r w:rsidRPr="00D97F4B">
        <w:rPr>
          <w:rFonts w:ascii="Times New Roman" w:eastAsia="Times New Roman" w:hAnsi="Times New Roman" w:cs="Times New Roman"/>
          <w:color w:val="000000" w:themeColor="text1"/>
          <w:sz w:val="24"/>
          <w:szCs w:val="24"/>
        </w:rPr>
        <w:t xml:space="preserve">. According to the accrual concept of accounting standards, accrued transactions should be maintained in the due year along with the paid year to reflect the actual performance of the firm. Similarly, prepayment transactions can be regarded as a segment of current assets for the companies that are paid before the due period. It shows the economic strength and flexibility by utilising the fund. Prepayment transactions should occur in the current balance sheet which confirms the fulfilment of the liabilities that maintain the originality of the companies. </w:t>
      </w:r>
    </w:p>
    <w:p w14:paraId="21327E75" w14:textId="5BB310E2"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Accounting regulations or standards ensure the implementation of the rules and regulations based on the effective accounting process that companies should maintain to identify any misinterpretation and evolve rectification. Based on the dual entry concept of the traditional accounting system, accounting regulations dictate the maintenance of the transactions through Debit and Credit (</w:t>
      </w:r>
      <w:r w:rsidRPr="00D97F4B">
        <w:rPr>
          <w:rFonts w:ascii="Times New Roman" w:eastAsia="Times New Roman" w:hAnsi="Times New Roman" w:cs="Times New Roman"/>
          <w:color w:val="000000" w:themeColor="text1"/>
          <w:sz w:val="24"/>
          <w:szCs w:val="24"/>
          <w:highlight w:val="white"/>
        </w:rPr>
        <w:t>Kober</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 xml:space="preserve">et al., </w:t>
      </w:r>
      <w:r w:rsidRPr="00D97F4B">
        <w:rPr>
          <w:rFonts w:ascii="Times New Roman" w:eastAsia="Times New Roman" w:hAnsi="Times New Roman" w:cs="Times New Roman"/>
          <w:color w:val="000000" w:themeColor="text1"/>
          <w:sz w:val="24"/>
          <w:szCs w:val="24"/>
          <w:highlight w:val="white"/>
        </w:rPr>
        <w:t>2021)</w:t>
      </w:r>
      <w:r w:rsidRPr="00D97F4B">
        <w:rPr>
          <w:rFonts w:ascii="Times New Roman" w:eastAsia="Times New Roman" w:hAnsi="Times New Roman" w:cs="Times New Roman"/>
          <w:color w:val="000000" w:themeColor="text1"/>
          <w:sz w:val="24"/>
          <w:szCs w:val="24"/>
        </w:rPr>
        <w:t xml:space="preserve">. The importance of accounting regulations is to assist </w:t>
      </w:r>
      <w:r w:rsidRPr="00D97F4B">
        <w:rPr>
          <w:rFonts w:ascii="Times New Roman" w:eastAsia="Times New Roman" w:hAnsi="Times New Roman" w:cs="Times New Roman"/>
          <w:color w:val="000000" w:themeColor="text1"/>
          <w:sz w:val="24"/>
          <w:szCs w:val="24"/>
        </w:rPr>
        <w:lastRenderedPageBreak/>
        <w:t xml:space="preserve">companies in recording their transactions through the dual-entry system along with the regulations provided by GAAP. Generally Accepted Accounting Standards (GAAP) signify four major principles which are the cost principle, revenue principle, matching principle and disclosure principle. These principles are necessary to implement which support debtor-creditor balance, inventory management and share market involvement. Therefore, it can be justified that companies that want to promote ethical financial statements should establish accounting regulations in the business process. </w:t>
      </w:r>
    </w:p>
    <w:p w14:paraId="292A1A68" w14:textId="5487ABF0"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Ledger accounts direct the basic procedure of maintaining the bookkeeping procedure of the companies by segregating them according to traditional debit and credit formats. It is the core process of recording the transactions occur on a daily basis which confirms the efficient transaction recording process (</w:t>
      </w:r>
      <w:r w:rsidRPr="00D97F4B">
        <w:rPr>
          <w:rFonts w:ascii="Times New Roman" w:eastAsia="Times New Roman" w:hAnsi="Times New Roman" w:cs="Times New Roman"/>
          <w:color w:val="000000" w:themeColor="text1"/>
          <w:sz w:val="24"/>
          <w:szCs w:val="24"/>
          <w:highlight w:val="white"/>
        </w:rPr>
        <w:t>Weigand</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 xml:space="preserve">et al., </w:t>
      </w:r>
      <w:r w:rsidRPr="00D97F4B">
        <w:rPr>
          <w:rFonts w:ascii="Times New Roman" w:eastAsia="Times New Roman" w:hAnsi="Times New Roman" w:cs="Times New Roman"/>
          <w:color w:val="000000" w:themeColor="text1"/>
          <w:sz w:val="24"/>
          <w:szCs w:val="24"/>
          <w:highlight w:val="white"/>
        </w:rPr>
        <w:t>2020)</w:t>
      </w:r>
      <w:r w:rsidRPr="00D97F4B">
        <w:rPr>
          <w:rFonts w:ascii="Times New Roman" w:eastAsia="Times New Roman" w:hAnsi="Times New Roman" w:cs="Times New Roman"/>
          <w:color w:val="000000" w:themeColor="text1"/>
          <w:sz w:val="24"/>
          <w:szCs w:val="24"/>
        </w:rPr>
        <w:t xml:space="preserve">. Based on the traditional accounting golden rules, a ledger account segregates the transaction by following </w:t>
      </w:r>
    </w:p>
    <w:p w14:paraId="4F43E1B2" w14:textId="77777777" w:rsidR="00F27FA4" w:rsidRPr="00D97F4B" w:rsidRDefault="007F38C8" w:rsidP="00D97F4B">
      <w:pPr>
        <w:pStyle w:val="ListParagraph"/>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 xml:space="preserve">In a Personal Account, Debit is the receiver and Credit is the giver, </w:t>
      </w:r>
    </w:p>
    <w:p w14:paraId="7A36424D" w14:textId="77777777" w:rsidR="00F27FA4" w:rsidRPr="00D97F4B" w:rsidRDefault="007F38C8" w:rsidP="00D97F4B">
      <w:pPr>
        <w:pStyle w:val="ListParagraph"/>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In a real account, Debit that comes in and Credit that goes out,</w:t>
      </w:r>
    </w:p>
    <w:p w14:paraId="0E9A7F9C" w14:textId="77777777" w:rsidR="00F27FA4" w:rsidRPr="00D97F4B" w:rsidRDefault="007F38C8" w:rsidP="00D97F4B">
      <w:pPr>
        <w:pStyle w:val="ListParagraph"/>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 xml:space="preserve">All gains or revenues will be recorded as Credit and all expenses or losses will be recorded as Debit. </w:t>
      </w:r>
    </w:p>
    <w:p w14:paraId="581E2C0F" w14:textId="64636788"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Through conducting the ledger account, a trial balance can be prepared which helps in accomplishing the accuracy of the transactions on a daily, weekly or monthly basis. Generally, a proper trial balance should be based on the double-entry system of the accounting concept which suggests to maintain the balance between debit and credit (</w:t>
      </w:r>
      <w:r w:rsidRPr="00D97F4B">
        <w:rPr>
          <w:rFonts w:ascii="Times New Roman" w:eastAsia="Times New Roman" w:hAnsi="Times New Roman" w:cs="Times New Roman"/>
          <w:color w:val="000000" w:themeColor="text1"/>
          <w:sz w:val="24"/>
          <w:szCs w:val="24"/>
          <w:highlight w:val="white"/>
        </w:rPr>
        <w:t xml:space="preserve">Schmitz </w:t>
      </w:r>
      <w:r w:rsidR="00FA738B" w:rsidRPr="00D97F4B">
        <w:rPr>
          <w:rFonts w:ascii="Times New Roman" w:eastAsia="Times New Roman" w:hAnsi="Times New Roman" w:cs="Times New Roman"/>
          <w:color w:val="000000" w:themeColor="text1"/>
          <w:sz w:val="24"/>
          <w:szCs w:val="24"/>
          <w:highlight w:val="white"/>
        </w:rPr>
        <w:t>&amp;</w:t>
      </w:r>
      <w:r w:rsidRPr="00D97F4B">
        <w:rPr>
          <w:rFonts w:ascii="Times New Roman" w:eastAsia="Times New Roman" w:hAnsi="Times New Roman" w:cs="Times New Roman"/>
          <w:color w:val="000000" w:themeColor="text1"/>
          <w:sz w:val="24"/>
          <w:szCs w:val="24"/>
          <w:highlight w:val="white"/>
        </w:rPr>
        <w:t xml:space="preserve"> Leoni, 2019)</w:t>
      </w:r>
      <w:r w:rsidRPr="00D97F4B">
        <w:rPr>
          <w:rFonts w:ascii="Times New Roman" w:eastAsia="Times New Roman" w:hAnsi="Times New Roman" w:cs="Times New Roman"/>
          <w:color w:val="000000" w:themeColor="text1"/>
          <w:sz w:val="24"/>
          <w:szCs w:val="24"/>
        </w:rPr>
        <w:t xml:space="preserve">. For this reason, a trial balance is necessary for companies for noticing any misconception or misinterpretation of the figures related to the transactions and direct the preparation of the other financial statements. Therefore, it can be confirmed that maintaining a ledger account and balance sheet is necessary for the companies that will help in making other financial statements at the end of the financial year. </w:t>
      </w:r>
    </w:p>
    <w:p w14:paraId="5B03111B" w14:textId="77777777" w:rsidR="007E3CC2" w:rsidRDefault="007E3CC2">
      <w:pPr>
        <w:rPr>
          <w:rFonts w:ascii="Times New Roman" w:hAnsi="Times New Roman"/>
          <w:b/>
          <w:bCs/>
          <w:color w:val="000000" w:themeColor="text1"/>
          <w:sz w:val="24"/>
          <w:szCs w:val="40"/>
        </w:rPr>
      </w:pPr>
      <w:r>
        <w:rPr>
          <w:rFonts w:ascii="Times New Roman" w:hAnsi="Times New Roman"/>
          <w:b/>
          <w:bCs/>
          <w:color w:val="000000" w:themeColor="text1"/>
          <w:sz w:val="24"/>
        </w:rPr>
        <w:br w:type="page"/>
      </w:r>
    </w:p>
    <w:p w14:paraId="188D119F" w14:textId="16A1DF60" w:rsidR="00F27FA4" w:rsidRPr="00D97F4B" w:rsidRDefault="007F38C8" w:rsidP="00D97F4B">
      <w:pPr>
        <w:pStyle w:val="Heading1"/>
        <w:spacing w:before="240" w:after="240" w:line="360" w:lineRule="auto"/>
        <w:jc w:val="both"/>
        <w:rPr>
          <w:rFonts w:ascii="Times New Roman" w:hAnsi="Times New Roman"/>
          <w:b/>
          <w:bCs/>
          <w:color w:val="000000" w:themeColor="text1"/>
          <w:sz w:val="24"/>
        </w:rPr>
      </w:pPr>
      <w:bookmarkStart w:id="2" w:name="_Toc153958255"/>
      <w:r w:rsidRPr="00D97F4B">
        <w:rPr>
          <w:rFonts w:ascii="Times New Roman" w:hAnsi="Times New Roman"/>
          <w:b/>
          <w:bCs/>
          <w:color w:val="000000" w:themeColor="text1"/>
          <w:sz w:val="24"/>
        </w:rPr>
        <w:lastRenderedPageBreak/>
        <w:t>Question 2</w:t>
      </w:r>
      <w:bookmarkEnd w:id="2"/>
      <w:r w:rsidRPr="00D97F4B">
        <w:rPr>
          <w:rFonts w:ascii="Times New Roman" w:hAnsi="Times New Roman"/>
          <w:b/>
          <w:bCs/>
          <w:color w:val="000000" w:themeColor="text1"/>
          <w:sz w:val="24"/>
        </w:rPr>
        <w:t xml:space="preserve"> </w:t>
      </w:r>
    </w:p>
    <w:p w14:paraId="7E0DA154" w14:textId="4F857A99"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The income statement consists of the transactions related to the flow of cash that occurred within a particular financial year that defines the strength of the firms on the liquidity assets. It underlies the concept of recording cash-related transactions to identify income and expenditure that offers a detailed overview of the operational activities of the companies (</w:t>
      </w:r>
      <w:r w:rsidRPr="00D97F4B">
        <w:rPr>
          <w:rFonts w:ascii="Times New Roman" w:eastAsia="Times New Roman" w:hAnsi="Times New Roman" w:cs="Times New Roman"/>
          <w:color w:val="000000" w:themeColor="text1"/>
          <w:sz w:val="24"/>
          <w:szCs w:val="24"/>
          <w:highlight w:val="white"/>
        </w:rPr>
        <w:t>Brewer</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 xml:space="preserve">et al., </w:t>
      </w:r>
      <w:r w:rsidRPr="00D97F4B">
        <w:rPr>
          <w:rFonts w:ascii="Times New Roman" w:eastAsia="Times New Roman" w:hAnsi="Times New Roman" w:cs="Times New Roman"/>
          <w:color w:val="000000" w:themeColor="text1"/>
          <w:sz w:val="24"/>
          <w:szCs w:val="24"/>
          <w:highlight w:val="white"/>
        </w:rPr>
        <w:t>2022)</w:t>
      </w:r>
      <w:r w:rsidRPr="00D97F4B">
        <w:rPr>
          <w:rFonts w:ascii="Times New Roman" w:eastAsia="Times New Roman" w:hAnsi="Times New Roman" w:cs="Times New Roman"/>
          <w:color w:val="000000" w:themeColor="text1"/>
          <w:sz w:val="24"/>
          <w:szCs w:val="24"/>
        </w:rPr>
        <w:t>. An income statement calculated at the end of a particular period shows the revenue and earnings generated by the firms and the utilisation of the funds in meeting the expenses. A company intend to conduct an income statement to identify the transactions which corporate in cash inflow along with taking control of the cash outflow transactions to prevalent the chances of cash scarcity (</w:t>
      </w:r>
      <w:r w:rsidRPr="00D97F4B">
        <w:rPr>
          <w:rFonts w:ascii="Times New Roman" w:eastAsia="Times New Roman" w:hAnsi="Times New Roman" w:cs="Times New Roman"/>
          <w:color w:val="000000" w:themeColor="text1"/>
          <w:sz w:val="24"/>
          <w:szCs w:val="24"/>
          <w:highlight w:val="white"/>
        </w:rPr>
        <w:t xml:space="preserve">Blouin </w:t>
      </w:r>
      <w:r w:rsidR="00FA738B" w:rsidRPr="00D97F4B">
        <w:rPr>
          <w:rFonts w:ascii="Times New Roman" w:eastAsia="Times New Roman" w:hAnsi="Times New Roman" w:cs="Times New Roman"/>
          <w:color w:val="000000" w:themeColor="text1"/>
          <w:sz w:val="24"/>
          <w:szCs w:val="24"/>
          <w:highlight w:val="white"/>
        </w:rPr>
        <w:t>&amp;</w:t>
      </w:r>
      <w:r w:rsidRPr="00D97F4B">
        <w:rPr>
          <w:rFonts w:ascii="Times New Roman" w:eastAsia="Times New Roman" w:hAnsi="Times New Roman" w:cs="Times New Roman"/>
          <w:color w:val="000000" w:themeColor="text1"/>
          <w:sz w:val="24"/>
          <w:szCs w:val="24"/>
          <w:highlight w:val="white"/>
        </w:rPr>
        <w:t xml:space="preserve"> Robinson, 2020)</w:t>
      </w:r>
      <w:r w:rsidRPr="00D97F4B">
        <w:rPr>
          <w:rFonts w:ascii="Times New Roman" w:eastAsia="Times New Roman" w:hAnsi="Times New Roman" w:cs="Times New Roman"/>
          <w:color w:val="000000" w:themeColor="text1"/>
          <w:sz w:val="24"/>
          <w:szCs w:val="24"/>
        </w:rPr>
        <w:t xml:space="preserve">. </w:t>
      </w:r>
    </w:p>
    <w:p w14:paraId="6BF31C1C" w14:textId="77777777" w:rsidR="00F27FA4" w:rsidRPr="00D97F4B" w:rsidRDefault="007F38C8" w:rsidP="00D97F4B">
      <w:pPr>
        <w:spacing w:before="240" w:after="240" w:line="360" w:lineRule="auto"/>
        <w:jc w:val="center"/>
        <w:rPr>
          <w:rFonts w:ascii="Times New Roman" w:eastAsia="Times New Roman" w:hAnsi="Times New Roman" w:cs="Times New Roman"/>
          <w:b/>
          <w:color w:val="000000" w:themeColor="text1"/>
          <w:sz w:val="24"/>
          <w:szCs w:val="24"/>
        </w:rPr>
      </w:pPr>
      <w:r w:rsidRPr="00D97F4B">
        <w:rPr>
          <w:rFonts w:ascii="Times New Roman" w:eastAsia="Times New Roman" w:hAnsi="Times New Roman" w:cs="Times New Roman"/>
          <w:b/>
          <w:noProof/>
          <w:color w:val="000000" w:themeColor="text1"/>
          <w:sz w:val="24"/>
          <w:szCs w:val="24"/>
        </w:rPr>
        <w:drawing>
          <wp:inline distT="114300" distB="114300" distL="114300" distR="114300" wp14:anchorId="6C98ACF6" wp14:editId="38304950">
            <wp:extent cx="3114675" cy="481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14675" cy="4810125"/>
                    </a:xfrm>
                    <a:prstGeom prst="rect">
                      <a:avLst/>
                    </a:prstGeom>
                    <a:ln/>
                  </pic:spPr>
                </pic:pic>
              </a:graphicData>
            </a:graphic>
          </wp:inline>
        </w:drawing>
      </w:r>
    </w:p>
    <w:p w14:paraId="688A3D1B" w14:textId="4EBD112E" w:rsidR="00F27FA4" w:rsidRPr="00D97F4B" w:rsidRDefault="007F38C8" w:rsidP="00D97F4B">
      <w:pPr>
        <w:spacing w:before="240" w:after="240" w:line="360" w:lineRule="auto"/>
        <w:jc w:val="center"/>
        <w:rPr>
          <w:rFonts w:ascii="Times New Roman" w:eastAsia="Times New Roman" w:hAnsi="Times New Roman" w:cs="Times New Roman"/>
          <w:b/>
          <w:color w:val="000000" w:themeColor="text1"/>
          <w:sz w:val="24"/>
          <w:szCs w:val="24"/>
        </w:rPr>
      </w:pPr>
      <w:r w:rsidRPr="00D97F4B">
        <w:rPr>
          <w:rFonts w:ascii="Times New Roman" w:eastAsia="Times New Roman" w:hAnsi="Times New Roman" w:cs="Times New Roman"/>
          <w:b/>
          <w:color w:val="000000" w:themeColor="text1"/>
          <w:sz w:val="24"/>
          <w:szCs w:val="24"/>
        </w:rPr>
        <w:t>Figure 1: Computation for Income Statement for the year ended 31st December 2022 for Wales Plc.</w:t>
      </w:r>
    </w:p>
    <w:p w14:paraId="1A57140C" w14:textId="77777777" w:rsidR="00F27FA4" w:rsidRPr="00D97F4B" w:rsidRDefault="007F38C8" w:rsidP="00D97F4B">
      <w:pPr>
        <w:spacing w:before="240" w:after="240" w:line="360" w:lineRule="auto"/>
        <w:jc w:val="center"/>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(Source: Excel)</w:t>
      </w:r>
    </w:p>
    <w:p w14:paraId="19A8BEAB" w14:textId="77777777"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lastRenderedPageBreak/>
        <w:t xml:space="preserve">The above image indicates the income statement of Wales Plc by reflecting the cash inflow and outflow transactions that happened in the year 2022. It can be found that the company is effectively utilising its liquid fund to cover expenses such as commission, distribution costs, accrued expenses and others. After meeting with all the cash outflow transactions, a positive surplus has been found by the company as a net income of £145850 million. According to the accounting concept, Wales Plc should utilise the income generated at the end of the year in covering future expenses in the following time period. It also suggests that the company will seek more transactions that will generate more cash inflow for strengthening the economic criteria in the future. </w:t>
      </w:r>
    </w:p>
    <w:p w14:paraId="7DA6ADEC" w14:textId="77777777" w:rsidR="00FA738B" w:rsidRPr="00D97F4B" w:rsidRDefault="00FA738B" w:rsidP="00D97F4B">
      <w:pPr>
        <w:spacing w:before="240" w:after="240" w:line="360" w:lineRule="auto"/>
        <w:jc w:val="both"/>
        <w:rPr>
          <w:rFonts w:ascii="Times New Roman" w:eastAsia="Times New Roman" w:hAnsi="Times New Roman" w:cs="Times New Roman"/>
          <w:b/>
          <w:color w:val="000000" w:themeColor="text1"/>
          <w:sz w:val="24"/>
          <w:szCs w:val="28"/>
        </w:rPr>
      </w:pPr>
      <w:r w:rsidRPr="00D97F4B">
        <w:rPr>
          <w:rFonts w:ascii="Times New Roman" w:eastAsia="Times New Roman" w:hAnsi="Times New Roman" w:cs="Times New Roman"/>
          <w:b/>
          <w:color w:val="000000" w:themeColor="text1"/>
          <w:sz w:val="24"/>
          <w:szCs w:val="28"/>
        </w:rPr>
        <w:br w:type="page"/>
      </w:r>
    </w:p>
    <w:p w14:paraId="79A76356" w14:textId="6AC75F7A" w:rsidR="00F27FA4" w:rsidRPr="00D97F4B" w:rsidRDefault="007F38C8" w:rsidP="00D97F4B">
      <w:pPr>
        <w:pStyle w:val="Heading1"/>
        <w:spacing w:before="240" w:after="240" w:line="360" w:lineRule="auto"/>
        <w:jc w:val="both"/>
        <w:rPr>
          <w:rFonts w:ascii="Times New Roman" w:hAnsi="Times New Roman"/>
          <w:b/>
          <w:bCs/>
          <w:color w:val="000000" w:themeColor="text1"/>
          <w:sz w:val="24"/>
        </w:rPr>
      </w:pPr>
      <w:bookmarkStart w:id="3" w:name="_Toc153958256"/>
      <w:r w:rsidRPr="00D97F4B">
        <w:rPr>
          <w:rFonts w:ascii="Times New Roman" w:hAnsi="Times New Roman"/>
          <w:b/>
          <w:bCs/>
          <w:color w:val="000000" w:themeColor="text1"/>
          <w:sz w:val="24"/>
        </w:rPr>
        <w:lastRenderedPageBreak/>
        <w:t>Question 3</w:t>
      </w:r>
      <w:bookmarkEnd w:id="3"/>
      <w:r w:rsidRPr="00D97F4B">
        <w:rPr>
          <w:rFonts w:ascii="Times New Roman" w:hAnsi="Times New Roman"/>
          <w:b/>
          <w:bCs/>
          <w:color w:val="000000" w:themeColor="text1"/>
          <w:sz w:val="24"/>
        </w:rPr>
        <w:t xml:space="preserve"> </w:t>
      </w:r>
    </w:p>
    <w:p w14:paraId="259AC372" w14:textId="7E6B386F" w:rsidR="00F27FA4" w:rsidRPr="00D97F4B" w:rsidRDefault="007F38C8" w:rsidP="00D97F4B">
      <w:pPr>
        <w:spacing w:before="240" w:after="240" w:line="360" w:lineRule="auto"/>
        <w:jc w:val="both"/>
        <w:rPr>
          <w:rFonts w:ascii="Times New Roman" w:eastAsia="Times New Roman" w:hAnsi="Times New Roman" w:cs="Times New Roman"/>
          <w:b/>
          <w:color w:val="000000" w:themeColor="text1"/>
          <w:sz w:val="24"/>
          <w:szCs w:val="24"/>
        </w:rPr>
      </w:pPr>
      <w:r w:rsidRPr="00D97F4B">
        <w:rPr>
          <w:rFonts w:ascii="Times New Roman" w:eastAsia="Times New Roman" w:hAnsi="Times New Roman" w:cs="Times New Roman"/>
          <w:b/>
          <w:color w:val="000000" w:themeColor="text1"/>
          <w:sz w:val="24"/>
          <w:szCs w:val="24"/>
        </w:rPr>
        <w:t xml:space="preserve">a) </w:t>
      </w:r>
      <w:r w:rsidRPr="00D97F4B">
        <w:rPr>
          <w:rFonts w:ascii="Times New Roman" w:eastAsia="Times New Roman" w:hAnsi="Times New Roman" w:cs="Times New Roman"/>
          <w:color w:val="000000" w:themeColor="text1"/>
          <w:sz w:val="24"/>
          <w:szCs w:val="24"/>
        </w:rPr>
        <w:t>The ratio analysis interprets the identification of the economic performance that a company performs within a particular financial year in different financial aspects. It assists the financial accounting teams to generate the key aspects of creating revenue in the market along with the share market and inventory control (</w:t>
      </w:r>
      <w:r w:rsidRPr="00D97F4B">
        <w:rPr>
          <w:rFonts w:ascii="Times New Roman" w:eastAsia="Times New Roman" w:hAnsi="Times New Roman" w:cs="Times New Roman"/>
          <w:color w:val="000000" w:themeColor="text1"/>
          <w:sz w:val="24"/>
          <w:szCs w:val="24"/>
          <w:highlight w:val="white"/>
        </w:rPr>
        <w:t>Manullang</w:t>
      </w:r>
      <w:r w:rsidR="00FA738B" w:rsidRPr="00D97F4B">
        <w:rPr>
          <w:rFonts w:ascii="Times New Roman" w:eastAsia="Times New Roman" w:hAnsi="Times New Roman" w:cs="Times New Roman"/>
          <w:color w:val="000000" w:themeColor="text1"/>
          <w:sz w:val="24"/>
          <w:szCs w:val="24"/>
          <w:highlight w:val="white"/>
        </w:rPr>
        <w:t>,</w:t>
      </w:r>
      <w:r w:rsidRPr="00D97F4B">
        <w:rPr>
          <w:rFonts w:ascii="Times New Roman" w:eastAsia="Times New Roman" w:hAnsi="Times New Roman" w:cs="Times New Roman"/>
          <w:i/>
          <w:color w:val="000000" w:themeColor="text1"/>
          <w:sz w:val="24"/>
          <w:szCs w:val="24"/>
          <w:highlight w:val="white"/>
        </w:rPr>
        <w:t xml:space="preserve"> et al., </w:t>
      </w:r>
      <w:r w:rsidRPr="00D97F4B">
        <w:rPr>
          <w:rFonts w:ascii="Times New Roman" w:eastAsia="Times New Roman" w:hAnsi="Times New Roman" w:cs="Times New Roman"/>
          <w:color w:val="000000" w:themeColor="text1"/>
          <w:sz w:val="24"/>
          <w:szCs w:val="24"/>
          <w:highlight w:val="white"/>
        </w:rPr>
        <w:t>2020)</w:t>
      </w:r>
      <w:r w:rsidRPr="00D97F4B">
        <w:rPr>
          <w:rFonts w:ascii="Times New Roman" w:eastAsia="Times New Roman" w:hAnsi="Times New Roman" w:cs="Times New Roman"/>
          <w:color w:val="000000" w:themeColor="text1"/>
          <w:sz w:val="24"/>
          <w:szCs w:val="24"/>
        </w:rPr>
        <w:t xml:space="preserve">. In this part of the essay, ten different ratios have been computed based on the information from Sweet Plc to compare among the financial achievements in 2022 to 2021. </w:t>
      </w:r>
    </w:p>
    <w:p w14:paraId="3D48A0CA" w14:textId="77777777" w:rsidR="00F27FA4" w:rsidRPr="00D97F4B" w:rsidRDefault="007F38C8" w:rsidP="00D97F4B">
      <w:pPr>
        <w:spacing w:before="240" w:after="240" w:line="360" w:lineRule="auto"/>
        <w:jc w:val="center"/>
        <w:rPr>
          <w:rFonts w:ascii="Times New Roman" w:eastAsia="Times New Roman" w:hAnsi="Times New Roman" w:cs="Times New Roman"/>
          <w:b/>
          <w:color w:val="000000" w:themeColor="text1"/>
          <w:sz w:val="24"/>
          <w:szCs w:val="24"/>
        </w:rPr>
      </w:pPr>
      <w:r w:rsidRPr="00D97F4B">
        <w:rPr>
          <w:rFonts w:ascii="Times New Roman" w:eastAsia="Times New Roman" w:hAnsi="Times New Roman" w:cs="Times New Roman"/>
          <w:b/>
          <w:noProof/>
          <w:color w:val="000000" w:themeColor="text1"/>
          <w:sz w:val="24"/>
          <w:szCs w:val="24"/>
        </w:rPr>
        <w:drawing>
          <wp:inline distT="114300" distB="114300" distL="114300" distR="114300" wp14:anchorId="2F7943ED" wp14:editId="5A2FA7F9">
            <wp:extent cx="4219575" cy="4076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19575" cy="4076700"/>
                    </a:xfrm>
                    <a:prstGeom prst="rect">
                      <a:avLst/>
                    </a:prstGeom>
                    <a:ln/>
                  </pic:spPr>
                </pic:pic>
              </a:graphicData>
            </a:graphic>
          </wp:inline>
        </w:drawing>
      </w:r>
    </w:p>
    <w:p w14:paraId="264D3DF3" w14:textId="77777777" w:rsidR="00F27FA4" w:rsidRPr="00D97F4B" w:rsidRDefault="007F38C8" w:rsidP="00D97F4B">
      <w:pPr>
        <w:spacing w:before="240" w:after="240" w:line="360" w:lineRule="auto"/>
        <w:jc w:val="center"/>
        <w:rPr>
          <w:rFonts w:ascii="Times New Roman" w:eastAsia="Times New Roman" w:hAnsi="Times New Roman" w:cs="Times New Roman"/>
          <w:b/>
          <w:color w:val="000000" w:themeColor="text1"/>
          <w:sz w:val="24"/>
          <w:szCs w:val="24"/>
        </w:rPr>
      </w:pPr>
      <w:r w:rsidRPr="00D97F4B">
        <w:rPr>
          <w:rFonts w:ascii="Times New Roman" w:eastAsia="Times New Roman" w:hAnsi="Times New Roman" w:cs="Times New Roman"/>
          <w:b/>
          <w:color w:val="000000" w:themeColor="text1"/>
          <w:sz w:val="24"/>
          <w:szCs w:val="24"/>
        </w:rPr>
        <w:t>Figure 2: Computation of Financial Ratios for Sweet Plc. For 2021 and 2022</w:t>
      </w:r>
    </w:p>
    <w:p w14:paraId="7C4E6193" w14:textId="77777777" w:rsidR="00F27FA4" w:rsidRPr="00D97F4B" w:rsidRDefault="007F38C8" w:rsidP="00D97F4B">
      <w:pPr>
        <w:spacing w:before="240" w:after="240" w:line="360" w:lineRule="auto"/>
        <w:jc w:val="center"/>
        <w:rPr>
          <w:rFonts w:ascii="Times New Roman" w:eastAsia="Times New Roman" w:hAnsi="Times New Roman" w:cs="Times New Roman"/>
          <w:bCs/>
          <w:color w:val="000000" w:themeColor="text1"/>
          <w:sz w:val="24"/>
          <w:szCs w:val="24"/>
        </w:rPr>
      </w:pPr>
      <w:r w:rsidRPr="00D97F4B">
        <w:rPr>
          <w:rFonts w:ascii="Times New Roman" w:eastAsia="Times New Roman" w:hAnsi="Times New Roman" w:cs="Times New Roman"/>
          <w:bCs/>
          <w:color w:val="000000" w:themeColor="text1"/>
          <w:sz w:val="24"/>
          <w:szCs w:val="24"/>
        </w:rPr>
        <w:t>(Source: Excel)</w:t>
      </w:r>
    </w:p>
    <w:p w14:paraId="66023D7C" w14:textId="77777777"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b/>
          <w:color w:val="000000" w:themeColor="text1"/>
          <w:sz w:val="24"/>
          <w:szCs w:val="24"/>
        </w:rPr>
        <w:t xml:space="preserve">b) </w:t>
      </w:r>
      <w:r w:rsidRPr="00D97F4B">
        <w:rPr>
          <w:rFonts w:ascii="Times New Roman" w:eastAsia="Times New Roman" w:hAnsi="Times New Roman" w:cs="Times New Roman"/>
          <w:color w:val="000000" w:themeColor="text1"/>
          <w:sz w:val="24"/>
          <w:szCs w:val="24"/>
        </w:rPr>
        <w:t xml:space="preserve">The ratio of return on capital employed shows the utilisation of the capital employed present in the organisation which is the difference of total assets and current liabilities in collecting operating profit. Based on the calculation, the ratio of ROCE has increased up to 11% in 2022 affirming the economic development of Sweet Plc. Return on Equity is calculated to understand the share market performance of the company which implies of proper distribution of the net income gathered in the financial year among the potential shareholders. A higher rate of ROE </w:t>
      </w:r>
      <w:r w:rsidRPr="00D97F4B">
        <w:rPr>
          <w:rFonts w:ascii="Times New Roman" w:eastAsia="Times New Roman" w:hAnsi="Times New Roman" w:cs="Times New Roman"/>
          <w:color w:val="000000" w:themeColor="text1"/>
          <w:sz w:val="24"/>
          <w:szCs w:val="24"/>
        </w:rPr>
        <w:lastRenderedPageBreak/>
        <w:t>is necessary to be maintained that also reflects a positive rate of earning per share (</w:t>
      </w:r>
      <w:r w:rsidRPr="00D97F4B">
        <w:rPr>
          <w:rFonts w:ascii="Times New Roman" w:eastAsia="Times New Roman" w:hAnsi="Times New Roman" w:cs="Times New Roman"/>
          <w:color w:val="000000" w:themeColor="text1"/>
          <w:sz w:val="24"/>
          <w:szCs w:val="24"/>
          <w:highlight w:val="white"/>
        </w:rPr>
        <w:t xml:space="preserve">Killingsworth </w:t>
      </w:r>
      <w:r w:rsidRPr="00D97F4B">
        <w:rPr>
          <w:rFonts w:ascii="Times New Roman" w:eastAsia="Times New Roman" w:hAnsi="Times New Roman" w:cs="Times New Roman"/>
          <w:i/>
          <w:color w:val="000000" w:themeColor="text1"/>
          <w:sz w:val="24"/>
          <w:szCs w:val="24"/>
          <w:highlight w:val="white"/>
        </w:rPr>
        <w:t>et al.,</w:t>
      </w:r>
      <w:r w:rsidRPr="00D97F4B">
        <w:rPr>
          <w:rFonts w:ascii="Times New Roman" w:eastAsia="Times New Roman" w:hAnsi="Times New Roman" w:cs="Times New Roman"/>
          <w:color w:val="000000" w:themeColor="text1"/>
          <w:sz w:val="24"/>
          <w:szCs w:val="24"/>
          <w:highlight w:val="white"/>
        </w:rPr>
        <w:t xml:space="preserve"> 2021)</w:t>
      </w:r>
      <w:r w:rsidRPr="00D97F4B">
        <w:rPr>
          <w:rFonts w:ascii="Times New Roman" w:eastAsia="Times New Roman" w:hAnsi="Times New Roman" w:cs="Times New Roman"/>
          <w:color w:val="000000" w:themeColor="text1"/>
          <w:sz w:val="24"/>
          <w:szCs w:val="24"/>
        </w:rPr>
        <w:t xml:space="preserve">. Sweet Plc has an increased rate of ROE along with the earnings per share which reflects the suitability of share performance in 2022. The ratio of net profit margin has been calculated to show the difference between revenue and cost gathered at the end of the financial year. The figures prove that the company is failing to generate more net profit in 2022 than in 2021 after increasing sales volume. According to the calculation of the asset turnover ratio for Sweet Plc in 2021 and 2022, it can be stated that the company is accommodating its assets to maximise the net sales volume. </w:t>
      </w:r>
    </w:p>
    <w:p w14:paraId="7EFDAC43" w14:textId="49405C2E"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Ratio analysis statements can also help in identifying the company’s performance in managing its inventory or stock and fulfilment of the debt amount within a specific period (</w:t>
      </w:r>
      <w:r w:rsidRPr="00D97F4B">
        <w:rPr>
          <w:rFonts w:ascii="Times New Roman" w:eastAsia="Times New Roman" w:hAnsi="Times New Roman" w:cs="Times New Roman"/>
          <w:color w:val="000000" w:themeColor="text1"/>
          <w:sz w:val="24"/>
          <w:szCs w:val="24"/>
          <w:highlight w:val="white"/>
        </w:rPr>
        <w:t>Kapur, 2020)</w:t>
      </w:r>
      <w:r w:rsidRPr="00D97F4B">
        <w:rPr>
          <w:rFonts w:ascii="Times New Roman" w:eastAsia="Times New Roman" w:hAnsi="Times New Roman" w:cs="Times New Roman"/>
          <w:color w:val="000000" w:themeColor="text1"/>
          <w:sz w:val="24"/>
          <w:szCs w:val="24"/>
        </w:rPr>
        <w:t xml:space="preserve">. Through having an improved economic execution, Sweet Plc is deteriorating with its poor inventory and </w:t>
      </w:r>
      <w:r w:rsidR="00FA738B" w:rsidRPr="00D97F4B">
        <w:rPr>
          <w:rFonts w:ascii="Times New Roman" w:eastAsia="Times New Roman" w:hAnsi="Times New Roman" w:cs="Times New Roman"/>
          <w:color w:val="000000" w:themeColor="text1"/>
          <w:sz w:val="24"/>
          <w:szCs w:val="24"/>
        </w:rPr>
        <w:t>debtors’</w:t>
      </w:r>
      <w:r w:rsidRPr="00D97F4B">
        <w:rPr>
          <w:rFonts w:ascii="Times New Roman" w:eastAsia="Times New Roman" w:hAnsi="Times New Roman" w:cs="Times New Roman"/>
          <w:color w:val="000000" w:themeColor="text1"/>
          <w:sz w:val="24"/>
          <w:szCs w:val="24"/>
        </w:rPr>
        <w:t xml:space="preserve"> collection process. In 2022, the number of days for stock handling has increased to 80 days which shows the increased flow of stock present in the business environment. Simultaneously, the company has collected its debt amount from the debtors within 236 days in 2022 that is a negative sign and can cause financial loss from the debtors. The company should reduce the time for both transactions to assure a strong supply chain and collect the receivable amount within a suitable period. The increased rate of current and gearing ratio signifies the utilisation of assets to minimise the liabilities and less involvement of debt in creating market equity in 2022. On the other hand, the decreased ratio of interest coverage confirms the scarcity of the interest payable on the debt or the dividends. </w:t>
      </w:r>
    </w:p>
    <w:p w14:paraId="58139EB1" w14:textId="77777777" w:rsidR="00EF7D4A" w:rsidRPr="00D97F4B" w:rsidRDefault="00EF7D4A" w:rsidP="00D97F4B">
      <w:pPr>
        <w:spacing w:before="240" w:after="240" w:line="360" w:lineRule="auto"/>
        <w:jc w:val="both"/>
        <w:rPr>
          <w:rFonts w:ascii="Times New Roman" w:hAnsi="Times New Roman"/>
          <w:color w:val="000000" w:themeColor="text1"/>
          <w:sz w:val="24"/>
          <w:szCs w:val="40"/>
        </w:rPr>
      </w:pPr>
      <w:r w:rsidRPr="00D97F4B">
        <w:rPr>
          <w:rFonts w:ascii="Times New Roman" w:hAnsi="Times New Roman"/>
          <w:color w:val="000000" w:themeColor="text1"/>
          <w:sz w:val="24"/>
        </w:rPr>
        <w:br w:type="page"/>
      </w:r>
    </w:p>
    <w:p w14:paraId="64C68DF5" w14:textId="58F8B3B9" w:rsidR="00F27FA4" w:rsidRPr="004B4C38" w:rsidRDefault="007F38C8" w:rsidP="00D97F4B">
      <w:pPr>
        <w:pStyle w:val="Heading1"/>
        <w:spacing w:before="240" w:after="240" w:line="360" w:lineRule="auto"/>
        <w:jc w:val="both"/>
        <w:rPr>
          <w:rFonts w:ascii="Times New Roman" w:hAnsi="Times New Roman"/>
          <w:b/>
          <w:bCs/>
          <w:color w:val="000000" w:themeColor="text1"/>
          <w:sz w:val="24"/>
        </w:rPr>
      </w:pPr>
      <w:bookmarkStart w:id="4" w:name="_Toc153958257"/>
      <w:r w:rsidRPr="004B4C38">
        <w:rPr>
          <w:rFonts w:ascii="Times New Roman" w:hAnsi="Times New Roman"/>
          <w:b/>
          <w:bCs/>
          <w:color w:val="000000" w:themeColor="text1"/>
          <w:sz w:val="24"/>
        </w:rPr>
        <w:lastRenderedPageBreak/>
        <w:t>Conclusion</w:t>
      </w:r>
      <w:bookmarkEnd w:id="4"/>
      <w:r w:rsidRPr="004B4C38">
        <w:rPr>
          <w:rFonts w:ascii="Times New Roman" w:hAnsi="Times New Roman"/>
          <w:b/>
          <w:bCs/>
          <w:color w:val="000000" w:themeColor="text1"/>
          <w:sz w:val="24"/>
        </w:rPr>
        <w:t xml:space="preserve"> </w:t>
      </w:r>
    </w:p>
    <w:p w14:paraId="3040E784" w14:textId="77777777" w:rsidR="00F27FA4" w:rsidRPr="00D97F4B" w:rsidRDefault="007F38C8" w:rsidP="00D97F4B">
      <w:pPr>
        <w:spacing w:before="240" w:after="240" w:line="360" w:lineRule="auto"/>
        <w:jc w:val="both"/>
        <w:rPr>
          <w:rFonts w:ascii="Times New Roman" w:eastAsia="Times New Roman" w:hAnsi="Times New Roman" w:cs="Times New Roman"/>
          <w:color w:val="000000" w:themeColor="text1"/>
          <w:sz w:val="24"/>
          <w:szCs w:val="24"/>
        </w:rPr>
      </w:pPr>
      <w:r w:rsidRPr="00D97F4B">
        <w:rPr>
          <w:rFonts w:ascii="Times New Roman" w:eastAsia="Times New Roman" w:hAnsi="Times New Roman" w:cs="Times New Roman"/>
          <w:color w:val="000000" w:themeColor="text1"/>
          <w:sz w:val="24"/>
          <w:szCs w:val="24"/>
        </w:rPr>
        <w:t xml:space="preserve">It can be concluded that accounting fundamentals assure the relevance and accuracy of the monetary transactions of the firms that reflect the flexibility of the financial statement analysis done within the fiscal year. It is important for an individual to learn about the correct accounting principles to understand the structure of the economic base followed by the companies. Simultaneously, it should be conducted by including both accrued and prepayment transactions to assure its accuracy. The statement of financial position or the balance sheet should be prepared by recording both cash and non-cash transactions which will confirm the involvement of cash in different elements. Non-current assets such as Goodwill, Patents, Copyrights and Trademarks cannot be moved but other assets which are land, factories, equipment and natural resources can be moved. It is necessary to identify the difference between tangible, intangible and natural resources to understand the movability of the non-current assets. Managers should attract future shareholders for the companies by providing financial information to attract them towards investment but confidentiality of the sensitive information should be maintained. Ledger and trial balance are the core basic components for companies that intend to record transactions on a daily basis for assisting the other financial statements such as balance sheets and income statements. All these accounting statements and concepts are based on the active establishment of the accounting standards as well as GAAP that directs the suitability of the economic performance of the business entities. An income statement directs the flow of cash in the business and utilisation of the fund in covering the expenses. Similarly, it is necessary to reflect ratio analysis which can assist in comparing the internal business performance made in different financial years. </w:t>
      </w:r>
      <w:r w:rsidRPr="00D97F4B">
        <w:rPr>
          <w:rFonts w:ascii="Times New Roman" w:hAnsi="Times New Roman"/>
          <w:color w:val="000000" w:themeColor="text1"/>
          <w:sz w:val="24"/>
        </w:rPr>
        <w:br w:type="page"/>
      </w:r>
    </w:p>
    <w:p w14:paraId="44FE81ED" w14:textId="3FE1659F" w:rsidR="00F27FA4" w:rsidRPr="00D97F4B" w:rsidRDefault="007F38C8" w:rsidP="00D97F4B">
      <w:pPr>
        <w:spacing w:before="240" w:after="240" w:line="360" w:lineRule="auto"/>
        <w:jc w:val="both"/>
        <w:rPr>
          <w:rFonts w:ascii="Times New Roman" w:eastAsia="Times New Roman" w:hAnsi="Times New Roman" w:cs="Times New Roman"/>
          <w:b/>
          <w:color w:val="000000" w:themeColor="text1"/>
          <w:sz w:val="24"/>
          <w:szCs w:val="28"/>
        </w:rPr>
      </w:pPr>
      <w:r w:rsidRPr="00D97F4B">
        <w:rPr>
          <w:rFonts w:ascii="Times New Roman" w:eastAsia="Times New Roman" w:hAnsi="Times New Roman" w:cs="Times New Roman"/>
          <w:b/>
          <w:color w:val="000000" w:themeColor="text1"/>
          <w:sz w:val="24"/>
          <w:szCs w:val="28"/>
        </w:rPr>
        <w:lastRenderedPageBreak/>
        <w:t>Reference</w:t>
      </w:r>
      <w:r w:rsidR="00EF7D4A" w:rsidRPr="00D97F4B">
        <w:rPr>
          <w:rFonts w:ascii="Times New Roman" w:eastAsia="Times New Roman" w:hAnsi="Times New Roman" w:cs="Times New Roman"/>
          <w:b/>
          <w:color w:val="000000" w:themeColor="text1"/>
          <w:sz w:val="24"/>
          <w:szCs w:val="28"/>
        </w:rPr>
        <w:t>s</w:t>
      </w:r>
    </w:p>
    <w:p w14:paraId="13311E26"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Apostol, C., 2021. Inventory-important technique preceding the accounting balance sheet. </w:t>
      </w:r>
      <w:r w:rsidRPr="00D97F4B">
        <w:rPr>
          <w:rFonts w:ascii="Times New Roman" w:eastAsia="Times New Roman" w:hAnsi="Times New Roman" w:cs="Times New Roman"/>
          <w:i/>
          <w:color w:val="000000" w:themeColor="text1"/>
          <w:sz w:val="24"/>
          <w:szCs w:val="24"/>
          <w:highlight w:val="white"/>
        </w:rPr>
        <w:t>Lucrări ştiinţifice</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52</w:t>
      </w:r>
      <w:r w:rsidRPr="00D97F4B">
        <w:rPr>
          <w:rFonts w:ascii="Times New Roman" w:eastAsia="Times New Roman" w:hAnsi="Times New Roman" w:cs="Times New Roman"/>
          <w:color w:val="000000" w:themeColor="text1"/>
          <w:sz w:val="24"/>
          <w:szCs w:val="24"/>
          <w:highlight w:val="white"/>
        </w:rPr>
        <w:t xml:space="preserve">. </w:t>
      </w:r>
    </w:p>
    <w:p w14:paraId="5E5E5B77"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Barker, R., Penman, S., Linsmeier, T.J. and Cooper, S., 2020. Moving the conceptual framework forward: Accounting for uncertainty. </w:t>
      </w:r>
      <w:r w:rsidRPr="00D97F4B">
        <w:rPr>
          <w:rFonts w:ascii="Times New Roman" w:eastAsia="Times New Roman" w:hAnsi="Times New Roman" w:cs="Times New Roman"/>
          <w:i/>
          <w:color w:val="000000" w:themeColor="text1"/>
          <w:sz w:val="24"/>
          <w:szCs w:val="24"/>
          <w:highlight w:val="white"/>
        </w:rPr>
        <w:t>Contemporary Accounting Research</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37</w:t>
      </w:r>
      <w:r w:rsidRPr="00D97F4B">
        <w:rPr>
          <w:rFonts w:ascii="Times New Roman" w:eastAsia="Times New Roman" w:hAnsi="Times New Roman" w:cs="Times New Roman"/>
          <w:color w:val="000000" w:themeColor="text1"/>
          <w:sz w:val="24"/>
          <w:szCs w:val="24"/>
          <w:highlight w:val="white"/>
        </w:rPr>
        <w:t>(1), pp.322-357.</w:t>
      </w:r>
    </w:p>
    <w:p w14:paraId="64E7BEE4"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Battilana, J., Obloj, T., Pache, A.C. and Sengul, M., 2022. Beyond shareholder value maximization: Accounting for financial/social trade-offs in dual-purpose companies. </w:t>
      </w:r>
      <w:r w:rsidRPr="00D97F4B">
        <w:rPr>
          <w:rFonts w:ascii="Times New Roman" w:eastAsia="Times New Roman" w:hAnsi="Times New Roman" w:cs="Times New Roman"/>
          <w:i/>
          <w:color w:val="000000" w:themeColor="text1"/>
          <w:sz w:val="24"/>
          <w:szCs w:val="24"/>
          <w:highlight w:val="white"/>
        </w:rPr>
        <w:t>Academy of Management Review</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47</w:t>
      </w:r>
      <w:r w:rsidRPr="00D97F4B">
        <w:rPr>
          <w:rFonts w:ascii="Times New Roman" w:eastAsia="Times New Roman" w:hAnsi="Times New Roman" w:cs="Times New Roman"/>
          <w:color w:val="000000" w:themeColor="text1"/>
          <w:sz w:val="24"/>
          <w:szCs w:val="24"/>
          <w:highlight w:val="white"/>
        </w:rPr>
        <w:t>(2), pp.237-258.</w:t>
      </w:r>
    </w:p>
    <w:p w14:paraId="299328CA"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Blouin, J. and Robinson, L.A., 2020. Double counting accounting: How much profit of multinational enterprises is really in tax </w:t>
      </w:r>
      <w:proofErr w:type="gramStart"/>
      <w:r w:rsidRPr="00D97F4B">
        <w:rPr>
          <w:rFonts w:ascii="Times New Roman" w:eastAsia="Times New Roman" w:hAnsi="Times New Roman" w:cs="Times New Roman"/>
          <w:color w:val="000000" w:themeColor="text1"/>
          <w:sz w:val="24"/>
          <w:szCs w:val="24"/>
          <w:highlight w:val="white"/>
        </w:rPr>
        <w:t>havens?.</w:t>
      </w:r>
      <w:proofErr w:type="gramEnd"/>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Available at SSRN 3491451</w:t>
      </w:r>
      <w:r w:rsidRPr="00D97F4B">
        <w:rPr>
          <w:rFonts w:ascii="Times New Roman" w:eastAsia="Times New Roman" w:hAnsi="Times New Roman" w:cs="Times New Roman"/>
          <w:color w:val="000000" w:themeColor="text1"/>
          <w:sz w:val="24"/>
          <w:szCs w:val="24"/>
          <w:highlight w:val="white"/>
        </w:rPr>
        <w:t>.</w:t>
      </w:r>
    </w:p>
    <w:p w14:paraId="0D909FCF"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Brewer, P.C., Garrison, R.H. and Noreen, E.W., 2022. </w:t>
      </w:r>
      <w:r w:rsidRPr="00D97F4B">
        <w:rPr>
          <w:rFonts w:ascii="Times New Roman" w:eastAsia="Times New Roman" w:hAnsi="Times New Roman" w:cs="Times New Roman"/>
          <w:i/>
          <w:color w:val="000000" w:themeColor="text1"/>
          <w:sz w:val="24"/>
          <w:szCs w:val="24"/>
          <w:highlight w:val="white"/>
        </w:rPr>
        <w:t>Introduction to managerial accounting</w:t>
      </w:r>
      <w:r w:rsidRPr="00D97F4B">
        <w:rPr>
          <w:rFonts w:ascii="Times New Roman" w:eastAsia="Times New Roman" w:hAnsi="Times New Roman" w:cs="Times New Roman"/>
          <w:color w:val="000000" w:themeColor="text1"/>
          <w:sz w:val="24"/>
          <w:szCs w:val="24"/>
          <w:highlight w:val="white"/>
        </w:rPr>
        <w:t>. McGraw-Hill.</w:t>
      </w:r>
    </w:p>
    <w:p w14:paraId="004F7430"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Cai, C.W., 2021. Triple‐entry accounting with blockchain: How far have we </w:t>
      </w:r>
      <w:proofErr w:type="gramStart"/>
      <w:r w:rsidRPr="00D97F4B">
        <w:rPr>
          <w:rFonts w:ascii="Times New Roman" w:eastAsia="Times New Roman" w:hAnsi="Times New Roman" w:cs="Times New Roman"/>
          <w:color w:val="000000" w:themeColor="text1"/>
          <w:sz w:val="24"/>
          <w:szCs w:val="24"/>
          <w:highlight w:val="white"/>
        </w:rPr>
        <w:t>come?.</w:t>
      </w:r>
      <w:proofErr w:type="gramEnd"/>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Accounting &amp; Finance</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61</w:t>
      </w:r>
      <w:r w:rsidRPr="00D97F4B">
        <w:rPr>
          <w:rFonts w:ascii="Times New Roman" w:eastAsia="Times New Roman" w:hAnsi="Times New Roman" w:cs="Times New Roman"/>
          <w:color w:val="000000" w:themeColor="text1"/>
          <w:sz w:val="24"/>
          <w:szCs w:val="24"/>
          <w:highlight w:val="white"/>
        </w:rPr>
        <w:t>(1), pp.71-93.</w:t>
      </w:r>
    </w:p>
    <w:p w14:paraId="0328FA75"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Kapur, M., 2020. Performance of Conventional and Islamic Banks in the UAE: A Comparative Graphical Ratio Analysis. </w:t>
      </w:r>
      <w:r w:rsidRPr="00D97F4B">
        <w:rPr>
          <w:rFonts w:ascii="Times New Roman" w:eastAsia="Times New Roman" w:hAnsi="Times New Roman" w:cs="Times New Roman"/>
          <w:i/>
          <w:color w:val="000000" w:themeColor="text1"/>
          <w:sz w:val="24"/>
          <w:szCs w:val="24"/>
          <w:highlight w:val="white"/>
        </w:rPr>
        <w:t>International Journal of Accounting &amp; Finance Review</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5</w:t>
      </w:r>
      <w:r w:rsidRPr="00D97F4B">
        <w:rPr>
          <w:rFonts w:ascii="Times New Roman" w:eastAsia="Times New Roman" w:hAnsi="Times New Roman" w:cs="Times New Roman"/>
          <w:color w:val="000000" w:themeColor="text1"/>
          <w:sz w:val="24"/>
          <w:szCs w:val="24"/>
          <w:highlight w:val="white"/>
        </w:rPr>
        <w:t xml:space="preserve">(2), pp.50-63. </w:t>
      </w:r>
    </w:p>
    <w:p w14:paraId="561D03A4"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Killingsworth, J., Mehany, M.H. and Kim, J., 2021. Using accounting ratios to measure construction industry lag. </w:t>
      </w:r>
      <w:r w:rsidRPr="00D97F4B">
        <w:rPr>
          <w:rFonts w:ascii="Times New Roman" w:eastAsia="Times New Roman" w:hAnsi="Times New Roman" w:cs="Times New Roman"/>
          <w:i/>
          <w:color w:val="000000" w:themeColor="text1"/>
          <w:sz w:val="24"/>
          <w:szCs w:val="24"/>
          <w:highlight w:val="white"/>
        </w:rPr>
        <w:t>Journal of Financial Management of Property and Construction</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26</w:t>
      </w:r>
      <w:r w:rsidRPr="00D97F4B">
        <w:rPr>
          <w:rFonts w:ascii="Times New Roman" w:eastAsia="Times New Roman" w:hAnsi="Times New Roman" w:cs="Times New Roman"/>
          <w:color w:val="000000" w:themeColor="text1"/>
          <w:sz w:val="24"/>
          <w:szCs w:val="24"/>
          <w:highlight w:val="white"/>
        </w:rPr>
        <w:t>(2), pp.181-200.</w:t>
      </w:r>
    </w:p>
    <w:p w14:paraId="32218814"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Kober, R., Lee, J. and Ng, J., 2021. Australian not‐for‐profit sector views on the conceptual framework, accounting standards and accounting information. </w:t>
      </w:r>
      <w:r w:rsidRPr="00D97F4B">
        <w:rPr>
          <w:rFonts w:ascii="Times New Roman" w:eastAsia="Times New Roman" w:hAnsi="Times New Roman" w:cs="Times New Roman"/>
          <w:i/>
          <w:color w:val="000000" w:themeColor="text1"/>
          <w:sz w:val="24"/>
          <w:szCs w:val="24"/>
          <w:highlight w:val="white"/>
        </w:rPr>
        <w:t>Accounting &amp; Finance</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61</w:t>
      </w:r>
      <w:r w:rsidRPr="00D97F4B">
        <w:rPr>
          <w:rFonts w:ascii="Times New Roman" w:eastAsia="Times New Roman" w:hAnsi="Times New Roman" w:cs="Times New Roman"/>
          <w:color w:val="000000" w:themeColor="text1"/>
          <w:sz w:val="24"/>
          <w:szCs w:val="24"/>
          <w:highlight w:val="white"/>
        </w:rPr>
        <w:t>(1), pp.1105-1138.</w:t>
      </w:r>
    </w:p>
    <w:p w14:paraId="4B6E3531"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Manullang, A.E.A., Togatorop, D., Purba, P.R.D., Manik, E.A.Y., Simorangkir, E.N. and Lase, R.K., 2020. The significance of accounts receivable turnover, debt to equity ratio, current ratio to the probability of manufacturing companies. </w:t>
      </w:r>
      <w:r w:rsidRPr="00D97F4B">
        <w:rPr>
          <w:rFonts w:ascii="Times New Roman" w:eastAsia="Times New Roman" w:hAnsi="Times New Roman" w:cs="Times New Roman"/>
          <w:i/>
          <w:color w:val="000000" w:themeColor="text1"/>
          <w:sz w:val="24"/>
          <w:szCs w:val="24"/>
          <w:highlight w:val="white"/>
        </w:rPr>
        <w:t>International Journal of Social Science and Business</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4</w:t>
      </w:r>
      <w:r w:rsidRPr="00D97F4B">
        <w:rPr>
          <w:rFonts w:ascii="Times New Roman" w:eastAsia="Times New Roman" w:hAnsi="Times New Roman" w:cs="Times New Roman"/>
          <w:color w:val="000000" w:themeColor="text1"/>
          <w:sz w:val="24"/>
          <w:szCs w:val="24"/>
          <w:highlight w:val="white"/>
        </w:rPr>
        <w:t>(3), pp.464-471.</w:t>
      </w:r>
    </w:p>
    <w:p w14:paraId="5DFB6F0B"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lastRenderedPageBreak/>
        <w:t xml:space="preserve">Marmul, L. and Kucherenko, M., 2021. Current issues of accounting of non-current assets depreciation. </w:t>
      </w:r>
      <w:r w:rsidRPr="00D97F4B">
        <w:rPr>
          <w:rFonts w:ascii="Times New Roman" w:eastAsia="Times New Roman" w:hAnsi="Times New Roman" w:cs="Times New Roman"/>
          <w:i/>
          <w:color w:val="000000" w:themeColor="text1"/>
          <w:sz w:val="24"/>
          <w:szCs w:val="24"/>
          <w:highlight w:val="white"/>
        </w:rPr>
        <w:t>University Economic Bulletin</w:t>
      </w:r>
      <w:r w:rsidRPr="00D97F4B">
        <w:rPr>
          <w:rFonts w:ascii="Times New Roman" w:eastAsia="Times New Roman" w:hAnsi="Times New Roman" w:cs="Times New Roman"/>
          <w:color w:val="000000" w:themeColor="text1"/>
          <w:sz w:val="24"/>
          <w:szCs w:val="24"/>
          <w:highlight w:val="white"/>
        </w:rPr>
        <w:t>, (49), pp.108-112.</w:t>
      </w:r>
    </w:p>
    <w:p w14:paraId="11DFD576"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Schmitz, J. and Leoni, G., 2019. Accounting and auditing at the time of blockchain technology: a research agenda. </w:t>
      </w:r>
      <w:r w:rsidRPr="00D97F4B">
        <w:rPr>
          <w:rFonts w:ascii="Times New Roman" w:eastAsia="Times New Roman" w:hAnsi="Times New Roman" w:cs="Times New Roman"/>
          <w:i/>
          <w:color w:val="000000" w:themeColor="text1"/>
          <w:sz w:val="24"/>
          <w:szCs w:val="24"/>
          <w:highlight w:val="white"/>
        </w:rPr>
        <w:t>Australian Accounting Review</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29</w:t>
      </w:r>
      <w:r w:rsidRPr="00D97F4B">
        <w:rPr>
          <w:rFonts w:ascii="Times New Roman" w:eastAsia="Times New Roman" w:hAnsi="Times New Roman" w:cs="Times New Roman"/>
          <w:color w:val="000000" w:themeColor="text1"/>
          <w:sz w:val="24"/>
          <w:szCs w:val="24"/>
          <w:highlight w:val="white"/>
        </w:rPr>
        <w:t>(2), pp.331-342.</w:t>
      </w:r>
    </w:p>
    <w:p w14:paraId="530CC8E3"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Song, M., Zhu, S., Wang, J. and Wang, S., 2019. China's natural resources balance sheet from the perspective of government oversight: based on the analysis of governance and accounting attributes. </w:t>
      </w:r>
      <w:r w:rsidRPr="00D97F4B">
        <w:rPr>
          <w:rFonts w:ascii="Times New Roman" w:eastAsia="Times New Roman" w:hAnsi="Times New Roman" w:cs="Times New Roman"/>
          <w:i/>
          <w:color w:val="000000" w:themeColor="text1"/>
          <w:sz w:val="24"/>
          <w:szCs w:val="24"/>
          <w:highlight w:val="white"/>
        </w:rPr>
        <w:t>Journal of environmental management</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248</w:t>
      </w:r>
      <w:r w:rsidRPr="00D97F4B">
        <w:rPr>
          <w:rFonts w:ascii="Times New Roman" w:eastAsia="Times New Roman" w:hAnsi="Times New Roman" w:cs="Times New Roman"/>
          <w:color w:val="000000" w:themeColor="text1"/>
          <w:sz w:val="24"/>
          <w:szCs w:val="24"/>
          <w:highlight w:val="white"/>
        </w:rPr>
        <w:t>, p.109232.</w:t>
      </w:r>
    </w:p>
    <w:p w14:paraId="2C838F12"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Warren, C.S., Jones, J.P. and Tayler, W.B., 2020. </w:t>
      </w:r>
      <w:r w:rsidRPr="00D97F4B">
        <w:rPr>
          <w:rFonts w:ascii="Times New Roman" w:eastAsia="Times New Roman" w:hAnsi="Times New Roman" w:cs="Times New Roman"/>
          <w:i/>
          <w:color w:val="000000" w:themeColor="text1"/>
          <w:sz w:val="24"/>
          <w:szCs w:val="24"/>
          <w:highlight w:val="white"/>
        </w:rPr>
        <w:t>Financial and managerial accounting</w:t>
      </w:r>
      <w:r w:rsidRPr="00D97F4B">
        <w:rPr>
          <w:rFonts w:ascii="Times New Roman" w:eastAsia="Times New Roman" w:hAnsi="Times New Roman" w:cs="Times New Roman"/>
          <w:color w:val="000000" w:themeColor="text1"/>
          <w:sz w:val="24"/>
          <w:szCs w:val="24"/>
          <w:highlight w:val="white"/>
        </w:rPr>
        <w:t xml:space="preserve">. Cengage Learning, </w:t>
      </w:r>
      <w:proofErr w:type="gramStart"/>
      <w:r w:rsidRPr="00D97F4B">
        <w:rPr>
          <w:rFonts w:ascii="Times New Roman" w:eastAsia="Times New Roman" w:hAnsi="Times New Roman" w:cs="Times New Roman"/>
          <w:color w:val="000000" w:themeColor="text1"/>
          <w:sz w:val="24"/>
          <w:szCs w:val="24"/>
          <w:highlight w:val="white"/>
        </w:rPr>
        <w:t>Inc..</w:t>
      </w:r>
      <w:proofErr w:type="gramEnd"/>
    </w:p>
    <w:p w14:paraId="4E1480E0" w14:textId="77777777" w:rsidR="009B643C" w:rsidRPr="00D97F4B" w:rsidRDefault="009B643C" w:rsidP="00D97F4B">
      <w:pPr>
        <w:spacing w:before="240" w:after="240" w:line="360" w:lineRule="auto"/>
        <w:jc w:val="both"/>
        <w:rPr>
          <w:rFonts w:ascii="Times New Roman" w:eastAsia="Times New Roman" w:hAnsi="Times New Roman" w:cs="Times New Roman"/>
          <w:color w:val="000000" w:themeColor="text1"/>
          <w:sz w:val="24"/>
          <w:szCs w:val="24"/>
          <w:highlight w:val="white"/>
        </w:rPr>
      </w:pPr>
      <w:r w:rsidRPr="00D97F4B">
        <w:rPr>
          <w:rFonts w:ascii="Times New Roman" w:eastAsia="Times New Roman" w:hAnsi="Times New Roman" w:cs="Times New Roman"/>
          <w:color w:val="000000" w:themeColor="text1"/>
          <w:sz w:val="24"/>
          <w:szCs w:val="24"/>
          <w:highlight w:val="white"/>
        </w:rPr>
        <w:t xml:space="preserve">Weigand, H., Blums, I. and de Kruijff, J., 2020. Shared ledger accounting—implementing the economic exchange pattern. </w:t>
      </w:r>
      <w:r w:rsidRPr="00D97F4B">
        <w:rPr>
          <w:rFonts w:ascii="Times New Roman" w:eastAsia="Times New Roman" w:hAnsi="Times New Roman" w:cs="Times New Roman"/>
          <w:i/>
          <w:color w:val="000000" w:themeColor="text1"/>
          <w:sz w:val="24"/>
          <w:szCs w:val="24"/>
          <w:highlight w:val="white"/>
        </w:rPr>
        <w:t>Information Systems</w:t>
      </w:r>
      <w:r w:rsidRPr="00D97F4B">
        <w:rPr>
          <w:rFonts w:ascii="Times New Roman" w:eastAsia="Times New Roman" w:hAnsi="Times New Roman" w:cs="Times New Roman"/>
          <w:color w:val="000000" w:themeColor="text1"/>
          <w:sz w:val="24"/>
          <w:szCs w:val="24"/>
          <w:highlight w:val="white"/>
        </w:rPr>
        <w:t xml:space="preserve">, </w:t>
      </w:r>
      <w:r w:rsidRPr="00D97F4B">
        <w:rPr>
          <w:rFonts w:ascii="Times New Roman" w:eastAsia="Times New Roman" w:hAnsi="Times New Roman" w:cs="Times New Roman"/>
          <w:i/>
          <w:color w:val="000000" w:themeColor="text1"/>
          <w:sz w:val="24"/>
          <w:szCs w:val="24"/>
          <w:highlight w:val="white"/>
        </w:rPr>
        <w:t>90</w:t>
      </w:r>
      <w:r w:rsidRPr="00D97F4B">
        <w:rPr>
          <w:rFonts w:ascii="Times New Roman" w:eastAsia="Times New Roman" w:hAnsi="Times New Roman" w:cs="Times New Roman"/>
          <w:color w:val="000000" w:themeColor="text1"/>
          <w:sz w:val="24"/>
          <w:szCs w:val="24"/>
          <w:highlight w:val="white"/>
        </w:rPr>
        <w:t xml:space="preserve">, p.101437. </w:t>
      </w:r>
    </w:p>
    <w:p w14:paraId="598208CE" w14:textId="77777777" w:rsidR="00F27FA4" w:rsidRPr="00D97F4B" w:rsidRDefault="00F27FA4" w:rsidP="00D97F4B">
      <w:pPr>
        <w:spacing w:before="240" w:after="240" w:line="360" w:lineRule="auto"/>
        <w:jc w:val="both"/>
        <w:rPr>
          <w:rFonts w:ascii="Times New Roman" w:eastAsia="Times New Roman" w:hAnsi="Times New Roman" w:cs="Times New Roman"/>
          <w:color w:val="000000" w:themeColor="text1"/>
          <w:sz w:val="24"/>
          <w:szCs w:val="24"/>
        </w:rPr>
      </w:pPr>
    </w:p>
    <w:sectPr w:rsidR="00F27FA4" w:rsidRPr="00D97F4B" w:rsidSect="009C17CC">
      <w:footerReference w:type="default" r:id="rId10"/>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9C0AE" w14:textId="77777777" w:rsidR="007F38C8" w:rsidRDefault="007F38C8" w:rsidP="009B643C">
      <w:pPr>
        <w:spacing w:line="240" w:lineRule="auto"/>
      </w:pPr>
      <w:r>
        <w:separator/>
      </w:r>
    </w:p>
  </w:endnote>
  <w:endnote w:type="continuationSeparator" w:id="0">
    <w:p w14:paraId="422E94F3" w14:textId="77777777" w:rsidR="007F38C8" w:rsidRDefault="007F38C8" w:rsidP="009B64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 w:name="Bahnschrift SemiLight SemiConde">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614539"/>
      <w:docPartObj>
        <w:docPartGallery w:val="Page Numbers (Bottom of Page)"/>
        <w:docPartUnique/>
      </w:docPartObj>
    </w:sdtPr>
    <w:sdtEndPr>
      <w:rPr>
        <w:noProof/>
      </w:rPr>
    </w:sdtEndPr>
    <w:sdtContent>
      <w:p w14:paraId="07EB05C4" w14:textId="2DB5177D" w:rsidR="00FA738B" w:rsidRDefault="00FA73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DEFD9" w14:textId="77777777" w:rsidR="009B643C" w:rsidRDefault="009B6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6CA42" w14:textId="77777777" w:rsidR="007F38C8" w:rsidRDefault="007F38C8" w:rsidP="009B643C">
      <w:pPr>
        <w:spacing w:line="240" w:lineRule="auto"/>
      </w:pPr>
      <w:r>
        <w:separator/>
      </w:r>
    </w:p>
  </w:footnote>
  <w:footnote w:type="continuationSeparator" w:id="0">
    <w:p w14:paraId="72810F68" w14:textId="77777777" w:rsidR="007F38C8" w:rsidRDefault="007F38C8" w:rsidP="009B64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600438"/>
    <w:multiLevelType w:val="hybridMultilevel"/>
    <w:tmpl w:val="149E582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7B360F45"/>
    <w:multiLevelType w:val="multilevel"/>
    <w:tmpl w:val="1388C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7484170">
    <w:abstractNumId w:val="1"/>
  </w:num>
  <w:num w:numId="2" w16cid:durableId="1056048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FA4"/>
    <w:rsid w:val="00197406"/>
    <w:rsid w:val="003A4EE0"/>
    <w:rsid w:val="004836DC"/>
    <w:rsid w:val="004B4C38"/>
    <w:rsid w:val="00554DCF"/>
    <w:rsid w:val="007D1AD4"/>
    <w:rsid w:val="007E3CC2"/>
    <w:rsid w:val="007F38C8"/>
    <w:rsid w:val="009B643C"/>
    <w:rsid w:val="009C17CC"/>
    <w:rsid w:val="00A15995"/>
    <w:rsid w:val="00D356AD"/>
    <w:rsid w:val="00D97F4B"/>
    <w:rsid w:val="00EF7D4A"/>
    <w:rsid w:val="00F27FA4"/>
    <w:rsid w:val="00FA73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28D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B643C"/>
    <w:pPr>
      <w:tabs>
        <w:tab w:val="center" w:pos="4513"/>
        <w:tab w:val="right" w:pos="9026"/>
      </w:tabs>
      <w:spacing w:line="240" w:lineRule="auto"/>
    </w:pPr>
  </w:style>
  <w:style w:type="character" w:customStyle="1" w:styleId="HeaderChar">
    <w:name w:val="Header Char"/>
    <w:basedOn w:val="DefaultParagraphFont"/>
    <w:link w:val="Header"/>
    <w:uiPriority w:val="99"/>
    <w:rsid w:val="009B643C"/>
  </w:style>
  <w:style w:type="paragraph" w:styleId="Footer">
    <w:name w:val="footer"/>
    <w:basedOn w:val="Normal"/>
    <w:link w:val="FooterChar"/>
    <w:uiPriority w:val="99"/>
    <w:unhideWhenUsed/>
    <w:rsid w:val="009B643C"/>
    <w:pPr>
      <w:tabs>
        <w:tab w:val="center" w:pos="4513"/>
        <w:tab w:val="right" w:pos="9026"/>
      </w:tabs>
      <w:spacing w:line="240" w:lineRule="auto"/>
    </w:pPr>
  </w:style>
  <w:style w:type="character" w:customStyle="1" w:styleId="FooterChar">
    <w:name w:val="Footer Char"/>
    <w:basedOn w:val="DefaultParagraphFont"/>
    <w:link w:val="Footer"/>
    <w:uiPriority w:val="99"/>
    <w:rsid w:val="009B643C"/>
  </w:style>
  <w:style w:type="paragraph" w:styleId="TOCHeading">
    <w:name w:val="TOC Heading"/>
    <w:basedOn w:val="Heading1"/>
    <w:next w:val="Normal"/>
    <w:uiPriority w:val="39"/>
    <w:unhideWhenUsed/>
    <w:qFormat/>
    <w:rsid w:val="00D97F4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97F4B"/>
    <w:pPr>
      <w:spacing w:after="100"/>
    </w:pPr>
  </w:style>
  <w:style w:type="character" w:styleId="Hyperlink">
    <w:name w:val="Hyperlink"/>
    <w:basedOn w:val="DefaultParagraphFont"/>
    <w:uiPriority w:val="99"/>
    <w:unhideWhenUsed/>
    <w:rsid w:val="00D97F4B"/>
    <w:rPr>
      <w:color w:val="0000FF" w:themeColor="hyperlink"/>
      <w:u w:val="single"/>
    </w:rPr>
  </w:style>
  <w:style w:type="paragraph" w:styleId="ListParagraph">
    <w:name w:val="List Paragraph"/>
    <w:basedOn w:val="Normal"/>
    <w:uiPriority w:val="34"/>
    <w:qFormat/>
    <w:rsid w:val="00D97F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E7B68-9798-4400-B9B4-C7BC24374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2932</Words>
  <Characters>16717</Characters>
  <Application>Microsoft Office Word</Application>
  <DocSecurity>0</DocSecurity>
  <Lines>139</Lines>
  <Paragraphs>39</Paragraphs>
  <ScaleCrop>false</ScaleCrop>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2023-12-20T03:42:00Z</dcterms:created>
  <dcterms:modified xsi:type="dcterms:W3CDTF">2023-12-20T09:53:00Z</dcterms:modified>
</cp:coreProperties>
</file>