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B2718" w14:textId="386C544A" w:rsidR="00A06117" w:rsidRPr="002C6EFA" w:rsidRDefault="005E4740" w:rsidP="005E4740">
      <w:pPr>
        <w:spacing w:after="240"/>
        <w:jc w:val="center"/>
        <w:rPr>
          <w:rFonts w:eastAsia="Times New Roman"/>
          <w:b/>
          <w:bCs/>
          <w:sz w:val="32"/>
          <w:szCs w:val="32"/>
          <w:lang w:val="en-GB"/>
        </w:rPr>
      </w:pPr>
      <w:r w:rsidRPr="002C6EFA">
        <w:rPr>
          <w:rFonts w:eastAsia="Times New Roman"/>
          <w:b/>
          <w:bCs/>
          <w:noProof/>
          <w:sz w:val="32"/>
          <w:szCs w:val="32"/>
          <w:lang w:val="en-GB"/>
        </w:rPr>
        <w:drawing>
          <wp:inline distT="0" distB="0" distL="0" distR="0" wp14:anchorId="3B17582E" wp14:editId="19B3BE4E">
            <wp:extent cx="3962400" cy="2201333"/>
            <wp:effectExtent l="0" t="0" r="0" b="8890"/>
            <wp:docPr id="2075865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69086" cy="2205048"/>
                    </a:xfrm>
                    <a:prstGeom prst="rect">
                      <a:avLst/>
                    </a:prstGeom>
                    <a:noFill/>
                  </pic:spPr>
                </pic:pic>
              </a:graphicData>
            </a:graphic>
          </wp:inline>
        </w:drawing>
      </w:r>
    </w:p>
    <w:p w14:paraId="210F6D43" w14:textId="39C9643F" w:rsidR="00CB53B6" w:rsidRPr="002C6EFA" w:rsidRDefault="00CB53B6" w:rsidP="00A06117">
      <w:pPr>
        <w:spacing w:after="240" w:line="360" w:lineRule="auto"/>
        <w:jc w:val="center"/>
        <w:rPr>
          <w:rFonts w:eastAsia="Times New Roman"/>
          <w:b/>
          <w:bCs/>
          <w:sz w:val="28"/>
          <w:szCs w:val="32"/>
          <w:lang w:val="en-GB"/>
        </w:rPr>
      </w:pPr>
      <w:r w:rsidRPr="002C6EFA">
        <w:rPr>
          <w:rFonts w:eastAsia="Times New Roman"/>
          <w:b/>
          <w:bCs/>
          <w:sz w:val="28"/>
          <w:szCs w:val="32"/>
          <w:lang w:val="en-GB"/>
        </w:rPr>
        <w:t>Module Name:</w:t>
      </w:r>
      <w:r w:rsidRPr="002C6EFA">
        <w:rPr>
          <w:sz w:val="20"/>
          <w:lang w:val="en-GB"/>
        </w:rPr>
        <w:t xml:space="preserve"> </w:t>
      </w:r>
      <w:r w:rsidRPr="002C6EFA">
        <w:rPr>
          <w:rFonts w:eastAsia="Times New Roman"/>
          <w:b/>
          <w:bCs/>
          <w:sz w:val="28"/>
          <w:szCs w:val="32"/>
          <w:lang w:val="en-GB"/>
        </w:rPr>
        <w:t>Quality Assurance and Service Improvements</w:t>
      </w:r>
    </w:p>
    <w:p w14:paraId="59BEE6FE" w14:textId="163331A5" w:rsidR="00CB53B6" w:rsidRPr="002C6EFA" w:rsidRDefault="00CB53B6" w:rsidP="00A06117">
      <w:pPr>
        <w:spacing w:after="240" w:line="360" w:lineRule="auto"/>
        <w:jc w:val="center"/>
        <w:rPr>
          <w:rFonts w:eastAsia="Times New Roman"/>
          <w:b/>
          <w:bCs/>
          <w:sz w:val="28"/>
          <w:szCs w:val="32"/>
          <w:lang w:val="en-GB"/>
        </w:rPr>
      </w:pPr>
      <w:r w:rsidRPr="002C6EFA">
        <w:rPr>
          <w:rFonts w:eastAsia="Times New Roman"/>
          <w:b/>
          <w:bCs/>
          <w:sz w:val="28"/>
          <w:szCs w:val="32"/>
          <w:lang w:val="en-GB"/>
        </w:rPr>
        <w:t>Module code: LCHS7006</w:t>
      </w:r>
    </w:p>
    <w:p w14:paraId="15A0154B" w14:textId="05294CD8" w:rsidR="00B81225" w:rsidRPr="002C6EFA" w:rsidRDefault="009E6BF8" w:rsidP="00A06117">
      <w:pPr>
        <w:spacing w:after="240" w:line="360" w:lineRule="auto"/>
        <w:jc w:val="center"/>
        <w:rPr>
          <w:rFonts w:eastAsia="Times New Roman"/>
          <w:b/>
          <w:bCs/>
          <w:sz w:val="28"/>
          <w:szCs w:val="32"/>
          <w:lang w:val="en-GB"/>
        </w:rPr>
      </w:pPr>
      <w:r w:rsidRPr="002C6EFA">
        <w:rPr>
          <w:rFonts w:eastAsia="Times New Roman"/>
          <w:b/>
          <w:bCs/>
          <w:sz w:val="28"/>
          <w:szCs w:val="32"/>
          <w:lang w:val="en-GB"/>
        </w:rPr>
        <w:t xml:space="preserve">Assignment </w:t>
      </w:r>
      <w:r w:rsidR="00CB53B6" w:rsidRPr="002C6EFA">
        <w:rPr>
          <w:rFonts w:eastAsia="Times New Roman"/>
          <w:b/>
          <w:bCs/>
          <w:sz w:val="28"/>
          <w:szCs w:val="32"/>
          <w:lang w:val="en-GB"/>
        </w:rPr>
        <w:t xml:space="preserve">Title: </w:t>
      </w:r>
      <w:r w:rsidR="00F37B22" w:rsidRPr="002C6EFA">
        <w:rPr>
          <w:rFonts w:eastAsia="Times New Roman"/>
          <w:b/>
          <w:bCs/>
          <w:sz w:val="28"/>
          <w:szCs w:val="32"/>
          <w:lang w:val="en-GB"/>
        </w:rPr>
        <w:t xml:space="preserve">Component </w:t>
      </w:r>
      <w:r w:rsidR="00CD0259" w:rsidRPr="002C6EFA">
        <w:rPr>
          <w:rFonts w:eastAsia="Times New Roman"/>
          <w:b/>
          <w:bCs/>
          <w:sz w:val="28"/>
          <w:szCs w:val="32"/>
          <w:lang w:val="en-GB"/>
        </w:rPr>
        <w:t xml:space="preserve">2- </w:t>
      </w:r>
      <w:r w:rsidR="00F37B22" w:rsidRPr="002C6EFA">
        <w:rPr>
          <w:rFonts w:eastAsia="Times New Roman"/>
          <w:b/>
          <w:bCs/>
          <w:sz w:val="28"/>
          <w:szCs w:val="32"/>
          <w:lang w:val="en-GB"/>
        </w:rPr>
        <w:t>Service Improvement Report</w:t>
      </w:r>
    </w:p>
    <w:p w14:paraId="669968FD" w14:textId="77777777" w:rsidR="000B2758" w:rsidRPr="002C6EFA" w:rsidRDefault="000B2758" w:rsidP="00A06117">
      <w:pPr>
        <w:spacing w:after="240" w:line="360" w:lineRule="auto"/>
        <w:jc w:val="center"/>
        <w:rPr>
          <w:rFonts w:eastAsia="Times New Roman"/>
          <w:b/>
          <w:bCs/>
          <w:sz w:val="28"/>
          <w:szCs w:val="32"/>
          <w:lang w:val="en-GB"/>
        </w:rPr>
      </w:pPr>
    </w:p>
    <w:p w14:paraId="6FD8198E" w14:textId="77777777" w:rsidR="005E4740" w:rsidRPr="002C6EFA" w:rsidRDefault="00D37E72" w:rsidP="00A06117">
      <w:pPr>
        <w:spacing w:after="240" w:line="360" w:lineRule="auto"/>
        <w:jc w:val="center"/>
        <w:rPr>
          <w:rFonts w:eastAsia="Times New Roman"/>
          <w:b/>
          <w:bCs/>
          <w:sz w:val="28"/>
          <w:szCs w:val="32"/>
          <w:lang w:val="en-GB"/>
        </w:rPr>
      </w:pPr>
      <w:r w:rsidRPr="002C6EFA">
        <w:rPr>
          <w:rFonts w:eastAsia="Times New Roman"/>
          <w:b/>
          <w:bCs/>
          <w:sz w:val="28"/>
          <w:szCs w:val="32"/>
          <w:lang w:val="en-GB"/>
        </w:rPr>
        <w:t xml:space="preserve">Topic: </w:t>
      </w:r>
      <w:r w:rsidR="00B81225" w:rsidRPr="002C6EFA">
        <w:rPr>
          <w:rFonts w:eastAsia="Times New Roman"/>
          <w:b/>
          <w:bCs/>
          <w:sz w:val="28"/>
          <w:szCs w:val="32"/>
          <w:lang w:val="en-GB"/>
        </w:rPr>
        <w:t>Improving Patient Safety at Mid Staffordshire NHS Foundation Trust: A Root Cause Analysis and Evidence-Based Service Improvement Strategy</w:t>
      </w:r>
    </w:p>
    <w:p w14:paraId="6BD3E4DC" w14:textId="77777777" w:rsidR="005E4740" w:rsidRPr="002C6EFA" w:rsidRDefault="005E4740" w:rsidP="00A06117">
      <w:pPr>
        <w:spacing w:after="240" w:line="360" w:lineRule="auto"/>
        <w:jc w:val="center"/>
        <w:rPr>
          <w:rFonts w:eastAsia="Times New Roman"/>
          <w:b/>
          <w:bCs/>
          <w:sz w:val="28"/>
          <w:szCs w:val="32"/>
          <w:lang w:val="en-GB"/>
        </w:rPr>
      </w:pPr>
    </w:p>
    <w:p w14:paraId="70C7A756" w14:textId="77777777" w:rsidR="005E4740" w:rsidRPr="002C6EFA" w:rsidRDefault="005E4740" w:rsidP="005E4740">
      <w:pPr>
        <w:spacing w:after="240" w:line="360" w:lineRule="auto"/>
        <w:jc w:val="center"/>
        <w:rPr>
          <w:rFonts w:eastAsia="Times New Roman"/>
          <w:b/>
          <w:bCs/>
          <w:sz w:val="28"/>
          <w:szCs w:val="32"/>
          <w:lang w:val="en-GB"/>
        </w:rPr>
      </w:pPr>
      <w:r w:rsidRPr="002C6EFA">
        <w:rPr>
          <w:rFonts w:eastAsia="Times New Roman"/>
          <w:b/>
          <w:bCs/>
          <w:sz w:val="28"/>
          <w:szCs w:val="32"/>
          <w:lang w:val="en-GB"/>
        </w:rPr>
        <w:t>Lecturer: Shepherd Ziko</w:t>
      </w:r>
    </w:p>
    <w:p w14:paraId="7F07FED1" w14:textId="77777777" w:rsidR="005E4740" w:rsidRPr="002C6EFA" w:rsidRDefault="005E4740" w:rsidP="00A06117">
      <w:pPr>
        <w:spacing w:after="240" w:line="360" w:lineRule="auto"/>
        <w:jc w:val="center"/>
        <w:rPr>
          <w:rFonts w:eastAsia="Times New Roman"/>
          <w:b/>
          <w:bCs/>
          <w:sz w:val="28"/>
          <w:szCs w:val="32"/>
          <w:lang w:val="en-GB"/>
        </w:rPr>
      </w:pPr>
    </w:p>
    <w:p w14:paraId="0C0DA861" w14:textId="77777777" w:rsidR="005E4740" w:rsidRPr="002C6EFA" w:rsidRDefault="005E4740" w:rsidP="00A06117">
      <w:pPr>
        <w:spacing w:after="240" w:line="360" w:lineRule="auto"/>
        <w:jc w:val="center"/>
        <w:rPr>
          <w:rFonts w:eastAsia="Times New Roman"/>
          <w:b/>
          <w:bCs/>
          <w:sz w:val="28"/>
          <w:szCs w:val="32"/>
          <w:lang w:val="en-GB"/>
        </w:rPr>
      </w:pPr>
    </w:p>
    <w:p w14:paraId="63540B0A" w14:textId="77777777" w:rsidR="005E4740" w:rsidRPr="002C6EFA" w:rsidRDefault="005E4740" w:rsidP="00A06117">
      <w:pPr>
        <w:spacing w:after="240" w:line="360" w:lineRule="auto"/>
        <w:jc w:val="center"/>
        <w:rPr>
          <w:rFonts w:eastAsia="Times New Roman"/>
          <w:b/>
          <w:bCs/>
          <w:sz w:val="28"/>
          <w:szCs w:val="32"/>
          <w:lang w:val="en-GB"/>
        </w:rPr>
      </w:pPr>
    </w:p>
    <w:p w14:paraId="2A385B8C" w14:textId="77777777" w:rsidR="005E4740" w:rsidRPr="002C6EFA" w:rsidRDefault="005E4740" w:rsidP="005E4740">
      <w:pPr>
        <w:spacing w:after="240"/>
        <w:jc w:val="center"/>
        <w:rPr>
          <w:rFonts w:eastAsia="Times New Roman"/>
          <w:b/>
          <w:bCs/>
          <w:sz w:val="28"/>
          <w:szCs w:val="32"/>
          <w:lang w:val="en-GB"/>
        </w:rPr>
      </w:pPr>
      <w:r w:rsidRPr="002C6EFA">
        <w:rPr>
          <w:rFonts w:eastAsia="Times New Roman"/>
          <w:b/>
          <w:bCs/>
          <w:sz w:val="28"/>
          <w:szCs w:val="32"/>
          <w:lang w:val="en-GB"/>
        </w:rPr>
        <w:t xml:space="preserve">Student name: Muskan </w:t>
      </w:r>
      <w:proofErr w:type="spellStart"/>
      <w:r w:rsidRPr="002C6EFA">
        <w:rPr>
          <w:rFonts w:eastAsia="Times New Roman"/>
          <w:b/>
          <w:bCs/>
          <w:sz w:val="28"/>
          <w:szCs w:val="32"/>
          <w:lang w:val="en-GB"/>
        </w:rPr>
        <w:t>lalani</w:t>
      </w:r>
      <w:proofErr w:type="spellEnd"/>
    </w:p>
    <w:p w14:paraId="4F1CDD54" w14:textId="77777777" w:rsidR="005E4740" w:rsidRPr="002C6EFA" w:rsidRDefault="005E4740" w:rsidP="005E4740">
      <w:pPr>
        <w:spacing w:after="240"/>
        <w:jc w:val="center"/>
        <w:rPr>
          <w:rFonts w:eastAsia="Times New Roman"/>
          <w:b/>
          <w:bCs/>
          <w:sz w:val="28"/>
          <w:szCs w:val="32"/>
          <w:lang w:val="en-GB"/>
        </w:rPr>
      </w:pPr>
      <w:r w:rsidRPr="002C6EFA">
        <w:rPr>
          <w:rFonts w:eastAsia="Times New Roman"/>
          <w:b/>
          <w:bCs/>
          <w:sz w:val="28"/>
          <w:szCs w:val="32"/>
          <w:lang w:val="en-GB"/>
        </w:rPr>
        <w:t>Student ID: 2430822</w:t>
      </w:r>
    </w:p>
    <w:sdt>
      <w:sdtPr>
        <w:rPr>
          <w:rFonts w:ascii="Arial" w:eastAsia="Arial" w:hAnsi="Arial" w:cs="Arial"/>
          <w:b/>
          <w:bCs/>
          <w:color w:val="000000" w:themeColor="text1"/>
          <w:sz w:val="36"/>
          <w:szCs w:val="36"/>
          <w:lang w:val="en-GB" w:eastAsia="en-IN"/>
        </w:rPr>
        <w:id w:val="-1255195337"/>
        <w:docPartObj>
          <w:docPartGallery w:val="Table of Contents"/>
          <w:docPartUnique/>
        </w:docPartObj>
      </w:sdtPr>
      <w:sdtEndPr>
        <w:rPr>
          <w:noProof/>
          <w:color w:val="auto"/>
          <w:sz w:val="22"/>
          <w:szCs w:val="22"/>
        </w:rPr>
      </w:sdtEndPr>
      <w:sdtContent>
        <w:p w14:paraId="75D865D6" w14:textId="53FAE10B" w:rsidR="00251DD5" w:rsidRPr="002C6EFA" w:rsidRDefault="00251DD5" w:rsidP="00A06117">
          <w:pPr>
            <w:pStyle w:val="TOCHeading"/>
            <w:spacing w:after="240" w:line="360" w:lineRule="auto"/>
            <w:jc w:val="center"/>
            <w:rPr>
              <w:rFonts w:ascii="Arial" w:hAnsi="Arial" w:cs="Arial"/>
              <w:b/>
              <w:bCs/>
              <w:color w:val="000000" w:themeColor="text1"/>
              <w:sz w:val="28"/>
              <w:szCs w:val="28"/>
              <w:lang w:val="en-GB"/>
            </w:rPr>
          </w:pPr>
          <w:r w:rsidRPr="002C6EFA">
            <w:rPr>
              <w:rFonts w:ascii="Arial" w:hAnsi="Arial" w:cs="Arial"/>
              <w:b/>
              <w:bCs/>
              <w:color w:val="000000" w:themeColor="text1"/>
              <w:sz w:val="28"/>
              <w:szCs w:val="28"/>
              <w:lang w:val="en-GB"/>
            </w:rPr>
            <w:t>Table of Contents</w:t>
          </w:r>
        </w:p>
        <w:p w14:paraId="3C101365" w14:textId="77777777" w:rsidR="00FC3E95" w:rsidRPr="002C6EFA" w:rsidRDefault="00251DD5" w:rsidP="00FC3E95">
          <w:pPr>
            <w:pStyle w:val="TOC1"/>
            <w:tabs>
              <w:tab w:val="right" w:leader="dot" w:pos="9350"/>
            </w:tabs>
            <w:spacing w:line="360" w:lineRule="auto"/>
            <w:rPr>
              <w:rFonts w:eastAsiaTheme="minorEastAsia"/>
              <w:noProof/>
              <w:lang w:val="en-IN"/>
            </w:rPr>
          </w:pPr>
          <w:r w:rsidRPr="002C6EFA">
            <w:rPr>
              <w:sz w:val="24"/>
              <w:szCs w:val="24"/>
              <w:lang w:val="en-GB"/>
            </w:rPr>
            <w:fldChar w:fldCharType="begin"/>
          </w:r>
          <w:r w:rsidRPr="002C6EFA">
            <w:rPr>
              <w:sz w:val="24"/>
              <w:szCs w:val="24"/>
              <w:lang w:val="en-GB"/>
            </w:rPr>
            <w:instrText xml:space="preserve"> TOC \o "1-3" \h \z \u </w:instrText>
          </w:r>
          <w:r w:rsidRPr="002C6EFA">
            <w:rPr>
              <w:sz w:val="24"/>
              <w:szCs w:val="24"/>
              <w:lang w:val="en-GB"/>
            </w:rPr>
            <w:fldChar w:fldCharType="separate"/>
          </w:r>
          <w:hyperlink w:anchor="_Toc215678637" w:history="1">
            <w:r w:rsidR="00FC3E95" w:rsidRPr="002C6EFA">
              <w:rPr>
                <w:rStyle w:val="Hyperlink"/>
                <w:noProof/>
              </w:rPr>
              <w:t>1. Introduction</w:t>
            </w:r>
            <w:r w:rsidR="00FC3E95" w:rsidRPr="002C6EFA">
              <w:rPr>
                <w:noProof/>
                <w:webHidden/>
              </w:rPr>
              <w:tab/>
            </w:r>
            <w:r w:rsidR="00FC3E95" w:rsidRPr="002C6EFA">
              <w:rPr>
                <w:noProof/>
                <w:webHidden/>
              </w:rPr>
              <w:fldChar w:fldCharType="begin"/>
            </w:r>
            <w:r w:rsidR="00FC3E95" w:rsidRPr="002C6EFA">
              <w:rPr>
                <w:noProof/>
                <w:webHidden/>
              </w:rPr>
              <w:instrText xml:space="preserve"> PAGEREF _Toc215678637 \h </w:instrText>
            </w:r>
            <w:r w:rsidR="00FC3E95" w:rsidRPr="002C6EFA">
              <w:rPr>
                <w:noProof/>
                <w:webHidden/>
              </w:rPr>
            </w:r>
            <w:r w:rsidR="00FC3E95" w:rsidRPr="002C6EFA">
              <w:rPr>
                <w:noProof/>
                <w:webHidden/>
              </w:rPr>
              <w:fldChar w:fldCharType="separate"/>
            </w:r>
            <w:r w:rsidR="00FC3E95" w:rsidRPr="002C6EFA">
              <w:rPr>
                <w:noProof/>
                <w:webHidden/>
              </w:rPr>
              <w:t>3</w:t>
            </w:r>
            <w:r w:rsidR="00FC3E95" w:rsidRPr="002C6EFA">
              <w:rPr>
                <w:noProof/>
                <w:webHidden/>
              </w:rPr>
              <w:fldChar w:fldCharType="end"/>
            </w:r>
          </w:hyperlink>
        </w:p>
        <w:p w14:paraId="4FC4D4B2" w14:textId="77777777" w:rsidR="00FC3E95" w:rsidRPr="002C6EFA" w:rsidRDefault="00FC3E95" w:rsidP="00FC3E95">
          <w:pPr>
            <w:pStyle w:val="TOC2"/>
            <w:tabs>
              <w:tab w:val="right" w:leader="dot" w:pos="9350"/>
            </w:tabs>
            <w:spacing w:line="360" w:lineRule="auto"/>
            <w:rPr>
              <w:rFonts w:eastAsiaTheme="minorEastAsia"/>
              <w:noProof/>
              <w:lang w:val="en-IN"/>
            </w:rPr>
          </w:pPr>
          <w:hyperlink w:anchor="_Toc215678638" w:history="1">
            <w:r w:rsidRPr="002C6EFA">
              <w:rPr>
                <w:rStyle w:val="Hyperlink"/>
                <w:noProof/>
              </w:rPr>
              <w:t>1.1 Background and context</w:t>
            </w:r>
            <w:r w:rsidRPr="002C6EFA">
              <w:rPr>
                <w:noProof/>
                <w:webHidden/>
              </w:rPr>
              <w:tab/>
            </w:r>
            <w:r w:rsidRPr="002C6EFA">
              <w:rPr>
                <w:noProof/>
                <w:webHidden/>
              </w:rPr>
              <w:fldChar w:fldCharType="begin"/>
            </w:r>
            <w:r w:rsidRPr="002C6EFA">
              <w:rPr>
                <w:noProof/>
                <w:webHidden/>
              </w:rPr>
              <w:instrText xml:space="preserve"> PAGEREF _Toc215678638 \h </w:instrText>
            </w:r>
            <w:r w:rsidRPr="002C6EFA">
              <w:rPr>
                <w:noProof/>
                <w:webHidden/>
              </w:rPr>
            </w:r>
            <w:r w:rsidRPr="002C6EFA">
              <w:rPr>
                <w:noProof/>
                <w:webHidden/>
              </w:rPr>
              <w:fldChar w:fldCharType="separate"/>
            </w:r>
            <w:r w:rsidRPr="002C6EFA">
              <w:rPr>
                <w:noProof/>
                <w:webHidden/>
              </w:rPr>
              <w:t>3</w:t>
            </w:r>
            <w:r w:rsidRPr="002C6EFA">
              <w:rPr>
                <w:noProof/>
                <w:webHidden/>
              </w:rPr>
              <w:fldChar w:fldCharType="end"/>
            </w:r>
          </w:hyperlink>
        </w:p>
        <w:p w14:paraId="4D2083AF" w14:textId="77777777" w:rsidR="00FC3E95" w:rsidRPr="002C6EFA" w:rsidRDefault="00FC3E95" w:rsidP="00FC3E95">
          <w:pPr>
            <w:pStyle w:val="TOC2"/>
            <w:tabs>
              <w:tab w:val="right" w:leader="dot" w:pos="9350"/>
            </w:tabs>
            <w:spacing w:line="360" w:lineRule="auto"/>
            <w:rPr>
              <w:rFonts w:eastAsiaTheme="minorEastAsia"/>
              <w:noProof/>
              <w:lang w:val="en-IN"/>
            </w:rPr>
          </w:pPr>
          <w:hyperlink w:anchor="_Toc215678639" w:history="1">
            <w:r w:rsidRPr="002C6EFA">
              <w:rPr>
                <w:rStyle w:val="Hyperlink"/>
                <w:noProof/>
              </w:rPr>
              <w:t>1.2 Rationale, aim and objectives</w:t>
            </w:r>
            <w:r w:rsidRPr="002C6EFA">
              <w:rPr>
                <w:noProof/>
                <w:webHidden/>
              </w:rPr>
              <w:tab/>
            </w:r>
            <w:r w:rsidRPr="002C6EFA">
              <w:rPr>
                <w:noProof/>
                <w:webHidden/>
              </w:rPr>
              <w:fldChar w:fldCharType="begin"/>
            </w:r>
            <w:r w:rsidRPr="002C6EFA">
              <w:rPr>
                <w:noProof/>
                <w:webHidden/>
              </w:rPr>
              <w:instrText xml:space="preserve"> PAGEREF _Toc215678639 \h </w:instrText>
            </w:r>
            <w:r w:rsidRPr="002C6EFA">
              <w:rPr>
                <w:noProof/>
                <w:webHidden/>
              </w:rPr>
            </w:r>
            <w:r w:rsidRPr="002C6EFA">
              <w:rPr>
                <w:noProof/>
                <w:webHidden/>
              </w:rPr>
              <w:fldChar w:fldCharType="separate"/>
            </w:r>
            <w:r w:rsidRPr="002C6EFA">
              <w:rPr>
                <w:noProof/>
                <w:webHidden/>
              </w:rPr>
              <w:t>3</w:t>
            </w:r>
            <w:r w:rsidRPr="002C6EFA">
              <w:rPr>
                <w:noProof/>
                <w:webHidden/>
              </w:rPr>
              <w:fldChar w:fldCharType="end"/>
            </w:r>
          </w:hyperlink>
        </w:p>
        <w:p w14:paraId="7368B44D" w14:textId="77777777" w:rsidR="00FC3E95" w:rsidRPr="002C6EFA" w:rsidRDefault="00FC3E95" w:rsidP="00FC3E95">
          <w:pPr>
            <w:pStyle w:val="TOC2"/>
            <w:tabs>
              <w:tab w:val="right" w:leader="dot" w:pos="9350"/>
            </w:tabs>
            <w:spacing w:line="360" w:lineRule="auto"/>
            <w:rPr>
              <w:rFonts w:eastAsiaTheme="minorEastAsia"/>
              <w:noProof/>
              <w:lang w:val="en-IN"/>
            </w:rPr>
          </w:pPr>
          <w:hyperlink w:anchor="_Toc215678640" w:history="1">
            <w:r w:rsidRPr="002C6EFA">
              <w:rPr>
                <w:rStyle w:val="Hyperlink"/>
                <w:noProof/>
              </w:rPr>
              <w:t>1.3 Structure of the report</w:t>
            </w:r>
            <w:r w:rsidRPr="002C6EFA">
              <w:rPr>
                <w:noProof/>
                <w:webHidden/>
              </w:rPr>
              <w:tab/>
            </w:r>
            <w:r w:rsidRPr="002C6EFA">
              <w:rPr>
                <w:noProof/>
                <w:webHidden/>
              </w:rPr>
              <w:fldChar w:fldCharType="begin"/>
            </w:r>
            <w:r w:rsidRPr="002C6EFA">
              <w:rPr>
                <w:noProof/>
                <w:webHidden/>
              </w:rPr>
              <w:instrText xml:space="preserve"> PAGEREF _Toc215678640 \h </w:instrText>
            </w:r>
            <w:r w:rsidRPr="002C6EFA">
              <w:rPr>
                <w:noProof/>
                <w:webHidden/>
              </w:rPr>
            </w:r>
            <w:r w:rsidRPr="002C6EFA">
              <w:rPr>
                <w:noProof/>
                <w:webHidden/>
              </w:rPr>
              <w:fldChar w:fldCharType="separate"/>
            </w:r>
            <w:r w:rsidRPr="002C6EFA">
              <w:rPr>
                <w:noProof/>
                <w:webHidden/>
              </w:rPr>
              <w:t>4</w:t>
            </w:r>
            <w:r w:rsidRPr="002C6EFA">
              <w:rPr>
                <w:noProof/>
                <w:webHidden/>
              </w:rPr>
              <w:fldChar w:fldCharType="end"/>
            </w:r>
          </w:hyperlink>
        </w:p>
        <w:p w14:paraId="12D9E51D" w14:textId="77777777" w:rsidR="00FC3E95" w:rsidRPr="002C6EFA" w:rsidRDefault="00FC3E95" w:rsidP="00FC3E95">
          <w:pPr>
            <w:pStyle w:val="TOC1"/>
            <w:tabs>
              <w:tab w:val="right" w:leader="dot" w:pos="9350"/>
            </w:tabs>
            <w:spacing w:line="360" w:lineRule="auto"/>
            <w:rPr>
              <w:rFonts w:eastAsiaTheme="minorEastAsia"/>
              <w:noProof/>
              <w:lang w:val="en-IN"/>
            </w:rPr>
          </w:pPr>
          <w:hyperlink w:anchor="_Toc215678641" w:history="1">
            <w:r w:rsidRPr="002C6EFA">
              <w:rPr>
                <w:rStyle w:val="Hyperlink"/>
                <w:noProof/>
              </w:rPr>
              <w:t>2. Main Body</w:t>
            </w:r>
            <w:r w:rsidRPr="002C6EFA">
              <w:rPr>
                <w:noProof/>
                <w:webHidden/>
              </w:rPr>
              <w:tab/>
            </w:r>
            <w:r w:rsidRPr="002C6EFA">
              <w:rPr>
                <w:noProof/>
                <w:webHidden/>
              </w:rPr>
              <w:fldChar w:fldCharType="begin"/>
            </w:r>
            <w:r w:rsidRPr="002C6EFA">
              <w:rPr>
                <w:noProof/>
                <w:webHidden/>
              </w:rPr>
              <w:instrText xml:space="preserve"> PAGEREF _Toc215678641 \h </w:instrText>
            </w:r>
            <w:r w:rsidRPr="002C6EFA">
              <w:rPr>
                <w:noProof/>
                <w:webHidden/>
              </w:rPr>
            </w:r>
            <w:r w:rsidRPr="002C6EFA">
              <w:rPr>
                <w:noProof/>
                <w:webHidden/>
              </w:rPr>
              <w:fldChar w:fldCharType="separate"/>
            </w:r>
            <w:r w:rsidRPr="002C6EFA">
              <w:rPr>
                <w:noProof/>
                <w:webHidden/>
              </w:rPr>
              <w:t>4</w:t>
            </w:r>
            <w:r w:rsidRPr="002C6EFA">
              <w:rPr>
                <w:noProof/>
                <w:webHidden/>
              </w:rPr>
              <w:fldChar w:fldCharType="end"/>
            </w:r>
          </w:hyperlink>
        </w:p>
        <w:p w14:paraId="4C3735D1" w14:textId="77777777" w:rsidR="00FC3E95" w:rsidRPr="002C6EFA" w:rsidRDefault="00FC3E95" w:rsidP="00FC3E95">
          <w:pPr>
            <w:pStyle w:val="TOC2"/>
            <w:tabs>
              <w:tab w:val="right" w:leader="dot" w:pos="9350"/>
            </w:tabs>
            <w:spacing w:line="360" w:lineRule="auto"/>
            <w:rPr>
              <w:rFonts w:eastAsiaTheme="minorEastAsia"/>
              <w:noProof/>
              <w:lang w:val="en-IN"/>
            </w:rPr>
          </w:pPr>
          <w:hyperlink w:anchor="_Toc215678642" w:history="1">
            <w:r w:rsidRPr="002C6EFA">
              <w:rPr>
                <w:rStyle w:val="Hyperlink"/>
                <w:noProof/>
              </w:rPr>
              <w:t>2.1 Case context and problem definition</w:t>
            </w:r>
            <w:r w:rsidRPr="002C6EFA">
              <w:rPr>
                <w:noProof/>
                <w:webHidden/>
              </w:rPr>
              <w:tab/>
            </w:r>
            <w:r w:rsidRPr="002C6EFA">
              <w:rPr>
                <w:noProof/>
                <w:webHidden/>
              </w:rPr>
              <w:fldChar w:fldCharType="begin"/>
            </w:r>
            <w:r w:rsidRPr="002C6EFA">
              <w:rPr>
                <w:noProof/>
                <w:webHidden/>
              </w:rPr>
              <w:instrText xml:space="preserve"> PAGEREF _Toc215678642 \h </w:instrText>
            </w:r>
            <w:r w:rsidRPr="002C6EFA">
              <w:rPr>
                <w:noProof/>
                <w:webHidden/>
              </w:rPr>
            </w:r>
            <w:r w:rsidRPr="002C6EFA">
              <w:rPr>
                <w:noProof/>
                <w:webHidden/>
              </w:rPr>
              <w:fldChar w:fldCharType="separate"/>
            </w:r>
            <w:r w:rsidRPr="002C6EFA">
              <w:rPr>
                <w:noProof/>
                <w:webHidden/>
              </w:rPr>
              <w:t>4</w:t>
            </w:r>
            <w:r w:rsidRPr="002C6EFA">
              <w:rPr>
                <w:noProof/>
                <w:webHidden/>
              </w:rPr>
              <w:fldChar w:fldCharType="end"/>
            </w:r>
          </w:hyperlink>
        </w:p>
        <w:p w14:paraId="7D187A2C" w14:textId="77777777" w:rsidR="00FC3E95" w:rsidRPr="002C6EFA" w:rsidRDefault="00FC3E95" w:rsidP="00FC3E95">
          <w:pPr>
            <w:pStyle w:val="TOC2"/>
            <w:tabs>
              <w:tab w:val="right" w:leader="dot" w:pos="9350"/>
            </w:tabs>
            <w:spacing w:line="360" w:lineRule="auto"/>
            <w:rPr>
              <w:rFonts w:eastAsiaTheme="minorEastAsia"/>
              <w:noProof/>
              <w:lang w:val="en-IN"/>
            </w:rPr>
          </w:pPr>
          <w:hyperlink w:anchor="_Toc215678643" w:history="1">
            <w:r w:rsidRPr="002C6EFA">
              <w:rPr>
                <w:rStyle w:val="Hyperlink"/>
                <w:noProof/>
              </w:rPr>
              <w:t>2.2 Conceptual and theoretical framework</w:t>
            </w:r>
            <w:r w:rsidRPr="002C6EFA">
              <w:rPr>
                <w:noProof/>
                <w:webHidden/>
              </w:rPr>
              <w:tab/>
            </w:r>
            <w:r w:rsidRPr="002C6EFA">
              <w:rPr>
                <w:noProof/>
                <w:webHidden/>
              </w:rPr>
              <w:fldChar w:fldCharType="begin"/>
            </w:r>
            <w:r w:rsidRPr="002C6EFA">
              <w:rPr>
                <w:noProof/>
                <w:webHidden/>
              </w:rPr>
              <w:instrText xml:space="preserve"> PAGEREF _Toc215678643 \h </w:instrText>
            </w:r>
            <w:r w:rsidRPr="002C6EFA">
              <w:rPr>
                <w:noProof/>
                <w:webHidden/>
              </w:rPr>
            </w:r>
            <w:r w:rsidRPr="002C6EFA">
              <w:rPr>
                <w:noProof/>
                <w:webHidden/>
              </w:rPr>
              <w:fldChar w:fldCharType="separate"/>
            </w:r>
            <w:r w:rsidRPr="002C6EFA">
              <w:rPr>
                <w:noProof/>
                <w:webHidden/>
              </w:rPr>
              <w:t>5</w:t>
            </w:r>
            <w:r w:rsidRPr="002C6EFA">
              <w:rPr>
                <w:noProof/>
                <w:webHidden/>
              </w:rPr>
              <w:fldChar w:fldCharType="end"/>
            </w:r>
          </w:hyperlink>
        </w:p>
        <w:p w14:paraId="2F13F5BA" w14:textId="77777777" w:rsidR="00FC3E95" w:rsidRPr="002C6EFA" w:rsidRDefault="00FC3E95" w:rsidP="00FC3E95">
          <w:pPr>
            <w:pStyle w:val="TOC2"/>
            <w:tabs>
              <w:tab w:val="right" w:leader="dot" w:pos="9350"/>
            </w:tabs>
            <w:spacing w:line="360" w:lineRule="auto"/>
            <w:rPr>
              <w:rFonts w:eastAsiaTheme="minorEastAsia"/>
              <w:noProof/>
              <w:lang w:val="en-IN"/>
            </w:rPr>
          </w:pPr>
          <w:hyperlink w:anchor="_Toc215678644" w:history="1">
            <w:r w:rsidRPr="002C6EFA">
              <w:rPr>
                <w:rStyle w:val="Hyperlink"/>
                <w:noProof/>
              </w:rPr>
              <w:t>2.3 Root Cause Analysis using Fishbone &amp; 5 Whys</w:t>
            </w:r>
            <w:r w:rsidRPr="002C6EFA">
              <w:rPr>
                <w:noProof/>
                <w:webHidden/>
              </w:rPr>
              <w:tab/>
            </w:r>
            <w:r w:rsidRPr="002C6EFA">
              <w:rPr>
                <w:noProof/>
                <w:webHidden/>
              </w:rPr>
              <w:fldChar w:fldCharType="begin"/>
            </w:r>
            <w:r w:rsidRPr="002C6EFA">
              <w:rPr>
                <w:noProof/>
                <w:webHidden/>
              </w:rPr>
              <w:instrText xml:space="preserve"> PAGEREF _Toc215678644 \h </w:instrText>
            </w:r>
            <w:r w:rsidRPr="002C6EFA">
              <w:rPr>
                <w:noProof/>
                <w:webHidden/>
              </w:rPr>
            </w:r>
            <w:r w:rsidRPr="002C6EFA">
              <w:rPr>
                <w:noProof/>
                <w:webHidden/>
              </w:rPr>
              <w:fldChar w:fldCharType="separate"/>
            </w:r>
            <w:r w:rsidRPr="002C6EFA">
              <w:rPr>
                <w:noProof/>
                <w:webHidden/>
              </w:rPr>
              <w:t>6</w:t>
            </w:r>
            <w:r w:rsidRPr="002C6EFA">
              <w:rPr>
                <w:noProof/>
                <w:webHidden/>
              </w:rPr>
              <w:fldChar w:fldCharType="end"/>
            </w:r>
          </w:hyperlink>
        </w:p>
        <w:p w14:paraId="2BC6B145" w14:textId="77777777" w:rsidR="00FC3E95" w:rsidRPr="002C6EFA" w:rsidRDefault="00FC3E95" w:rsidP="00FC3E95">
          <w:pPr>
            <w:pStyle w:val="TOC3"/>
            <w:tabs>
              <w:tab w:val="right" w:leader="dot" w:pos="9350"/>
            </w:tabs>
            <w:spacing w:line="360" w:lineRule="auto"/>
            <w:rPr>
              <w:noProof/>
            </w:rPr>
          </w:pPr>
          <w:hyperlink w:anchor="_Toc215678645" w:history="1">
            <w:r w:rsidRPr="002C6EFA">
              <w:rPr>
                <w:rStyle w:val="Hyperlink"/>
                <w:noProof/>
              </w:rPr>
              <w:t>2.3.1 Application of Fishbone Diagram</w:t>
            </w:r>
            <w:r w:rsidRPr="002C6EFA">
              <w:rPr>
                <w:noProof/>
                <w:webHidden/>
              </w:rPr>
              <w:tab/>
            </w:r>
            <w:r w:rsidRPr="002C6EFA">
              <w:rPr>
                <w:noProof/>
                <w:webHidden/>
              </w:rPr>
              <w:fldChar w:fldCharType="begin"/>
            </w:r>
            <w:r w:rsidRPr="002C6EFA">
              <w:rPr>
                <w:noProof/>
                <w:webHidden/>
              </w:rPr>
              <w:instrText xml:space="preserve"> PAGEREF _Toc215678645 \h </w:instrText>
            </w:r>
            <w:r w:rsidRPr="002C6EFA">
              <w:rPr>
                <w:noProof/>
                <w:webHidden/>
              </w:rPr>
            </w:r>
            <w:r w:rsidRPr="002C6EFA">
              <w:rPr>
                <w:noProof/>
                <w:webHidden/>
              </w:rPr>
              <w:fldChar w:fldCharType="separate"/>
            </w:r>
            <w:r w:rsidRPr="002C6EFA">
              <w:rPr>
                <w:noProof/>
                <w:webHidden/>
              </w:rPr>
              <w:t>6</w:t>
            </w:r>
            <w:r w:rsidRPr="002C6EFA">
              <w:rPr>
                <w:noProof/>
                <w:webHidden/>
              </w:rPr>
              <w:fldChar w:fldCharType="end"/>
            </w:r>
          </w:hyperlink>
        </w:p>
        <w:p w14:paraId="008B6F99" w14:textId="77777777" w:rsidR="00FC3E95" w:rsidRPr="002C6EFA" w:rsidRDefault="00FC3E95" w:rsidP="00FC3E95">
          <w:pPr>
            <w:pStyle w:val="TOC3"/>
            <w:tabs>
              <w:tab w:val="right" w:leader="dot" w:pos="9350"/>
            </w:tabs>
            <w:spacing w:line="360" w:lineRule="auto"/>
            <w:rPr>
              <w:noProof/>
            </w:rPr>
          </w:pPr>
          <w:hyperlink w:anchor="_Toc215678646" w:history="1">
            <w:r w:rsidRPr="002C6EFA">
              <w:rPr>
                <w:rStyle w:val="Hyperlink"/>
                <w:noProof/>
              </w:rPr>
              <w:t>2.3.2 5 Whys</w:t>
            </w:r>
            <w:r w:rsidRPr="002C6EFA">
              <w:rPr>
                <w:noProof/>
                <w:webHidden/>
              </w:rPr>
              <w:tab/>
            </w:r>
            <w:r w:rsidRPr="002C6EFA">
              <w:rPr>
                <w:noProof/>
                <w:webHidden/>
              </w:rPr>
              <w:fldChar w:fldCharType="begin"/>
            </w:r>
            <w:r w:rsidRPr="002C6EFA">
              <w:rPr>
                <w:noProof/>
                <w:webHidden/>
              </w:rPr>
              <w:instrText xml:space="preserve"> PAGEREF _Toc215678646 \h </w:instrText>
            </w:r>
            <w:r w:rsidRPr="002C6EFA">
              <w:rPr>
                <w:noProof/>
                <w:webHidden/>
              </w:rPr>
            </w:r>
            <w:r w:rsidRPr="002C6EFA">
              <w:rPr>
                <w:noProof/>
                <w:webHidden/>
              </w:rPr>
              <w:fldChar w:fldCharType="separate"/>
            </w:r>
            <w:r w:rsidRPr="002C6EFA">
              <w:rPr>
                <w:noProof/>
                <w:webHidden/>
              </w:rPr>
              <w:t>7</w:t>
            </w:r>
            <w:r w:rsidRPr="002C6EFA">
              <w:rPr>
                <w:noProof/>
                <w:webHidden/>
              </w:rPr>
              <w:fldChar w:fldCharType="end"/>
            </w:r>
          </w:hyperlink>
        </w:p>
        <w:p w14:paraId="0044F7A9" w14:textId="77777777" w:rsidR="00FC3E95" w:rsidRPr="002C6EFA" w:rsidRDefault="00FC3E95" w:rsidP="00FC3E95">
          <w:pPr>
            <w:pStyle w:val="TOC2"/>
            <w:tabs>
              <w:tab w:val="right" w:leader="dot" w:pos="9350"/>
            </w:tabs>
            <w:spacing w:line="360" w:lineRule="auto"/>
            <w:rPr>
              <w:rFonts w:eastAsiaTheme="minorEastAsia"/>
              <w:noProof/>
              <w:lang w:val="en-IN"/>
            </w:rPr>
          </w:pPr>
          <w:hyperlink w:anchor="_Toc215678647" w:history="1">
            <w:r w:rsidRPr="002C6EFA">
              <w:rPr>
                <w:rStyle w:val="Hyperlink"/>
                <w:noProof/>
              </w:rPr>
              <w:t>2.4 Application of Donabedian Model to Mid Staffordshire</w:t>
            </w:r>
            <w:r w:rsidRPr="002C6EFA">
              <w:rPr>
                <w:noProof/>
                <w:webHidden/>
              </w:rPr>
              <w:tab/>
            </w:r>
            <w:r w:rsidRPr="002C6EFA">
              <w:rPr>
                <w:noProof/>
                <w:webHidden/>
              </w:rPr>
              <w:fldChar w:fldCharType="begin"/>
            </w:r>
            <w:r w:rsidRPr="002C6EFA">
              <w:rPr>
                <w:noProof/>
                <w:webHidden/>
              </w:rPr>
              <w:instrText xml:space="preserve"> PAGEREF _Toc215678647 \h </w:instrText>
            </w:r>
            <w:r w:rsidRPr="002C6EFA">
              <w:rPr>
                <w:noProof/>
                <w:webHidden/>
              </w:rPr>
            </w:r>
            <w:r w:rsidRPr="002C6EFA">
              <w:rPr>
                <w:noProof/>
                <w:webHidden/>
              </w:rPr>
              <w:fldChar w:fldCharType="separate"/>
            </w:r>
            <w:r w:rsidRPr="002C6EFA">
              <w:rPr>
                <w:noProof/>
                <w:webHidden/>
              </w:rPr>
              <w:t>8</w:t>
            </w:r>
            <w:r w:rsidRPr="002C6EFA">
              <w:rPr>
                <w:noProof/>
                <w:webHidden/>
              </w:rPr>
              <w:fldChar w:fldCharType="end"/>
            </w:r>
          </w:hyperlink>
        </w:p>
        <w:p w14:paraId="70DDAEE9" w14:textId="77777777" w:rsidR="00FC3E95" w:rsidRPr="002C6EFA" w:rsidRDefault="00FC3E95" w:rsidP="00FC3E95">
          <w:pPr>
            <w:pStyle w:val="TOC2"/>
            <w:tabs>
              <w:tab w:val="right" w:leader="dot" w:pos="9350"/>
            </w:tabs>
            <w:spacing w:line="360" w:lineRule="auto"/>
            <w:rPr>
              <w:rFonts w:eastAsiaTheme="minorEastAsia"/>
              <w:noProof/>
              <w:lang w:val="en-IN"/>
            </w:rPr>
          </w:pPr>
          <w:hyperlink w:anchor="_Toc215678648" w:history="1">
            <w:r w:rsidRPr="002C6EFA">
              <w:rPr>
                <w:rStyle w:val="Hyperlink"/>
                <w:noProof/>
              </w:rPr>
              <w:t>2.5 Strategic analysis</w:t>
            </w:r>
            <w:r w:rsidRPr="002C6EFA">
              <w:rPr>
                <w:noProof/>
                <w:webHidden/>
              </w:rPr>
              <w:tab/>
            </w:r>
            <w:r w:rsidRPr="002C6EFA">
              <w:rPr>
                <w:noProof/>
                <w:webHidden/>
              </w:rPr>
              <w:fldChar w:fldCharType="begin"/>
            </w:r>
            <w:r w:rsidRPr="002C6EFA">
              <w:rPr>
                <w:noProof/>
                <w:webHidden/>
              </w:rPr>
              <w:instrText xml:space="preserve"> PAGEREF _Toc215678648 \h </w:instrText>
            </w:r>
            <w:r w:rsidRPr="002C6EFA">
              <w:rPr>
                <w:noProof/>
                <w:webHidden/>
              </w:rPr>
            </w:r>
            <w:r w:rsidRPr="002C6EFA">
              <w:rPr>
                <w:noProof/>
                <w:webHidden/>
              </w:rPr>
              <w:fldChar w:fldCharType="separate"/>
            </w:r>
            <w:r w:rsidRPr="002C6EFA">
              <w:rPr>
                <w:noProof/>
                <w:webHidden/>
              </w:rPr>
              <w:t>9</w:t>
            </w:r>
            <w:r w:rsidRPr="002C6EFA">
              <w:rPr>
                <w:noProof/>
                <w:webHidden/>
              </w:rPr>
              <w:fldChar w:fldCharType="end"/>
            </w:r>
          </w:hyperlink>
        </w:p>
        <w:p w14:paraId="038C25E8" w14:textId="77777777" w:rsidR="00FC3E95" w:rsidRPr="002C6EFA" w:rsidRDefault="00FC3E95" w:rsidP="00FC3E95">
          <w:pPr>
            <w:pStyle w:val="TOC1"/>
            <w:tabs>
              <w:tab w:val="right" w:leader="dot" w:pos="9350"/>
            </w:tabs>
            <w:spacing w:line="360" w:lineRule="auto"/>
            <w:rPr>
              <w:rFonts w:eastAsiaTheme="minorEastAsia"/>
              <w:noProof/>
              <w:lang w:val="en-IN"/>
            </w:rPr>
          </w:pPr>
          <w:hyperlink w:anchor="_Toc215678649" w:history="1">
            <w:r w:rsidRPr="002C6EFA">
              <w:rPr>
                <w:rStyle w:val="Hyperlink"/>
                <w:noProof/>
              </w:rPr>
              <w:t>3. Recommendations: Service Improvement &amp; Implementation Plan</w:t>
            </w:r>
            <w:r w:rsidRPr="002C6EFA">
              <w:rPr>
                <w:noProof/>
                <w:webHidden/>
              </w:rPr>
              <w:tab/>
            </w:r>
            <w:r w:rsidRPr="002C6EFA">
              <w:rPr>
                <w:noProof/>
                <w:webHidden/>
              </w:rPr>
              <w:fldChar w:fldCharType="begin"/>
            </w:r>
            <w:r w:rsidRPr="002C6EFA">
              <w:rPr>
                <w:noProof/>
                <w:webHidden/>
              </w:rPr>
              <w:instrText xml:space="preserve"> PAGEREF _Toc215678649 \h </w:instrText>
            </w:r>
            <w:r w:rsidRPr="002C6EFA">
              <w:rPr>
                <w:noProof/>
                <w:webHidden/>
              </w:rPr>
            </w:r>
            <w:r w:rsidRPr="002C6EFA">
              <w:rPr>
                <w:noProof/>
                <w:webHidden/>
              </w:rPr>
              <w:fldChar w:fldCharType="separate"/>
            </w:r>
            <w:r w:rsidRPr="002C6EFA">
              <w:rPr>
                <w:noProof/>
                <w:webHidden/>
              </w:rPr>
              <w:t>10</w:t>
            </w:r>
            <w:r w:rsidRPr="002C6EFA">
              <w:rPr>
                <w:noProof/>
                <w:webHidden/>
              </w:rPr>
              <w:fldChar w:fldCharType="end"/>
            </w:r>
          </w:hyperlink>
        </w:p>
        <w:p w14:paraId="3296E9A8" w14:textId="77777777" w:rsidR="00FC3E95" w:rsidRPr="002C6EFA" w:rsidRDefault="00FC3E95" w:rsidP="00FC3E95">
          <w:pPr>
            <w:pStyle w:val="TOC2"/>
            <w:tabs>
              <w:tab w:val="right" w:leader="dot" w:pos="9350"/>
            </w:tabs>
            <w:spacing w:line="360" w:lineRule="auto"/>
            <w:rPr>
              <w:rFonts w:eastAsiaTheme="minorEastAsia"/>
              <w:noProof/>
              <w:lang w:val="en-IN"/>
            </w:rPr>
          </w:pPr>
          <w:hyperlink w:anchor="_Toc215678650" w:history="1">
            <w:r w:rsidRPr="002C6EFA">
              <w:rPr>
                <w:rStyle w:val="Hyperlink"/>
                <w:noProof/>
              </w:rPr>
              <w:t>3.1 Overall improvement aim and SMART objectives</w:t>
            </w:r>
            <w:r w:rsidRPr="002C6EFA">
              <w:rPr>
                <w:noProof/>
                <w:webHidden/>
              </w:rPr>
              <w:tab/>
            </w:r>
            <w:r w:rsidRPr="002C6EFA">
              <w:rPr>
                <w:noProof/>
                <w:webHidden/>
              </w:rPr>
              <w:fldChar w:fldCharType="begin"/>
            </w:r>
            <w:r w:rsidRPr="002C6EFA">
              <w:rPr>
                <w:noProof/>
                <w:webHidden/>
              </w:rPr>
              <w:instrText xml:space="preserve"> PAGEREF _Toc215678650 \h </w:instrText>
            </w:r>
            <w:r w:rsidRPr="002C6EFA">
              <w:rPr>
                <w:noProof/>
                <w:webHidden/>
              </w:rPr>
            </w:r>
            <w:r w:rsidRPr="002C6EFA">
              <w:rPr>
                <w:noProof/>
                <w:webHidden/>
              </w:rPr>
              <w:fldChar w:fldCharType="separate"/>
            </w:r>
            <w:r w:rsidRPr="002C6EFA">
              <w:rPr>
                <w:noProof/>
                <w:webHidden/>
              </w:rPr>
              <w:t>10</w:t>
            </w:r>
            <w:r w:rsidRPr="002C6EFA">
              <w:rPr>
                <w:noProof/>
                <w:webHidden/>
              </w:rPr>
              <w:fldChar w:fldCharType="end"/>
            </w:r>
          </w:hyperlink>
        </w:p>
        <w:p w14:paraId="628EAA98" w14:textId="77777777" w:rsidR="00FC3E95" w:rsidRPr="002C6EFA" w:rsidRDefault="00FC3E95" w:rsidP="00FC3E95">
          <w:pPr>
            <w:pStyle w:val="TOC2"/>
            <w:tabs>
              <w:tab w:val="right" w:leader="dot" w:pos="9350"/>
            </w:tabs>
            <w:spacing w:line="360" w:lineRule="auto"/>
            <w:rPr>
              <w:rFonts w:eastAsiaTheme="minorEastAsia"/>
              <w:noProof/>
              <w:lang w:val="en-IN"/>
            </w:rPr>
          </w:pPr>
          <w:hyperlink w:anchor="_Toc215678651" w:history="1">
            <w:r w:rsidRPr="002C6EFA">
              <w:rPr>
                <w:rStyle w:val="Hyperlink"/>
                <w:noProof/>
              </w:rPr>
              <w:t>3.2 Short-term interventions: PDSA cycles</w:t>
            </w:r>
            <w:r w:rsidRPr="002C6EFA">
              <w:rPr>
                <w:noProof/>
                <w:webHidden/>
              </w:rPr>
              <w:tab/>
            </w:r>
            <w:r w:rsidRPr="002C6EFA">
              <w:rPr>
                <w:noProof/>
                <w:webHidden/>
              </w:rPr>
              <w:fldChar w:fldCharType="begin"/>
            </w:r>
            <w:r w:rsidRPr="002C6EFA">
              <w:rPr>
                <w:noProof/>
                <w:webHidden/>
              </w:rPr>
              <w:instrText xml:space="preserve"> PAGEREF _Toc215678651 \h </w:instrText>
            </w:r>
            <w:r w:rsidRPr="002C6EFA">
              <w:rPr>
                <w:noProof/>
                <w:webHidden/>
              </w:rPr>
            </w:r>
            <w:r w:rsidRPr="002C6EFA">
              <w:rPr>
                <w:noProof/>
                <w:webHidden/>
              </w:rPr>
              <w:fldChar w:fldCharType="separate"/>
            </w:r>
            <w:r w:rsidRPr="002C6EFA">
              <w:rPr>
                <w:noProof/>
                <w:webHidden/>
              </w:rPr>
              <w:t>11</w:t>
            </w:r>
            <w:r w:rsidRPr="002C6EFA">
              <w:rPr>
                <w:noProof/>
                <w:webHidden/>
              </w:rPr>
              <w:fldChar w:fldCharType="end"/>
            </w:r>
          </w:hyperlink>
        </w:p>
        <w:p w14:paraId="16337DE3" w14:textId="77777777" w:rsidR="00FC3E95" w:rsidRPr="002C6EFA" w:rsidRDefault="00FC3E95" w:rsidP="00FC3E95">
          <w:pPr>
            <w:pStyle w:val="TOC2"/>
            <w:tabs>
              <w:tab w:val="right" w:leader="dot" w:pos="9350"/>
            </w:tabs>
            <w:spacing w:line="360" w:lineRule="auto"/>
            <w:rPr>
              <w:rFonts w:eastAsiaTheme="minorEastAsia"/>
              <w:noProof/>
              <w:lang w:val="en-IN"/>
            </w:rPr>
          </w:pPr>
          <w:hyperlink w:anchor="_Toc215678652" w:history="1">
            <w:r w:rsidRPr="002C6EFA">
              <w:rPr>
                <w:rStyle w:val="Hyperlink"/>
                <w:noProof/>
              </w:rPr>
              <w:t>3.3 Six Sigma Methodologies</w:t>
            </w:r>
            <w:r w:rsidRPr="002C6EFA">
              <w:rPr>
                <w:noProof/>
                <w:webHidden/>
              </w:rPr>
              <w:tab/>
            </w:r>
            <w:r w:rsidRPr="002C6EFA">
              <w:rPr>
                <w:noProof/>
                <w:webHidden/>
              </w:rPr>
              <w:fldChar w:fldCharType="begin"/>
            </w:r>
            <w:r w:rsidRPr="002C6EFA">
              <w:rPr>
                <w:noProof/>
                <w:webHidden/>
              </w:rPr>
              <w:instrText xml:space="preserve"> PAGEREF _Toc215678652 \h </w:instrText>
            </w:r>
            <w:r w:rsidRPr="002C6EFA">
              <w:rPr>
                <w:noProof/>
                <w:webHidden/>
              </w:rPr>
            </w:r>
            <w:r w:rsidRPr="002C6EFA">
              <w:rPr>
                <w:noProof/>
                <w:webHidden/>
              </w:rPr>
              <w:fldChar w:fldCharType="separate"/>
            </w:r>
            <w:r w:rsidRPr="002C6EFA">
              <w:rPr>
                <w:noProof/>
                <w:webHidden/>
              </w:rPr>
              <w:t>12</w:t>
            </w:r>
            <w:r w:rsidRPr="002C6EFA">
              <w:rPr>
                <w:noProof/>
                <w:webHidden/>
              </w:rPr>
              <w:fldChar w:fldCharType="end"/>
            </w:r>
          </w:hyperlink>
        </w:p>
        <w:p w14:paraId="507119D2" w14:textId="77777777" w:rsidR="00FC3E95" w:rsidRPr="002C6EFA" w:rsidRDefault="00FC3E95" w:rsidP="00FC3E95">
          <w:pPr>
            <w:pStyle w:val="TOC2"/>
            <w:tabs>
              <w:tab w:val="right" w:leader="dot" w:pos="9350"/>
            </w:tabs>
            <w:spacing w:line="360" w:lineRule="auto"/>
            <w:rPr>
              <w:rFonts w:eastAsiaTheme="minorEastAsia"/>
              <w:noProof/>
              <w:lang w:val="en-IN"/>
            </w:rPr>
          </w:pPr>
          <w:hyperlink w:anchor="_Toc215678653" w:history="1">
            <w:r w:rsidRPr="002C6EFA">
              <w:rPr>
                <w:rStyle w:val="Hyperlink"/>
                <w:noProof/>
              </w:rPr>
              <w:t>3.4 Governance, culture change and stakeholder engagement</w:t>
            </w:r>
            <w:r w:rsidRPr="002C6EFA">
              <w:rPr>
                <w:noProof/>
                <w:webHidden/>
              </w:rPr>
              <w:tab/>
            </w:r>
            <w:r w:rsidRPr="002C6EFA">
              <w:rPr>
                <w:noProof/>
                <w:webHidden/>
              </w:rPr>
              <w:fldChar w:fldCharType="begin"/>
            </w:r>
            <w:r w:rsidRPr="002C6EFA">
              <w:rPr>
                <w:noProof/>
                <w:webHidden/>
              </w:rPr>
              <w:instrText xml:space="preserve"> PAGEREF _Toc215678653 \h </w:instrText>
            </w:r>
            <w:r w:rsidRPr="002C6EFA">
              <w:rPr>
                <w:noProof/>
                <w:webHidden/>
              </w:rPr>
            </w:r>
            <w:r w:rsidRPr="002C6EFA">
              <w:rPr>
                <w:noProof/>
                <w:webHidden/>
              </w:rPr>
              <w:fldChar w:fldCharType="separate"/>
            </w:r>
            <w:r w:rsidRPr="002C6EFA">
              <w:rPr>
                <w:noProof/>
                <w:webHidden/>
              </w:rPr>
              <w:t>12</w:t>
            </w:r>
            <w:r w:rsidRPr="002C6EFA">
              <w:rPr>
                <w:noProof/>
                <w:webHidden/>
              </w:rPr>
              <w:fldChar w:fldCharType="end"/>
            </w:r>
          </w:hyperlink>
        </w:p>
        <w:p w14:paraId="1DF87B83" w14:textId="77777777" w:rsidR="00FC3E95" w:rsidRPr="002C6EFA" w:rsidRDefault="00FC3E95" w:rsidP="00FC3E95">
          <w:pPr>
            <w:pStyle w:val="TOC2"/>
            <w:tabs>
              <w:tab w:val="right" w:leader="dot" w:pos="9350"/>
            </w:tabs>
            <w:spacing w:line="360" w:lineRule="auto"/>
            <w:rPr>
              <w:rFonts w:eastAsiaTheme="minorEastAsia"/>
              <w:noProof/>
              <w:lang w:val="en-IN"/>
            </w:rPr>
          </w:pPr>
          <w:hyperlink w:anchor="_Toc215678654" w:history="1">
            <w:r w:rsidRPr="002C6EFA">
              <w:rPr>
                <w:rStyle w:val="Hyperlink"/>
                <w:noProof/>
              </w:rPr>
              <w:t>3.5 Measurement, monitoring and sustainability</w:t>
            </w:r>
            <w:r w:rsidRPr="002C6EFA">
              <w:rPr>
                <w:noProof/>
                <w:webHidden/>
              </w:rPr>
              <w:tab/>
            </w:r>
            <w:r w:rsidRPr="002C6EFA">
              <w:rPr>
                <w:noProof/>
                <w:webHidden/>
              </w:rPr>
              <w:fldChar w:fldCharType="begin"/>
            </w:r>
            <w:r w:rsidRPr="002C6EFA">
              <w:rPr>
                <w:noProof/>
                <w:webHidden/>
              </w:rPr>
              <w:instrText xml:space="preserve"> PAGEREF _Toc215678654 \h </w:instrText>
            </w:r>
            <w:r w:rsidRPr="002C6EFA">
              <w:rPr>
                <w:noProof/>
                <w:webHidden/>
              </w:rPr>
            </w:r>
            <w:r w:rsidRPr="002C6EFA">
              <w:rPr>
                <w:noProof/>
                <w:webHidden/>
              </w:rPr>
              <w:fldChar w:fldCharType="separate"/>
            </w:r>
            <w:r w:rsidRPr="002C6EFA">
              <w:rPr>
                <w:noProof/>
                <w:webHidden/>
              </w:rPr>
              <w:t>12</w:t>
            </w:r>
            <w:r w:rsidRPr="002C6EFA">
              <w:rPr>
                <w:noProof/>
                <w:webHidden/>
              </w:rPr>
              <w:fldChar w:fldCharType="end"/>
            </w:r>
          </w:hyperlink>
        </w:p>
        <w:p w14:paraId="60A70B7B" w14:textId="77777777" w:rsidR="00FC3E95" w:rsidRPr="002C6EFA" w:rsidRDefault="00FC3E95" w:rsidP="00FC3E95">
          <w:pPr>
            <w:pStyle w:val="TOC1"/>
            <w:tabs>
              <w:tab w:val="right" w:leader="dot" w:pos="9350"/>
            </w:tabs>
            <w:spacing w:line="360" w:lineRule="auto"/>
            <w:rPr>
              <w:rFonts w:eastAsiaTheme="minorEastAsia"/>
              <w:noProof/>
              <w:lang w:val="en-IN"/>
            </w:rPr>
          </w:pPr>
          <w:hyperlink w:anchor="_Toc215678655" w:history="1">
            <w:r w:rsidRPr="002C6EFA">
              <w:rPr>
                <w:rStyle w:val="Hyperlink"/>
                <w:noProof/>
              </w:rPr>
              <w:t>4. Conclusion</w:t>
            </w:r>
            <w:r w:rsidRPr="002C6EFA">
              <w:rPr>
                <w:noProof/>
                <w:webHidden/>
              </w:rPr>
              <w:tab/>
            </w:r>
            <w:r w:rsidRPr="002C6EFA">
              <w:rPr>
                <w:noProof/>
                <w:webHidden/>
              </w:rPr>
              <w:fldChar w:fldCharType="begin"/>
            </w:r>
            <w:r w:rsidRPr="002C6EFA">
              <w:rPr>
                <w:noProof/>
                <w:webHidden/>
              </w:rPr>
              <w:instrText xml:space="preserve"> PAGEREF _Toc215678655 \h </w:instrText>
            </w:r>
            <w:r w:rsidRPr="002C6EFA">
              <w:rPr>
                <w:noProof/>
                <w:webHidden/>
              </w:rPr>
            </w:r>
            <w:r w:rsidRPr="002C6EFA">
              <w:rPr>
                <w:noProof/>
                <w:webHidden/>
              </w:rPr>
              <w:fldChar w:fldCharType="separate"/>
            </w:r>
            <w:r w:rsidRPr="002C6EFA">
              <w:rPr>
                <w:noProof/>
                <w:webHidden/>
              </w:rPr>
              <w:t>12</w:t>
            </w:r>
            <w:r w:rsidRPr="002C6EFA">
              <w:rPr>
                <w:noProof/>
                <w:webHidden/>
              </w:rPr>
              <w:fldChar w:fldCharType="end"/>
            </w:r>
          </w:hyperlink>
        </w:p>
        <w:p w14:paraId="0370650C" w14:textId="77777777" w:rsidR="00FC3E95" w:rsidRPr="002C6EFA" w:rsidRDefault="00FC3E95" w:rsidP="00FC3E95">
          <w:pPr>
            <w:pStyle w:val="TOC1"/>
            <w:tabs>
              <w:tab w:val="right" w:leader="dot" w:pos="9350"/>
            </w:tabs>
            <w:spacing w:line="360" w:lineRule="auto"/>
            <w:rPr>
              <w:rFonts w:eastAsiaTheme="minorEastAsia"/>
              <w:noProof/>
              <w:lang w:val="en-IN"/>
            </w:rPr>
          </w:pPr>
          <w:hyperlink w:anchor="_Toc215678656" w:history="1">
            <w:r w:rsidRPr="002C6EFA">
              <w:rPr>
                <w:rStyle w:val="Hyperlink"/>
                <w:noProof/>
              </w:rPr>
              <w:t>References</w:t>
            </w:r>
            <w:r w:rsidRPr="002C6EFA">
              <w:rPr>
                <w:noProof/>
                <w:webHidden/>
              </w:rPr>
              <w:tab/>
            </w:r>
            <w:r w:rsidRPr="002C6EFA">
              <w:rPr>
                <w:noProof/>
                <w:webHidden/>
              </w:rPr>
              <w:fldChar w:fldCharType="begin"/>
            </w:r>
            <w:r w:rsidRPr="002C6EFA">
              <w:rPr>
                <w:noProof/>
                <w:webHidden/>
              </w:rPr>
              <w:instrText xml:space="preserve"> PAGEREF _Toc215678656 \h </w:instrText>
            </w:r>
            <w:r w:rsidRPr="002C6EFA">
              <w:rPr>
                <w:noProof/>
                <w:webHidden/>
              </w:rPr>
            </w:r>
            <w:r w:rsidRPr="002C6EFA">
              <w:rPr>
                <w:noProof/>
                <w:webHidden/>
              </w:rPr>
              <w:fldChar w:fldCharType="separate"/>
            </w:r>
            <w:r w:rsidRPr="002C6EFA">
              <w:rPr>
                <w:noProof/>
                <w:webHidden/>
              </w:rPr>
              <w:t>14</w:t>
            </w:r>
            <w:r w:rsidRPr="002C6EFA">
              <w:rPr>
                <w:noProof/>
                <w:webHidden/>
              </w:rPr>
              <w:fldChar w:fldCharType="end"/>
            </w:r>
          </w:hyperlink>
        </w:p>
        <w:p w14:paraId="09C7B47D" w14:textId="64A9F6A3" w:rsidR="00251DD5" w:rsidRPr="002C6EFA" w:rsidRDefault="00251DD5" w:rsidP="00A06117">
          <w:pPr>
            <w:spacing w:after="240" w:line="360" w:lineRule="auto"/>
            <w:jc w:val="both"/>
            <w:rPr>
              <w:lang w:val="en-GB"/>
            </w:rPr>
          </w:pPr>
          <w:r w:rsidRPr="002C6EFA">
            <w:rPr>
              <w:b/>
              <w:bCs/>
              <w:noProof/>
              <w:sz w:val="24"/>
              <w:szCs w:val="24"/>
              <w:lang w:val="en-GB"/>
            </w:rPr>
            <w:fldChar w:fldCharType="end"/>
          </w:r>
        </w:p>
      </w:sdtContent>
    </w:sdt>
    <w:p w14:paraId="3B9D49E9" w14:textId="77777777" w:rsidR="00CD0259" w:rsidRPr="002C6EFA" w:rsidRDefault="00CD0259" w:rsidP="00A06117">
      <w:pPr>
        <w:spacing w:after="240"/>
        <w:rPr>
          <w:rFonts w:eastAsia="Times New Roman"/>
          <w:b/>
          <w:bCs/>
          <w:sz w:val="24"/>
          <w:szCs w:val="24"/>
          <w:lang w:val="en-GB"/>
        </w:rPr>
      </w:pPr>
      <w:r w:rsidRPr="002C6EFA">
        <w:rPr>
          <w:rFonts w:eastAsia="Times New Roman"/>
          <w:b/>
          <w:bCs/>
          <w:sz w:val="24"/>
          <w:szCs w:val="24"/>
          <w:lang w:val="en-GB"/>
        </w:rPr>
        <w:br w:type="page"/>
      </w:r>
    </w:p>
    <w:p w14:paraId="2CF11554" w14:textId="77777777" w:rsidR="00542F88" w:rsidRPr="002C6EFA" w:rsidRDefault="00542F88" w:rsidP="00542F88">
      <w:pPr>
        <w:pStyle w:val="Heading1"/>
        <w:rPr>
          <w:rFonts w:cs="Arial"/>
        </w:rPr>
      </w:pPr>
      <w:bookmarkStart w:id="0" w:name="_Toc215678637"/>
      <w:r w:rsidRPr="002C6EFA">
        <w:rPr>
          <w:rFonts w:cs="Arial"/>
        </w:rPr>
        <w:lastRenderedPageBreak/>
        <w:t>1. Introduction</w:t>
      </w:r>
      <w:bookmarkEnd w:id="0"/>
    </w:p>
    <w:p w14:paraId="37CC0272" w14:textId="77777777" w:rsidR="00542F88" w:rsidRPr="002C6EFA" w:rsidRDefault="00542F88" w:rsidP="00542F88">
      <w:pPr>
        <w:pStyle w:val="Heading2"/>
        <w:rPr>
          <w:rFonts w:cs="Arial"/>
        </w:rPr>
      </w:pPr>
      <w:bookmarkStart w:id="1" w:name="_Toc215678638"/>
      <w:r w:rsidRPr="002C6EFA">
        <w:rPr>
          <w:rFonts w:cs="Arial"/>
        </w:rPr>
        <w:t>1.1 Background and context</w:t>
      </w:r>
      <w:bookmarkEnd w:id="1"/>
      <w:r w:rsidRPr="002C6EFA">
        <w:rPr>
          <w:rFonts w:cs="Arial"/>
        </w:rPr>
        <w:t xml:space="preserve"> </w:t>
      </w:r>
    </w:p>
    <w:p w14:paraId="28869B78" w14:textId="77777777" w:rsidR="00542F88" w:rsidRPr="002C6EFA" w:rsidRDefault="00542F88" w:rsidP="00542F88">
      <w:pPr>
        <w:spacing w:after="200" w:line="360" w:lineRule="auto"/>
        <w:jc w:val="both"/>
        <w:rPr>
          <w:lang w:val="en-GB"/>
        </w:rPr>
      </w:pPr>
      <w:r w:rsidRPr="002C6EFA">
        <w:rPr>
          <w:lang w:val="en-GB"/>
        </w:rPr>
        <w:t>The “Mid Staffordshire NHS Foundation Trust crisis (2005-2009)” referred to as one of the most egregious failures in the recent history of the NHS. Hundreds of patients exposed to unsafe and poor-quality care during this period. The excess deaths and harsh neglect, lack of cleanliness, lengthy waits to attended to and low status of many patients were confirmed by independent inquiries conducted by Francis (2013). Simple needs like nutrition, pain relief, and personal care neglected. The number of staff was significantly less than safe standards, and not all nurses had the support and supervision to deliver safe care. There was a lack of action by the leadership on warnings and complaints raised by patients frequently ignored or downplayed.</w:t>
      </w:r>
    </w:p>
    <w:p w14:paraId="4F070C15" w14:textId="77777777" w:rsidR="00542F88" w:rsidRPr="002C6EFA" w:rsidRDefault="00542F88" w:rsidP="00542F88">
      <w:pPr>
        <w:spacing w:after="200" w:line="360" w:lineRule="auto"/>
        <w:jc w:val="both"/>
        <w:rPr>
          <w:lang w:val="en-GB"/>
        </w:rPr>
      </w:pPr>
      <w:r w:rsidRPr="002C6EFA">
        <w:rPr>
          <w:lang w:val="en-GB"/>
        </w:rPr>
        <w:t>The report is devoted to unsafe nurse staffing and poor patient safety monitoring. This is one of the core issues of the broader failures at Mid Staffordshire. Staffing unsafe practices were a direct cause of preventable injury, increased mortality, and patient mistrust. It also affected the overall public health more broadly because low-quality hospital care leads to long-term illness, retards recovery, and health disparities.</w:t>
      </w:r>
    </w:p>
    <w:p w14:paraId="5C675207" w14:textId="77777777" w:rsidR="00542F88" w:rsidRPr="002C6EFA" w:rsidRDefault="00542F88" w:rsidP="00542F88">
      <w:pPr>
        <w:spacing w:after="200" w:line="360" w:lineRule="auto"/>
        <w:jc w:val="both"/>
        <w:rPr>
          <w:lang w:val="en-GB"/>
        </w:rPr>
      </w:pPr>
      <w:r w:rsidRPr="002C6EFA">
        <w:rPr>
          <w:lang w:val="en-GB"/>
        </w:rPr>
        <w:t>Mid Staffordshire currently used as a countrywide case of systems failure. It remains a driver of safety reforms throughout NHS. It brought to light dire need to have robust quality management and efficient service improvement.</w:t>
      </w:r>
    </w:p>
    <w:p w14:paraId="02C2AC91" w14:textId="77777777" w:rsidR="00542F88" w:rsidRPr="002C6EFA" w:rsidRDefault="00542F88" w:rsidP="00542F88">
      <w:pPr>
        <w:pStyle w:val="Heading2"/>
        <w:rPr>
          <w:rFonts w:cs="Arial"/>
        </w:rPr>
      </w:pPr>
      <w:bookmarkStart w:id="2" w:name="_Toc215678639"/>
      <w:r w:rsidRPr="002C6EFA">
        <w:rPr>
          <w:rFonts w:cs="Arial"/>
        </w:rPr>
        <w:t>1.2 Rationale, aim and objectives</w:t>
      </w:r>
      <w:bookmarkEnd w:id="2"/>
    </w:p>
    <w:p w14:paraId="0162D7E0" w14:textId="77777777" w:rsidR="00542F88" w:rsidRPr="002C6EFA" w:rsidRDefault="00542F88" w:rsidP="00542F88">
      <w:pPr>
        <w:spacing w:after="200" w:line="360" w:lineRule="auto"/>
        <w:jc w:val="both"/>
        <w:rPr>
          <w:lang w:val="en-GB"/>
        </w:rPr>
      </w:pPr>
      <w:r w:rsidRPr="002C6EFA">
        <w:rPr>
          <w:lang w:val="en-GB"/>
        </w:rPr>
        <w:t>The report is necessary since the identified failures observed in Mid Staffordshire remain evident in other NHS environments. This specifically focuses on the particular area, such as unsafe staffing, ineffective organisational culture, and inefficient response to patient concerns. The recurring nature of these issues demonstrates that blame cannot help in the long run, but a systematic service improvement strategy (as influenced by Rafferty and Leary, 2023). The aim of this report is therefore quality analysis as to why the failure took place and how the failure can be mitigated using evidence-based strategies in future.</w:t>
      </w:r>
    </w:p>
    <w:p w14:paraId="48004B66" w14:textId="77777777" w:rsidR="00542F88" w:rsidRPr="002C6EFA" w:rsidRDefault="00542F88" w:rsidP="00542F88">
      <w:pPr>
        <w:spacing w:after="200" w:line="360" w:lineRule="auto"/>
        <w:jc w:val="both"/>
        <w:rPr>
          <w:lang w:val="en-GB"/>
        </w:rPr>
      </w:pPr>
      <w:r w:rsidRPr="002C6EFA">
        <w:rPr>
          <w:lang w:val="en-GB"/>
        </w:rPr>
        <w:t>The purpose of this report is to examine the underlying causes of the quality failure experienced at Mid Staffordshire NHS Foundation Trust and formulate an evidence-based service improvement plan that will promote patient-centred care.</w:t>
      </w:r>
    </w:p>
    <w:p w14:paraId="4E595A2B" w14:textId="77777777" w:rsidR="00542F88" w:rsidRPr="002C6EFA" w:rsidRDefault="00542F88" w:rsidP="00542F88">
      <w:pPr>
        <w:spacing w:after="200" w:line="360" w:lineRule="auto"/>
        <w:jc w:val="both"/>
        <w:rPr>
          <w:b/>
          <w:bCs/>
          <w:lang w:val="en-GB"/>
        </w:rPr>
      </w:pPr>
      <w:r w:rsidRPr="002C6EFA">
        <w:rPr>
          <w:b/>
          <w:bCs/>
          <w:lang w:val="en-GB"/>
        </w:rPr>
        <w:t>The objectives of the report are:</w:t>
      </w:r>
    </w:p>
    <w:p w14:paraId="54E513B6" w14:textId="77777777" w:rsidR="00542F88" w:rsidRPr="002C6EFA" w:rsidRDefault="00542F88" w:rsidP="00542F88">
      <w:pPr>
        <w:numPr>
          <w:ilvl w:val="0"/>
          <w:numId w:val="6"/>
        </w:numPr>
        <w:spacing w:after="200" w:line="360" w:lineRule="auto"/>
        <w:jc w:val="both"/>
        <w:rPr>
          <w:lang w:val="en-GB"/>
        </w:rPr>
      </w:pPr>
      <w:r w:rsidRPr="002C6EFA">
        <w:rPr>
          <w:lang w:val="en-GB"/>
        </w:rPr>
        <w:lastRenderedPageBreak/>
        <w:t>To identify the root-level factors of the failure based on the Fishbone Diagram, 5 Whys, and the Donabedian Model.</w:t>
      </w:r>
    </w:p>
    <w:p w14:paraId="73322320" w14:textId="77777777" w:rsidR="00542F88" w:rsidRPr="002C6EFA" w:rsidRDefault="00542F88" w:rsidP="00542F88">
      <w:pPr>
        <w:numPr>
          <w:ilvl w:val="0"/>
          <w:numId w:val="6"/>
        </w:numPr>
        <w:spacing w:after="200" w:line="360" w:lineRule="auto"/>
        <w:jc w:val="both"/>
        <w:rPr>
          <w:lang w:val="en-GB"/>
        </w:rPr>
      </w:pPr>
      <w:r w:rsidRPr="002C6EFA">
        <w:rPr>
          <w:lang w:val="en-GB"/>
        </w:rPr>
        <w:t>To analyse the broader organisational and strategic environment based on a SWOT analysis.</w:t>
      </w:r>
    </w:p>
    <w:p w14:paraId="657A860C" w14:textId="77777777" w:rsidR="00542F88" w:rsidRPr="002C6EFA" w:rsidRDefault="00542F88" w:rsidP="00542F88">
      <w:pPr>
        <w:numPr>
          <w:ilvl w:val="0"/>
          <w:numId w:val="6"/>
        </w:numPr>
        <w:spacing w:after="200" w:line="360" w:lineRule="auto"/>
        <w:jc w:val="both"/>
        <w:rPr>
          <w:lang w:val="en-GB"/>
        </w:rPr>
      </w:pPr>
      <w:r w:rsidRPr="002C6EFA">
        <w:rPr>
          <w:lang w:val="en-GB"/>
        </w:rPr>
        <w:t>To make feasible service improvement recommendations based on PDSA and Six Sigma approaches.</w:t>
      </w:r>
    </w:p>
    <w:p w14:paraId="28756B47" w14:textId="3470213F" w:rsidR="00542F88" w:rsidRPr="002C6EFA" w:rsidRDefault="00542F88" w:rsidP="00542F88">
      <w:pPr>
        <w:numPr>
          <w:ilvl w:val="0"/>
          <w:numId w:val="6"/>
        </w:numPr>
        <w:spacing w:after="200" w:line="360" w:lineRule="auto"/>
        <w:jc w:val="both"/>
        <w:rPr>
          <w:lang w:val="en-GB"/>
        </w:rPr>
      </w:pPr>
      <w:r w:rsidRPr="002C6EFA">
        <w:rPr>
          <w:lang w:val="en-GB"/>
        </w:rPr>
        <w:t xml:space="preserve">To </w:t>
      </w:r>
      <w:r w:rsidR="0096314B" w:rsidRPr="002C6EFA">
        <w:rPr>
          <w:lang w:val="en-GB"/>
        </w:rPr>
        <w:t>draw up</w:t>
      </w:r>
      <w:r w:rsidRPr="002C6EFA">
        <w:rPr>
          <w:lang w:val="en-GB"/>
        </w:rPr>
        <w:t xml:space="preserve"> a vivid implementation and monitoring strategy to facilitate a quantifiable change.</w:t>
      </w:r>
    </w:p>
    <w:p w14:paraId="3BA1525E" w14:textId="77777777" w:rsidR="00542F88" w:rsidRPr="002C6EFA" w:rsidRDefault="00542F88" w:rsidP="00542F88">
      <w:pPr>
        <w:pStyle w:val="Heading2"/>
        <w:rPr>
          <w:rFonts w:cs="Arial"/>
        </w:rPr>
      </w:pPr>
      <w:bookmarkStart w:id="3" w:name="_Toc215678640"/>
      <w:r w:rsidRPr="002C6EFA">
        <w:rPr>
          <w:rFonts w:cs="Arial"/>
        </w:rPr>
        <w:t>1.3 Structure of the report</w:t>
      </w:r>
      <w:bookmarkEnd w:id="3"/>
    </w:p>
    <w:p w14:paraId="36E1B63E" w14:textId="1317144E" w:rsidR="00542F88" w:rsidRPr="002C6EFA" w:rsidRDefault="00542F88" w:rsidP="00542F88">
      <w:pPr>
        <w:spacing w:after="200" w:line="360" w:lineRule="auto"/>
        <w:jc w:val="both"/>
        <w:rPr>
          <w:lang w:val="en-GB"/>
        </w:rPr>
      </w:pPr>
      <w:r w:rsidRPr="002C6EFA">
        <w:rPr>
          <w:lang w:val="en-GB"/>
        </w:rPr>
        <w:t>The report structured logically to take the reader through the analysis. The Main Body reviews the case context, the prominent theories, and employs the tools like the “Fishbone Diagram”, “5 Whys”, “Donabedian Model”, and “SWOT” to describe the root causes of the failure. The recommendations section then outlines a detailed service improvement plan based on PDSA and Six Sigma. The Conclusion summarises the key findings and contemplates the implications for the future. The report also continues on Component 1 by shifting the focus of analysis from systems to practical improvement.</w:t>
      </w:r>
    </w:p>
    <w:p w14:paraId="0C19370D" w14:textId="77777777" w:rsidR="00542F88" w:rsidRPr="002C6EFA" w:rsidRDefault="00542F88" w:rsidP="00542F88">
      <w:pPr>
        <w:pStyle w:val="Heading1"/>
        <w:rPr>
          <w:rFonts w:cs="Arial"/>
        </w:rPr>
      </w:pPr>
      <w:bookmarkStart w:id="4" w:name="_Toc215678641"/>
      <w:r w:rsidRPr="002C6EFA">
        <w:rPr>
          <w:rFonts w:cs="Arial"/>
        </w:rPr>
        <w:t>2. Main Body</w:t>
      </w:r>
      <w:bookmarkEnd w:id="4"/>
      <w:r w:rsidRPr="002C6EFA">
        <w:rPr>
          <w:rFonts w:cs="Arial"/>
        </w:rPr>
        <w:t xml:space="preserve"> </w:t>
      </w:r>
    </w:p>
    <w:p w14:paraId="3E61AEFC" w14:textId="77777777" w:rsidR="00542F88" w:rsidRPr="002C6EFA" w:rsidRDefault="00542F88" w:rsidP="00542F88">
      <w:pPr>
        <w:pStyle w:val="Heading2"/>
        <w:rPr>
          <w:rFonts w:cs="Arial"/>
        </w:rPr>
      </w:pPr>
      <w:bookmarkStart w:id="5" w:name="_Toc215678642"/>
      <w:r w:rsidRPr="002C6EFA">
        <w:rPr>
          <w:rFonts w:cs="Arial"/>
        </w:rPr>
        <w:t>2.1 Case context and problem definition</w:t>
      </w:r>
      <w:bookmarkEnd w:id="5"/>
    </w:p>
    <w:p w14:paraId="4482DB67" w14:textId="17DEC4D9" w:rsidR="00542F88" w:rsidRPr="002C6EFA" w:rsidRDefault="00542F88" w:rsidP="00542F88">
      <w:pPr>
        <w:spacing w:after="200" w:line="360" w:lineRule="auto"/>
        <w:jc w:val="both"/>
        <w:rPr>
          <w:lang w:val="en-GB"/>
        </w:rPr>
      </w:pPr>
      <w:r w:rsidRPr="002C6EFA">
        <w:rPr>
          <w:lang w:val="en-GB"/>
        </w:rPr>
        <w:t xml:space="preserve">The Mid Staffordshire case revealed a broad violation of quality and safety. Component 1 has brought a few dark issues in the organisation. Latent conditions were strong, including dramatic financial strain, habitual understaffing, minimal training, and a culture of workers being too scared to voice their concerns (A. Seiji Hayashi </w:t>
      </w:r>
      <w:r w:rsidR="0096314B" w:rsidRPr="002C6EFA">
        <w:rPr>
          <w:i/>
          <w:lang w:val="en-GB"/>
        </w:rPr>
        <w:t>et al.</w:t>
      </w:r>
      <w:r w:rsidRPr="002C6EFA">
        <w:rPr>
          <w:lang w:val="en-GB"/>
        </w:rPr>
        <w:t xml:space="preserve">, 2009). Such circumstances resulted in the conditions in which the negligent care might go on unnoticed and uncontested. In collaboration with this, Balogh </w:t>
      </w:r>
      <w:r w:rsidR="0096314B" w:rsidRPr="002C6EFA">
        <w:rPr>
          <w:i/>
          <w:lang w:val="en-GB"/>
        </w:rPr>
        <w:t>et al.</w:t>
      </w:r>
      <w:r w:rsidRPr="002C6EFA">
        <w:rPr>
          <w:lang w:val="en-GB"/>
        </w:rPr>
        <w:t xml:space="preserve"> (2019) noted that active failures in the form of ignored patient complaints, delayed responses to basic needs, poor clinical decision making, and even incomplete or misleading records were present. These were no single cases of failures. They were indicators of a system that had broken down in an unsafe manner.</w:t>
      </w:r>
    </w:p>
    <w:p w14:paraId="6B27E0CC" w14:textId="77777777" w:rsidR="00542F88" w:rsidRPr="002C6EFA" w:rsidRDefault="00542F88" w:rsidP="00542F88">
      <w:pPr>
        <w:spacing w:after="200" w:line="360" w:lineRule="auto"/>
        <w:jc w:val="both"/>
        <w:rPr>
          <w:lang w:val="en-GB"/>
        </w:rPr>
      </w:pPr>
      <w:r w:rsidRPr="002C6EFA">
        <w:rPr>
          <w:lang w:val="en-GB"/>
        </w:rPr>
        <w:t xml:space="preserve">In this report, the fundamental problem in quality stated as constant understaffing with a poor safety culture that results in unsafe care and preventable injury. The issue lies in multiple </w:t>
      </w:r>
      <w:r w:rsidRPr="002C6EFA">
        <w:rPr>
          <w:lang w:val="en-GB"/>
        </w:rPr>
        <w:lastRenderedPageBreak/>
        <w:t>dimensions of quality (Clarke, 2020). It has an impact on safety as patients exposed to danger. It has an impact on effectiveness since important care omitted. It minimises patient-centredness because patients perceived as being overlooked. On the same note, Reichert and Jacobs (2018) observed that it affects timeliness because of the extensive waiting time to obtain simple assistance. It is detrimental to efficiency because inferior care results in increased complications. It also has an impact on equity, as the most vulnerable patients were the most affected.</w:t>
      </w:r>
    </w:p>
    <w:p w14:paraId="73E7DEE7" w14:textId="77777777" w:rsidR="00542F88" w:rsidRPr="002C6EFA" w:rsidRDefault="00542F88" w:rsidP="00542F88">
      <w:pPr>
        <w:spacing w:after="200" w:line="360" w:lineRule="auto"/>
        <w:jc w:val="both"/>
        <w:rPr>
          <w:lang w:val="en-GB"/>
        </w:rPr>
      </w:pPr>
      <w:r w:rsidRPr="002C6EFA">
        <w:rPr>
          <w:lang w:val="en-GB"/>
        </w:rPr>
        <w:t>This issue is systemic. It cannot attributed to personal mistakes only. It demonstrates more profound structural and cultural malfunctions, which need to improve in the future.</w:t>
      </w:r>
    </w:p>
    <w:p w14:paraId="215F3A3B" w14:textId="77777777" w:rsidR="00542F88" w:rsidRPr="002C6EFA" w:rsidRDefault="00542F88" w:rsidP="00542F88">
      <w:pPr>
        <w:pStyle w:val="Heading2"/>
        <w:rPr>
          <w:rFonts w:cs="Arial"/>
        </w:rPr>
      </w:pPr>
      <w:bookmarkStart w:id="6" w:name="_Toc215678643"/>
      <w:r w:rsidRPr="002C6EFA">
        <w:rPr>
          <w:rFonts w:cs="Arial"/>
        </w:rPr>
        <w:t>2.2 Conceptual and theoretical framework</w:t>
      </w:r>
      <w:bookmarkEnd w:id="6"/>
    </w:p>
    <w:p w14:paraId="5D49BC14" w14:textId="77777777" w:rsidR="00542F88" w:rsidRPr="002C6EFA" w:rsidRDefault="00542F88" w:rsidP="00542F88">
      <w:pPr>
        <w:spacing w:after="200" w:line="360" w:lineRule="auto"/>
        <w:jc w:val="both"/>
        <w:rPr>
          <w:b/>
          <w:bCs/>
          <w:lang w:val="en-GB"/>
        </w:rPr>
      </w:pPr>
      <w:r w:rsidRPr="002C6EFA">
        <w:rPr>
          <w:b/>
          <w:bCs/>
          <w:lang w:val="en-GB"/>
        </w:rPr>
        <w:t>Donabedian Model</w:t>
      </w:r>
    </w:p>
    <w:p w14:paraId="70C13284" w14:textId="77777777" w:rsidR="00542F88" w:rsidRPr="002C6EFA" w:rsidRDefault="00542F88" w:rsidP="00542F88">
      <w:pPr>
        <w:spacing w:after="200" w:line="360" w:lineRule="auto"/>
        <w:jc w:val="center"/>
        <w:rPr>
          <w:lang w:val="en-GB"/>
        </w:rPr>
      </w:pPr>
      <w:r w:rsidRPr="002C6EFA">
        <w:rPr>
          <w:noProof/>
          <w:lang w:val="en-GB"/>
        </w:rPr>
        <w:drawing>
          <wp:inline distT="114300" distB="114300" distL="114300" distR="114300" wp14:anchorId="6DDE7998" wp14:editId="57CD8520">
            <wp:extent cx="5319713" cy="2520839"/>
            <wp:effectExtent l="19050" t="19050" r="14605" b="13335"/>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319713" cy="2520839"/>
                    </a:xfrm>
                    <a:prstGeom prst="rect">
                      <a:avLst/>
                    </a:prstGeom>
                    <a:ln>
                      <a:solidFill>
                        <a:schemeClr val="tx1"/>
                      </a:solidFill>
                    </a:ln>
                  </pic:spPr>
                </pic:pic>
              </a:graphicData>
            </a:graphic>
          </wp:inline>
        </w:drawing>
      </w:r>
    </w:p>
    <w:p w14:paraId="3EBBD755" w14:textId="77777777" w:rsidR="00542F88" w:rsidRPr="002C6EFA" w:rsidRDefault="00542F88" w:rsidP="00542F88">
      <w:pPr>
        <w:spacing w:after="200" w:line="360" w:lineRule="auto"/>
        <w:jc w:val="center"/>
        <w:rPr>
          <w:b/>
          <w:bCs/>
          <w:i/>
          <w:iCs/>
          <w:lang w:val="en-GB"/>
        </w:rPr>
      </w:pPr>
      <w:r w:rsidRPr="002C6EFA">
        <w:rPr>
          <w:b/>
          <w:bCs/>
          <w:i/>
          <w:iCs/>
          <w:lang w:val="en-GB"/>
        </w:rPr>
        <w:t>Figure 1: Donabedian Model</w:t>
      </w:r>
    </w:p>
    <w:p w14:paraId="4740A894" w14:textId="77777777" w:rsidR="00542F88" w:rsidRPr="002C6EFA" w:rsidRDefault="00542F88" w:rsidP="00542F88">
      <w:pPr>
        <w:spacing w:after="200" w:line="360" w:lineRule="auto"/>
        <w:jc w:val="center"/>
        <w:rPr>
          <w:lang w:val="en-GB"/>
        </w:rPr>
      </w:pPr>
      <w:r w:rsidRPr="002C6EFA">
        <w:rPr>
          <w:lang w:val="en-GB"/>
        </w:rPr>
        <w:t>(Source: Self-developed)</w:t>
      </w:r>
    </w:p>
    <w:p w14:paraId="1690014C" w14:textId="77777777" w:rsidR="00542F88" w:rsidRDefault="00542F88" w:rsidP="00542F88">
      <w:pPr>
        <w:spacing w:after="200" w:line="360" w:lineRule="auto"/>
        <w:jc w:val="both"/>
        <w:rPr>
          <w:lang w:val="en-GB"/>
        </w:rPr>
      </w:pPr>
      <w:r w:rsidRPr="002C6EFA">
        <w:rPr>
          <w:lang w:val="en-GB"/>
        </w:rPr>
        <w:t xml:space="preserve">The “Donabedian Model” describes the quality of healthcare using the structure, process, and outcome (Donabedian, 1988). In the opinion of </w:t>
      </w:r>
      <w:proofErr w:type="spellStart"/>
      <w:r w:rsidRPr="002C6EFA">
        <w:rPr>
          <w:lang w:val="en-GB"/>
        </w:rPr>
        <w:t>Ayanian</w:t>
      </w:r>
      <w:proofErr w:type="spellEnd"/>
      <w:r w:rsidRPr="002C6EFA">
        <w:rPr>
          <w:lang w:val="en-GB"/>
        </w:rPr>
        <w:t xml:space="preserve"> and Markel (2016), structure entails staffing levels, resources, policies, and training. Process is a way of care delivery, including communication, handovers and complaints. Outcomes are associated with patient outcomes, such as mortality, harm, and satisfaction. Mid Staffordshire can examined with the help of this model since poor governance and constant understaffing resulted in poor processes, like hasty care and unaddressed concerns. On the contrary, this resulted in adverse outcomes, like </w:t>
      </w:r>
      <w:r w:rsidRPr="002C6EFA">
        <w:rPr>
          <w:lang w:val="en-GB"/>
        </w:rPr>
        <w:lastRenderedPageBreak/>
        <w:t>preventable deaths and distress (Francis, 2013). The drawback of the Donabedian Model is that it might streamline more profound cultural issues, which could include fear, power disparity and silence within the organisation.</w:t>
      </w:r>
    </w:p>
    <w:p w14:paraId="26E0F014" w14:textId="2DE8F6E7" w:rsidR="00072232" w:rsidRDefault="00072232" w:rsidP="00542F88">
      <w:pPr>
        <w:spacing w:after="200" w:line="360" w:lineRule="auto"/>
        <w:jc w:val="both"/>
        <w:rPr>
          <w:lang w:val="en-GB"/>
        </w:rPr>
      </w:pPr>
      <w:r w:rsidRPr="00072232">
        <w:rPr>
          <w:rFonts w:eastAsia="Times New Roman"/>
          <w:b/>
          <w:bCs/>
          <w:color w:val="000000"/>
          <w:sz w:val="24"/>
          <w:szCs w:val="24"/>
          <w:lang w:val="en-IN" w:eastAsia="zh-TW"/>
        </w:rPr>
        <w:t>Lewin</w:t>
      </w:r>
      <w:r>
        <w:rPr>
          <w:rFonts w:eastAsia="Times New Roman"/>
          <w:b/>
          <w:bCs/>
          <w:color w:val="000000"/>
          <w:sz w:val="24"/>
          <w:szCs w:val="24"/>
          <w:lang w:val="en-IN" w:eastAsia="zh-TW"/>
        </w:rPr>
        <w:t xml:space="preserve"> change model</w:t>
      </w:r>
    </w:p>
    <w:tbl>
      <w:tblPr>
        <w:tblW w:w="9350" w:type="dxa"/>
        <w:tblLook w:val="04A0" w:firstRow="1" w:lastRow="0" w:firstColumn="1" w:lastColumn="0" w:noHBand="0" w:noVBand="1"/>
      </w:tblPr>
      <w:tblGrid>
        <w:gridCol w:w="1677"/>
        <w:gridCol w:w="1704"/>
        <w:gridCol w:w="5969"/>
      </w:tblGrid>
      <w:tr w:rsidR="00072232" w:rsidRPr="00072232" w14:paraId="2FE3D340" w14:textId="77777777" w:rsidTr="00072232">
        <w:trPr>
          <w:trHeight w:val="290"/>
        </w:trPr>
        <w:tc>
          <w:tcPr>
            <w:tcW w:w="1677" w:type="dxa"/>
            <w:tcBorders>
              <w:top w:val="single" w:sz="4" w:space="0" w:color="auto"/>
              <w:left w:val="single" w:sz="4" w:space="0" w:color="auto"/>
              <w:bottom w:val="single" w:sz="4" w:space="0" w:color="auto"/>
              <w:right w:val="single" w:sz="4" w:space="0" w:color="auto"/>
            </w:tcBorders>
            <w:noWrap/>
            <w:vAlign w:val="center"/>
            <w:hideMark/>
          </w:tcPr>
          <w:p w14:paraId="12301787" w14:textId="77777777" w:rsidR="00072232" w:rsidRPr="00072232" w:rsidRDefault="00072232" w:rsidP="00072232">
            <w:pPr>
              <w:spacing w:line="360" w:lineRule="auto"/>
              <w:jc w:val="center"/>
              <w:rPr>
                <w:rFonts w:eastAsia="Times New Roman"/>
                <w:b/>
                <w:bCs/>
                <w:color w:val="000000"/>
                <w:sz w:val="24"/>
                <w:szCs w:val="24"/>
                <w:lang w:val="en-IN" w:eastAsia="zh-TW"/>
              </w:rPr>
            </w:pPr>
            <w:r w:rsidRPr="00072232">
              <w:rPr>
                <w:rFonts w:eastAsia="Times New Roman"/>
                <w:b/>
                <w:bCs/>
                <w:color w:val="000000"/>
                <w:sz w:val="24"/>
                <w:szCs w:val="24"/>
                <w:lang w:val="en-IN" w:eastAsia="zh-TW"/>
              </w:rPr>
              <w:t>Lewin Stage</w:t>
            </w:r>
          </w:p>
        </w:tc>
        <w:tc>
          <w:tcPr>
            <w:tcW w:w="1704" w:type="dxa"/>
            <w:tcBorders>
              <w:top w:val="single" w:sz="4" w:space="0" w:color="auto"/>
              <w:left w:val="nil"/>
              <w:bottom w:val="single" w:sz="4" w:space="0" w:color="auto"/>
              <w:right w:val="single" w:sz="4" w:space="0" w:color="auto"/>
            </w:tcBorders>
            <w:noWrap/>
            <w:vAlign w:val="center"/>
            <w:hideMark/>
          </w:tcPr>
          <w:p w14:paraId="5A0342B3" w14:textId="77777777" w:rsidR="00072232" w:rsidRPr="00072232" w:rsidRDefault="00072232" w:rsidP="00072232">
            <w:pPr>
              <w:spacing w:line="360" w:lineRule="auto"/>
              <w:jc w:val="center"/>
              <w:rPr>
                <w:rFonts w:eastAsia="Times New Roman"/>
                <w:b/>
                <w:bCs/>
                <w:color w:val="000000"/>
                <w:sz w:val="24"/>
                <w:szCs w:val="24"/>
                <w:lang w:val="en-IN" w:eastAsia="zh-TW"/>
              </w:rPr>
            </w:pPr>
            <w:r w:rsidRPr="00072232">
              <w:rPr>
                <w:rFonts w:eastAsia="Times New Roman"/>
                <w:b/>
                <w:bCs/>
                <w:color w:val="000000"/>
                <w:sz w:val="24"/>
                <w:szCs w:val="24"/>
                <w:lang w:val="en-IN" w:eastAsia="zh-TW"/>
              </w:rPr>
              <w:t>Meaning</w:t>
            </w:r>
          </w:p>
        </w:tc>
        <w:tc>
          <w:tcPr>
            <w:tcW w:w="5969" w:type="dxa"/>
            <w:tcBorders>
              <w:top w:val="single" w:sz="4" w:space="0" w:color="auto"/>
              <w:left w:val="nil"/>
              <w:bottom w:val="single" w:sz="4" w:space="0" w:color="auto"/>
              <w:right w:val="single" w:sz="4" w:space="0" w:color="auto"/>
            </w:tcBorders>
            <w:noWrap/>
            <w:vAlign w:val="center"/>
            <w:hideMark/>
          </w:tcPr>
          <w:p w14:paraId="4A22B0C2" w14:textId="77777777" w:rsidR="00072232" w:rsidRPr="00072232" w:rsidRDefault="00072232" w:rsidP="00072232">
            <w:pPr>
              <w:spacing w:line="360" w:lineRule="auto"/>
              <w:jc w:val="center"/>
              <w:rPr>
                <w:rFonts w:eastAsia="Times New Roman"/>
                <w:b/>
                <w:bCs/>
                <w:color w:val="000000"/>
                <w:sz w:val="24"/>
                <w:szCs w:val="24"/>
                <w:lang w:val="en-IN" w:eastAsia="zh-TW"/>
              </w:rPr>
            </w:pPr>
            <w:r w:rsidRPr="00072232">
              <w:rPr>
                <w:rFonts w:eastAsia="Times New Roman"/>
                <w:b/>
                <w:bCs/>
                <w:color w:val="000000"/>
                <w:sz w:val="24"/>
                <w:szCs w:val="24"/>
                <w:lang w:val="en-IN" w:eastAsia="zh-TW"/>
              </w:rPr>
              <w:t>Application to Mid Staffordshire NHS Trust</w:t>
            </w:r>
          </w:p>
        </w:tc>
      </w:tr>
      <w:tr w:rsidR="00072232" w:rsidRPr="00072232" w14:paraId="0F99F842" w14:textId="77777777" w:rsidTr="00072232">
        <w:trPr>
          <w:trHeight w:val="290"/>
        </w:trPr>
        <w:tc>
          <w:tcPr>
            <w:tcW w:w="1677" w:type="dxa"/>
            <w:tcBorders>
              <w:top w:val="nil"/>
              <w:left w:val="single" w:sz="4" w:space="0" w:color="auto"/>
              <w:bottom w:val="single" w:sz="4" w:space="0" w:color="auto"/>
              <w:right w:val="single" w:sz="4" w:space="0" w:color="auto"/>
            </w:tcBorders>
            <w:noWrap/>
            <w:vAlign w:val="center"/>
            <w:hideMark/>
          </w:tcPr>
          <w:p w14:paraId="522C10BF" w14:textId="77777777" w:rsidR="00072232" w:rsidRPr="00072232" w:rsidRDefault="00072232" w:rsidP="00072232">
            <w:pPr>
              <w:spacing w:line="360" w:lineRule="auto"/>
              <w:rPr>
                <w:rFonts w:eastAsia="Times New Roman"/>
                <w:b/>
                <w:bCs/>
                <w:color w:val="000000"/>
                <w:sz w:val="24"/>
                <w:szCs w:val="24"/>
                <w:lang w:val="en-IN" w:eastAsia="zh-TW"/>
              </w:rPr>
            </w:pPr>
            <w:r w:rsidRPr="00072232">
              <w:rPr>
                <w:rFonts w:eastAsia="Times New Roman"/>
                <w:b/>
                <w:bCs/>
                <w:color w:val="000000"/>
                <w:sz w:val="24"/>
                <w:szCs w:val="24"/>
                <w:lang w:val="en-IN" w:eastAsia="zh-TW"/>
              </w:rPr>
              <w:t>Unfreeze</w:t>
            </w:r>
          </w:p>
        </w:tc>
        <w:tc>
          <w:tcPr>
            <w:tcW w:w="1704" w:type="dxa"/>
            <w:tcBorders>
              <w:top w:val="nil"/>
              <w:left w:val="nil"/>
              <w:bottom w:val="single" w:sz="4" w:space="0" w:color="auto"/>
              <w:right w:val="single" w:sz="4" w:space="0" w:color="auto"/>
            </w:tcBorders>
            <w:noWrap/>
            <w:vAlign w:val="center"/>
            <w:hideMark/>
          </w:tcPr>
          <w:p w14:paraId="7F8B48B3" w14:textId="77777777" w:rsidR="00072232" w:rsidRPr="00072232" w:rsidRDefault="00072232" w:rsidP="00072232">
            <w:pPr>
              <w:spacing w:line="360" w:lineRule="auto"/>
              <w:rPr>
                <w:rFonts w:eastAsia="Times New Roman"/>
                <w:color w:val="000000"/>
                <w:sz w:val="24"/>
                <w:szCs w:val="24"/>
                <w:lang w:val="en-IN" w:eastAsia="zh-TW"/>
              </w:rPr>
            </w:pPr>
            <w:r w:rsidRPr="00072232">
              <w:rPr>
                <w:rFonts w:eastAsia="Times New Roman"/>
                <w:color w:val="000000"/>
                <w:sz w:val="24"/>
                <w:szCs w:val="24"/>
                <w:lang w:val="en-IN" w:eastAsia="zh-TW"/>
              </w:rPr>
              <w:t>Preparing the organisation for change</w:t>
            </w:r>
          </w:p>
        </w:tc>
        <w:tc>
          <w:tcPr>
            <w:tcW w:w="5969" w:type="dxa"/>
            <w:tcBorders>
              <w:top w:val="nil"/>
              <w:left w:val="nil"/>
              <w:bottom w:val="single" w:sz="4" w:space="0" w:color="auto"/>
              <w:right w:val="single" w:sz="4" w:space="0" w:color="auto"/>
            </w:tcBorders>
            <w:noWrap/>
            <w:vAlign w:val="center"/>
            <w:hideMark/>
          </w:tcPr>
          <w:p w14:paraId="1D70E8A6" w14:textId="77777777" w:rsidR="00072232" w:rsidRPr="00072232" w:rsidRDefault="00072232" w:rsidP="00072232">
            <w:pPr>
              <w:spacing w:line="360" w:lineRule="auto"/>
              <w:rPr>
                <w:rFonts w:eastAsia="Times New Roman"/>
                <w:color w:val="000000"/>
                <w:sz w:val="24"/>
                <w:szCs w:val="24"/>
                <w:lang w:val="en-IN" w:eastAsia="zh-TW"/>
              </w:rPr>
            </w:pPr>
            <w:r w:rsidRPr="00072232">
              <w:rPr>
                <w:rFonts w:eastAsia="Times New Roman"/>
                <w:color w:val="000000"/>
                <w:sz w:val="24"/>
                <w:szCs w:val="24"/>
                <w:lang w:val="en-IN" w:eastAsia="zh-TW"/>
              </w:rPr>
              <w:t>Staff recognised patient safety failures and unsafe staffing levels. Leadership acknowledged problems and created urgency for change.</w:t>
            </w:r>
          </w:p>
        </w:tc>
      </w:tr>
      <w:tr w:rsidR="00072232" w:rsidRPr="00072232" w14:paraId="381DE533" w14:textId="77777777" w:rsidTr="00072232">
        <w:trPr>
          <w:trHeight w:val="290"/>
        </w:trPr>
        <w:tc>
          <w:tcPr>
            <w:tcW w:w="1677" w:type="dxa"/>
            <w:tcBorders>
              <w:top w:val="nil"/>
              <w:left w:val="single" w:sz="4" w:space="0" w:color="auto"/>
              <w:bottom w:val="single" w:sz="4" w:space="0" w:color="auto"/>
              <w:right w:val="single" w:sz="4" w:space="0" w:color="auto"/>
            </w:tcBorders>
            <w:noWrap/>
            <w:vAlign w:val="center"/>
            <w:hideMark/>
          </w:tcPr>
          <w:p w14:paraId="20D5A830" w14:textId="77777777" w:rsidR="00072232" w:rsidRPr="00072232" w:rsidRDefault="00072232" w:rsidP="00072232">
            <w:pPr>
              <w:spacing w:line="360" w:lineRule="auto"/>
              <w:rPr>
                <w:rFonts w:eastAsia="Times New Roman"/>
                <w:b/>
                <w:bCs/>
                <w:color w:val="000000"/>
                <w:sz w:val="24"/>
                <w:szCs w:val="24"/>
                <w:lang w:val="en-IN" w:eastAsia="zh-TW"/>
              </w:rPr>
            </w:pPr>
            <w:r w:rsidRPr="00072232">
              <w:rPr>
                <w:rFonts w:eastAsia="Times New Roman"/>
                <w:b/>
                <w:bCs/>
                <w:color w:val="000000"/>
                <w:sz w:val="24"/>
                <w:szCs w:val="24"/>
                <w:lang w:val="en-IN" w:eastAsia="zh-TW"/>
              </w:rPr>
              <w:t>Change</w:t>
            </w:r>
          </w:p>
        </w:tc>
        <w:tc>
          <w:tcPr>
            <w:tcW w:w="1704" w:type="dxa"/>
            <w:tcBorders>
              <w:top w:val="nil"/>
              <w:left w:val="nil"/>
              <w:bottom w:val="single" w:sz="4" w:space="0" w:color="auto"/>
              <w:right w:val="single" w:sz="4" w:space="0" w:color="auto"/>
            </w:tcBorders>
            <w:noWrap/>
            <w:vAlign w:val="center"/>
            <w:hideMark/>
          </w:tcPr>
          <w:p w14:paraId="3FA1F35B" w14:textId="77777777" w:rsidR="00072232" w:rsidRPr="00072232" w:rsidRDefault="00072232" w:rsidP="00072232">
            <w:pPr>
              <w:spacing w:line="360" w:lineRule="auto"/>
              <w:rPr>
                <w:rFonts w:eastAsia="Times New Roman"/>
                <w:color w:val="000000"/>
                <w:sz w:val="24"/>
                <w:szCs w:val="24"/>
                <w:lang w:val="en-IN" w:eastAsia="zh-TW"/>
              </w:rPr>
            </w:pPr>
            <w:r w:rsidRPr="00072232">
              <w:rPr>
                <w:rFonts w:eastAsia="Times New Roman"/>
                <w:color w:val="000000"/>
                <w:sz w:val="24"/>
                <w:szCs w:val="24"/>
                <w:lang w:val="en-IN" w:eastAsia="zh-TW"/>
              </w:rPr>
              <w:t>Introducing new ways of working</w:t>
            </w:r>
          </w:p>
        </w:tc>
        <w:tc>
          <w:tcPr>
            <w:tcW w:w="5969" w:type="dxa"/>
            <w:tcBorders>
              <w:top w:val="nil"/>
              <w:left w:val="nil"/>
              <w:bottom w:val="single" w:sz="4" w:space="0" w:color="auto"/>
              <w:right w:val="single" w:sz="4" w:space="0" w:color="auto"/>
            </w:tcBorders>
            <w:noWrap/>
            <w:vAlign w:val="center"/>
            <w:hideMark/>
          </w:tcPr>
          <w:p w14:paraId="4301D38F" w14:textId="4FC96FDD" w:rsidR="00072232" w:rsidRPr="00072232" w:rsidRDefault="00072232" w:rsidP="00072232">
            <w:pPr>
              <w:spacing w:line="360" w:lineRule="auto"/>
              <w:rPr>
                <w:rFonts w:eastAsia="Times New Roman"/>
                <w:color w:val="000000"/>
                <w:sz w:val="24"/>
                <w:szCs w:val="24"/>
                <w:lang w:val="en-IN" w:eastAsia="zh-TW"/>
              </w:rPr>
            </w:pPr>
            <w:r w:rsidRPr="00072232">
              <w:rPr>
                <w:rFonts w:eastAsia="Times New Roman"/>
                <w:color w:val="000000"/>
                <w:sz w:val="24"/>
                <w:szCs w:val="24"/>
                <w:lang w:val="en-IN" w:eastAsia="zh-TW"/>
              </w:rPr>
              <w:t>Safe staffing policies, better complaint handling, and safety training were introduced. Staff supported to adopt safer practices</w:t>
            </w:r>
            <w:r w:rsidR="00CA7201">
              <w:rPr>
                <w:rFonts w:eastAsia="Times New Roman"/>
                <w:color w:val="000000"/>
                <w:sz w:val="24"/>
                <w:szCs w:val="24"/>
                <w:lang w:val="en-IN" w:eastAsia="zh-TW"/>
              </w:rPr>
              <w:t xml:space="preserve"> </w:t>
            </w:r>
            <w:r w:rsidR="00CA7201" w:rsidRPr="00CA7201">
              <w:rPr>
                <w:rFonts w:eastAsia="Times New Roman"/>
                <w:color w:val="000000"/>
                <w:sz w:val="24"/>
                <w:szCs w:val="24"/>
                <w:lang w:val="en-IN" w:eastAsia="zh-TW"/>
              </w:rPr>
              <w:t>(Burnes, 2020)</w:t>
            </w:r>
            <w:r w:rsidRPr="00072232">
              <w:rPr>
                <w:rFonts w:eastAsia="Times New Roman"/>
                <w:color w:val="000000"/>
                <w:sz w:val="24"/>
                <w:szCs w:val="24"/>
                <w:lang w:val="en-IN" w:eastAsia="zh-TW"/>
              </w:rPr>
              <w:t>.</w:t>
            </w:r>
          </w:p>
        </w:tc>
      </w:tr>
      <w:tr w:rsidR="00072232" w:rsidRPr="00072232" w14:paraId="59AEB853" w14:textId="77777777" w:rsidTr="00072232">
        <w:trPr>
          <w:trHeight w:val="290"/>
        </w:trPr>
        <w:tc>
          <w:tcPr>
            <w:tcW w:w="1677" w:type="dxa"/>
            <w:tcBorders>
              <w:top w:val="nil"/>
              <w:left w:val="single" w:sz="4" w:space="0" w:color="auto"/>
              <w:bottom w:val="single" w:sz="4" w:space="0" w:color="auto"/>
              <w:right w:val="single" w:sz="4" w:space="0" w:color="auto"/>
            </w:tcBorders>
            <w:noWrap/>
            <w:vAlign w:val="center"/>
            <w:hideMark/>
          </w:tcPr>
          <w:p w14:paraId="6DEE9D9B" w14:textId="77777777" w:rsidR="00072232" w:rsidRPr="00072232" w:rsidRDefault="00072232" w:rsidP="00072232">
            <w:pPr>
              <w:spacing w:line="360" w:lineRule="auto"/>
              <w:rPr>
                <w:rFonts w:eastAsia="Times New Roman"/>
                <w:b/>
                <w:bCs/>
                <w:color w:val="000000"/>
                <w:sz w:val="24"/>
                <w:szCs w:val="24"/>
                <w:lang w:val="en-IN" w:eastAsia="zh-TW"/>
              </w:rPr>
            </w:pPr>
            <w:r w:rsidRPr="00072232">
              <w:rPr>
                <w:rFonts w:eastAsia="Times New Roman"/>
                <w:b/>
                <w:bCs/>
                <w:color w:val="000000"/>
                <w:sz w:val="24"/>
                <w:szCs w:val="24"/>
                <w:lang w:val="en-IN" w:eastAsia="zh-TW"/>
              </w:rPr>
              <w:t>Refreeze</w:t>
            </w:r>
          </w:p>
        </w:tc>
        <w:tc>
          <w:tcPr>
            <w:tcW w:w="1704" w:type="dxa"/>
            <w:tcBorders>
              <w:top w:val="nil"/>
              <w:left w:val="nil"/>
              <w:bottom w:val="single" w:sz="4" w:space="0" w:color="auto"/>
              <w:right w:val="single" w:sz="4" w:space="0" w:color="auto"/>
            </w:tcBorders>
            <w:noWrap/>
            <w:vAlign w:val="center"/>
            <w:hideMark/>
          </w:tcPr>
          <w:p w14:paraId="76213978" w14:textId="77777777" w:rsidR="00072232" w:rsidRPr="00072232" w:rsidRDefault="00072232" w:rsidP="00072232">
            <w:pPr>
              <w:spacing w:line="360" w:lineRule="auto"/>
              <w:rPr>
                <w:rFonts w:eastAsia="Times New Roman"/>
                <w:color w:val="000000"/>
                <w:sz w:val="24"/>
                <w:szCs w:val="24"/>
                <w:lang w:val="en-IN" w:eastAsia="zh-TW"/>
              </w:rPr>
            </w:pPr>
            <w:r w:rsidRPr="00072232">
              <w:rPr>
                <w:rFonts w:eastAsia="Times New Roman"/>
                <w:color w:val="000000"/>
                <w:sz w:val="24"/>
                <w:szCs w:val="24"/>
                <w:lang w:val="en-IN" w:eastAsia="zh-TW"/>
              </w:rPr>
              <w:t>Making change permanent</w:t>
            </w:r>
          </w:p>
        </w:tc>
        <w:tc>
          <w:tcPr>
            <w:tcW w:w="5969" w:type="dxa"/>
            <w:tcBorders>
              <w:top w:val="nil"/>
              <w:left w:val="nil"/>
              <w:bottom w:val="single" w:sz="4" w:space="0" w:color="auto"/>
              <w:right w:val="single" w:sz="4" w:space="0" w:color="auto"/>
            </w:tcBorders>
            <w:noWrap/>
            <w:vAlign w:val="center"/>
            <w:hideMark/>
          </w:tcPr>
          <w:p w14:paraId="73A69BAA" w14:textId="77777777" w:rsidR="00072232" w:rsidRPr="00072232" w:rsidRDefault="00072232" w:rsidP="00072232">
            <w:pPr>
              <w:spacing w:line="360" w:lineRule="auto"/>
              <w:rPr>
                <w:rFonts w:eastAsia="Times New Roman"/>
                <w:color w:val="000000"/>
                <w:sz w:val="24"/>
                <w:szCs w:val="24"/>
                <w:lang w:val="en-IN" w:eastAsia="zh-TW"/>
              </w:rPr>
            </w:pPr>
            <w:r w:rsidRPr="00072232">
              <w:rPr>
                <w:rFonts w:eastAsia="Times New Roman"/>
                <w:color w:val="000000"/>
                <w:sz w:val="24"/>
                <w:szCs w:val="24"/>
                <w:lang w:val="en-IN" w:eastAsia="zh-TW"/>
              </w:rPr>
              <w:t>New safety practices embedded into daily work. Ongoing monitoring, audits, and governance used to sustain improvements.</w:t>
            </w:r>
          </w:p>
        </w:tc>
      </w:tr>
    </w:tbl>
    <w:p w14:paraId="717EE65C" w14:textId="2978CEEE" w:rsidR="00072232" w:rsidRDefault="00CA7201" w:rsidP="00CA7201">
      <w:pPr>
        <w:spacing w:after="200" w:line="360" w:lineRule="auto"/>
        <w:jc w:val="center"/>
        <w:rPr>
          <w:b/>
          <w:bCs/>
          <w:lang w:val="en-IN"/>
        </w:rPr>
      </w:pPr>
      <w:r w:rsidRPr="00CA7201">
        <w:rPr>
          <w:b/>
          <w:bCs/>
          <w:lang w:val="en-IN"/>
        </w:rPr>
        <w:t xml:space="preserve">Table 1: </w:t>
      </w:r>
      <w:r w:rsidRPr="00CA7201">
        <w:rPr>
          <w:b/>
          <w:bCs/>
          <w:lang w:val="en-IN"/>
        </w:rPr>
        <w:t>Lewin change model</w:t>
      </w:r>
    </w:p>
    <w:p w14:paraId="7F77154B" w14:textId="7415F956" w:rsidR="00CA7201" w:rsidRPr="00CA7201" w:rsidRDefault="00CA7201" w:rsidP="00CA7201">
      <w:pPr>
        <w:spacing w:after="200" w:line="360" w:lineRule="auto"/>
        <w:jc w:val="center"/>
        <w:rPr>
          <w:lang w:val="en-GB"/>
        </w:rPr>
      </w:pPr>
      <w:r w:rsidRPr="002C6EFA">
        <w:rPr>
          <w:lang w:val="en-GB"/>
        </w:rPr>
        <w:t>(Source: Self-developed)</w:t>
      </w:r>
    </w:p>
    <w:p w14:paraId="2D8E77AF" w14:textId="77777777" w:rsidR="00542F88" w:rsidRPr="002C6EFA" w:rsidRDefault="00542F88" w:rsidP="00542F88">
      <w:pPr>
        <w:spacing w:after="200" w:line="360" w:lineRule="auto"/>
        <w:jc w:val="both"/>
        <w:rPr>
          <w:b/>
          <w:bCs/>
          <w:lang w:val="en-GB"/>
        </w:rPr>
      </w:pPr>
      <w:r w:rsidRPr="002C6EFA">
        <w:rPr>
          <w:b/>
          <w:bCs/>
          <w:lang w:val="en-GB"/>
        </w:rPr>
        <w:t>Systems and Safety Models</w:t>
      </w:r>
    </w:p>
    <w:p w14:paraId="4D923B75" w14:textId="248860CF" w:rsidR="00542F88" w:rsidRPr="002C6EFA" w:rsidRDefault="00542F88" w:rsidP="00542F88">
      <w:pPr>
        <w:spacing w:after="200" w:line="360" w:lineRule="auto"/>
        <w:jc w:val="both"/>
        <w:rPr>
          <w:lang w:val="en-GB"/>
        </w:rPr>
      </w:pPr>
      <w:r w:rsidRPr="002C6EFA">
        <w:rPr>
          <w:lang w:val="en-GB"/>
        </w:rPr>
        <w:t xml:space="preserve">The “Swiss Cheese Model” applied in Component 1 demonstrates how several layers of defence can all collapse simultaneously when the gaps in organisations coincide (Wiegmann </w:t>
      </w:r>
      <w:r w:rsidR="0096314B" w:rsidRPr="002C6EFA">
        <w:rPr>
          <w:i/>
          <w:lang w:val="en-GB"/>
        </w:rPr>
        <w:t>et al.</w:t>
      </w:r>
      <w:r w:rsidRPr="002C6EFA">
        <w:rPr>
          <w:lang w:val="en-GB"/>
        </w:rPr>
        <w:t>, 2022). Policies were in place in Mid Staffordshire, and staffing, supervision, and communication failures created loopholes that enabled harm to patients (Francis, 2013). This showed that the crisis was a breakdown of the system and not due to individual mistakes.</w:t>
      </w:r>
    </w:p>
    <w:p w14:paraId="7DFFCAE5" w14:textId="77777777" w:rsidR="00542F88" w:rsidRPr="002C6EFA" w:rsidRDefault="00542F88" w:rsidP="00542F88">
      <w:pPr>
        <w:spacing w:after="200" w:line="360" w:lineRule="auto"/>
        <w:jc w:val="both"/>
        <w:rPr>
          <w:b/>
          <w:bCs/>
          <w:lang w:val="en-GB"/>
        </w:rPr>
      </w:pPr>
      <w:r w:rsidRPr="002C6EFA">
        <w:rPr>
          <w:b/>
          <w:bCs/>
          <w:lang w:val="en-GB"/>
        </w:rPr>
        <w:t>Root Cause Analysis Tools</w:t>
      </w:r>
    </w:p>
    <w:p w14:paraId="5917B9C3" w14:textId="5CC18AE8" w:rsidR="00542F88" w:rsidRPr="002C6EFA" w:rsidRDefault="00542F88" w:rsidP="00542F88">
      <w:pPr>
        <w:spacing w:after="200" w:line="360" w:lineRule="auto"/>
        <w:jc w:val="both"/>
        <w:rPr>
          <w:lang w:val="en-IN"/>
        </w:rPr>
      </w:pPr>
      <w:r w:rsidRPr="002C6EFA">
        <w:rPr>
          <w:lang w:val="en-GB"/>
        </w:rPr>
        <w:t xml:space="preserve">Root Cause Analysis builds on this in component 2. The Fishbone Diagram assists in classifying causes under people, processes, equipment, leadership, and environment (Kumah </w:t>
      </w:r>
      <w:r w:rsidR="0096314B" w:rsidRPr="002C6EFA">
        <w:rPr>
          <w:i/>
          <w:lang w:val="en-GB"/>
        </w:rPr>
        <w:t>et al.</w:t>
      </w:r>
      <w:r w:rsidRPr="002C6EFA">
        <w:rPr>
          <w:lang w:val="en-GB"/>
        </w:rPr>
        <w:t>, 2024). The 5 Whys goes a notch higher by constantly posing questions as to why a problem occurred, thus assisting in releasing the reasons</w:t>
      </w:r>
      <w:r w:rsidR="0025642D" w:rsidRPr="002C6EFA">
        <w:rPr>
          <w:lang w:val="en-GB"/>
        </w:rPr>
        <w:t xml:space="preserve"> </w:t>
      </w:r>
      <w:r w:rsidR="0025642D" w:rsidRPr="002C6EFA">
        <w:rPr>
          <w:lang w:val="en-IN"/>
        </w:rPr>
        <w:t>(</w:t>
      </w:r>
      <w:proofErr w:type="spellStart"/>
      <w:r w:rsidR="0025642D" w:rsidRPr="002C6EFA">
        <w:rPr>
          <w:lang w:val="en-IN"/>
        </w:rPr>
        <w:t>Mrayyan</w:t>
      </w:r>
      <w:proofErr w:type="spellEnd"/>
      <w:r w:rsidR="0025642D" w:rsidRPr="002C6EFA">
        <w:rPr>
          <w:lang w:val="en-IN"/>
        </w:rPr>
        <w:t xml:space="preserve"> et al., 2023)</w:t>
      </w:r>
      <w:r w:rsidRPr="002C6EFA">
        <w:rPr>
          <w:lang w:val="en-GB"/>
        </w:rPr>
        <w:t>.</w:t>
      </w:r>
    </w:p>
    <w:p w14:paraId="7E3E505E" w14:textId="77777777" w:rsidR="00542F88" w:rsidRPr="002C6EFA" w:rsidRDefault="00542F88" w:rsidP="00542F88">
      <w:pPr>
        <w:spacing w:after="200" w:line="360" w:lineRule="auto"/>
        <w:jc w:val="both"/>
        <w:rPr>
          <w:b/>
          <w:bCs/>
          <w:lang w:val="en-GB"/>
        </w:rPr>
      </w:pPr>
      <w:r w:rsidRPr="002C6EFA">
        <w:rPr>
          <w:b/>
          <w:bCs/>
          <w:lang w:val="en-GB"/>
        </w:rPr>
        <w:t>Comparison</w:t>
      </w:r>
    </w:p>
    <w:p w14:paraId="379E20E2" w14:textId="77777777" w:rsidR="00542F88" w:rsidRPr="002C6EFA" w:rsidRDefault="00542F88" w:rsidP="00542F88">
      <w:pPr>
        <w:spacing w:after="200" w:line="360" w:lineRule="auto"/>
        <w:jc w:val="both"/>
        <w:rPr>
          <w:lang w:val="en-GB"/>
        </w:rPr>
      </w:pPr>
      <w:r w:rsidRPr="002C6EFA">
        <w:rPr>
          <w:lang w:val="en-GB"/>
        </w:rPr>
        <w:lastRenderedPageBreak/>
        <w:t>The above-mentioned different kinds of tools provide different opinions. Donabedian describes the chain of structure-process-outcome. On the other hand, Swiss cheese demonstrates a stratified system failure, while RCA tools give particular root causes. However, the combination of all three is a powerful and adequate insight into the Mid Staffordshire failure.</w:t>
      </w:r>
    </w:p>
    <w:p w14:paraId="486045F5" w14:textId="77777777" w:rsidR="00542F88" w:rsidRPr="002C6EFA" w:rsidRDefault="00542F88" w:rsidP="00542F88">
      <w:pPr>
        <w:pStyle w:val="Heading2"/>
        <w:rPr>
          <w:rFonts w:cs="Arial"/>
        </w:rPr>
      </w:pPr>
      <w:bookmarkStart w:id="7" w:name="_Toc215678644"/>
      <w:r w:rsidRPr="002C6EFA">
        <w:rPr>
          <w:rFonts w:cs="Arial"/>
        </w:rPr>
        <w:t>2.3 Root Cause Analysis using Fishbone &amp; 5 Whys</w:t>
      </w:r>
      <w:bookmarkEnd w:id="7"/>
    </w:p>
    <w:p w14:paraId="3068A943" w14:textId="77777777" w:rsidR="00542F88" w:rsidRPr="002C6EFA" w:rsidRDefault="00542F88" w:rsidP="00542F88">
      <w:pPr>
        <w:pStyle w:val="Heading3"/>
      </w:pPr>
      <w:bookmarkStart w:id="8" w:name="_Toc215678645"/>
      <w:r w:rsidRPr="002C6EFA">
        <w:t>2.3.1 Application of Fishbone Diagram</w:t>
      </w:r>
      <w:bookmarkEnd w:id="8"/>
    </w:p>
    <w:p w14:paraId="3A324057" w14:textId="77777777" w:rsidR="00542F88" w:rsidRPr="002C6EFA" w:rsidRDefault="00542F88" w:rsidP="00542F88">
      <w:pPr>
        <w:spacing w:after="200" w:line="360" w:lineRule="auto"/>
        <w:jc w:val="both"/>
        <w:rPr>
          <w:lang w:val="en-GB"/>
        </w:rPr>
      </w:pPr>
      <w:r w:rsidRPr="002C6EFA">
        <w:rPr>
          <w:lang w:val="en-GB"/>
        </w:rPr>
        <w:t>The Fishbone Diagram used to demonstrate how a number of interconnected factors at Mid Staffordshire caused unsafe staffing and poor safety culture. Many employees under People had low morale and an inappropriate skills mix. Others not experienced and not closely supervised. Employees also bullied, and they would fear standing up to complain about poor care (Francis, 2013). This complicated the ability to appeal against unsafe decisions.</w:t>
      </w:r>
    </w:p>
    <w:p w14:paraId="34DB0AA5" w14:textId="77777777" w:rsidR="00542F88" w:rsidRPr="002C6EFA" w:rsidRDefault="00542F88" w:rsidP="00542F88">
      <w:pPr>
        <w:spacing w:after="200" w:line="360" w:lineRule="auto"/>
        <w:jc w:val="center"/>
        <w:rPr>
          <w:lang w:val="en-GB"/>
        </w:rPr>
      </w:pPr>
      <w:r w:rsidRPr="002C6EFA">
        <w:rPr>
          <w:noProof/>
          <w:lang w:val="en-GB"/>
        </w:rPr>
        <w:drawing>
          <wp:inline distT="114300" distB="114300" distL="114300" distR="114300" wp14:anchorId="0F9A1924" wp14:editId="25C337D2">
            <wp:extent cx="5705800" cy="2951276"/>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b="6073"/>
                    <a:stretch>
                      <a:fillRect/>
                    </a:stretch>
                  </pic:blipFill>
                  <pic:spPr>
                    <a:xfrm>
                      <a:off x="0" y="0"/>
                      <a:ext cx="5705800" cy="2951276"/>
                    </a:xfrm>
                    <a:prstGeom prst="rect">
                      <a:avLst/>
                    </a:prstGeom>
                    <a:ln/>
                  </pic:spPr>
                </pic:pic>
              </a:graphicData>
            </a:graphic>
          </wp:inline>
        </w:drawing>
      </w:r>
    </w:p>
    <w:p w14:paraId="523428E4" w14:textId="77777777" w:rsidR="00542F88" w:rsidRPr="002C6EFA" w:rsidRDefault="00542F88" w:rsidP="00542F88">
      <w:pPr>
        <w:spacing w:after="200" w:line="360" w:lineRule="auto"/>
        <w:jc w:val="center"/>
        <w:rPr>
          <w:b/>
          <w:bCs/>
          <w:lang w:val="en-GB"/>
        </w:rPr>
      </w:pPr>
      <w:r w:rsidRPr="002C6EFA">
        <w:rPr>
          <w:b/>
          <w:bCs/>
          <w:lang w:val="en-GB"/>
        </w:rPr>
        <w:t>Figure 2: Fishbone Diagram for the Mid Staffordshire crisis with the central problem</w:t>
      </w:r>
    </w:p>
    <w:p w14:paraId="3611A193" w14:textId="77777777" w:rsidR="00542F88" w:rsidRPr="002C6EFA" w:rsidRDefault="00542F88" w:rsidP="00542F88">
      <w:pPr>
        <w:spacing w:after="200" w:line="360" w:lineRule="auto"/>
        <w:jc w:val="center"/>
        <w:rPr>
          <w:lang w:val="en-GB"/>
        </w:rPr>
      </w:pPr>
      <w:r w:rsidRPr="002C6EFA">
        <w:rPr>
          <w:lang w:val="en-GB"/>
        </w:rPr>
        <w:t>(Source: Self-developed)</w:t>
      </w:r>
    </w:p>
    <w:p w14:paraId="5D7049B6" w14:textId="57DF90F9" w:rsidR="00542F88" w:rsidRPr="002C6EFA" w:rsidRDefault="00542F88" w:rsidP="00542F88">
      <w:pPr>
        <w:spacing w:after="200" w:line="360" w:lineRule="auto"/>
        <w:jc w:val="both"/>
        <w:rPr>
          <w:lang w:val="en-GB"/>
        </w:rPr>
      </w:pPr>
      <w:r w:rsidRPr="002C6EFA">
        <w:rPr>
          <w:lang w:val="en-GB"/>
        </w:rPr>
        <w:t>Complaints disregarded under the Processes. The patients did not have any distinct escalation paths. The absence of processes being organised meant that basic tasks overlooked, like checking on our hydration. On the other hand, in the Policies and Management, the Trust paid much attention to obtaining Foundation Trust status. Patient safety was not as important as financial goals to senior managers</w:t>
      </w:r>
      <w:r w:rsidR="00A32680" w:rsidRPr="002C6EFA">
        <w:rPr>
          <w:lang w:val="en-GB"/>
        </w:rPr>
        <w:t xml:space="preserve"> </w:t>
      </w:r>
      <w:r w:rsidR="00A32680" w:rsidRPr="002C6EFA">
        <w:rPr>
          <w:lang w:val="en-GB"/>
        </w:rPr>
        <w:t>(Singh, Patel and Boster, 2024)</w:t>
      </w:r>
      <w:r w:rsidRPr="002C6EFA">
        <w:rPr>
          <w:lang w:val="en-GB"/>
        </w:rPr>
        <w:t xml:space="preserve">. This implied that safety </w:t>
      </w:r>
      <w:r w:rsidRPr="002C6EFA">
        <w:rPr>
          <w:lang w:val="en-GB"/>
        </w:rPr>
        <w:lastRenderedPageBreak/>
        <w:t>threats not responded to in a good manner. Now comes to Leadership. In this case, clinical leaders not seen in the wards. Accountability was poor, and poor performance not tackled. Employees were not supported (Sun, 2024). On the other hand, it can see that wards were overstaffed and very busy under the Environment. Nurses were overworked and therefore could not deliver safe and timely care. Within Culture, there was a blame culture. There was no promotion of whistleblowing, and the employees were afraid of repercussions because of blowing. This enabled issues to go uncontrolled</w:t>
      </w:r>
      <w:r w:rsidR="0025642D" w:rsidRPr="002C6EFA">
        <w:rPr>
          <w:lang w:val="en-GB"/>
        </w:rPr>
        <w:t xml:space="preserve"> </w:t>
      </w:r>
      <w:r w:rsidR="0025642D" w:rsidRPr="002C6EFA">
        <w:rPr>
          <w:lang w:val="en-GB"/>
        </w:rPr>
        <w:t>(</w:t>
      </w:r>
      <w:proofErr w:type="spellStart"/>
      <w:r w:rsidR="0025642D" w:rsidRPr="002C6EFA">
        <w:rPr>
          <w:lang w:val="en-GB"/>
        </w:rPr>
        <w:t>Mrayyan</w:t>
      </w:r>
      <w:proofErr w:type="spellEnd"/>
      <w:r w:rsidR="0025642D" w:rsidRPr="002C6EFA">
        <w:rPr>
          <w:lang w:val="en-GB"/>
        </w:rPr>
        <w:t xml:space="preserve"> et al., 2023)</w:t>
      </w:r>
      <w:r w:rsidRPr="002C6EFA">
        <w:rPr>
          <w:lang w:val="en-GB"/>
        </w:rPr>
        <w:t>.</w:t>
      </w:r>
    </w:p>
    <w:p w14:paraId="37C8A5A2" w14:textId="77777777" w:rsidR="00542F88" w:rsidRPr="002C6EFA" w:rsidRDefault="00542F88" w:rsidP="00542F88">
      <w:pPr>
        <w:spacing w:after="200" w:line="360" w:lineRule="auto"/>
        <w:jc w:val="both"/>
        <w:rPr>
          <w:lang w:val="en-GB"/>
        </w:rPr>
      </w:pPr>
      <w:r w:rsidRPr="002C6EFA">
        <w:rPr>
          <w:lang w:val="en-GB"/>
        </w:rPr>
        <w:t>As Po-Heng Tsou and Hsin-Yao Hsu (2022) note, the advantage of the Fishbone tool is that it provides an organised and clear image of the causes. Nevertheless, it is descriptive unless it is accompanied by further investigation, which is why such tools as the 5 Whys are also required.</w:t>
      </w:r>
    </w:p>
    <w:p w14:paraId="2786FB83" w14:textId="77777777" w:rsidR="00542F88" w:rsidRPr="002C6EFA" w:rsidRDefault="00542F88" w:rsidP="00542F88">
      <w:pPr>
        <w:pStyle w:val="Heading3"/>
      </w:pPr>
      <w:bookmarkStart w:id="9" w:name="_Toc215678646"/>
      <w:r w:rsidRPr="002C6EFA">
        <w:t>2.3.2 5 Whys</w:t>
      </w:r>
      <w:bookmarkEnd w:id="9"/>
      <w:r w:rsidRPr="002C6EFA">
        <w:t xml:space="preserve"> </w:t>
      </w:r>
    </w:p>
    <w:p w14:paraId="006BAB42" w14:textId="77777777" w:rsidR="00542F88" w:rsidRPr="002C6EFA" w:rsidRDefault="00542F88" w:rsidP="00542F88">
      <w:pPr>
        <w:spacing w:after="200" w:line="360" w:lineRule="auto"/>
        <w:jc w:val="both"/>
        <w:rPr>
          <w:lang w:val="en-GB"/>
        </w:rPr>
      </w:pPr>
      <w:r w:rsidRPr="002C6EFA">
        <w:rPr>
          <w:lang w:val="en-GB"/>
        </w:rPr>
        <w:t>Another noticeable symptom in the Mid Staffordshire case was that the complaints of patients not paid attention to. The 5 Whys can be used to demonstrate why this occurred.</w:t>
      </w:r>
    </w:p>
    <w:p w14:paraId="3D95AE36" w14:textId="77777777" w:rsidR="00542F88" w:rsidRPr="002C6EFA" w:rsidRDefault="00542F88" w:rsidP="00542F88">
      <w:pPr>
        <w:spacing w:after="200" w:line="360" w:lineRule="auto"/>
        <w:jc w:val="both"/>
        <w:rPr>
          <w:lang w:val="en-GB"/>
        </w:rPr>
      </w:pPr>
      <w:r w:rsidRPr="002C6EFA">
        <w:rPr>
          <w:b/>
          <w:bCs/>
          <w:lang w:val="en-GB"/>
        </w:rPr>
        <w:t>Why 1?</w:t>
      </w:r>
      <w:r w:rsidRPr="002C6EFA">
        <w:rPr>
          <w:lang w:val="en-GB"/>
        </w:rPr>
        <w:t xml:space="preserve"> The complaints not taken seriously since the staff felt pressured to work on achieving financial targets. Raising concerns deemed to be retarding things.</w:t>
      </w:r>
    </w:p>
    <w:p w14:paraId="3249200A" w14:textId="77777777" w:rsidR="00542F88" w:rsidRPr="002C6EFA" w:rsidRDefault="00542F88" w:rsidP="00542F88">
      <w:pPr>
        <w:spacing w:after="200" w:line="360" w:lineRule="auto"/>
        <w:jc w:val="both"/>
        <w:rPr>
          <w:lang w:val="en-GB"/>
        </w:rPr>
      </w:pPr>
      <w:r w:rsidRPr="002C6EFA">
        <w:rPr>
          <w:b/>
          <w:bCs/>
          <w:lang w:val="en-GB"/>
        </w:rPr>
        <w:t>Why 2?</w:t>
      </w:r>
      <w:r w:rsidRPr="002C6EFA">
        <w:rPr>
          <w:lang w:val="en-GB"/>
        </w:rPr>
        <w:t xml:space="preserve"> This was a source of pressure to staff since the leadership did not reward performance based on patient safety, but on performance based on finance and Foundation Trust status.</w:t>
      </w:r>
    </w:p>
    <w:p w14:paraId="3A5EFD72" w14:textId="77777777" w:rsidR="00542F88" w:rsidRPr="002C6EFA" w:rsidRDefault="00542F88" w:rsidP="00542F88">
      <w:pPr>
        <w:spacing w:after="200" w:line="360" w:lineRule="auto"/>
        <w:jc w:val="both"/>
        <w:rPr>
          <w:lang w:val="en-GB"/>
        </w:rPr>
      </w:pPr>
      <w:r w:rsidRPr="002C6EFA">
        <w:rPr>
          <w:b/>
          <w:bCs/>
          <w:lang w:val="en-GB"/>
        </w:rPr>
        <w:t>Why 3?</w:t>
      </w:r>
      <w:r w:rsidRPr="002C6EFA">
        <w:rPr>
          <w:lang w:val="en-GB"/>
        </w:rPr>
        <w:t xml:space="preserve"> Leadership caused these decisions, as national policies influenced the priorities of boards with a focus on financial stability and performance indicators.</w:t>
      </w:r>
    </w:p>
    <w:p w14:paraId="692DC1C6" w14:textId="77777777" w:rsidR="00542F88" w:rsidRPr="002C6EFA" w:rsidRDefault="00542F88" w:rsidP="00542F88">
      <w:pPr>
        <w:spacing w:after="200" w:line="360" w:lineRule="auto"/>
        <w:jc w:val="both"/>
        <w:rPr>
          <w:lang w:val="en-GB"/>
        </w:rPr>
      </w:pPr>
      <w:r w:rsidRPr="002C6EFA">
        <w:rPr>
          <w:b/>
          <w:bCs/>
          <w:lang w:val="en-GB"/>
        </w:rPr>
        <w:t>Why 4?</w:t>
      </w:r>
      <w:r w:rsidRPr="002C6EFA">
        <w:rPr>
          <w:lang w:val="en-GB"/>
        </w:rPr>
        <w:t xml:space="preserve"> These national practices adhered to </w:t>
      </w:r>
      <w:proofErr w:type="spellStart"/>
      <w:r w:rsidRPr="002C6EFA">
        <w:rPr>
          <w:lang w:val="en-GB"/>
        </w:rPr>
        <w:t>to</w:t>
      </w:r>
      <w:proofErr w:type="spellEnd"/>
      <w:r w:rsidRPr="002C6EFA">
        <w:rPr>
          <w:lang w:val="en-GB"/>
        </w:rPr>
        <w:t xml:space="preserve"> the latter since the organisation was afraid of being subjected to avoid wrath of regulations, and they wished to seem successful.</w:t>
      </w:r>
    </w:p>
    <w:p w14:paraId="1B6FAE16" w14:textId="77777777" w:rsidR="00542F88" w:rsidRPr="002C6EFA" w:rsidRDefault="00542F88" w:rsidP="00542F88">
      <w:pPr>
        <w:spacing w:after="200" w:line="360" w:lineRule="auto"/>
        <w:jc w:val="both"/>
        <w:rPr>
          <w:lang w:val="en-GB"/>
        </w:rPr>
      </w:pPr>
      <w:r w:rsidRPr="002C6EFA">
        <w:rPr>
          <w:b/>
          <w:bCs/>
          <w:lang w:val="en-GB"/>
        </w:rPr>
        <w:t>Why 5?</w:t>
      </w:r>
      <w:r w:rsidRPr="002C6EFA">
        <w:rPr>
          <w:lang w:val="en-GB"/>
        </w:rPr>
        <w:t xml:space="preserve"> This was because the broader culture did not embrace openness, and previous warnings raised by the staff had ignored or downplayed.</w:t>
      </w:r>
    </w:p>
    <w:p w14:paraId="26763DB6" w14:textId="107C6DBB" w:rsidR="00542F88" w:rsidRPr="002C6EFA" w:rsidRDefault="00542F88" w:rsidP="00542F88">
      <w:pPr>
        <w:spacing w:after="200" w:line="360" w:lineRule="auto"/>
        <w:jc w:val="both"/>
        <w:rPr>
          <w:lang w:val="en-GB"/>
        </w:rPr>
      </w:pPr>
      <w:r w:rsidRPr="002C6EFA">
        <w:rPr>
          <w:lang w:val="en-GB"/>
        </w:rPr>
        <w:t>This discussion demonstrates that unattended complaints did not mean that a single individual had broken down. They were associated with latent conditions as noted in Component 1, including poor culture, weak governance and policy pressures that placed safety on the back burner. It also reveals lapses in leadership and regulation, which enabled these underlying problems to persist without being corrected.</w:t>
      </w:r>
    </w:p>
    <w:p w14:paraId="212A400B" w14:textId="77777777" w:rsidR="00542F88" w:rsidRPr="002C6EFA" w:rsidRDefault="00542F88" w:rsidP="00542F88">
      <w:pPr>
        <w:pStyle w:val="Heading2"/>
        <w:rPr>
          <w:rFonts w:cs="Arial"/>
        </w:rPr>
      </w:pPr>
      <w:bookmarkStart w:id="10" w:name="_Toc215678647"/>
      <w:r w:rsidRPr="002C6EFA">
        <w:rPr>
          <w:rFonts w:cs="Arial"/>
        </w:rPr>
        <w:t>2.4 Application of Donabedian Model to Mid Staffordshire</w:t>
      </w:r>
      <w:bookmarkEnd w:id="10"/>
    </w:p>
    <w:p w14:paraId="6CE7A010" w14:textId="1C438BD7" w:rsidR="00542F88" w:rsidRPr="002C6EFA" w:rsidRDefault="00542F88" w:rsidP="00542F88">
      <w:pPr>
        <w:spacing w:after="200" w:line="360" w:lineRule="auto"/>
        <w:jc w:val="both"/>
        <w:rPr>
          <w:lang w:val="en-GB"/>
        </w:rPr>
      </w:pPr>
      <w:r w:rsidRPr="002C6EFA">
        <w:rPr>
          <w:lang w:val="en-GB"/>
        </w:rPr>
        <w:lastRenderedPageBreak/>
        <w:t xml:space="preserve">The Donabedian Model assists in demonstrating how the failures at Mid Staffordshire interconnected on the structural, process, and outcome levels (Cullen </w:t>
      </w:r>
      <w:r w:rsidR="0096314B" w:rsidRPr="002C6EFA">
        <w:rPr>
          <w:i/>
          <w:lang w:val="en-GB"/>
        </w:rPr>
        <w:t>et al.</w:t>
      </w:r>
      <w:r w:rsidRPr="002C6EFA">
        <w:rPr>
          <w:lang w:val="en-GB"/>
        </w:rPr>
        <w:t>, 2018). The organisational design was poor. The number of staff was very low, and the skill mix of wards was unsatisfactory. Many employees did not get the right training and encouragement. Physical conditions were also toxic, as there were congested wards and persistent demands to achieve goals</w:t>
      </w:r>
      <w:r w:rsidR="007B3F88" w:rsidRPr="002C6EFA">
        <w:rPr>
          <w:lang w:val="en-GB"/>
        </w:rPr>
        <w:t xml:space="preserve"> </w:t>
      </w:r>
      <w:r w:rsidR="007B3F88" w:rsidRPr="002C6EFA">
        <w:rPr>
          <w:lang w:val="en-GB"/>
        </w:rPr>
        <w:t>(NHS, 2017)</w:t>
      </w:r>
      <w:r w:rsidRPr="002C6EFA">
        <w:rPr>
          <w:lang w:val="en-GB"/>
        </w:rPr>
        <w:t>. There were loose governance arrangements, and regulatory supervision failed to intervene early to stop damage (Francis, 2013).</w:t>
      </w:r>
    </w:p>
    <w:p w14:paraId="0CF47D40" w14:textId="726306AB" w:rsidR="00542F88" w:rsidRPr="002C6EFA" w:rsidRDefault="00542F88" w:rsidP="00542F88">
      <w:pPr>
        <w:spacing w:after="200" w:line="360" w:lineRule="auto"/>
        <w:jc w:val="both"/>
        <w:rPr>
          <w:lang w:val="en-GB"/>
        </w:rPr>
      </w:pPr>
      <w:r w:rsidRPr="002C6EFA">
        <w:rPr>
          <w:lang w:val="en-GB"/>
        </w:rPr>
        <w:t xml:space="preserve">The result of these structural issues was failed processes. There were hasty admissions and discharges, missing documentation, and missing significant observations (Cam </w:t>
      </w:r>
      <w:r w:rsidR="0096314B" w:rsidRPr="002C6EFA">
        <w:rPr>
          <w:i/>
          <w:lang w:val="en-GB"/>
        </w:rPr>
        <w:t>et al.</w:t>
      </w:r>
      <w:r w:rsidRPr="002C6EFA">
        <w:rPr>
          <w:lang w:val="en-GB"/>
        </w:rPr>
        <w:t>, 2023). There was slow, dismissive complaint handling. Communication between teams was low, and clinical decision-making was inconsistent. Employees lacked well-defined channels of escalation in cases of worsening of patients.</w:t>
      </w:r>
    </w:p>
    <w:p w14:paraId="1A75C869" w14:textId="179C48A9" w:rsidR="00542F88" w:rsidRPr="002C6EFA" w:rsidRDefault="00542F88" w:rsidP="00542F88">
      <w:pPr>
        <w:spacing w:after="200" w:line="360" w:lineRule="auto"/>
        <w:jc w:val="both"/>
        <w:rPr>
          <w:lang w:val="en-GB"/>
        </w:rPr>
      </w:pPr>
      <w:r w:rsidRPr="002C6EFA">
        <w:rPr>
          <w:lang w:val="en-GB"/>
        </w:rPr>
        <w:t xml:space="preserve">These process failures generated grave consequences. The opinion of </w:t>
      </w:r>
      <w:proofErr w:type="spellStart"/>
      <w:r w:rsidRPr="002C6EFA">
        <w:rPr>
          <w:lang w:val="en-GB"/>
        </w:rPr>
        <w:t>Panagioti</w:t>
      </w:r>
      <w:proofErr w:type="spellEnd"/>
      <w:r w:rsidRPr="002C6EFA">
        <w:rPr>
          <w:lang w:val="en-GB"/>
        </w:rPr>
        <w:t xml:space="preserve"> </w:t>
      </w:r>
      <w:r w:rsidR="0096314B" w:rsidRPr="002C6EFA">
        <w:rPr>
          <w:i/>
          <w:lang w:val="en-GB"/>
        </w:rPr>
        <w:t>et al.</w:t>
      </w:r>
      <w:r w:rsidRPr="002C6EFA">
        <w:rPr>
          <w:lang w:val="en-GB"/>
        </w:rPr>
        <w:t xml:space="preserve"> (2019) reveals that the count of patients dying was excessive, most of them suffered unnecessary damage, and satisfaction rates were abysmal. There were more complaints and employee turnover, and burnout was more severe. These consequences well reported in the social investigations and portrayed the underlying problems found in Component 1.</w:t>
      </w:r>
    </w:p>
    <w:p w14:paraId="3396148D" w14:textId="77777777" w:rsidR="00542F88" w:rsidRPr="002C6EFA" w:rsidRDefault="00542F88" w:rsidP="00542F88">
      <w:pPr>
        <w:spacing w:after="200" w:line="360" w:lineRule="auto"/>
        <w:jc w:val="both"/>
        <w:rPr>
          <w:lang w:val="en-GB"/>
        </w:rPr>
      </w:pPr>
      <w:r w:rsidRPr="002C6EFA">
        <w:rPr>
          <w:lang w:val="en-GB"/>
        </w:rPr>
        <w:t>To make improvements effective, the organisation should improve structures by ensuring safe staffing, good governance, and improved training. It will need to redesign processes, including complaints, escalations and handovers. It should also monitor distinct results, such as falls, pressure ulcers, serious incidents, and patient experience. This gives a direct connection to subsequent PDSA and Six Sigma interventions that address every portion of this structure-process-outcome chain.</w:t>
      </w:r>
    </w:p>
    <w:p w14:paraId="1F9F25BD" w14:textId="77777777" w:rsidR="00542F88" w:rsidRPr="002C6EFA" w:rsidRDefault="00542F88" w:rsidP="00542F88">
      <w:pPr>
        <w:pStyle w:val="Heading2"/>
        <w:rPr>
          <w:rFonts w:cs="Arial"/>
        </w:rPr>
      </w:pPr>
      <w:bookmarkStart w:id="11" w:name="_Toc215678648"/>
      <w:r w:rsidRPr="002C6EFA">
        <w:rPr>
          <w:rFonts w:cs="Arial"/>
        </w:rPr>
        <w:t>2.5 Strategic analysis</w:t>
      </w:r>
      <w:bookmarkEnd w:id="11"/>
    </w:p>
    <w:tbl>
      <w:tblPr>
        <w:tblStyle w:val="GridTable2"/>
        <w:tblW w:w="9240" w:type="dxa"/>
        <w:tblLayout w:type="fixed"/>
        <w:tblLook w:val="0600" w:firstRow="0" w:lastRow="0" w:firstColumn="0" w:lastColumn="0" w:noHBand="1" w:noVBand="1"/>
      </w:tblPr>
      <w:tblGrid>
        <w:gridCol w:w="4530"/>
        <w:gridCol w:w="4710"/>
      </w:tblGrid>
      <w:tr w:rsidR="00542F88" w:rsidRPr="002C6EFA" w14:paraId="3CFC1261" w14:textId="77777777" w:rsidTr="004E1E1D">
        <w:trPr>
          <w:trHeight w:val="515"/>
        </w:trPr>
        <w:tc>
          <w:tcPr>
            <w:tcW w:w="4530" w:type="dxa"/>
            <w:shd w:val="clear" w:color="auto" w:fill="92D050"/>
          </w:tcPr>
          <w:p w14:paraId="37778633" w14:textId="77777777" w:rsidR="00542F88" w:rsidRPr="002C6EFA" w:rsidRDefault="00542F88" w:rsidP="00CC5C11">
            <w:pPr>
              <w:spacing w:before="240" w:after="240" w:line="360" w:lineRule="auto"/>
              <w:jc w:val="center"/>
              <w:rPr>
                <w:lang w:val="en-GB"/>
              </w:rPr>
            </w:pPr>
            <w:r w:rsidRPr="002C6EFA">
              <w:rPr>
                <w:b/>
                <w:bCs/>
                <w:lang w:val="en-GB"/>
              </w:rPr>
              <w:t>Strengths</w:t>
            </w:r>
          </w:p>
        </w:tc>
        <w:tc>
          <w:tcPr>
            <w:tcW w:w="4710" w:type="dxa"/>
            <w:shd w:val="clear" w:color="auto" w:fill="943634" w:themeFill="accent2" w:themeFillShade="BF"/>
          </w:tcPr>
          <w:p w14:paraId="7F641163" w14:textId="77777777" w:rsidR="00542F88" w:rsidRPr="002C6EFA" w:rsidRDefault="00542F88" w:rsidP="00CC5C11">
            <w:pPr>
              <w:spacing w:before="240" w:after="240" w:line="360" w:lineRule="auto"/>
              <w:jc w:val="center"/>
              <w:rPr>
                <w:lang w:val="en-GB"/>
              </w:rPr>
            </w:pPr>
            <w:r w:rsidRPr="002C6EFA">
              <w:rPr>
                <w:b/>
                <w:bCs/>
                <w:lang w:val="en-GB"/>
              </w:rPr>
              <w:t>Weaknesses</w:t>
            </w:r>
          </w:p>
        </w:tc>
      </w:tr>
      <w:tr w:rsidR="00542F88" w:rsidRPr="002C6EFA" w14:paraId="03D80594" w14:textId="77777777" w:rsidTr="004E1E1D">
        <w:trPr>
          <w:trHeight w:val="800"/>
        </w:trPr>
        <w:tc>
          <w:tcPr>
            <w:tcW w:w="4530" w:type="dxa"/>
            <w:vMerge w:val="restart"/>
            <w:shd w:val="clear" w:color="auto" w:fill="F2F2F2" w:themeFill="background1" w:themeFillShade="F2"/>
          </w:tcPr>
          <w:p w14:paraId="2D59E031" w14:textId="77777777" w:rsidR="00542F88" w:rsidRPr="002C6EFA" w:rsidRDefault="00542F88" w:rsidP="00542F88">
            <w:pPr>
              <w:numPr>
                <w:ilvl w:val="0"/>
                <w:numId w:val="4"/>
              </w:numPr>
              <w:spacing w:line="360" w:lineRule="auto"/>
              <w:jc w:val="both"/>
              <w:rPr>
                <w:lang w:val="en-GB"/>
              </w:rPr>
            </w:pPr>
            <w:r w:rsidRPr="002C6EFA">
              <w:rPr>
                <w:lang w:val="en-GB"/>
              </w:rPr>
              <w:t>Clear NHS quality and safety standards (NHS England, 2019).</w:t>
            </w:r>
          </w:p>
          <w:p w14:paraId="6BFA802E" w14:textId="63826C29" w:rsidR="00542F88" w:rsidRPr="002C6EFA" w:rsidRDefault="00542F88" w:rsidP="00542F88">
            <w:pPr>
              <w:numPr>
                <w:ilvl w:val="0"/>
                <w:numId w:val="4"/>
              </w:numPr>
              <w:spacing w:line="360" w:lineRule="auto"/>
              <w:jc w:val="both"/>
              <w:rPr>
                <w:lang w:val="en-GB"/>
              </w:rPr>
            </w:pPr>
            <w:r w:rsidRPr="002C6EFA">
              <w:rPr>
                <w:lang w:val="en-GB"/>
              </w:rPr>
              <w:lastRenderedPageBreak/>
              <w:t>National Patient Safety Strategy and duty of candour</w:t>
            </w:r>
            <w:r w:rsidR="00F147E0" w:rsidRPr="002C6EFA">
              <w:rPr>
                <w:lang w:val="en-GB"/>
              </w:rPr>
              <w:t xml:space="preserve"> </w:t>
            </w:r>
            <w:r w:rsidR="00F147E0" w:rsidRPr="002C6EFA">
              <w:rPr>
                <w:lang w:val="en-GB"/>
              </w:rPr>
              <w:t>(NHS England, 2019)</w:t>
            </w:r>
            <w:r w:rsidRPr="002C6EFA">
              <w:rPr>
                <w:lang w:val="en-GB"/>
              </w:rPr>
              <w:t>.</w:t>
            </w:r>
          </w:p>
          <w:p w14:paraId="04145063" w14:textId="77777777" w:rsidR="00542F88" w:rsidRPr="002C6EFA" w:rsidRDefault="00542F88" w:rsidP="00542F88">
            <w:pPr>
              <w:numPr>
                <w:ilvl w:val="0"/>
                <w:numId w:val="4"/>
              </w:numPr>
              <w:spacing w:line="360" w:lineRule="auto"/>
              <w:jc w:val="both"/>
              <w:rPr>
                <w:lang w:val="en-GB"/>
              </w:rPr>
            </w:pPr>
            <w:r w:rsidRPr="002C6EFA">
              <w:rPr>
                <w:lang w:val="en-GB"/>
              </w:rPr>
              <w:t>Experienced and committed frontline staff.</w:t>
            </w:r>
          </w:p>
          <w:p w14:paraId="1A5C9A31" w14:textId="77777777" w:rsidR="00542F88" w:rsidRPr="002C6EFA" w:rsidRDefault="00542F88" w:rsidP="00542F88">
            <w:pPr>
              <w:numPr>
                <w:ilvl w:val="0"/>
                <w:numId w:val="4"/>
              </w:numPr>
              <w:spacing w:line="360" w:lineRule="auto"/>
              <w:jc w:val="both"/>
              <w:rPr>
                <w:lang w:val="en-GB"/>
              </w:rPr>
            </w:pPr>
            <w:r w:rsidRPr="002C6EFA">
              <w:rPr>
                <w:lang w:val="en-GB"/>
              </w:rPr>
              <w:t>Existing incident reporting systems.</w:t>
            </w:r>
          </w:p>
        </w:tc>
        <w:tc>
          <w:tcPr>
            <w:tcW w:w="4710" w:type="dxa"/>
            <w:vMerge w:val="restart"/>
            <w:shd w:val="clear" w:color="auto" w:fill="F2F2F2" w:themeFill="background1" w:themeFillShade="F2"/>
          </w:tcPr>
          <w:p w14:paraId="6D94146D" w14:textId="77777777" w:rsidR="00542F88" w:rsidRPr="002C6EFA" w:rsidRDefault="00542F88" w:rsidP="00542F88">
            <w:pPr>
              <w:numPr>
                <w:ilvl w:val="0"/>
                <w:numId w:val="4"/>
              </w:numPr>
              <w:spacing w:line="360" w:lineRule="auto"/>
              <w:jc w:val="both"/>
              <w:rPr>
                <w:lang w:val="en-GB"/>
              </w:rPr>
            </w:pPr>
            <w:r w:rsidRPr="002C6EFA">
              <w:rPr>
                <w:lang w:val="en-GB"/>
              </w:rPr>
              <w:lastRenderedPageBreak/>
              <w:t>Deeply rooted poor safety culture.</w:t>
            </w:r>
          </w:p>
          <w:p w14:paraId="64E09680" w14:textId="77777777" w:rsidR="00542F88" w:rsidRPr="002C6EFA" w:rsidRDefault="00542F88" w:rsidP="00542F88">
            <w:pPr>
              <w:numPr>
                <w:ilvl w:val="0"/>
                <w:numId w:val="4"/>
              </w:numPr>
              <w:spacing w:line="360" w:lineRule="auto"/>
              <w:jc w:val="both"/>
              <w:rPr>
                <w:lang w:val="en-GB"/>
              </w:rPr>
            </w:pPr>
            <w:r w:rsidRPr="002C6EFA">
              <w:rPr>
                <w:lang w:val="en-GB"/>
              </w:rPr>
              <w:t>Chronic understaffing and weak skill mix.</w:t>
            </w:r>
          </w:p>
          <w:p w14:paraId="16FAA4EA" w14:textId="40F284D9" w:rsidR="00542F88" w:rsidRPr="002C6EFA" w:rsidRDefault="00542F88" w:rsidP="00542F88">
            <w:pPr>
              <w:numPr>
                <w:ilvl w:val="0"/>
                <w:numId w:val="4"/>
              </w:numPr>
              <w:spacing w:line="360" w:lineRule="auto"/>
              <w:jc w:val="both"/>
              <w:rPr>
                <w:lang w:val="en-GB"/>
              </w:rPr>
            </w:pPr>
            <w:r w:rsidRPr="002C6EFA">
              <w:rPr>
                <w:lang w:val="en-GB"/>
              </w:rPr>
              <w:lastRenderedPageBreak/>
              <w:t xml:space="preserve">Poor governance, weak board challenge (Eufemia </w:t>
            </w:r>
            <w:r w:rsidR="0096314B" w:rsidRPr="002C6EFA">
              <w:rPr>
                <w:i/>
                <w:lang w:val="en-GB"/>
              </w:rPr>
              <w:t>et al.</w:t>
            </w:r>
            <w:r w:rsidRPr="002C6EFA">
              <w:rPr>
                <w:lang w:val="en-GB"/>
              </w:rPr>
              <w:t>, 2020).</w:t>
            </w:r>
          </w:p>
          <w:p w14:paraId="28955484" w14:textId="77777777" w:rsidR="00542F88" w:rsidRPr="002C6EFA" w:rsidRDefault="00542F88" w:rsidP="00542F88">
            <w:pPr>
              <w:numPr>
                <w:ilvl w:val="0"/>
                <w:numId w:val="4"/>
              </w:numPr>
              <w:spacing w:line="360" w:lineRule="auto"/>
              <w:jc w:val="both"/>
              <w:rPr>
                <w:lang w:val="en-GB"/>
              </w:rPr>
            </w:pPr>
            <w:r w:rsidRPr="002C6EFA">
              <w:rPr>
                <w:lang w:val="en-GB"/>
              </w:rPr>
              <w:t>Limited use of data and damaged reputation.</w:t>
            </w:r>
          </w:p>
        </w:tc>
      </w:tr>
      <w:tr w:rsidR="00542F88" w:rsidRPr="002C6EFA" w14:paraId="670ED960" w14:textId="77777777" w:rsidTr="004E1E1D">
        <w:trPr>
          <w:trHeight w:val="800"/>
        </w:trPr>
        <w:tc>
          <w:tcPr>
            <w:tcW w:w="4530" w:type="dxa"/>
            <w:vMerge/>
            <w:shd w:val="clear" w:color="auto" w:fill="F2F2F2" w:themeFill="background1" w:themeFillShade="F2"/>
          </w:tcPr>
          <w:p w14:paraId="115AA608" w14:textId="77777777" w:rsidR="00542F88" w:rsidRPr="002C6EFA" w:rsidRDefault="00542F88" w:rsidP="004E1E1D">
            <w:pPr>
              <w:spacing w:line="360" w:lineRule="auto"/>
              <w:jc w:val="both"/>
              <w:rPr>
                <w:lang w:val="en-GB"/>
              </w:rPr>
            </w:pPr>
          </w:p>
        </w:tc>
        <w:tc>
          <w:tcPr>
            <w:tcW w:w="4710" w:type="dxa"/>
            <w:vMerge/>
            <w:shd w:val="clear" w:color="auto" w:fill="F2F2F2" w:themeFill="background1" w:themeFillShade="F2"/>
          </w:tcPr>
          <w:p w14:paraId="5DA03B46" w14:textId="77777777" w:rsidR="00542F88" w:rsidRPr="002C6EFA" w:rsidRDefault="00542F88" w:rsidP="004E1E1D">
            <w:pPr>
              <w:spacing w:line="360" w:lineRule="auto"/>
              <w:jc w:val="both"/>
              <w:rPr>
                <w:lang w:val="en-GB"/>
              </w:rPr>
            </w:pPr>
          </w:p>
        </w:tc>
      </w:tr>
      <w:tr w:rsidR="00542F88" w:rsidRPr="002C6EFA" w14:paraId="543FE6A7" w14:textId="77777777" w:rsidTr="004E1E1D">
        <w:trPr>
          <w:trHeight w:val="800"/>
        </w:trPr>
        <w:tc>
          <w:tcPr>
            <w:tcW w:w="4530" w:type="dxa"/>
            <w:vMerge/>
            <w:shd w:val="clear" w:color="auto" w:fill="F2F2F2" w:themeFill="background1" w:themeFillShade="F2"/>
          </w:tcPr>
          <w:p w14:paraId="3FB615C3" w14:textId="77777777" w:rsidR="00542F88" w:rsidRPr="002C6EFA" w:rsidRDefault="00542F88" w:rsidP="004E1E1D">
            <w:pPr>
              <w:spacing w:line="360" w:lineRule="auto"/>
              <w:jc w:val="both"/>
              <w:rPr>
                <w:lang w:val="en-GB"/>
              </w:rPr>
            </w:pPr>
          </w:p>
        </w:tc>
        <w:tc>
          <w:tcPr>
            <w:tcW w:w="4710" w:type="dxa"/>
            <w:vMerge/>
            <w:shd w:val="clear" w:color="auto" w:fill="F2F2F2" w:themeFill="background1" w:themeFillShade="F2"/>
          </w:tcPr>
          <w:p w14:paraId="476DA42B" w14:textId="77777777" w:rsidR="00542F88" w:rsidRPr="002C6EFA" w:rsidRDefault="00542F88" w:rsidP="004E1E1D">
            <w:pPr>
              <w:spacing w:line="360" w:lineRule="auto"/>
              <w:jc w:val="both"/>
              <w:rPr>
                <w:lang w:val="en-GB"/>
              </w:rPr>
            </w:pPr>
          </w:p>
        </w:tc>
      </w:tr>
      <w:tr w:rsidR="00542F88" w:rsidRPr="002C6EFA" w14:paraId="54E0DC5F" w14:textId="77777777" w:rsidTr="004E1E1D">
        <w:trPr>
          <w:trHeight w:val="379"/>
        </w:trPr>
        <w:tc>
          <w:tcPr>
            <w:tcW w:w="4530" w:type="dxa"/>
            <w:vMerge/>
            <w:shd w:val="clear" w:color="auto" w:fill="F2F2F2" w:themeFill="background1" w:themeFillShade="F2"/>
          </w:tcPr>
          <w:p w14:paraId="32807720" w14:textId="77777777" w:rsidR="00542F88" w:rsidRPr="002C6EFA" w:rsidRDefault="00542F88" w:rsidP="004E1E1D">
            <w:pPr>
              <w:spacing w:line="360" w:lineRule="auto"/>
              <w:jc w:val="both"/>
              <w:rPr>
                <w:lang w:val="en-GB"/>
              </w:rPr>
            </w:pPr>
          </w:p>
        </w:tc>
        <w:tc>
          <w:tcPr>
            <w:tcW w:w="4710" w:type="dxa"/>
            <w:vMerge/>
            <w:shd w:val="clear" w:color="auto" w:fill="F2F2F2" w:themeFill="background1" w:themeFillShade="F2"/>
          </w:tcPr>
          <w:p w14:paraId="0566D408" w14:textId="77777777" w:rsidR="00542F88" w:rsidRPr="002C6EFA" w:rsidRDefault="00542F88" w:rsidP="004E1E1D">
            <w:pPr>
              <w:spacing w:line="360" w:lineRule="auto"/>
              <w:jc w:val="both"/>
              <w:rPr>
                <w:lang w:val="en-GB"/>
              </w:rPr>
            </w:pPr>
          </w:p>
        </w:tc>
      </w:tr>
      <w:tr w:rsidR="00542F88" w:rsidRPr="002C6EFA" w14:paraId="13B5C99A" w14:textId="77777777" w:rsidTr="004E1E1D">
        <w:trPr>
          <w:trHeight w:val="75"/>
        </w:trPr>
        <w:tc>
          <w:tcPr>
            <w:tcW w:w="4530" w:type="dxa"/>
            <w:shd w:val="clear" w:color="auto" w:fill="F79646" w:themeFill="accent6"/>
          </w:tcPr>
          <w:p w14:paraId="5172FB75" w14:textId="77777777" w:rsidR="00542F88" w:rsidRPr="002C6EFA" w:rsidRDefault="00542F88" w:rsidP="00CC5C11">
            <w:pPr>
              <w:spacing w:before="240" w:after="240" w:line="360" w:lineRule="auto"/>
              <w:jc w:val="center"/>
              <w:rPr>
                <w:lang w:val="en-GB"/>
              </w:rPr>
            </w:pPr>
            <w:r w:rsidRPr="002C6EFA">
              <w:rPr>
                <w:b/>
                <w:bCs/>
                <w:lang w:val="en-GB"/>
              </w:rPr>
              <w:t>Opportunities</w:t>
            </w:r>
          </w:p>
        </w:tc>
        <w:tc>
          <w:tcPr>
            <w:tcW w:w="4710" w:type="dxa"/>
            <w:shd w:val="clear" w:color="auto" w:fill="FF0000"/>
          </w:tcPr>
          <w:p w14:paraId="43259444" w14:textId="77777777" w:rsidR="00542F88" w:rsidRPr="002C6EFA" w:rsidRDefault="00542F88" w:rsidP="00CC5C11">
            <w:pPr>
              <w:spacing w:before="240" w:after="240" w:line="360" w:lineRule="auto"/>
              <w:jc w:val="center"/>
              <w:rPr>
                <w:lang w:val="en-GB"/>
              </w:rPr>
            </w:pPr>
            <w:r w:rsidRPr="002C6EFA">
              <w:rPr>
                <w:b/>
                <w:bCs/>
                <w:lang w:val="en-GB"/>
              </w:rPr>
              <w:t>Threats</w:t>
            </w:r>
          </w:p>
        </w:tc>
      </w:tr>
      <w:tr w:rsidR="00542F88" w:rsidRPr="002C6EFA" w14:paraId="4DE184FB" w14:textId="77777777" w:rsidTr="004E1E1D">
        <w:trPr>
          <w:trHeight w:val="800"/>
        </w:trPr>
        <w:tc>
          <w:tcPr>
            <w:tcW w:w="4530" w:type="dxa"/>
            <w:vMerge w:val="restart"/>
            <w:shd w:val="clear" w:color="auto" w:fill="F2F2F2" w:themeFill="background1" w:themeFillShade="F2"/>
          </w:tcPr>
          <w:p w14:paraId="4003C4B4" w14:textId="77777777" w:rsidR="00542F88" w:rsidRPr="002C6EFA" w:rsidRDefault="00542F88" w:rsidP="00542F88">
            <w:pPr>
              <w:numPr>
                <w:ilvl w:val="0"/>
                <w:numId w:val="5"/>
              </w:numPr>
              <w:spacing w:line="360" w:lineRule="auto"/>
              <w:jc w:val="both"/>
              <w:rPr>
                <w:lang w:val="en-GB"/>
              </w:rPr>
            </w:pPr>
            <w:r w:rsidRPr="002C6EFA">
              <w:rPr>
                <w:lang w:val="en-GB"/>
              </w:rPr>
              <w:t>Strong national drive for patient safety and learning culture.</w:t>
            </w:r>
          </w:p>
          <w:p w14:paraId="6B9E0A39" w14:textId="77777777" w:rsidR="00542F88" w:rsidRPr="002C6EFA" w:rsidRDefault="00542F88" w:rsidP="00542F88">
            <w:pPr>
              <w:numPr>
                <w:ilvl w:val="0"/>
                <w:numId w:val="5"/>
              </w:numPr>
              <w:spacing w:line="360" w:lineRule="auto"/>
              <w:jc w:val="both"/>
              <w:rPr>
                <w:lang w:val="en-GB"/>
              </w:rPr>
            </w:pPr>
            <w:r w:rsidRPr="002C6EFA">
              <w:rPr>
                <w:lang w:val="en-GB"/>
              </w:rPr>
              <w:t>Better use of digital data and dashboards.</w:t>
            </w:r>
          </w:p>
          <w:p w14:paraId="28FB2EEF" w14:textId="77777777" w:rsidR="00542F88" w:rsidRPr="002C6EFA" w:rsidRDefault="00542F88" w:rsidP="00542F88">
            <w:pPr>
              <w:numPr>
                <w:ilvl w:val="0"/>
                <w:numId w:val="5"/>
              </w:numPr>
              <w:spacing w:line="360" w:lineRule="auto"/>
              <w:jc w:val="both"/>
              <w:rPr>
                <w:lang w:val="en-GB"/>
              </w:rPr>
            </w:pPr>
            <w:r w:rsidRPr="002C6EFA">
              <w:rPr>
                <w:lang w:val="en-GB"/>
              </w:rPr>
              <w:t>Integrated Care Systems to support joined-up work.</w:t>
            </w:r>
          </w:p>
          <w:p w14:paraId="474454F9" w14:textId="77777777" w:rsidR="00542F88" w:rsidRPr="002C6EFA" w:rsidRDefault="00542F88" w:rsidP="00542F88">
            <w:pPr>
              <w:numPr>
                <w:ilvl w:val="0"/>
                <w:numId w:val="5"/>
              </w:numPr>
              <w:spacing w:line="360" w:lineRule="auto"/>
              <w:jc w:val="both"/>
              <w:rPr>
                <w:lang w:val="en-GB"/>
              </w:rPr>
            </w:pPr>
            <w:r w:rsidRPr="002C6EFA">
              <w:rPr>
                <w:lang w:val="en-GB"/>
              </w:rPr>
              <w:t>Staff engagement in co-designing improvements.</w:t>
            </w:r>
          </w:p>
        </w:tc>
        <w:tc>
          <w:tcPr>
            <w:tcW w:w="4710" w:type="dxa"/>
            <w:vMerge w:val="restart"/>
            <w:shd w:val="clear" w:color="auto" w:fill="F2F2F2" w:themeFill="background1" w:themeFillShade="F2"/>
          </w:tcPr>
          <w:p w14:paraId="237CBF9B" w14:textId="77777777" w:rsidR="00542F88" w:rsidRPr="002C6EFA" w:rsidRDefault="00542F88" w:rsidP="00542F88">
            <w:pPr>
              <w:numPr>
                <w:ilvl w:val="0"/>
                <w:numId w:val="5"/>
              </w:numPr>
              <w:spacing w:line="360" w:lineRule="auto"/>
              <w:jc w:val="both"/>
              <w:rPr>
                <w:lang w:val="en-GB"/>
              </w:rPr>
            </w:pPr>
            <w:r w:rsidRPr="002C6EFA">
              <w:rPr>
                <w:lang w:val="en-GB"/>
              </w:rPr>
              <w:t>Ongoing financial pressure and cost controls.</w:t>
            </w:r>
          </w:p>
          <w:p w14:paraId="03CF6D69" w14:textId="77777777" w:rsidR="00542F88" w:rsidRPr="002C6EFA" w:rsidRDefault="00542F88" w:rsidP="00542F88">
            <w:pPr>
              <w:numPr>
                <w:ilvl w:val="0"/>
                <w:numId w:val="5"/>
              </w:numPr>
              <w:spacing w:line="360" w:lineRule="auto"/>
              <w:jc w:val="both"/>
              <w:rPr>
                <w:lang w:val="en-GB"/>
              </w:rPr>
            </w:pPr>
            <w:r w:rsidRPr="002C6EFA">
              <w:rPr>
                <w:lang w:val="en-GB"/>
              </w:rPr>
              <w:t>National workforce shortages and high turnover.</w:t>
            </w:r>
          </w:p>
          <w:p w14:paraId="47A50F4A" w14:textId="77777777" w:rsidR="00542F88" w:rsidRPr="002C6EFA" w:rsidRDefault="00542F88" w:rsidP="00542F88">
            <w:pPr>
              <w:numPr>
                <w:ilvl w:val="0"/>
                <w:numId w:val="5"/>
              </w:numPr>
              <w:spacing w:line="360" w:lineRule="auto"/>
              <w:jc w:val="both"/>
              <w:rPr>
                <w:lang w:val="en-GB"/>
              </w:rPr>
            </w:pPr>
            <w:r w:rsidRPr="002C6EFA">
              <w:rPr>
                <w:lang w:val="en-GB"/>
              </w:rPr>
              <w:t>Intense regulatory and media scrutiny.</w:t>
            </w:r>
          </w:p>
          <w:p w14:paraId="224861ED" w14:textId="77777777" w:rsidR="00542F88" w:rsidRPr="002C6EFA" w:rsidRDefault="00542F88" w:rsidP="00542F88">
            <w:pPr>
              <w:numPr>
                <w:ilvl w:val="0"/>
                <w:numId w:val="5"/>
              </w:numPr>
              <w:spacing w:line="360" w:lineRule="auto"/>
              <w:jc w:val="both"/>
              <w:rPr>
                <w:lang w:val="en-GB"/>
              </w:rPr>
            </w:pPr>
            <w:r w:rsidRPr="002C6EFA">
              <w:rPr>
                <w:lang w:val="en-GB"/>
              </w:rPr>
              <w:t>Risk of staff burnout and resistance to change.</w:t>
            </w:r>
          </w:p>
        </w:tc>
      </w:tr>
      <w:tr w:rsidR="00542F88" w:rsidRPr="002C6EFA" w14:paraId="4A18F6E0" w14:textId="77777777" w:rsidTr="004E1E1D">
        <w:trPr>
          <w:trHeight w:val="800"/>
        </w:trPr>
        <w:tc>
          <w:tcPr>
            <w:tcW w:w="4530" w:type="dxa"/>
            <w:vMerge/>
            <w:shd w:val="clear" w:color="auto" w:fill="F2F2F2" w:themeFill="background1" w:themeFillShade="F2"/>
          </w:tcPr>
          <w:p w14:paraId="5FB780C0" w14:textId="77777777" w:rsidR="00542F88" w:rsidRPr="002C6EFA" w:rsidRDefault="00542F88" w:rsidP="004E1E1D">
            <w:pPr>
              <w:spacing w:line="360" w:lineRule="auto"/>
              <w:jc w:val="both"/>
              <w:rPr>
                <w:lang w:val="en-GB"/>
              </w:rPr>
            </w:pPr>
          </w:p>
        </w:tc>
        <w:tc>
          <w:tcPr>
            <w:tcW w:w="4710" w:type="dxa"/>
            <w:vMerge/>
            <w:shd w:val="clear" w:color="auto" w:fill="F2F2F2" w:themeFill="background1" w:themeFillShade="F2"/>
          </w:tcPr>
          <w:p w14:paraId="1DD33159" w14:textId="77777777" w:rsidR="00542F88" w:rsidRPr="002C6EFA" w:rsidRDefault="00542F88" w:rsidP="004E1E1D">
            <w:pPr>
              <w:spacing w:line="360" w:lineRule="auto"/>
              <w:jc w:val="both"/>
              <w:rPr>
                <w:lang w:val="en-GB"/>
              </w:rPr>
            </w:pPr>
          </w:p>
        </w:tc>
      </w:tr>
      <w:tr w:rsidR="00542F88" w:rsidRPr="002C6EFA" w14:paraId="74AE3C6D" w14:textId="77777777" w:rsidTr="004E1E1D">
        <w:trPr>
          <w:trHeight w:val="800"/>
        </w:trPr>
        <w:tc>
          <w:tcPr>
            <w:tcW w:w="4530" w:type="dxa"/>
            <w:vMerge/>
            <w:shd w:val="clear" w:color="auto" w:fill="F2F2F2" w:themeFill="background1" w:themeFillShade="F2"/>
          </w:tcPr>
          <w:p w14:paraId="3AC3DD85" w14:textId="77777777" w:rsidR="00542F88" w:rsidRPr="002C6EFA" w:rsidRDefault="00542F88" w:rsidP="004E1E1D">
            <w:pPr>
              <w:spacing w:line="360" w:lineRule="auto"/>
              <w:jc w:val="both"/>
              <w:rPr>
                <w:lang w:val="en-GB"/>
              </w:rPr>
            </w:pPr>
          </w:p>
        </w:tc>
        <w:tc>
          <w:tcPr>
            <w:tcW w:w="4710" w:type="dxa"/>
            <w:vMerge/>
            <w:shd w:val="clear" w:color="auto" w:fill="F2F2F2" w:themeFill="background1" w:themeFillShade="F2"/>
          </w:tcPr>
          <w:p w14:paraId="0716119C" w14:textId="77777777" w:rsidR="00542F88" w:rsidRPr="002C6EFA" w:rsidRDefault="00542F88" w:rsidP="004E1E1D">
            <w:pPr>
              <w:spacing w:line="360" w:lineRule="auto"/>
              <w:jc w:val="both"/>
              <w:rPr>
                <w:lang w:val="en-GB"/>
              </w:rPr>
            </w:pPr>
          </w:p>
        </w:tc>
      </w:tr>
      <w:tr w:rsidR="00542F88" w:rsidRPr="002C6EFA" w14:paraId="6B075470" w14:textId="77777777" w:rsidTr="004E1E1D">
        <w:trPr>
          <w:trHeight w:val="579"/>
        </w:trPr>
        <w:tc>
          <w:tcPr>
            <w:tcW w:w="4530" w:type="dxa"/>
            <w:vMerge/>
            <w:shd w:val="clear" w:color="auto" w:fill="F2F2F2" w:themeFill="background1" w:themeFillShade="F2"/>
          </w:tcPr>
          <w:p w14:paraId="5B51089F" w14:textId="77777777" w:rsidR="00542F88" w:rsidRPr="002C6EFA" w:rsidRDefault="00542F88" w:rsidP="004E1E1D">
            <w:pPr>
              <w:spacing w:line="360" w:lineRule="auto"/>
              <w:jc w:val="both"/>
              <w:rPr>
                <w:lang w:val="en-GB"/>
              </w:rPr>
            </w:pPr>
          </w:p>
        </w:tc>
        <w:tc>
          <w:tcPr>
            <w:tcW w:w="4710" w:type="dxa"/>
            <w:vMerge/>
            <w:shd w:val="clear" w:color="auto" w:fill="F2F2F2" w:themeFill="background1" w:themeFillShade="F2"/>
          </w:tcPr>
          <w:p w14:paraId="4EC4B2AC" w14:textId="77777777" w:rsidR="00542F88" w:rsidRPr="002C6EFA" w:rsidRDefault="00542F88" w:rsidP="004E1E1D">
            <w:pPr>
              <w:spacing w:line="360" w:lineRule="auto"/>
              <w:jc w:val="both"/>
              <w:rPr>
                <w:lang w:val="en-GB"/>
              </w:rPr>
            </w:pPr>
          </w:p>
        </w:tc>
      </w:tr>
    </w:tbl>
    <w:p w14:paraId="133F325E" w14:textId="77777777" w:rsidR="00542F88" w:rsidRPr="002C6EFA" w:rsidRDefault="00542F88" w:rsidP="00542F88">
      <w:pPr>
        <w:spacing w:after="200" w:line="360" w:lineRule="auto"/>
        <w:jc w:val="center"/>
        <w:rPr>
          <w:b/>
          <w:bCs/>
          <w:lang w:val="en-GB"/>
        </w:rPr>
      </w:pPr>
      <w:r w:rsidRPr="002C6EFA">
        <w:rPr>
          <w:b/>
          <w:bCs/>
          <w:lang w:val="en-GB"/>
        </w:rPr>
        <w:t>Table 1: SWOT Analysis</w:t>
      </w:r>
    </w:p>
    <w:p w14:paraId="7A7C065A" w14:textId="77777777" w:rsidR="00542F88" w:rsidRPr="002C6EFA" w:rsidRDefault="00542F88" w:rsidP="00542F88">
      <w:pPr>
        <w:spacing w:after="200" w:line="360" w:lineRule="auto"/>
        <w:jc w:val="center"/>
        <w:rPr>
          <w:lang w:val="en-GB"/>
        </w:rPr>
      </w:pPr>
      <w:r w:rsidRPr="002C6EFA">
        <w:rPr>
          <w:lang w:val="en-GB"/>
        </w:rPr>
        <w:t>(Source: Self-developed)</w:t>
      </w:r>
    </w:p>
    <w:p w14:paraId="030CB278" w14:textId="398AE3A7" w:rsidR="00542F88" w:rsidRPr="002C6EFA" w:rsidRDefault="00542F88" w:rsidP="00542F88">
      <w:pPr>
        <w:spacing w:after="200" w:line="360" w:lineRule="auto"/>
        <w:jc w:val="both"/>
        <w:rPr>
          <w:lang w:val="en-GB"/>
        </w:rPr>
      </w:pPr>
      <w:r w:rsidRPr="002C6EFA">
        <w:rPr>
          <w:lang w:val="en-GB"/>
        </w:rPr>
        <w:t xml:space="preserve">This SWOT analysis indicates that change at Mid Staffordshire can done. The “Patient Safety Strategy” and the national standards provide a clear path to improvement and can employed to tackle poor governance (NHS England, 2019). Conversely, according to Douglas </w:t>
      </w:r>
      <w:r w:rsidR="0096314B" w:rsidRPr="002C6EFA">
        <w:rPr>
          <w:i/>
          <w:lang w:val="en-GB"/>
        </w:rPr>
        <w:t>et al.</w:t>
      </w:r>
      <w:r w:rsidRPr="002C6EFA">
        <w:rPr>
          <w:lang w:val="en-GB"/>
        </w:rPr>
        <w:t xml:space="preserve"> (2014), dedicated frontline employees and established reporting mechanisms are one of the strengths and can used to facilitate cultural change and learning. The long-term issues with monitoring and coordination can addressed by the opportunities for better use of data, digital tools, and integrated care partnerships.</w:t>
      </w:r>
    </w:p>
    <w:p w14:paraId="19275E2B" w14:textId="2AAF1472" w:rsidR="00542F88" w:rsidRPr="002C6EFA" w:rsidRDefault="00542F88" w:rsidP="00542F88">
      <w:pPr>
        <w:spacing w:after="200" w:line="360" w:lineRule="auto"/>
        <w:jc w:val="both"/>
        <w:rPr>
          <w:lang w:val="en-GB"/>
        </w:rPr>
      </w:pPr>
      <w:r w:rsidRPr="002C6EFA">
        <w:rPr>
          <w:lang w:val="en-GB"/>
        </w:rPr>
        <w:t xml:space="preserve">Nevertheless, the lack of money, staffing gaps, and reputational losses restrict the possibilities of fast action. Any improvement plan for the services has to be realistic regarding these obstacles. It must leverage strong points, including staff involvement and national policy advocacy. These strong points assist in addressing weak areas of its culture, staffing, and governance and deal with threats with gradual, carefully designed change (Turner </w:t>
      </w:r>
      <w:r w:rsidR="0096314B" w:rsidRPr="002C6EFA">
        <w:rPr>
          <w:i/>
          <w:lang w:val="en-GB"/>
        </w:rPr>
        <w:t>et al.</w:t>
      </w:r>
      <w:r w:rsidRPr="002C6EFA">
        <w:rPr>
          <w:lang w:val="en-GB"/>
        </w:rPr>
        <w:t>, 2018).</w:t>
      </w:r>
    </w:p>
    <w:p w14:paraId="1654506C" w14:textId="77777777" w:rsidR="00542F88" w:rsidRPr="002C6EFA" w:rsidRDefault="00542F88" w:rsidP="00542F88">
      <w:pPr>
        <w:pStyle w:val="Heading1"/>
        <w:rPr>
          <w:rFonts w:cs="Arial"/>
        </w:rPr>
      </w:pPr>
      <w:bookmarkStart w:id="12" w:name="_Toc215678649"/>
      <w:r w:rsidRPr="002C6EFA">
        <w:rPr>
          <w:rFonts w:cs="Arial"/>
        </w:rPr>
        <w:t>3. Recommendations: Service Improvement &amp; Implementation Plan</w:t>
      </w:r>
      <w:bookmarkEnd w:id="12"/>
      <w:r w:rsidRPr="002C6EFA">
        <w:rPr>
          <w:rFonts w:cs="Arial"/>
        </w:rPr>
        <w:t xml:space="preserve"> </w:t>
      </w:r>
    </w:p>
    <w:p w14:paraId="3B9DFD93" w14:textId="77777777" w:rsidR="00542F88" w:rsidRPr="002C6EFA" w:rsidRDefault="00542F88" w:rsidP="00542F88">
      <w:pPr>
        <w:pStyle w:val="Heading2"/>
        <w:rPr>
          <w:rFonts w:cs="Arial"/>
        </w:rPr>
      </w:pPr>
      <w:bookmarkStart w:id="13" w:name="_Toc215678650"/>
      <w:r w:rsidRPr="002C6EFA">
        <w:rPr>
          <w:rFonts w:cs="Arial"/>
        </w:rPr>
        <w:lastRenderedPageBreak/>
        <w:t>3.1 Overall improvement aim and SMART objectives</w:t>
      </w:r>
      <w:bookmarkEnd w:id="13"/>
    </w:p>
    <w:p w14:paraId="3715CF0A" w14:textId="77777777" w:rsidR="00542F88" w:rsidRPr="002C6EFA" w:rsidRDefault="00542F88" w:rsidP="00542F88">
      <w:pPr>
        <w:spacing w:after="200" w:line="360" w:lineRule="auto"/>
        <w:jc w:val="both"/>
        <w:rPr>
          <w:lang w:val="en-GB"/>
        </w:rPr>
      </w:pPr>
      <w:r w:rsidRPr="002C6EFA">
        <w:rPr>
          <w:lang w:val="en-GB"/>
        </w:rPr>
        <w:t>The primary objective of this improvement plan is to decrease the number of serious patient safety incidents associated with nursing care by 50% in 18 months at the Mid Staffordshire NHS Foundation Trust. This objective is a direct reaction to the unsafe staffing and poor safety culture found above.</w:t>
      </w:r>
    </w:p>
    <w:p w14:paraId="5AB475EB" w14:textId="7D64169F" w:rsidR="00542F88" w:rsidRPr="002C6EFA" w:rsidRDefault="00542F88" w:rsidP="00542F88">
      <w:pPr>
        <w:spacing w:after="200" w:line="360" w:lineRule="auto"/>
        <w:jc w:val="both"/>
        <w:rPr>
          <w:lang w:val="en-GB"/>
        </w:rPr>
      </w:pPr>
      <w:r w:rsidRPr="002C6EFA">
        <w:rPr>
          <w:lang w:val="en-GB"/>
        </w:rPr>
        <w:t>The plan will have the following SMART objectives</w:t>
      </w:r>
    </w:p>
    <w:p w14:paraId="581C968E" w14:textId="77777777" w:rsidR="00542F88" w:rsidRPr="002C6EFA" w:rsidRDefault="00542F88" w:rsidP="00542F88">
      <w:pPr>
        <w:numPr>
          <w:ilvl w:val="0"/>
          <w:numId w:val="3"/>
        </w:numPr>
        <w:spacing w:after="200" w:line="360" w:lineRule="auto"/>
        <w:jc w:val="both"/>
        <w:rPr>
          <w:lang w:val="en-GB"/>
        </w:rPr>
      </w:pPr>
      <w:r w:rsidRPr="002C6EFA">
        <w:rPr>
          <w:lang w:val="en-GB"/>
        </w:rPr>
        <w:t>To achieve a safe staffing escalation policy in all wards within six months, to ensure that unsafe staffing shifts are detected and promptly fixed.</w:t>
      </w:r>
    </w:p>
    <w:p w14:paraId="5BC8ABC9" w14:textId="77777777" w:rsidR="00542F88" w:rsidRPr="002C6EFA" w:rsidRDefault="00542F88" w:rsidP="00542F88">
      <w:pPr>
        <w:numPr>
          <w:ilvl w:val="0"/>
          <w:numId w:val="3"/>
        </w:numPr>
        <w:spacing w:after="200" w:line="360" w:lineRule="auto"/>
        <w:jc w:val="both"/>
        <w:rPr>
          <w:lang w:val="en-GB"/>
        </w:rPr>
      </w:pPr>
      <w:r w:rsidRPr="002C6EFA">
        <w:rPr>
          <w:lang w:val="en-GB"/>
        </w:rPr>
        <w:t>To enhance the level of incident reporting by 30% in twelve months, become more open and learn.</w:t>
      </w:r>
    </w:p>
    <w:p w14:paraId="3C7334EE" w14:textId="77777777" w:rsidR="00542F88" w:rsidRPr="002C6EFA" w:rsidRDefault="00542F88" w:rsidP="00542F88">
      <w:pPr>
        <w:numPr>
          <w:ilvl w:val="0"/>
          <w:numId w:val="3"/>
        </w:numPr>
        <w:spacing w:after="200" w:line="360" w:lineRule="auto"/>
        <w:jc w:val="both"/>
        <w:rPr>
          <w:lang w:val="en-GB"/>
        </w:rPr>
      </w:pPr>
      <w:r w:rsidRPr="002C6EFA">
        <w:rPr>
          <w:lang w:val="en-GB"/>
        </w:rPr>
        <w:t>To increase patient-reported experience scores in the areas of dignity, communication, and responsiveness by at least 20% in one year.</w:t>
      </w:r>
    </w:p>
    <w:p w14:paraId="2AC2726B" w14:textId="77777777" w:rsidR="00542F88" w:rsidRPr="002C6EFA" w:rsidRDefault="00542F88" w:rsidP="00542F88">
      <w:pPr>
        <w:spacing w:after="200" w:line="360" w:lineRule="auto"/>
        <w:jc w:val="both"/>
        <w:rPr>
          <w:lang w:val="en-GB"/>
        </w:rPr>
      </w:pPr>
      <w:r w:rsidRPr="002C6EFA">
        <w:rPr>
          <w:lang w:val="en-GB"/>
        </w:rPr>
        <w:t>These goals offer both short-term and long-term goals that can quantified.</w:t>
      </w:r>
    </w:p>
    <w:p w14:paraId="00AC3231" w14:textId="77777777" w:rsidR="00542F88" w:rsidRPr="002C6EFA" w:rsidRDefault="00542F88" w:rsidP="00542F88">
      <w:pPr>
        <w:pStyle w:val="Heading2"/>
        <w:rPr>
          <w:rFonts w:cs="Arial"/>
        </w:rPr>
      </w:pPr>
      <w:bookmarkStart w:id="14" w:name="_Toc215678651"/>
      <w:r w:rsidRPr="002C6EFA">
        <w:rPr>
          <w:rFonts w:cs="Arial"/>
        </w:rPr>
        <w:t>3.2 Short-term interventions: PDSA cycles</w:t>
      </w:r>
      <w:bookmarkEnd w:id="14"/>
    </w:p>
    <w:p w14:paraId="690E2191" w14:textId="77777777" w:rsidR="00542F88" w:rsidRPr="002C6EFA" w:rsidRDefault="00542F88" w:rsidP="00542F88">
      <w:pPr>
        <w:spacing w:after="200" w:line="360" w:lineRule="auto"/>
        <w:jc w:val="both"/>
        <w:rPr>
          <w:lang w:val="en-GB"/>
        </w:rPr>
      </w:pPr>
      <w:r w:rsidRPr="002C6EFA">
        <w:rPr>
          <w:lang w:val="en-GB"/>
        </w:rPr>
        <w:t>Small and fast tests are the most suitable in the short term. However, the staff should be able to experiment with new ideas without affecting the entire staff. This is appropriate in the PDSA cycle because it operates by planning a change, testing it on a small scale and then making adjustments (The Deming Institute, 2021). It minimises the chances of failure and makes the staff feel engaged in developing solutions.</w:t>
      </w:r>
    </w:p>
    <w:p w14:paraId="5E2AB87A" w14:textId="77777777" w:rsidR="00542F88" w:rsidRPr="002C6EFA" w:rsidRDefault="00542F88" w:rsidP="00542F88">
      <w:pPr>
        <w:spacing w:after="200" w:line="360" w:lineRule="auto"/>
        <w:jc w:val="center"/>
        <w:rPr>
          <w:lang w:val="en-GB"/>
        </w:rPr>
      </w:pPr>
      <w:r w:rsidRPr="002C6EFA">
        <w:rPr>
          <w:noProof/>
          <w:lang w:val="en-GB"/>
        </w:rPr>
        <w:lastRenderedPageBreak/>
        <w:drawing>
          <wp:inline distT="114300" distB="114300" distL="114300" distR="114300" wp14:anchorId="4D41408A" wp14:editId="5B55D263">
            <wp:extent cx="4791075" cy="493395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l="9455" t="8814" r="10016" b="8173"/>
                    <a:stretch>
                      <a:fillRect/>
                    </a:stretch>
                  </pic:blipFill>
                  <pic:spPr>
                    <a:xfrm>
                      <a:off x="0" y="0"/>
                      <a:ext cx="4791075" cy="4933950"/>
                    </a:xfrm>
                    <a:prstGeom prst="rect">
                      <a:avLst/>
                    </a:prstGeom>
                    <a:ln/>
                  </pic:spPr>
                </pic:pic>
              </a:graphicData>
            </a:graphic>
          </wp:inline>
        </w:drawing>
      </w:r>
    </w:p>
    <w:p w14:paraId="27F40ED7" w14:textId="77777777" w:rsidR="00542F88" w:rsidRPr="002C6EFA" w:rsidRDefault="00542F88" w:rsidP="00542F88">
      <w:pPr>
        <w:spacing w:after="200" w:line="360" w:lineRule="auto"/>
        <w:jc w:val="center"/>
        <w:rPr>
          <w:b/>
          <w:bCs/>
          <w:lang w:val="en-GB"/>
        </w:rPr>
      </w:pPr>
      <w:r w:rsidRPr="002C6EFA">
        <w:rPr>
          <w:b/>
          <w:bCs/>
          <w:lang w:val="en-GB"/>
        </w:rPr>
        <w:t>Figure 3: PDSA Cycle</w:t>
      </w:r>
    </w:p>
    <w:p w14:paraId="58EA24DF" w14:textId="77777777" w:rsidR="00542F88" w:rsidRPr="002C6EFA" w:rsidRDefault="00542F88" w:rsidP="00542F88">
      <w:pPr>
        <w:spacing w:after="200" w:line="360" w:lineRule="auto"/>
        <w:jc w:val="center"/>
        <w:rPr>
          <w:lang w:val="en-GB"/>
        </w:rPr>
      </w:pPr>
      <w:r w:rsidRPr="002C6EFA">
        <w:rPr>
          <w:lang w:val="en-GB"/>
        </w:rPr>
        <w:t>(Source: The Deming Institute, 2021)</w:t>
      </w:r>
    </w:p>
    <w:p w14:paraId="299565E4" w14:textId="61E9166E" w:rsidR="00542F88" w:rsidRPr="002C6EFA" w:rsidRDefault="00542F88" w:rsidP="00542F88">
      <w:pPr>
        <w:spacing w:after="200" w:line="360" w:lineRule="auto"/>
        <w:jc w:val="both"/>
        <w:rPr>
          <w:lang w:val="en-GB"/>
        </w:rPr>
      </w:pPr>
      <w:r w:rsidRPr="002C6EFA">
        <w:rPr>
          <w:lang w:val="en-GB"/>
        </w:rPr>
        <w:t xml:space="preserve">This cycle used to pilot a new complaints triage and escalation system on a single ward. It aims at quicker reactions, more explicit, and improved feedback. Pilot findings make minor adjustments and then extend the model throughout the hospital (Cadeddu </w:t>
      </w:r>
      <w:r w:rsidR="0096314B" w:rsidRPr="002C6EFA">
        <w:rPr>
          <w:i/>
          <w:lang w:val="en-GB"/>
        </w:rPr>
        <w:t>et al.</w:t>
      </w:r>
      <w:r w:rsidRPr="002C6EFA">
        <w:rPr>
          <w:lang w:val="en-GB"/>
        </w:rPr>
        <w:t xml:space="preserve">, 2023). This cycle proposes short morning briefings to monitor staffing and identify any threats at hand. The staff in real time redistribute support. The pilot assists in testing what is working, and the changes improve the broader implementation in case the strategy enhances patient safety (Taylor </w:t>
      </w:r>
      <w:r w:rsidR="0096314B" w:rsidRPr="002C6EFA">
        <w:rPr>
          <w:i/>
          <w:lang w:val="en-GB"/>
        </w:rPr>
        <w:t>et al.</w:t>
      </w:r>
      <w:r w:rsidRPr="002C6EFA">
        <w:rPr>
          <w:lang w:val="en-GB"/>
        </w:rPr>
        <w:t>, 2014). These cycles promote initial development and establish a learning culture that is capable of equipping the organisation with bigger developments.</w:t>
      </w:r>
    </w:p>
    <w:p w14:paraId="63729E5D" w14:textId="77777777" w:rsidR="00542F88" w:rsidRPr="002C6EFA" w:rsidRDefault="00542F88" w:rsidP="00542F88">
      <w:pPr>
        <w:pStyle w:val="Heading2"/>
        <w:rPr>
          <w:rFonts w:cs="Arial"/>
        </w:rPr>
      </w:pPr>
      <w:bookmarkStart w:id="15" w:name="_Toc215678652"/>
      <w:r w:rsidRPr="002C6EFA">
        <w:rPr>
          <w:rFonts w:cs="Arial"/>
        </w:rPr>
        <w:t>3.3 Six Sigma Methodologies</w:t>
      </w:r>
      <w:bookmarkEnd w:id="15"/>
    </w:p>
    <w:p w14:paraId="3F323B03" w14:textId="7EEF1A36" w:rsidR="00542F88" w:rsidRPr="002C6EFA" w:rsidRDefault="00542F88" w:rsidP="00542F88">
      <w:pPr>
        <w:spacing w:after="200" w:line="360" w:lineRule="auto"/>
        <w:jc w:val="both"/>
        <w:rPr>
          <w:lang w:val="en-GB"/>
        </w:rPr>
      </w:pPr>
      <w:r w:rsidRPr="002C6EFA">
        <w:rPr>
          <w:lang w:val="en-GB"/>
        </w:rPr>
        <w:lastRenderedPageBreak/>
        <w:t xml:space="preserve">Six Sigma is more accommodating since it eradicates variation and faults in significant clinical procedures. </w:t>
      </w:r>
      <w:proofErr w:type="spellStart"/>
      <w:r w:rsidRPr="002C6EFA">
        <w:rPr>
          <w:lang w:val="en-GB"/>
        </w:rPr>
        <w:t>Febriza</w:t>
      </w:r>
      <w:proofErr w:type="spellEnd"/>
      <w:r w:rsidRPr="002C6EFA">
        <w:rPr>
          <w:lang w:val="en-GB"/>
        </w:rPr>
        <w:t xml:space="preserve"> </w:t>
      </w:r>
      <w:proofErr w:type="spellStart"/>
      <w:r w:rsidRPr="002C6EFA">
        <w:rPr>
          <w:lang w:val="en-GB"/>
        </w:rPr>
        <w:t>Imansuri</w:t>
      </w:r>
      <w:proofErr w:type="spellEnd"/>
      <w:r w:rsidRPr="002C6EFA">
        <w:rPr>
          <w:lang w:val="en-GB"/>
        </w:rPr>
        <w:t xml:space="preserve"> </w:t>
      </w:r>
      <w:r w:rsidR="0096314B" w:rsidRPr="002C6EFA">
        <w:rPr>
          <w:i/>
          <w:lang w:val="en-GB"/>
        </w:rPr>
        <w:t>et al.</w:t>
      </w:r>
      <w:r w:rsidRPr="002C6EFA">
        <w:rPr>
          <w:lang w:val="en-GB"/>
        </w:rPr>
        <w:t xml:space="preserve"> (2024) note that the DMAIC cycle helps overcome such problems as missed observations and intermittent escalation by the Trust. As an illustration, a Six Sigma initiative may standardise schedules of observations and the setting of objective triggers in an attempt to avoid patient deterioration. This supports the process component of the Donabedian Model and leads to safer </w:t>
      </w:r>
      <w:r w:rsidR="00E5799D" w:rsidRPr="002C6EFA">
        <w:rPr>
          <w:lang w:val="en-GB"/>
        </w:rPr>
        <w:t>outcomes and</w:t>
      </w:r>
      <w:r w:rsidRPr="002C6EFA">
        <w:rPr>
          <w:lang w:val="en-GB"/>
        </w:rPr>
        <w:t xml:space="preserve"> stimulates the organisation to build stronger structures by clarifying the protocols and controls</w:t>
      </w:r>
      <w:r w:rsidR="00E5799D" w:rsidRPr="002C6EFA">
        <w:rPr>
          <w:lang w:val="en-GB"/>
        </w:rPr>
        <w:t xml:space="preserve"> (Rathi, Vakharia and Shadab, 2021)</w:t>
      </w:r>
      <w:r w:rsidRPr="002C6EFA">
        <w:rPr>
          <w:lang w:val="en-GB"/>
        </w:rPr>
        <w:t>.</w:t>
      </w:r>
    </w:p>
    <w:p w14:paraId="050ECB25" w14:textId="77777777" w:rsidR="00542F88" w:rsidRPr="002C6EFA" w:rsidRDefault="00542F88" w:rsidP="00542F88">
      <w:pPr>
        <w:pStyle w:val="Heading2"/>
        <w:rPr>
          <w:rFonts w:cs="Arial"/>
        </w:rPr>
      </w:pPr>
      <w:bookmarkStart w:id="16" w:name="_Toc215678653"/>
      <w:r w:rsidRPr="002C6EFA">
        <w:rPr>
          <w:rFonts w:cs="Arial"/>
        </w:rPr>
        <w:t>3.4 Governance, culture change and stakeholder engagement</w:t>
      </w:r>
      <w:bookmarkEnd w:id="16"/>
    </w:p>
    <w:p w14:paraId="2393F0E2" w14:textId="4444A672" w:rsidR="00542F88" w:rsidRPr="002C6EFA" w:rsidRDefault="00542F88" w:rsidP="00542F88">
      <w:pPr>
        <w:spacing w:after="200" w:line="360" w:lineRule="auto"/>
        <w:jc w:val="both"/>
        <w:rPr>
          <w:lang w:val="en-GB"/>
        </w:rPr>
      </w:pPr>
      <w:r w:rsidRPr="002C6EFA">
        <w:rPr>
          <w:lang w:val="en-GB"/>
        </w:rPr>
        <w:t xml:space="preserve">Good governance and a healthier culture are the other aspects that can enhanced. Bates </w:t>
      </w:r>
      <w:r w:rsidR="0096314B" w:rsidRPr="002C6EFA">
        <w:rPr>
          <w:i/>
          <w:lang w:val="en-GB"/>
        </w:rPr>
        <w:t>et al.</w:t>
      </w:r>
      <w:r w:rsidRPr="002C6EFA">
        <w:rPr>
          <w:lang w:val="en-GB"/>
        </w:rPr>
        <w:t xml:space="preserve"> (2025) suggest that a multi-disciplinary quality and safety committee that will hold it accountable should track progress. The culture of safety may measure through periodic employee surveys and focus groups. On the contrary, as Hughes (2019) contends, openness will enabled through clear-cut whistleblowing policies and active Freedom to Speak up Guardians. They are directly related to these issues of leadership, culture and communication seen in the Fishbone and 5 Whys analysis</w:t>
      </w:r>
      <w:r w:rsidR="00E5799D" w:rsidRPr="002C6EFA">
        <w:rPr>
          <w:lang w:val="en-GB"/>
        </w:rPr>
        <w:t xml:space="preserve"> (Sunder M and Kunnath, 2019)</w:t>
      </w:r>
      <w:r w:rsidRPr="002C6EFA">
        <w:rPr>
          <w:lang w:val="en-GB"/>
        </w:rPr>
        <w:t>.</w:t>
      </w:r>
    </w:p>
    <w:p w14:paraId="7D8CC88B" w14:textId="77777777" w:rsidR="00542F88" w:rsidRPr="002C6EFA" w:rsidRDefault="00542F88" w:rsidP="00542F88">
      <w:pPr>
        <w:pStyle w:val="Heading2"/>
        <w:rPr>
          <w:rFonts w:cs="Arial"/>
        </w:rPr>
      </w:pPr>
      <w:bookmarkStart w:id="17" w:name="_Toc215678654"/>
      <w:r w:rsidRPr="002C6EFA">
        <w:rPr>
          <w:rFonts w:cs="Arial"/>
        </w:rPr>
        <w:t>3.5 Measurement, monitoring and sustainability</w:t>
      </w:r>
      <w:bookmarkEnd w:id="17"/>
    </w:p>
    <w:p w14:paraId="1CF6706A" w14:textId="03F9EF5E" w:rsidR="00542F88" w:rsidRPr="002C6EFA" w:rsidRDefault="00542F88" w:rsidP="00542F88">
      <w:pPr>
        <w:spacing w:after="200" w:line="360" w:lineRule="auto"/>
        <w:jc w:val="both"/>
        <w:rPr>
          <w:lang w:val="en-GB"/>
        </w:rPr>
      </w:pPr>
      <w:r w:rsidRPr="002C6EFA">
        <w:rPr>
          <w:lang w:val="en-GB"/>
        </w:rPr>
        <w:t xml:space="preserve">Continuous enhancement must measure clearly and regularly. The nurse-to-patient ratios and training completion are the key structural indicators. The process indicators will include incident reporting rates, complaint response time, and observation check compliance (Goldman </w:t>
      </w:r>
      <w:r w:rsidR="0096314B" w:rsidRPr="002C6EFA">
        <w:rPr>
          <w:i/>
          <w:lang w:val="en-GB"/>
        </w:rPr>
        <w:t>et al.</w:t>
      </w:r>
      <w:r w:rsidRPr="002C6EFA">
        <w:rPr>
          <w:lang w:val="en-GB"/>
        </w:rPr>
        <w:t>, 2025). The outcome indicators are serious incident levels, mortality, patient satisfaction and staff turnover. Dashboards, periodic audits, and monthly PDCA reviews will ensure that the progress remains visible and aid the continuous improvement.</w:t>
      </w:r>
    </w:p>
    <w:p w14:paraId="354345FC" w14:textId="77777777" w:rsidR="00542F88" w:rsidRPr="002C6EFA" w:rsidRDefault="00542F88" w:rsidP="00542F88">
      <w:pPr>
        <w:pStyle w:val="Heading1"/>
        <w:rPr>
          <w:rFonts w:cs="Arial"/>
        </w:rPr>
      </w:pPr>
      <w:bookmarkStart w:id="18" w:name="_Toc215678655"/>
      <w:r w:rsidRPr="002C6EFA">
        <w:rPr>
          <w:rFonts w:cs="Arial"/>
        </w:rPr>
        <w:t>4. Conclusion</w:t>
      </w:r>
      <w:bookmarkEnd w:id="18"/>
    </w:p>
    <w:p w14:paraId="70E0A637" w14:textId="77777777" w:rsidR="00542F88" w:rsidRPr="002C6EFA" w:rsidRDefault="00542F88" w:rsidP="00542F88">
      <w:pPr>
        <w:spacing w:after="200" w:line="360" w:lineRule="auto"/>
        <w:jc w:val="both"/>
        <w:rPr>
          <w:lang w:val="en-GB"/>
        </w:rPr>
      </w:pPr>
      <w:r w:rsidRPr="002C6EFA">
        <w:rPr>
          <w:lang w:val="en-GB"/>
        </w:rPr>
        <w:t xml:space="preserve">This report analysed the failures at Mid Staffordshire with a fundamental quality problem of unsafe staffing and poor safety culture. The case has been important to the NHS since it highlighted the presence of poor structures, poor processes and harmful cultures that can merge to cause severe and preventable injuries. Applying the Donabedian Model, Fishbone Diagram, and 5 Whys served to demonstrate that the failure was not due to a single error but </w:t>
      </w:r>
      <w:proofErr w:type="gramStart"/>
      <w:r w:rsidRPr="002C6EFA">
        <w:rPr>
          <w:lang w:val="en-GB"/>
        </w:rPr>
        <w:t>a number of</w:t>
      </w:r>
      <w:proofErr w:type="gramEnd"/>
      <w:r w:rsidRPr="002C6EFA">
        <w:rPr>
          <w:lang w:val="en-GB"/>
        </w:rPr>
        <w:t xml:space="preserve"> interconnected issues in staffing, governance, communication, and leadership. The SWOT analysis also served to demystify the internal weaknesses of the organisation and external pressures that determined what was possible and opportunities that facilitate meaningful change. </w:t>
      </w:r>
    </w:p>
    <w:p w14:paraId="3B6B5AC2" w14:textId="0674FB28" w:rsidR="00666DB8" w:rsidRPr="002C6EFA" w:rsidRDefault="00542F88" w:rsidP="00542F88">
      <w:pPr>
        <w:spacing w:after="200" w:line="360" w:lineRule="auto"/>
        <w:jc w:val="both"/>
        <w:rPr>
          <w:lang w:val="en-GB"/>
        </w:rPr>
      </w:pPr>
      <w:r w:rsidRPr="002C6EFA">
        <w:rPr>
          <w:lang w:val="en-GB"/>
        </w:rPr>
        <w:lastRenderedPageBreak/>
        <w:t>The service improvement plan put together these findings by integrating the long-term and short-term actions. The PDSA cycles exposed small tests to improve the management of complaints and the safety of employees. Lean and Six Sigma provided additional redesign tools to reduce variation, waste and improve valued clinical processes. The deeper causes in the root cause analysis also required reforms in governance, a change of culture, and enhanced involvement of the staff. In future, leadership encouragement, open communication, and ongoing evaluation shall be imperative in ensuring changes are here to stay. The lessons can applied in this report because the secondary evidence in a previous case used. Real-time data and staff feedback ought to discuss to prevent such a failure in the future.</w:t>
      </w:r>
      <w:r w:rsidR="009D240A" w:rsidRPr="002C6EFA">
        <w:rPr>
          <w:lang w:val="en-GB"/>
        </w:rPr>
        <w:br w:type="page"/>
      </w:r>
    </w:p>
    <w:p w14:paraId="208588AA" w14:textId="77777777" w:rsidR="00666DB8" w:rsidRPr="002C6EFA" w:rsidRDefault="009D240A" w:rsidP="00A06117">
      <w:pPr>
        <w:pStyle w:val="Heading1"/>
        <w:spacing w:after="240"/>
        <w:rPr>
          <w:rFonts w:cs="Arial"/>
        </w:rPr>
      </w:pPr>
      <w:bookmarkStart w:id="19" w:name="_Toc215678656"/>
      <w:r w:rsidRPr="002C6EFA">
        <w:rPr>
          <w:rFonts w:cs="Arial"/>
        </w:rPr>
        <w:lastRenderedPageBreak/>
        <w:t>References</w:t>
      </w:r>
      <w:bookmarkEnd w:id="19"/>
    </w:p>
    <w:p w14:paraId="356AA821" w14:textId="77777777" w:rsidR="007B5F5D" w:rsidRPr="002C6EFA" w:rsidRDefault="007B5F5D" w:rsidP="002C6EFA">
      <w:pPr>
        <w:pStyle w:val="NormalWeb"/>
        <w:spacing w:before="0" w:beforeAutospacing="0" w:after="240" w:afterAutospacing="0" w:line="360" w:lineRule="auto"/>
        <w:jc w:val="both"/>
        <w:rPr>
          <w:rFonts w:ascii="Arial" w:hAnsi="Arial" w:cs="Arial"/>
          <w:sz w:val="22"/>
          <w:szCs w:val="22"/>
        </w:rPr>
      </w:pPr>
      <w:proofErr w:type="spellStart"/>
      <w:r w:rsidRPr="002C6EFA">
        <w:rPr>
          <w:rFonts w:ascii="Arial" w:hAnsi="Arial" w:cs="Arial"/>
          <w:sz w:val="22"/>
          <w:szCs w:val="22"/>
        </w:rPr>
        <w:t>Ayanian</w:t>
      </w:r>
      <w:proofErr w:type="spellEnd"/>
      <w:r w:rsidRPr="002C6EFA">
        <w:rPr>
          <w:rFonts w:ascii="Arial" w:hAnsi="Arial" w:cs="Arial"/>
          <w:sz w:val="22"/>
          <w:szCs w:val="22"/>
        </w:rPr>
        <w:t xml:space="preserve">, J.Z. and Markel, H. (2016). Donabedian’s Lasting Framework for Health Care Quality. </w:t>
      </w:r>
      <w:r w:rsidRPr="002C6EFA">
        <w:rPr>
          <w:rFonts w:ascii="Arial" w:hAnsi="Arial" w:cs="Arial"/>
          <w:i/>
          <w:iCs/>
          <w:sz w:val="22"/>
          <w:szCs w:val="22"/>
        </w:rPr>
        <w:t>New England Journal of Medicine</w:t>
      </w:r>
      <w:r w:rsidRPr="002C6EFA">
        <w:rPr>
          <w:rFonts w:ascii="Arial" w:hAnsi="Arial" w:cs="Arial"/>
          <w:sz w:val="22"/>
          <w:szCs w:val="22"/>
        </w:rPr>
        <w:t>, 375(3), pp.205–207.</w:t>
      </w:r>
    </w:p>
    <w:p w14:paraId="57C0BE66" w14:textId="77777777" w:rsidR="007B5F5D" w:rsidRPr="002C6EFA" w:rsidRDefault="007B5F5D" w:rsidP="002C6EFA">
      <w:pPr>
        <w:pStyle w:val="NormalWeb"/>
        <w:spacing w:before="0" w:beforeAutospacing="0" w:after="240" w:afterAutospacing="0" w:line="360" w:lineRule="auto"/>
        <w:jc w:val="both"/>
        <w:rPr>
          <w:rFonts w:ascii="Arial" w:hAnsi="Arial" w:cs="Arial"/>
          <w:sz w:val="22"/>
          <w:szCs w:val="22"/>
        </w:rPr>
      </w:pPr>
      <w:r w:rsidRPr="002C6EFA">
        <w:rPr>
          <w:rFonts w:ascii="Arial" w:hAnsi="Arial" w:cs="Arial"/>
          <w:sz w:val="22"/>
          <w:szCs w:val="22"/>
        </w:rPr>
        <w:t xml:space="preserve">Balogh, E.P., Miller, B.T. and Ball, J.R. (2019). </w:t>
      </w:r>
      <w:r w:rsidRPr="002C6EFA">
        <w:rPr>
          <w:rFonts w:ascii="Arial" w:hAnsi="Arial" w:cs="Arial"/>
          <w:i/>
          <w:iCs/>
          <w:sz w:val="22"/>
          <w:szCs w:val="22"/>
        </w:rPr>
        <w:t>Overview of Diagnostic Error in Health Care</w:t>
      </w:r>
      <w:r w:rsidRPr="002C6EFA">
        <w:rPr>
          <w:rFonts w:ascii="Arial" w:hAnsi="Arial" w:cs="Arial"/>
          <w:sz w:val="22"/>
          <w:szCs w:val="22"/>
        </w:rPr>
        <w:t>. [Online] Nih.gov. Available at: https://www.ncbi.nlm.nih.gov/books/NBK338594/.</w:t>
      </w:r>
    </w:p>
    <w:p w14:paraId="185522AD" w14:textId="77777777" w:rsidR="007B5F5D" w:rsidRPr="002C6EFA" w:rsidRDefault="007B5F5D" w:rsidP="002C6EFA">
      <w:pPr>
        <w:pStyle w:val="NormalWeb"/>
        <w:spacing w:before="0" w:beforeAutospacing="0" w:after="240" w:afterAutospacing="0" w:line="360" w:lineRule="auto"/>
        <w:jc w:val="both"/>
        <w:rPr>
          <w:rFonts w:ascii="Arial" w:hAnsi="Arial" w:cs="Arial"/>
          <w:sz w:val="22"/>
          <w:szCs w:val="22"/>
        </w:rPr>
      </w:pPr>
      <w:r w:rsidRPr="002C6EFA">
        <w:rPr>
          <w:rFonts w:ascii="Arial" w:hAnsi="Arial" w:cs="Arial"/>
          <w:sz w:val="22"/>
          <w:szCs w:val="22"/>
        </w:rPr>
        <w:t xml:space="preserve">Bates, S.M., Lin, J., Allen, L.N., Wright, M. and Kidd, M. (2025). Can multidisciplinary teams improve the quality of primary care? A scoping review. </w:t>
      </w:r>
      <w:proofErr w:type="spellStart"/>
      <w:r w:rsidRPr="002C6EFA">
        <w:rPr>
          <w:rFonts w:ascii="Arial" w:hAnsi="Arial" w:cs="Arial"/>
          <w:i/>
          <w:iCs/>
          <w:sz w:val="22"/>
          <w:szCs w:val="22"/>
        </w:rPr>
        <w:t>eClinicalMedicine</w:t>
      </w:r>
      <w:proofErr w:type="spellEnd"/>
      <w:r w:rsidRPr="002C6EFA">
        <w:rPr>
          <w:rFonts w:ascii="Arial" w:hAnsi="Arial" w:cs="Arial"/>
          <w:sz w:val="22"/>
          <w:szCs w:val="22"/>
        </w:rPr>
        <w:t xml:space="preserve">, [online] 88, p.103497. </w:t>
      </w:r>
      <w:proofErr w:type="spellStart"/>
      <w:proofErr w:type="gramStart"/>
      <w:r w:rsidRPr="002C6EFA">
        <w:rPr>
          <w:rFonts w:ascii="Arial" w:hAnsi="Arial" w:cs="Arial"/>
          <w:sz w:val="22"/>
          <w:szCs w:val="22"/>
        </w:rPr>
        <w:t>doi:https</w:t>
      </w:r>
      <w:proofErr w:type="spellEnd"/>
      <w:r w:rsidRPr="002C6EFA">
        <w:rPr>
          <w:rFonts w:ascii="Arial" w:hAnsi="Arial" w:cs="Arial"/>
          <w:sz w:val="22"/>
          <w:szCs w:val="22"/>
        </w:rPr>
        <w:t>://doi.org/10.1016/j.eclinm.2025.103497</w:t>
      </w:r>
      <w:proofErr w:type="gramEnd"/>
      <w:r w:rsidRPr="002C6EFA">
        <w:rPr>
          <w:rFonts w:ascii="Arial" w:hAnsi="Arial" w:cs="Arial"/>
          <w:sz w:val="22"/>
          <w:szCs w:val="22"/>
        </w:rPr>
        <w:t>.</w:t>
      </w:r>
    </w:p>
    <w:p w14:paraId="1520159A" w14:textId="77777777" w:rsidR="007B5F5D" w:rsidRPr="007B5F5D" w:rsidRDefault="007B5F5D" w:rsidP="007B5F5D">
      <w:pPr>
        <w:pStyle w:val="NormalWeb"/>
        <w:spacing w:line="360" w:lineRule="auto"/>
        <w:jc w:val="both"/>
        <w:rPr>
          <w:rFonts w:ascii="Arial" w:hAnsi="Arial" w:cs="Arial"/>
          <w:sz w:val="22"/>
          <w:szCs w:val="22"/>
        </w:rPr>
      </w:pPr>
      <w:r w:rsidRPr="007B5F5D">
        <w:rPr>
          <w:rFonts w:ascii="Arial" w:hAnsi="Arial" w:cs="Arial"/>
          <w:sz w:val="22"/>
          <w:szCs w:val="22"/>
        </w:rPr>
        <w:t xml:space="preserve">Burnes, B. (2020). The Origins of Lewin’s three-step Model of Change. </w:t>
      </w:r>
      <w:r w:rsidRPr="007B5F5D">
        <w:rPr>
          <w:rFonts w:ascii="Arial" w:hAnsi="Arial" w:cs="Arial"/>
          <w:i/>
          <w:iCs/>
          <w:sz w:val="22"/>
          <w:szCs w:val="22"/>
        </w:rPr>
        <w:t xml:space="preserve">The Journal of Applied </w:t>
      </w:r>
      <w:proofErr w:type="spellStart"/>
      <w:r w:rsidRPr="007B5F5D">
        <w:rPr>
          <w:rFonts w:ascii="Arial" w:hAnsi="Arial" w:cs="Arial"/>
          <w:i/>
          <w:iCs/>
          <w:sz w:val="22"/>
          <w:szCs w:val="22"/>
        </w:rPr>
        <w:t>Behavioral</w:t>
      </w:r>
      <w:proofErr w:type="spellEnd"/>
      <w:r w:rsidRPr="007B5F5D">
        <w:rPr>
          <w:rFonts w:ascii="Arial" w:hAnsi="Arial" w:cs="Arial"/>
          <w:i/>
          <w:iCs/>
          <w:sz w:val="22"/>
          <w:szCs w:val="22"/>
        </w:rPr>
        <w:t xml:space="preserve"> Science</w:t>
      </w:r>
      <w:r w:rsidRPr="007B5F5D">
        <w:rPr>
          <w:rFonts w:ascii="Arial" w:hAnsi="Arial" w:cs="Arial"/>
          <w:sz w:val="22"/>
          <w:szCs w:val="22"/>
        </w:rPr>
        <w:t xml:space="preserve">, 56(1), pp.32–59. </w:t>
      </w:r>
      <w:proofErr w:type="spellStart"/>
      <w:proofErr w:type="gramStart"/>
      <w:r w:rsidRPr="007B5F5D">
        <w:rPr>
          <w:rFonts w:ascii="Arial" w:hAnsi="Arial" w:cs="Arial"/>
          <w:sz w:val="22"/>
          <w:szCs w:val="22"/>
        </w:rPr>
        <w:t>doi:https</w:t>
      </w:r>
      <w:proofErr w:type="spellEnd"/>
      <w:r w:rsidRPr="007B5F5D">
        <w:rPr>
          <w:rFonts w:ascii="Arial" w:hAnsi="Arial" w:cs="Arial"/>
          <w:sz w:val="22"/>
          <w:szCs w:val="22"/>
        </w:rPr>
        <w:t>://doi.org/10.1177/0021886319892685</w:t>
      </w:r>
      <w:proofErr w:type="gramEnd"/>
      <w:r w:rsidRPr="007B5F5D">
        <w:rPr>
          <w:rFonts w:ascii="Arial" w:hAnsi="Arial" w:cs="Arial"/>
          <w:sz w:val="22"/>
          <w:szCs w:val="22"/>
        </w:rPr>
        <w:t>.</w:t>
      </w:r>
    </w:p>
    <w:p w14:paraId="0AE964C1" w14:textId="77777777" w:rsidR="007B5F5D" w:rsidRPr="002C6EFA" w:rsidRDefault="007B5F5D" w:rsidP="002C6EFA">
      <w:pPr>
        <w:pStyle w:val="NormalWeb"/>
        <w:spacing w:before="0" w:beforeAutospacing="0" w:after="240" w:afterAutospacing="0" w:line="360" w:lineRule="auto"/>
        <w:jc w:val="both"/>
        <w:rPr>
          <w:rFonts w:ascii="Arial" w:hAnsi="Arial" w:cs="Arial"/>
          <w:sz w:val="22"/>
          <w:szCs w:val="22"/>
        </w:rPr>
      </w:pPr>
      <w:r w:rsidRPr="002C6EFA">
        <w:rPr>
          <w:rFonts w:ascii="Arial" w:hAnsi="Arial" w:cs="Arial"/>
          <w:sz w:val="22"/>
          <w:szCs w:val="22"/>
        </w:rPr>
        <w:t xml:space="preserve">Cadeddu, S.B.M., Dare, L.O. and Denis, J.-L. (2023). Employee-Driven Innovation in Health Organizations: Insights from a Scoping Review. </w:t>
      </w:r>
      <w:r w:rsidRPr="002C6EFA">
        <w:rPr>
          <w:rFonts w:ascii="Arial" w:hAnsi="Arial" w:cs="Arial"/>
          <w:i/>
          <w:iCs/>
          <w:sz w:val="22"/>
          <w:szCs w:val="22"/>
        </w:rPr>
        <w:t>International Journal of Health Policy and Management</w:t>
      </w:r>
      <w:r w:rsidRPr="002C6EFA">
        <w:rPr>
          <w:rFonts w:ascii="Arial" w:hAnsi="Arial" w:cs="Arial"/>
          <w:sz w:val="22"/>
          <w:szCs w:val="22"/>
        </w:rPr>
        <w:t xml:space="preserve">, [online] 12(1). </w:t>
      </w:r>
      <w:proofErr w:type="spellStart"/>
      <w:proofErr w:type="gramStart"/>
      <w:r w:rsidRPr="002C6EFA">
        <w:rPr>
          <w:rFonts w:ascii="Arial" w:hAnsi="Arial" w:cs="Arial"/>
          <w:sz w:val="22"/>
          <w:szCs w:val="22"/>
        </w:rPr>
        <w:t>doi:https</w:t>
      </w:r>
      <w:proofErr w:type="spellEnd"/>
      <w:r w:rsidRPr="002C6EFA">
        <w:rPr>
          <w:rFonts w:ascii="Arial" w:hAnsi="Arial" w:cs="Arial"/>
          <w:sz w:val="22"/>
          <w:szCs w:val="22"/>
        </w:rPr>
        <w:t>://doi.org/10.34172/ijhpm.2023.6734</w:t>
      </w:r>
      <w:proofErr w:type="gramEnd"/>
      <w:r w:rsidRPr="002C6EFA">
        <w:rPr>
          <w:rFonts w:ascii="Arial" w:hAnsi="Arial" w:cs="Arial"/>
          <w:sz w:val="22"/>
          <w:szCs w:val="22"/>
        </w:rPr>
        <w:t>.</w:t>
      </w:r>
    </w:p>
    <w:p w14:paraId="36CAEF3E" w14:textId="77777777" w:rsidR="007B5F5D" w:rsidRPr="002C6EFA" w:rsidRDefault="007B5F5D" w:rsidP="002C6EFA">
      <w:pPr>
        <w:pStyle w:val="NormalWeb"/>
        <w:spacing w:before="0" w:beforeAutospacing="0" w:after="240" w:afterAutospacing="0" w:line="360" w:lineRule="auto"/>
        <w:jc w:val="both"/>
        <w:rPr>
          <w:rFonts w:ascii="Arial" w:hAnsi="Arial" w:cs="Arial"/>
          <w:sz w:val="22"/>
          <w:szCs w:val="22"/>
        </w:rPr>
      </w:pPr>
      <w:r w:rsidRPr="002C6EFA">
        <w:rPr>
          <w:rFonts w:ascii="Arial" w:hAnsi="Arial" w:cs="Arial"/>
          <w:sz w:val="22"/>
          <w:szCs w:val="22"/>
          <w:lang w:val="de-AT"/>
        </w:rPr>
        <w:t xml:space="preserve">Cam, H., Wennlöf, B., Gillespie, U., Franzon, K., Nielsen, E.I., Ling, M.L., Lindner, K., Kempen, T. and Sporrong, S.K. (2023). </w:t>
      </w:r>
      <w:r w:rsidRPr="002C6EFA">
        <w:rPr>
          <w:rFonts w:ascii="Arial" w:hAnsi="Arial" w:cs="Arial"/>
          <w:sz w:val="22"/>
          <w:szCs w:val="22"/>
        </w:rPr>
        <w:t xml:space="preserve">The Complexities of Communication at Hospital Discharge of Older patients: a Qualitative Study of Healthcare Professionals’ Views. </w:t>
      </w:r>
      <w:r w:rsidRPr="002C6EFA">
        <w:rPr>
          <w:rFonts w:ascii="Arial" w:hAnsi="Arial" w:cs="Arial"/>
          <w:i/>
          <w:iCs/>
          <w:sz w:val="22"/>
          <w:szCs w:val="22"/>
        </w:rPr>
        <w:t>BMC Health Services Research</w:t>
      </w:r>
      <w:r w:rsidRPr="002C6EFA">
        <w:rPr>
          <w:rFonts w:ascii="Arial" w:hAnsi="Arial" w:cs="Arial"/>
          <w:sz w:val="22"/>
          <w:szCs w:val="22"/>
        </w:rPr>
        <w:t xml:space="preserve">, [online] 23(1). </w:t>
      </w:r>
      <w:proofErr w:type="spellStart"/>
      <w:proofErr w:type="gramStart"/>
      <w:r w:rsidRPr="002C6EFA">
        <w:rPr>
          <w:rFonts w:ascii="Arial" w:hAnsi="Arial" w:cs="Arial"/>
          <w:sz w:val="22"/>
          <w:szCs w:val="22"/>
        </w:rPr>
        <w:t>doi:https</w:t>
      </w:r>
      <w:proofErr w:type="spellEnd"/>
      <w:r w:rsidRPr="002C6EFA">
        <w:rPr>
          <w:rFonts w:ascii="Arial" w:hAnsi="Arial" w:cs="Arial"/>
          <w:sz w:val="22"/>
          <w:szCs w:val="22"/>
        </w:rPr>
        <w:t>://doi.org/10.1186/s12913-023-10192-5</w:t>
      </w:r>
      <w:proofErr w:type="gramEnd"/>
      <w:r w:rsidRPr="002C6EFA">
        <w:rPr>
          <w:rFonts w:ascii="Arial" w:hAnsi="Arial" w:cs="Arial"/>
          <w:sz w:val="22"/>
          <w:szCs w:val="22"/>
        </w:rPr>
        <w:t>.</w:t>
      </w:r>
    </w:p>
    <w:p w14:paraId="22490108" w14:textId="77777777" w:rsidR="007B5F5D" w:rsidRPr="002C6EFA" w:rsidRDefault="007B5F5D" w:rsidP="002C6EFA">
      <w:pPr>
        <w:pStyle w:val="NormalWeb"/>
        <w:spacing w:before="0" w:beforeAutospacing="0" w:after="240" w:afterAutospacing="0" w:line="360" w:lineRule="auto"/>
        <w:jc w:val="both"/>
        <w:rPr>
          <w:rFonts w:ascii="Arial" w:hAnsi="Arial" w:cs="Arial"/>
          <w:sz w:val="22"/>
          <w:szCs w:val="22"/>
        </w:rPr>
      </w:pPr>
      <w:r w:rsidRPr="002C6EFA">
        <w:rPr>
          <w:rFonts w:ascii="Arial" w:hAnsi="Arial" w:cs="Arial"/>
          <w:sz w:val="22"/>
          <w:szCs w:val="22"/>
        </w:rPr>
        <w:t xml:space="preserve">Clarke, S.P. (2020). </w:t>
      </w:r>
      <w:r w:rsidRPr="002C6EFA">
        <w:rPr>
          <w:rFonts w:ascii="Arial" w:hAnsi="Arial" w:cs="Arial"/>
          <w:i/>
          <w:iCs/>
          <w:sz w:val="22"/>
          <w:szCs w:val="22"/>
        </w:rPr>
        <w:t>Nurse Staffing and Patient Care Quality and Safety</w:t>
      </w:r>
      <w:r w:rsidRPr="002C6EFA">
        <w:rPr>
          <w:rFonts w:ascii="Arial" w:hAnsi="Arial" w:cs="Arial"/>
          <w:sz w:val="22"/>
          <w:szCs w:val="22"/>
        </w:rPr>
        <w:t>. [online] Nih.gov. Available at: https://www.ncbi.nlm.nih.gov/books/NBK2676/.</w:t>
      </w:r>
    </w:p>
    <w:p w14:paraId="65B94BC6" w14:textId="77777777" w:rsidR="007B5F5D" w:rsidRPr="002C6EFA" w:rsidRDefault="007B5F5D" w:rsidP="002C6EFA">
      <w:pPr>
        <w:pStyle w:val="NormalWeb"/>
        <w:spacing w:before="0" w:beforeAutospacing="0" w:after="240" w:afterAutospacing="0" w:line="360" w:lineRule="auto"/>
        <w:jc w:val="both"/>
        <w:rPr>
          <w:rFonts w:ascii="Arial" w:hAnsi="Arial" w:cs="Arial"/>
          <w:sz w:val="22"/>
          <w:szCs w:val="22"/>
        </w:rPr>
      </w:pPr>
      <w:r w:rsidRPr="002C6EFA">
        <w:rPr>
          <w:rFonts w:ascii="Arial" w:hAnsi="Arial" w:cs="Arial"/>
          <w:sz w:val="22"/>
          <w:szCs w:val="22"/>
        </w:rPr>
        <w:t xml:space="preserve">Cullen, W.KL., West, D. and Grant, S.W. (2018). Evaluating quality in clinical care. </w:t>
      </w:r>
      <w:r w:rsidRPr="002C6EFA">
        <w:rPr>
          <w:rFonts w:ascii="Arial" w:hAnsi="Arial" w:cs="Arial"/>
          <w:i/>
          <w:iCs/>
          <w:sz w:val="22"/>
          <w:szCs w:val="22"/>
        </w:rPr>
        <w:t>Surgery (Oxford)</w:t>
      </w:r>
      <w:r w:rsidRPr="002C6EFA">
        <w:rPr>
          <w:rFonts w:ascii="Arial" w:hAnsi="Arial" w:cs="Arial"/>
          <w:sz w:val="22"/>
          <w:szCs w:val="22"/>
        </w:rPr>
        <w:t xml:space="preserve">, 36(9), pp.497–502. </w:t>
      </w:r>
      <w:proofErr w:type="spellStart"/>
      <w:proofErr w:type="gramStart"/>
      <w:r w:rsidRPr="002C6EFA">
        <w:rPr>
          <w:rFonts w:ascii="Arial" w:hAnsi="Arial" w:cs="Arial"/>
          <w:sz w:val="22"/>
          <w:szCs w:val="22"/>
        </w:rPr>
        <w:t>doi:https</w:t>
      </w:r>
      <w:proofErr w:type="spellEnd"/>
      <w:r w:rsidRPr="002C6EFA">
        <w:rPr>
          <w:rFonts w:ascii="Arial" w:hAnsi="Arial" w:cs="Arial"/>
          <w:sz w:val="22"/>
          <w:szCs w:val="22"/>
        </w:rPr>
        <w:t>://doi.org/10.1016/j.mpsur.2018.07.002</w:t>
      </w:r>
      <w:proofErr w:type="gramEnd"/>
      <w:r w:rsidRPr="002C6EFA">
        <w:rPr>
          <w:rFonts w:ascii="Arial" w:hAnsi="Arial" w:cs="Arial"/>
          <w:sz w:val="22"/>
          <w:szCs w:val="22"/>
        </w:rPr>
        <w:t>.</w:t>
      </w:r>
    </w:p>
    <w:p w14:paraId="109CC9CB" w14:textId="77777777" w:rsidR="007B5F5D" w:rsidRPr="002C6EFA" w:rsidRDefault="007B5F5D" w:rsidP="002C6EFA">
      <w:pPr>
        <w:pStyle w:val="NormalWeb"/>
        <w:spacing w:before="0" w:beforeAutospacing="0" w:after="240" w:afterAutospacing="0" w:line="360" w:lineRule="auto"/>
        <w:jc w:val="both"/>
        <w:rPr>
          <w:rFonts w:ascii="Arial" w:hAnsi="Arial" w:cs="Arial"/>
          <w:sz w:val="22"/>
          <w:szCs w:val="22"/>
        </w:rPr>
      </w:pPr>
      <w:r w:rsidRPr="002C6EFA">
        <w:rPr>
          <w:rFonts w:ascii="Arial" w:hAnsi="Arial" w:cs="Arial"/>
          <w:sz w:val="22"/>
          <w:szCs w:val="22"/>
        </w:rPr>
        <w:t xml:space="preserve">Douglas, E., Cromie, S., Chiara Leva, M. and Balfe, N. (2014). Modelling the Reporting Culture within a Modern Organisation. </w:t>
      </w:r>
      <w:r w:rsidRPr="002C6EFA">
        <w:rPr>
          <w:rFonts w:ascii="Arial" w:hAnsi="Arial" w:cs="Arial"/>
          <w:i/>
          <w:iCs/>
          <w:sz w:val="22"/>
          <w:szCs w:val="22"/>
        </w:rPr>
        <w:t>CHEMICAL ENGINEERING TRANSACTIONS</w:t>
      </w:r>
      <w:r w:rsidRPr="002C6EFA">
        <w:rPr>
          <w:rFonts w:ascii="Arial" w:hAnsi="Arial" w:cs="Arial"/>
          <w:sz w:val="22"/>
          <w:szCs w:val="22"/>
        </w:rPr>
        <w:t xml:space="preserve">, [online] 36. </w:t>
      </w:r>
      <w:proofErr w:type="spellStart"/>
      <w:proofErr w:type="gramStart"/>
      <w:r w:rsidRPr="002C6EFA">
        <w:rPr>
          <w:rFonts w:ascii="Arial" w:hAnsi="Arial" w:cs="Arial"/>
          <w:sz w:val="22"/>
          <w:szCs w:val="22"/>
        </w:rPr>
        <w:t>doi:https</w:t>
      </w:r>
      <w:proofErr w:type="spellEnd"/>
      <w:r w:rsidRPr="002C6EFA">
        <w:rPr>
          <w:rFonts w:ascii="Arial" w:hAnsi="Arial" w:cs="Arial"/>
          <w:sz w:val="22"/>
          <w:szCs w:val="22"/>
        </w:rPr>
        <w:t>://doi.org/10.3303/CET1436099</w:t>
      </w:r>
      <w:proofErr w:type="gramEnd"/>
      <w:r w:rsidRPr="002C6EFA">
        <w:rPr>
          <w:rFonts w:ascii="Arial" w:hAnsi="Arial" w:cs="Arial"/>
          <w:sz w:val="22"/>
          <w:szCs w:val="22"/>
        </w:rPr>
        <w:t>.</w:t>
      </w:r>
    </w:p>
    <w:p w14:paraId="69F62292" w14:textId="77777777" w:rsidR="007B5F5D" w:rsidRPr="002C6EFA" w:rsidRDefault="007B5F5D" w:rsidP="002C6EFA">
      <w:pPr>
        <w:pStyle w:val="NormalWeb"/>
        <w:spacing w:before="0" w:beforeAutospacing="0" w:after="240" w:afterAutospacing="0" w:line="360" w:lineRule="auto"/>
        <w:jc w:val="both"/>
        <w:rPr>
          <w:rFonts w:ascii="Arial" w:hAnsi="Arial" w:cs="Arial"/>
          <w:sz w:val="22"/>
          <w:szCs w:val="22"/>
        </w:rPr>
      </w:pPr>
      <w:r w:rsidRPr="002C6EFA">
        <w:rPr>
          <w:rFonts w:ascii="Arial" w:hAnsi="Arial" w:cs="Arial"/>
          <w:sz w:val="22"/>
          <w:szCs w:val="22"/>
          <w:lang w:val="de-AT"/>
        </w:rPr>
        <w:t xml:space="preserve">Eufemia, L., Bonatti, M., Sieber, S., Schröter, B. and Lana, M.A. (2020). </w:t>
      </w:r>
      <w:r w:rsidRPr="002C6EFA">
        <w:rPr>
          <w:rFonts w:ascii="Arial" w:hAnsi="Arial" w:cs="Arial"/>
          <w:sz w:val="22"/>
          <w:szCs w:val="22"/>
        </w:rPr>
        <w:t xml:space="preserve">Mechanisms of Weak Governance in Grasslands and Wetlands of South America. </w:t>
      </w:r>
      <w:r w:rsidRPr="002C6EFA">
        <w:rPr>
          <w:rFonts w:ascii="Arial" w:hAnsi="Arial" w:cs="Arial"/>
          <w:i/>
          <w:iCs/>
          <w:sz w:val="22"/>
          <w:szCs w:val="22"/>
        </w:rPr>
        <w:t>Sustainability</w:t>
      </w:r>
      <w:r w:rsidRPr="002C6EFA">
        <w:rPr>
          <w:rFonts w:ascii="Arial" w:hAnsi="Arial" w:cs="Arial"/>
          <w:sz w:val="22"/>
          <w:szCs w:val="22"/>
        </w:rPr>
        <w:t xml:space="preserve">, 12(17), p.7214. </w:t>
      </w:r>
      <w:proofErr w:type="spellStart"/>
      <w:proofErr w:type="gramStart"/>
      <w:r w:rsidRPr="002C6EFA">
        <w:rPr>
          <w:rFonts w:ascii="Arial" w:hAnsi="Arial" w:cs="Arial"/>
          <w:sz w:val="22"/>
          <w:szCs w:val="22"/>
        </w:rPr>
        <w:t>doi:https</w:t>
      </w:r>
      <w:proofErr w:type="spellEnd"/>
      <w:r w:rsidRPr="002C6EFA">
        <w:rPr>
          <w:rFonts w:ascii="Arial" w:hAnsi="Arial" w:cs="Arial"/>
          <w:sz w:val="22"/>
          <w:szCs w:val="22"/>
        </w:rPr>
        <w:t>://doi.org/10.3390/su12177214</w:t>
      </w:r>
      <w:proofErr w:type="gramEnd"/>
      <w:r w:rsidRPr="002C6EFA">
        <w:rPr>
          <w:rFonts w:ascii="Arial" w:hAnsi="Arial" w:cs="Arial"/>
          <w:sz w:val="22"/>
          <w:szCs w:val="22"/>
        </w:rPr>
        <w:t>.</w:t>
      </w:r>
    </w:p>
    <w:p w14:paraId="2299333A" w14:textId="77777777" w:rsidR="007B5F5D" w:rsidRPr="002C6EFA" w:rsidRDefault="007B5F5D" w:rsidP="002C6EFA">
      <w:pPr>
        <w:pStyle w:val="NormalWeb"/>
        <w:spacing w:before="0" w:beforeAutospacing="0" w:after="240" w:afterAutospacing="0" w:line="360" w:lineRule="auto"/>
        <w:jc w:val="both"/>
        <w:rPr>
          <w:rFonts w:ascii="Arial" w:hAnsi="Arial" w:cs="Arial"/>
          <w:sz w:val="22"/>
          <w:szCs w:val="22"/>
        </w:rPr>
      </w:pPr>
      <w:proofErr w:type="spellStart"/>
      <w:r w:rsidRPr="002C6EFA">
        <w:rPr>
          <w:rFonts w:ascii="Arial" w:hAnsi="Arial" w:cs="Arial"/>
          <w:sz w:val="22"/>
          <w:szCs w:val="22"/>
        </w:rPr>
        <w:lastRenderedPageBreak/>
        <w:t>Febriza</w:t>
      </w:r>
      <w:proofErr w:type="spellEnd"/>
      <w:r w:rsidRPr="002C6EFA">
        <w:rPr>
          <w:rFonts w:ascii="Arial" w:hAnsi="Arial" w:cs="Arial"/>
          <w:sz w:val="22"/>
          <w:szCs w:val="22"/>
        </w:rPr>
        <w:t xml:space="preserve"> </w:t>
      </w:r>
      <w:proofErr w:type="spellStart"/>
      <w:r w:rsidRPr="002C6EFA">
        <w:rPr>
          <w:rFonts w:ascii="Arial" w:hAnsi="Arial" w:cs="Arial"/>
          <w:sz w:val="22"/>
          <w:szCs w:val="22"/>
        </w:rPr>
        <w:t>Imansuri</w:t>
      </w:r>
      <w:proofErr w:type="spellEnd"/>
      <w:r w:rsidRPr="002C6EFA">
        <w:rPr>
          <w:rFonts w:ascii="Arial" w:hAnsi="Arial" w:cs="Arial"/>
          <w:sz w:val="22"/>
          <w:szCs w:val="22"/>
        </w:rPr>
        <w:t xml:space="preserve">, Tasya </w:t>
      </w:r>
      <w:proofErr w:type="spellStart"/>
      <w:r w:rsidRPr="002C6EFA">
        <w:rPr>
          <w:rFonts w:ascii="Arial" w:hAnsi="Arial" w:cs="Arial"/>
          <w:sz w:val="22"/>
          <w:szCs w:val="22"/>
        </w:rPr>
        <w:t>Chayatunnufus</w:t>
      </w:r>
      <w:proofErr w:type="spellEnd"/>
      <w:r w:rsidRPr="002C6EFA">
        <w:rPr>
          <w:rFonts w:ascii="Arial" w:hAnsi="Arial" w:cs="Arial"/>
          <w:sz w:val="22"/>
          <w:szCs w:val="22"/>
        </w:rPr>
        <w:t xml:space="preserve">, </w:t>
      </w:r>
      <w:proofErr w:type="spellStart"/>
      <w:r w:rsidRPr="002C6EFA">
        <w:rPr>
          <w:rFonts w:ascii="Arial" w:hAnsi="Arial" w:cs="Arial"/>
          <w:sz w:val="22"/>
          <w:szCs w:val="22"/>
        </w:rPr>
        <w:t>Safril</w:t>
      </w:r>
      <w:proofErr w:type="spellEnd"/>
      <w:r w:rsidRPr="002C6EFA">
        <w:rPr>
          <w:rFonts w:ascii="Arial" w:hAnsi="Arial" w:cs="Arial"/>
          <w:sz w:val="22"/>
          <w:szCs w:val="22"/>
        </w:rPr>
        <w:t xml:space="preserve"> </w:t>
      </w:r>
      <w:proofErr w:type="spellStart"/>
      <w:r w:rsidRPr="002C6EFA">
        <w:rPr>
          <w:rFonts w:ascii="Arial" w:hAnsi="Arial" w:cs="Arial"/>
          <w:sz w:val="22"/>
          <w:szCs w:val="22"/>
        </w:rPr>
        <w:t>Safril</w:t>
      </w:r>
      <w:proofErr w:type="spellEnd"/>
      <w:r w:rsidRPr="002C6EFA">
        <w:rPr>
          <w:rFonts w:ascii="Arial" w:hAnsi="Arial" w:cs="Arial"/>
          <w:sz w:val="22"/>
          <w:szCs w:val="22"/>
        </w:rPr>
        <w:t xml:space="preserve">, Fredy </w:t>
      </w:r>
      <w:proofErr w:type="spellStart"/>
      <w:r w:rsidRPr="002C6EFA">
        <w:rPr>
          <w:rFonts w:ascii="Arial" w:hAnsi="Arial" w:cs="Arial"/>
          <w:sz w:val="22"/>
          <w:szCs w:val="22"/>
        </w:rPr>
        <w:t>Sumasto</w:t>
      </w:r>
      <w:proofErr w:type="spellEnd"/>
      <w:r w:rsidRPr="002C6EFA">
        <w:rPr>
          <w:rFonts w:ascii="Arial" w:hAnsi="Arial" w:cs="Arial"/>
          <w:sz w:val="22"/>
          <w:szCs w:val="22"/>
        </w:rPr>
        <w:t xml:space="preserve">, B. Handoko </w:t>
      </w:r>
      <w:proofErr w:type="spellStart"/>
      <w:r w:rsidRPr="002C6EFA">
        <w:rPr>
          <w:rFonts w:ascii="Arial" w:hAnsi="Arial" w:cs="Arial"/>
          <w:sz w:val="22"/>
          <w:szCs w:val="22"/>
        </w:rPr>
        <w:t>Purwojatmiko</w:t>
      </w:r>
      <w:proofErr w:type="spellEnd"/>
      <w:r w:rsidRPr="002C6EFA">
        <w:rPr>
          <w:rFonts w:ascii="Arial" w:hAnsi="Arial" w:cs="Arial"/>
          <w:sz w:val="22"/>
          <w:szCs w:val="22"/>
        </w:rPr>
        <w:t xml:space="preserve"> and Salati, D. (2024). Reducing Defects Using DMAIC Methodology in an Automotive Industry. </w:t>
      </w:r>
      <w:r w:rsidRPr="002C6EFA">
        <w:rPr>
          <w:rFonts w:ascii="Arial" w:hAnsi="Arial" w:cs="Arial"/>
          <w:i/>
          <w:iCs/>
          <w:sz w:val="22"/>
          <w:szCs w:val="22"/>
        </w:rPr>
        <w:t xml:space="preserve">Spektrum </w:t>
      </w:r>
      <w:proofErr w:type="gramStart"/>
      <w:r w:rsidRPr="002C6EFA">
        <w:rPr>
          <w:rFonts w:ascii="Arial" w:hAnsi="Arial" w:cs="Arial"/>
          <w:i/>
          <w:iCs/>
          <w:sz w:val="22"/>
          <w:szCs w:val="22"/>
        </w:rPr>
        <w:t>Industri :</w:t>
      </w:r>
      <w:proofErr w:type="gramEnd"/>
      <w:r w:rsidRPr="002C6EFA">
        <w:rPr>
          <w:rFonts w:ascii="Arial" w:hAnsi="Arial" w:cs="Arial"/>
          <w:i/>
          <w:iCs/>
          <w:sz w:val="22"/>
          <w:szCs w:val="22"/>
        </w:rPr>
        <w:t xml:space="preserve"> </w:t>
      </w:r>
      <w:proofErr w:type="spellStart"/>
      <w:r w:rsidRPr="002C6EFA">
        <w:rPr>
          <w:rFonts w:ascii="Arial" w:hAnsi="Arial" w:cs="Arial"/>
          <w:i/>
          <w:iCs/>
          <w:sz w:val="22"/>
          <w:szCs w:val="22"/>
        </w:rPr>
        <w:t>Jurnal</w:t>
      </w:r>
      <w:proofErr w:type="spellEnd"/>
      <w:r w:rsidRPr="002C6EFA">
        <w:rPr>
          <w:rFonts w:ascii="Arial" w:hAnsi="Arial" w:cs="Arial"/>
          <w:i/>
          <w:iCs/>
          <w:sz w:val="22"/>
          <w:szCs w:val="22"/>
        </w:rPr>
        <w:t xml:space="preserve"> </w:t>
      </w:r>
      <w:proofErr w:type="spellStart"/>
      <w:r w:rsidRPr="002C6EFA">
        <w:rPr>
          <w:rFonts w:ascii="Arial" w:hAnsi="Arial" w:cs="Arial"/>
          <w:i/>
          <w:iCs/>
          <w:sz w:val="22"/>
          <w:szCs w:val="22"/>
        </w:rPr>
        <w:t>Ilmiah</w:t>
      </w:r>
      <w:proofErr w:type="spellEnd"/>
      <w:r w:rsidRPr="002C6EFA">
        <w:rPr>
          <w:rFonts w:ascii="Arial" w:hAnsi="Arial" w:cs="Arial"/>
          <w:i/>
          <w:iCs/>
          <w:sz w:val="22"/>
          <w:szCs w:val="22"/>
        </w:rPr>
        <w:t xml:space="preserve"> </w:t>
      </w:r>
      <w:proofErr w:type="spellStart"/>
      <w:r w:rsidRPr="002C6EFA">
        <w:rPr>
          <w:rFonts w:ascii="Arial" w:hAnsi="Arial" w:cs="Arial"/>
          <w:i/>
          <w:iCs/>
          <w:sz w:val="22"/>
          <w:szCs w:val="22"/>
        </w:rPr>
        <w:t>Pengetahuan</w:t>
      </w:r>
      <w:proofErr w:type="spellEnd"/>
      <w:r w:rsidRPr="002C6EFA">
        <w:rPr>
          <w:rFonts w:ascii="Arial" w:hAnsi="Arial" w:cs="Arial"/>
          <w:i/>
          <w:iCs/>
          <w:sz w:val="22"/>
          <w:szCs w:val="22"/>
        </w:rPr>
        <w:t xml:space="preserve"> dan </w:t>
      </w:r>
      <w:proofErr w:type="spellStart"/>
      <w:r w:rsidRPr="002C6EFA">
        <w:rPr>
          <w:rFonts w:ascii="Arial" w:hAnsi="Arial" w:cs="Arial"/>
          <w:i/>
          <w:iCs/>
          <w:sz w:val="22"/>
          <w:szCs w:val="22"/>
        </w:rPr>
        <w:t>Penerapan</w:t>
      </w:r>
      <w:proofErr w:type="spellEnd"/>
      <w:r w:rsidRPr="002C6EFA">
        <w:rPr>
          <w:rFonts w:ascii="Arial" w:hAnsi="Arial" w:cs="Arial"/>
          <w:i/>
          <w:iCs/>
          <w:sz w:val="22"/>
          <w:szCs w:val="22"/>
        </w:rPr>
        <w:t xml:space="preserve"> Teknik Industri</w:t>
      </w:r>
      <w:r w:rsidRPr="002C6EFA">
        <w:rPr>
          <w:rFonts w:ascii="Arial" w:hAnsi="Arial" w:cs="Arial"/>
          <w:sz w:val="22"/>
          <w:szCs w:val="22"/>
        </w:rPr>
        <w:t xml:space="preserve">, 22(1), pp.1–13. </w:t>
      </w:r>
      <w:proofErr w:type="spellStart"/>
      <w:proofErr w:type="gramStart"/>
      <w:r w:rsidRPr="002C6EFA">
        <w:rPr>
          <w:rFonts w:ascii="Arial" w:hAnsi="Arial" w:cs="Arial"/>
          <w:sz w:val="22"/>
          <w:szCs w:val="22"/>
        </w:rPr>
        <w:t>doi:https</w:t>
      </w:r>
      <w:proofErr w:type="spellEnd"/>
      <w:r w:rsidRPr="002C6EFA">
        <w:rPr>
          <w:rFonts w:ascii="Arial" w:hAnsi="Arial" w:cs="Arial"/>
          <w:sz w:val="22"/>
          <w:szCs w:val="22"/>
        </w:rPr>
        <w:t>://doi.org/10.12928/si.v22i1.171</w:t>
      </w:r>
      <w:proofErr w:type="gramEnd"/>
      <w:r w:rsidRPr="002C6EFA">
        <w:rPr>
          <w:rFonts w:ascii="Arial" w:hAnsi="Arial" w:cs="Arial"/>
          <w:sz w:val="22"/>
          <w:szCs w:val="22"/>
        </w:rPr>
        <w:t>.</w:t>
      </w:r>
    </w:p>
    <w:p w14:paraId="6A4EF908" w14:textId="77777777" w:rsidR="007B5F5D" w:rsidRPr="002C6EFA" w:rsidRDefault="007B5F5D" w:rsidP="002C6EFA">
      <w:pPr>
        <w:pStyle w:val="NormalWeb"/>
        <w:spacing w:before="0" w:beforeAutospacing="0" w:after="240" w:afterAutospacing="0" w:line="360" w:lineRule="auto"/>
        <w:jc w:val="both"/>
        <w:rPr>
          <w:rFonts w:ascii="Arial" w:hAnsi="Arial" w:cs="Arial"/>
          <w:sz w:val="22"/>
          <w:szCs w:val="22"/>
        </w:rPr>
      </w:pPr>
      <w:r w:rsidRPr="002C6EFA">
        <w:rPr>
          <w:rFonts w:ascii="Arial" w:hAnsi="Arial" w:cs="Arial"/>
          <w:sz w:val="22"/>
          <w:szCs w:val="22"/>
        </w:rPr>
        <w:t xml:space="preserve">Francis, R. (2013). </w:t>
      </w:r>
      <w:r w:rsidRPr="002C6EFA">
        <w:rPr>
          <w:rFonts w:ascii="Arial" w:hAnsi="Arial" w:cs="Arial"/>
          <w:i/>
          <w:iCs/>
          <w:sz w:val="22"/>
          <w:szCs w:val="22"/>
        </w:rPr>
        <w:t>The Mid Staffordshire NHS Foundation Trust Public Inquiry Report of the Mid Staffordshire NHS Foundation Trust Public Inquiry Executive summary</w:t>
      </w:r>
      <w:r w:rsidRPr="002C6EFA">
        <w:rPr>
          <w:rFonts w:ascii="Arial" w:hAnsi="Arial" w:cs="Arial"/>
          <w:sz w:val="22"/>
          <w:szCs w:val="22"/>
        </w:rPr>
        <w:t>. [online] Available at: https://assets.publishing.service.gov.uk/media/5a7ba0faed915d13110607c8/0947.pdf.</w:t>
      </w:r>
    </w:p>
    <w:p w14:paraId="72B49440" w14:textId="77777777" w:rsidR="007B5F5D" w:rsidRPr="002C6EFA" w:rsidRDefault="007B5F5D" w:rsidP="002C6EFA">
      <w:pPr>
        <w:pStyle w:val="NormalWeb"/>
        <w:spacing w:before="0" w:beforeAutospacing="0" w:after="240" w:afterAutospacing="0" w:line="360" w:lineRule="auto"/>
        <w:jc w:val="both"/>
        <w:rPr>
          <w:rFonts w:ascii="Arial" w:hAnsi="Arial" w:cs="Arial"/>
          <w:sz w:val="22"/>
          <w:szCs w:val="22"/>
        </w:rPr>
      </w:pPr>
      <w:r w:rsidRPr="002C6EFA">
        <w:rPr>
          <w:rFonts w:ascii="Arial" w:hAnsi="Arial" w:cs="Arial"/>
          <w:sz w:val="22"/>
          <w:szCs w:val="22"/>
        </w:rPr>
        <w:t xml:space="preserve">Goldman, J., </w:t>
      </w:r>
      <w:proofErr w:type="spellStart"/>
      <w:r w:rsidRPr="002C6EFA">
        <w:rPr>
          <w:rFonts w:ascii="Arial" w:hAnsi="Arial" w:cs="Arial"/>
          <w:sz w:val="22"/>
          <w:szCs w:val="22"/>
        </w:rPr>
        <w:t>Kooijman</w:t>
      </w:r>
      <w:proofErr w:type="spellEnd"/>
      <w:r w:rsidRPr="002C6EFA">
        <w:rPr>
          <w:rFonts w:ascii="Arial" w:hAnsi="Arial" w:cs="Arial"/>
          <w:sz w:val="22"/>
          <w:szCs w:val="22"/>
        </w:rPr>
        <w:t xml:space="preserve">, A., Kuper, A., Coffey, M., Wong, B.M. and Trbovich, P. (2025). Integrating equity into hospital incident reporting and patient concerns systems: study protocol for a mixed methods study. </w:t>
      </w:r>
      <w:r w:rsidRPr="002C6EFA">
        <w:rPr>
          <w:rFonts w:ascii="Arial" w:hAnsi="Arial" w:cs="Arial"/>
          <w:i/>
          <w:iCs/>
          <w:sz w:val="22"/>
          <w:szCs w:val="22"/>
        </w:rPr>
        <w:t>BMJ Open</w:t>
      </w:r>
      <w:r w:rsidRPr="002C6EFA">
        <w:rPr>
          <w:rFonts w:ascii="Arial" w:hAnsi="Arial" w:cs="Arial"/>
          <w:sz w:val="22"/>
          <w:szCs w:val="22"/>
        </w:rPr>
        <w:t xml:space="preserve">, 15(11), </w:t>
      </w:r>
      <w:proofErr w:type="gramStart"/>
      <w:r w:rsidRPr="002C6EFA">
        <w:rPr>
          <w:rFonts w:ascii="Arial" w:hAnsi="Arial" w:cs="Arial"/>
          <w:sz w:val="22"/>
          <w:szCs w:val="22"/>
        </w:rPr>
        <w:t>pp.e</w:t>
      </w:r>
      <w:proofErr w:type="gramEnd"/>
      <w:r w:rsidRPr="002C6EFA">
        <w:rPr>
          <w:rFonts w:ascii="Arial" w:hAnsi="Arial" w:cs="Arial"/>
          <w:sz w:val="22"/>
          <w:szCs w:val="22"/>
        </w:rPr>
        <w:t xml:space="preserve">111054–e111054. </w:t>
      </w:r>
      <w:proofErr w:type="spellStart"/>
      <w:proofErr w:type="gramStart"/>
      <w:r w:rsidRPr="002C6EFA">
        <w:rPr>
          <w:rFonts w:ascii="Arial" w:hAnsi="Arial" w:cs="Arial"/>
          <w:sz w:val="22"/>
          <w:szCs w:val="22"/>
        </w:rPr>
        <w:t>doi:https</w:t>
      </w:r>
      <w:proofErr w:type="spellEnd"/>
      <w:r w:rsidRPr="002C6EFA">
        <w:rPr>
          <w:rFonts w:ascii="Arial" w:hAnsi="Arial" w:cs="Arial"/>
          <w:sz w:val="22"/>
          <w:szCs w:val="22"/>
        </w:rPr>
        <w:t>://doi.org/10.1136/bmjopen-2025-111054</w:t>
      </w:r>
      <w:proofErr w:type="gramEnd"/>
      <w:r w:rsidRPr="002C6EFA">
        <w:rPr>
          <w:rFonts w:ascii="Arial" w:hAnsi="Arial" w:cs="Arial"/>
          <w:sz w:val="22"/>
          <w:szCs w:val="22"/>
        </w:rPr>
        <w:t>.</w:t>
      </w:r>
    </w:p>
    <w:p w14:paraId="14A84E1E" w14:textId="77777777" w:rsidR="007B5F5D" w:rsidRPr="002C6EFA" w:rsidRDefault="007B5F5D" w:rsidP="002C6EFA">
      <w:pPr>
        <w:pStyle w:val="NormalWeb"/>
        <w:spacing w:before="0" w:beforeAutospacing="0" w:after="240" w:afterAutospacing="0" w:line="360" w:lineRule="auto"/>
        <w:jc w:val="both"/>
        <w:rPr>
          <w:rFonts w:ascii="Arial" w:hAnsi="Arial" w:cs="Arial"/>
          <w:sz w:val="22"/>
          <w:szCs w:val="22"/>
        </w:rPr>
      </w:pPr>
      <w:r w:rsidRPr="002C6EFA">
        <w:rPr>
          <w:rFonts w:ascii="Arial" w:hAnsi="Arial" w:cs="Arial"/>
          <w:sz w:val="22"/>
          <w:szCs w:val="22"/>
        </w:rPr>
        <w:t xml:space="preserve">Hughes, H. (2019). Freedom to Speak up – the Role of Freedom to Speak up Guardians and the National Guardian’s Office in England. </w:t>
      </w:r>
      <w:r w:rsidRPr="002C6EFA">
        <w:rPr>
          <w:rFonts w:ascii="Arial" w:hAnsi="Arial" w:cs="Arial"/>
          <w:i/>
          <w:iCs/>
          <w:sz w:val="22"/>
          <w:szCs w:val="22"/>
        </w:rPr>
        <w:t>Future Healthcare Journal</w:t>
      </w:r>
      <w:r w:rsidRPr="002C6EFA">
        <w:rPr>
          <w:rFonts w:ascii="Arial" w:hAnsi="Arial" w:cs="Arial"/>
          <w:sz w:val="22"/>
          <w:szCs w:val="22"/>
        </w:rPr>
        <w:t xml:space="preserve">, 6(3), pp.186–189. </w:t>
      </w:r>
      <w:proofErr w:type="spellStart"/>
      <w:proofErr w:type="gramStart"/>
      <w:r w:rsidRPr="002C6EFA">
        <w:rPr>
          <w:rFonts w:ascii="Arial" w:hAnsi="Arial" w:cs="Arial"/>
          <w:sz w:val="22"/>
          <w:szCs w:val="22"/>
        </w:rPr>
        <w:t>doi:https</w:t>
      </w:r>
      <w:proofErr w:type="spellEnd"/>
      <w:r w:rsidRPr="002C6EFA">
        <w:rPr>
          <w:rFonts w:ascii="Arial" w:hAnsi="Arial" w:cs="Arial"/>
          <w:sz w:val="22"/>
          <w:szCs w:val="22"/>
        </w:rPr>
        <w:t>://doi.org/10.7861/fhj.2019-0031</w:t>
      </w:r>
      <w:proofErr w:type="gramEnd"/>
      <w:r w:rsidRPr="002C6EFA">
        <w:rPr>
          <w:rFonts w:ascii="Arial" w:hAnsi="Arial" w:cs="Arial"/>
          <w:sz w:val="22"/>
          <w:szCs w:val="22"/>
        </w:rPr>
        <w:t>.</w:t>
      </w:r>
    </w:p>
    <w:p w14:paraId="17C999E9" w14:textId="77777777" w:rsidR="007B5F5D" w:rsidRPr="002C6EFA" w:rsidRDefault="007B5F5D" w:rsidP="002C6EFA">
      <w:pPr>
        <w:pStyle w:val="NormalWeb"/>
        <w:spacing w:before="0" w:beforeAutospacing="0" w:after="240" w:afterAutospacing="0" w:line="360" w:lineRule="auto"/>
        <w:jc w:val="both"/>
        <w:rPr>
          <w:rFonts w:ascii="Arial" w:hAnsi="Arial" w:cs="Arial"/>
          <w:sz w:val="22"/>
          <w:szCs w:val="22"/>
        </w:rPr>
      </w:pPr>
      <w:r w:rsidRPr="002C6EFA">
        <w:rPr>
          <w:rFonts w:ascii="Arial" w:hAnsi="Arial" w:cs="Arial"/>
          <w:sz w:val="22"/>
          <w:szCs w:val="22"/>
        </w:rPr>
        <w:t xml:space="preserve">Kumah, A., Nwogu, C.N., Issah, A.-R., Obot, E., </w:t>
      </w:r>
      <w:proofErr w:type="spellStart"/>
      <w:r w:rsidRPr="002C6EFA">
        <w:rPr>
          <w:rFonts w:ascii="Arial" w:hAnsi="Arial" w:cs="Arial"/>
          <w:sz w:val="22"/>
          <w:szCs w:val="22"/>
        </w:rPr>
        <w:t>Kanamitie</w:t>
      </w:r>
      <w:proofErr w:type="spellEnd"/>
      <w:r w:rsidRPr="002C6EFA">
        <w:rPr>
          <w:rFonts w:ascii="Arial" w:hAnsi="Arial" w:cs="Arial"/>
          <w:sz w:val="22"/>
          <w:szCs w:val="22"/>
        </w:rPr>
        <w:t xml:space="preserve">, D.T., Sifa, J.S. and Aidoo, L.A. (2024). Cause-and-Effect (Fishbone) Diagram: </w:t>
      </w:r>
      <w:proofErr w:type="gramStart"/>
      <w:r w:rsidRPr="002C6EFA">
        <w:rPr>
          <w:rFonts w:ascii="Arial" w:hAnsi="Arial" w:cs="Arial"/>
          <w:sz w:val="22"/>
          <w:szCs w:val="22"/>
        </w:rPr>
        <w:t>a</w:t>
      </w:r>
      <w:proofErr w:type="gramEnd"/>
      <w:r w:rsidRPr="002C6EFA">
        <w:rPr>
          <w:rFonts w:ascii="Arial" w:hAnsi="Arial" w:cs="Arial"/>
          <w:sz w:val="22"/>
          <w:szCs w:val="22"/>
        </w:rPr>
        <w:t xml:space="preserve"> Tool for Generating and Organizing Quality Improvement Ideas. </w:t>
      </w:r>
      <w:r w:rsidRPr="002C6EFA">
        <w:rPr>
          <w:rFonts w:ascii="Arial" w:hAnsi="Arial" w:cs="Arial"/>
          <w:i/>
          <w:iCs/>
          <w:sz w:val="22"/>
          <w:szCs w:val="22"/>
        </w:rPr>
        <w:t>Innovations Journals</w:t>
      </w:r>
      <w:r w:rsidRPr="002C6EFA">
        <w:rPr>
          <w:rFonts w:ascii="Arial" w:hAnsi="Arial" w:cs="Arial"/>
          <w:sz w:val="22"/>
          <w:szCs w:val="22"/>
        </w:rPr>
        <w:t xml:space="preserve">, [online] 7(2), pp.85–87. </w:t>
      </w:r>
      <w:proofErr w:type="spellStart"/>
      <w:proofErr w:type="gramStart"/>
      <w:r w:rsidRPr="002C6EFA">
        <w:rPr>
          <w:rFonts w:ascii="Arial" w:hAnsi="Arial" w:cs="Arial"/>
          <w:sz w:val="22"/>
          <w:szCs w:val="22"/>
        </w:rPr>
        <w:t>doi:https</w:t>
      </w:r>
      <w:proofErr w:type="spellEnd"/>
      <w:r w:rsidRPr="002C6EFA">
        <w:rPr>
          <w:rFonts w:ascii="Arial" w:hAnsi="Arial" w:cs="Arial"/>
          <w:sz w:val="22"/>
          <w:szCs w:val="22"/>
        </w:rPr>
        <w:t>://doi.org/10.36401/JQSH-23-42</w:t>
      </w:r>
      <w:proofErr w:type="gramEnd"/>
      <w:r w:rsidRPr="002C6EFA">
        <w:rPr>
          <w:rFonts w:ascii="Arial" w:hAnsi="Arial" w:cs="Arial"/>
          <w:sz w:val="22"/>
          <w:szCs w:val="22"/>
        </w:rPr>
        <w:t>.</w:t>
      </w:r>
    </w:p>
    <w:p w14:paraId="2C223E49" w14:textId="77777777" w:rsidR="007B5F5D" w:rsidRPr="002C6EFA" w:rsidRDefault="007B5F5D" w:rsidP="002C6EFA">
      <w:pPr>
        <w:pStyle w:val="NormalWeb"/>
        <w:jc w:val="both"/>
        <w:rPr>
          <w:rFonts w:ascii="Arial" w:hAnsi="Arial" w:cs="Arial"/>
          <w:sz w:val="22"/>
          <w:szCs w:val="22"/>
        </w:rPr>
      </w:pPr>
      <w:proofErr w:type="spellStart"/>
      <w:r w:rsidRPr="002C6EFA">
        <w:rPr>
          <w:rFonts w:ascii="Arial" w:hAnsi="Arial" w:cs="Arial"/>
          <w:sz w:val="22"/>
          <w:szCs w:val="22"/>
        </w:rPr>
        <w:t>Mrayyan</w:t>
      </w:r>
      <w:proofErr w:type="spellEnd"/>
      <w:r w:rsidRPr="002C6EFA">
        <w:rPr>
          <w:rFonts w:ascii="Arial" w:hAnsi="Arial" w:cs="Arial"/>
          <w:sz w:val="22"/>
          <w:szCs w:val="22"/>
        </w:rPr>
        <w:t xml:space="preserve">, M.T., Algunmeeyn, A., </w:t>
      </w:r>
      <w:proofErr w:type="spellStart"/>
      <w:r w:rsidRPr="002C6EFA">
        <w:rPr>
          <w:rFonts w:ascii="Arial" w:hAnsi="Arial" w:cs="Arial"/>
          <w:sz w:val="22"/>
          <w:szCs w:val="22"/>
        </w:rPr>
        <w:t>Abunab</w:t>
      </w:r>
      <w:proofErr w:type="spellEnd"/>
      <w:r w:rsidRPr="002C6EFA">
        <w:rPr>
          <w:rFonts w:ascii="Arial" w:hAnsi="Arial" w:cs="Arial"/>
          <w:sz w:val="22"/>
          <w:szCs w:val="22"/>
        </w:rPr>
        <w:t xml:space="preserve">, H.Y., </w:t>
      </w:r>
      <w:proofErr w:type="spellStart"/>
      <w:r w:rsidRPr="002C6EFA">
        <w:rPr>
          <w:rFonts w:ascii="Arial" w:hAnsi="Arial" w:cs="Arial"/>
          <w:sz w:val="22"/>
          <w:szCs w:val="22"/>
        </w:rPr>
        <w:t>Kutah</w:t>
      </w:r>
      <w:proofErr w:type="spellEnd"/>
      <w:r w:rsidRPr="002C6EFA">
        <w:rPr>
          <w:rFonts w:ascii="Arial" w:hAnsi="Arial" w:cs="Arial"/>
          <w:sz w:val="22"/>
          <w:szCs w:val="22"/>
        </w:rPr>
        <w:t xml:space="preserve">, O.A., Alfayoumi, I. and Khait, A.A. (2023). Attributes, skills and actions of clinical leadership in nursing as reported by hospital nurses: A cross-sectional study. </w:t>
      </w:r>
      <w:r w:rsidRPr="002C6EFA">
        <w:rPr>
          <w:rFonts w:ascii="Arial" w:hAnsi="Arial" w:cs="Arial"/>
          <w:i/>
          <w:iCs/>
          <w:sz w:val="22"/>
          <w:szCs w:val="22"/>
        </w:rPr>
        <w:t>BMJ Leader</w:t>
      </w:r>
      <w:r w:rsidRPr="002C6EFA">
        <w:rPr>
          <w:rFonts w:ascii="Arial" w:hAnsi="Arial" w:cs="Arial"/>
          <w:sz w:val="22"/>
          <w:szCs w:val="22"/>
        </w:rPr>
        <w:t xml:space="preserve">, [online] 7(3), pp.203–211. </w:t>
      </w:r>
      <w:proofErr w:type="spellStart"/>
      <w:proofErr w:type="gramStart"/>
      <w:r w:rsidRPr="002C6EFA">
        <w:rPr>
          <w:rFonts w:ascii="Arial" w:hAnsi="Arial" w:cs="Arial"/>
          <w:sz w:val="22"/>
          <w:szCs w:val="22"/>
        </w:rPr>
        <w:t>doi:https</w:t>
      </w:r>
      <w:proofErr w:type="spellEnd"/>
      <w:r w:rsidRPr="002C6EFA">
        <w:rPr>
          <w:rFonts w:ascii="Arial" w:hAnsi="Arial" w:cs="Arial"/>
          <w:sz w:val="22"/>
          <w:szCs w:val="22"/>
        </w:rPr>
        <w:t>://doi.org/10.1136/leader-2022-000672</w:t>
      </w:r>
      <w:proofErr w:type="gramEnd"/>
      <w:r w:rsidRPr="002C6EFA">
        <w:rPr>
          <w:rFonts w:ascii="Arial" w:hAnsi="Arial" w:cs="Arial"/>
          <w:sz w:val="22"/>
          <w:szCs w:val="22"/>
        </w:rPr>
        <w:t>.</w:t>
      </w:r>
    </w:p>
    <w:p w14:paraId="38BC4AAA" w14:textId="77777777" w:rsidR="007B5F5D" w:rsidRPr="002C6EFA" w:rsidRDefault="007B5F5D" w:rsidP="002C6EFA">
      <w:pPr>
        <w:pStyle w:val="NormalWeb"/>
        <w:jc w:val="both"/>
        <w:rPr>
          <w:rFonts w:ascii="Arial" w:hAnsi="Arial" w:cs="Arial"/>
          <w:sz w:val="22"/>
          <w:szCs w:val="22"/>
        </w:rPr>
      </w:pPr>
      <w:r w:rsidRPr="002C6EFA">
        <w:rPr>
          <w:rFonts w:ascii="Arial" w:hAnsi="Arial" w:cs="Arial"/>
          <w:sz w:val="22"/>
          <w:szCs w:val="22"/>
        </w:rPr>
        <w:t xml:space="preserve">NHS (2017). </w:t>
      </w:r>
      <w:r w:rsidRPr="002C6EFA">
        <w:rPr>
          <w:rFonts w:ascii="Arial" w:hAnsi="Arial" w:cs="Arial"/>
          <w:i/>
          <w:iCs/>
          <w:sz w:val="22"/>
          <w:szCs w:val="22"/>
        </w:rPr>
        <w:t>Study and training</w:t>
      </w:r>
      <w:r w:rsidRPr="002C6EFA">
        <w:rPr>
          <w:rFonts w:ascii="Arial" w:hAnsi="Arial" w:cs="Arial"/>
          <w:sz w:val="22"/>
          <w:szCs w:val="22"/>
        </w:rPr>
        <w:t>. [online] Health Careers. Available at: https://www.healthcareers.nhs.uk/career-planning/study-and-training.</w:t>
      </w:r>
    </w:p>
    <w:p w14:paraId="2A8934ED" w14:textId="77777777" w:rsidR="007B5F5D" w:rsidRPr="002C6EFA" w:rsidRDefault="007B5F5D" w:rsidP="002C6EFA">
      <w:pPr>
        <w:pStyle w:val="NormalWeb"/>
        <w:jc w:val="both"/>
        <w:rPr>
          <w:rFonts w:ascii="Arial" w:hAnsi="Arial" w:cs="Arial"/>
          <w:sz w:val="22"/>
          <w:szCs w:val="22"/>
        </w:rPr>
      </w:pPr>
      <w:r w:rsidRPr="002C6EFA">
        <w:rPr>
          <w:rFonts w:ascii="Arial" w:hAnsi="Arial" w:cs="Arial"/>
          <w:sz w:val="22"/>
          <w:szCs w:val="22"/>
        </w:rPr>
        <w:t xml:space="preserve">NHS England (2019). </w:t>
      </w:r>
      <w:r w:rsidRPr="002C6EFA">
        <w:rPr>
          <w:rFonts w:ascii="Arial" w:hAnsi="Arial" w:cs="Arial"/>
          <w:i/>
          <w:iCs/>
          <w:sz w:val="22"/>
          <w:szCs w:val="22"/>
        </w:rPr>
        <w:t>The NHS Patient Safety Strategy Safer culture, Safer systems, Safer Patients NHS England and NHS Improvement</w:t>
      </w:r>
      <w:r w:rsidRPr="002C6EFA">
        <w:rPr>
          <w:rFonts w:ascii="Arial" w:hAnsi="Arial" w:cs="Arial"/>
          <w:sz w:val="22"/>
          <w:szCs w:val="22"/>
        </w:rPr>
        <w:t xml:space="preserve">. [online] </w:t>
      </w:r>
      <w:r w:rsidRPr="002C6EFA">
        <w:rPr>
          <w:rFonts w:ascii="Arial" w:hAnsi="Arial" w:cs="Arial"/>
          <w:i/>
          <w:iCs/>
          <w:sz w:val="22"/>
          <w:szCs w:val="22"/>
        </w:rPr>
        <w:t>NHS England</w:t>
      </w:r>
      <w:r w:rsidRPr="002C6EFA">
        <w:rPr>
          <w:rFonts w:ascii="Arial" w:hAnsi="Arial" w:cs="Arial"/>
          <w:sz w:val="22"/>
          <w:szCs w:val="22"/>
        </w:rPr>
        <w:t>. Available at: https://www.england.nhs.uk/wp-content/uploads/2020/08/190708_Patient_Safety_Strategy_for_website_v4.pdf.</w:t>
      </w:r>
    </w:p>
    <w:p w14:paraId="6CC0216A" w14:textId="77777777" w:rsidR="007B5F5D" w:rsidRPr="002C6EFA" w:rsidRDefault="007B5F5D" w:rsidP="002C6EFA">
      <w:pPr>
        <w:pStyle w:val="NormalWeb"/>
        <w:spacing w:before="0" w:beforeAutospacing="0" w:after="240" w:afterAutospacing="0" w:line="360" w:lineRule="auto"/>
        <w:jc w:val="both"/>
        <w:rPr>
          <w:rFonts w:ascii="Arial" w:hAnsi="Arial" w:cs="Arial"/>
          <w:sz w:val="22"/>
          <w:szCs w:val="22"/>
        </w:rPr>
      </w:pPr>
      <w:r w:rsidRPr="002C6EFA">
        <w:rPr>
          <w:rFonts w:ascii="Arial" w:hAnsi="Arial" w:cs="Arial"/>
          <w:sz w:val="22"/>
          <w:szCs w:val="22"/>
        </w:rPr>
        <w:t xml:space="preserve">NHS England (2019). </w:t>
      </w:r>
      <w:r w:rsidRPr="002C6EFA">
        <w:rPr>
          <w:rFonts w:ascii="Arial" w:hAnsi="Arial" w:cs="Arial"/>
          <w:i/>
          <w:iCs/>
          <w:sz w:val="22"/>
          <w:szCs w:val="22"/>
        </w:rPr>
        <w:t>The NHS Patient Safety Strategy</w:t>
      </w:r>
      <w:r w:rsidRPr="002C6EFA">
        <w:rPr>
          <w:rFonts w:ascii="Arial" w:hAnsi="Arial" w:cs="Arial"/>
          <w:sz w:val="22"/>
          <w:szCs w:val="22"/>
        </w:rPr>
        <w:t>. [online] NHS England. Available at: https://www.england.nhs.uk/patient-safety/the-nhs-patient-safety-strategy/ [Accessed 1 Dec. 2025].</w:t>
      </w:r>
    </w:p>
    <w:p w14:paraId="21CEDDFD" w14:textId="77777777" w:rsidR="007B5F5D" w:rsidRPr="002C6EFA" w:rsidRDefault="007B5F5D" w:rsidP="002C6EFA">
      <w:pPr>
        <w:pStyle w:val="NormalWeb"/>
        <w:spacing w:before="0" w:beforeAutospacing="0" w:after="240" w:afterAutospacing="0" w:line="360" w:lineRule="auto"/>
        <w:jc w:val="both"/>
        <w:rPr>
          <w:rFonts w:ascii="Arial" w:hAnsi="Arial" w:cs="Arial"/>
          <w:sz w:val="22"/>
          <w:szCs w:val="22"/>
        </w:rPr>
      </w:pPr>
      <w:proofErr w:type="spellStart"/>
      <w:r w:rsidRPr="002C6EFA">
        <w:rPr>
          <w:rFonts w:ascii="Arial" w:hAnsi="Arial" w:cs="Arial"/>
          <w:sz w:val="22"/>
          <w:szCs w:val="22"/>
        </w:rPr>
        <w:lastRenderedPageBreak/>
        <w:t>Panagioti</w:t>
      </w:r>
      <w:proofErr w:type="spellEnd"/>
      <w:r w:rsidRPr="002C6EFA">
        <w:rPr>
          <w:rFonts w:ascii="Arial" w:hAnsi="Arial" w:cs="Arial"/>
          <w:sz w:val="22"/>
          <w:szCs w:val="22"/>
        </w:rPr>
        <w:t xml:space="preserve">, M., Khan, K., Keers, R.N., </w:t>
      </w:r>
      <w:proofErr w:type="spellStart"/>
      <w:r w:rsidRPr="002C6EFA">
        <w:rPr>
          <w:rFonts w:ascii="Arial" w:hAnsi="Arial" w:cs="Arial"/>
          <w:sz w:val="22"/>
          <w:szCs w:val="22"/>
        </w:rPr>
        <w:t>Abuzour</w:t>
      </w:r>
      <w:proofErr w:type="spellEnd"/>
      <w:r w:rsidRPr="002C6EFA">
        <w:rPr>
          <w:rFonts w:ascii="Arial" w:hAnsi="Arial" w:cs="Arial"/>
          <w:sz w:val="22"/>
          <w:szCs w:val="22"/>
        </w:rPr>
        <w:t xml:space="preserve">, A., Phipps, D., </w:t>
      </w:r>
      <w:proofErr w:type="spellStart"/>
      <w:r w:rsidRPr="002C6EFA">
        <w:rPr>
          <w:rFonts w:ascii="Arial" w:hAnsi="Arial" w:cs="Arial"/>
          <w:sz w:val="22"/>
          <w:szCs w:val="22"/>
        </w:rPr>
        <w:t>Kontopantelis</w:t>
      </w:r>
      <w:proofErr w:type="spellEnd"/>
      <w:r w:rsidRPr="002C6EFA">
        <w:rPr>
          <w:rFonts w:ascii="Arial" w:hAnsi="Arial" w:cs="Arial"/>
          <w:sz w:val="22"/>
          <w:szCs w:val="22"/>
        </w:rPr>
        <w:t xml:space="preserve">, E., Bower, P., Campbell, S., Haneef, R., Avery, A.J. and Ashcroft, D.M. (2019). Prevalence, severity, and nature of preventable patient harm across medical care settings: Systematic review and meta-analysis. </w:t>
      </w:r>
      <w:r w:rsidRPr="002C6EFA">
        <w:rPr>
          <w:rFonts w:ascii="Arial" w:hAnsi="Arial" w:cs="Arial"/>
          <w:i/>
          <w:iCs/>
          <w:sz w:val="22"/>
          <w:szCs w:val="22"/>
        </w:rPr>
        <w:t>BMJ</w:t>
      </w:r>
      <w:r w:rsidRPr="002C6EFA">
        <w:rPr>
          <w:rFonts w:ascii="Arial" w:hAnsi="Arial" w:cs="Arial"/>
          <w:sz w:val="22"/>
          <w:szCs w:val="22"/>
        </w:rPr>
        <w:t xml:space="preserve">, [online] 366(366). </w:t>
      </w:r>
      <w:proofErr w:type="spellStart"/>
      <w:proofErr w:type="gramStart"/>
      <w:r w:rsidRPr="002C6EFA">
        <w:rPr>
          <w:rFonts w:ascii="Arial" w:hAnsi="Arial" w:cs="Arial"/>
          <w:sz w:val="22"/>
          <w:szCs w:val="22"/>
        </w:rPr>
        <w:t>doi:https</w:t>
      </w:r>
      <w:proofErr w:type="spellEnd"/>
      <w:r w:rsidRPr="002C6EFA">
        <w:rPr>
          <w:rFonts w:ascii="Arial" w:hAnsi="Arial" w:cs="Arial"/>
          <w:sz w:val="22"/>
          <w:szCs w:val="22"/>
        </w:rPr>
        <w:t>://doi.org/10.1136/bmj.l4185</w:t>
      </w:r>
      <w:proofErr w:type="gramEnd"/>
      <w:r w:rsidRPr="002C6EFA">
        <w:rPr>
          <w:rFonts w:ascii="Arial" w:hAnsi="Arial" w:cs="Arial"/>
          <w:sz w:val="22"/>
          <w:szCs w:val="22"/>
        </w:rPr>
        <w:t>.</w:t>
      </w:r>
    </w:p>
    <w:p w14:paraId="1826FDC4" w14:textId="77777777" w:rsidR="007B5F5D" w:rsidRPr="002C6EFA" w:rsidRDefault="007B5F5D" w:rsidP="002C6EFA">
      <w:pPr>
        <w:pStyle w:val="NormalWeb"/>
        <w:spacing w:before="0" w:beforeAutospacing="0" w:after="240" w:afterAutospacing="0" w:line="360" w:lineRule="auto"/>
        <w:jc w:val="both"/>
        <w:rPr>
          <w:rFonts w:ascii="Arial" w:hAnsi="Arial" w:cs="Arial"/>
          <w:sz w:val="22"/>
          <w:szCs w:val="22"/>
        </w:rPr>
      </w:pPr>
      <w:r w:rsidRPr="002C6EFA">
        <w:rPr>
          <w:rFonts w:ascii="Arial" w:hAnsi="Arial" w:cs="Arial"/>
          <w:sz w:val="22"/>
          <w:szCs w:val="22"/>
        </w:rPr>
        <w:t xml:space="preserve">Po-Heng Tsou and Hsin-Yao Hsu (2022). Applications of Fishbone Diagram and DEMATEL Technique for Improving Warehouse Operation—A Case Study on YMT Overseas Imported Components. </w:t>
      </w:r>
      <w:r w:rsidRPr="002C6EFA">
        <w:rPr>
          <w:rFonts w:ascii="Arial" w:hAnsi="Arial" w:cs="Arial"/>
          <w:i/>
          <w:iCs/>
          <w:sz w:val="22"/>
          <w:szCs w:val="22"/>
        </w:rPr>
        <w:t>China-USA Business Review</w:t>
      </w:r>
      <w:r w:rsidRPr="002C6EFA">
        <w:rPr>
          <w:rFonts w:ascii="Arial" w:hAnsi="Arial" w:cs="Arial"/>
          <w:sz w:val="22"/>
          <w:szCs w:val="22"/>
        </w:rPr>
        <w:t xml:space="preserve">, 21(4). </w:t>
      </w:r>
      <w:proofErr w:type="spellStart"/>
      <w:proofErr w:type="gramStart"/>
      <w:r w:rsidRPr="002C6EFA">
        <w:rPr>
          <w:rFonts w:ascii="Arial" w:hAnsi="Arial" w:cs="Arial"/>
          <w:sz w:val="22"/>
          <w:szCs w:val="22"/>
        </w:rPr>
        <w:t>doi:https</w:t>
      </w:r>
      <w:proofErr w:type="spellEnd"/>
      <w:r w:rsidRPr="002C6EFA">
        <w:rPr>
          <w:rFonts w:ascii="Arial" w:hAnsi="Arial" w:cs="Arial"/>
          <w:sz w:val="22"/>
          <w:szCs w:val="22"/>
        </w:rPr>
        <w:t>://doi.org/10.17265/1537-1514/2022.04.001</w:t>
      </w:r>
      <w:proofErr w:type="gramEnd"/>
      <w:r w:rsidRPr="002C6EFA">
        <w:rPr>
          <w:rFonts w:ascii="Arial" w:hAnsi="Arial" w:cs="Arial"/>
          <w:sz w:val="22"/>
          <w:szCs w:val="22"/>
        </w:rPr>
        <w:t>.</w:t>
      </w:r>
    </w:p>
    <w:p w14:paraId="2AE20D4A" w14:textId="77777777" w:rsidR="007B5F5D" w:rsidRPr="002C6EFA" w:rsidRDefault="007B5F5D" w:rsidP="002C6EFA">
      <w:pPr>
        <w:pStyle w:val="NormalWeb"/>
        <w:spacing w:before="0" w:beforeAutospacing="0" w:after="240" w:afterAutospacing="0" w:line="360" w:lineRule="auto"/>
        <w:jc w:val="both"/>
        <w:rPr>
          <w:rFonts w:ascii="Arial" w:hAnsi="Arial" w:cs="Arial"/>
          <w:sz w:val="22"/>
          <w:szCs w:val="22"/>
        </w:rPr>
      </w:pPr>
      <w:r w:rsidRPr="002C6EFA">
        <w:rPr>
          <w:rFonts w:ascii="Arial" w:hAnsi="Arial" w:cs="Arial"/>
          <w:sz w:val="22"/>
          <w:szCs w:val="22"/>
        </w:rPr>
        <w:t xml:space="preserve">Rafferty, A.M. and Leary, A. (2023). Nursing notes on a scandal. </w:t>
      </w:r>
      <w:r w:rsidRPr="002C6EFA">
        <w:rPr>
          <w:rFonts w:ascii="Arial" w:hAnsi="Arial" w:cs="Arial"/>
          <w:i/>
          <w:iCs/>
          <w:sz w:val="22"/>
          <w:szCs w:val="22"/>
        </w:rPr>
        <w:t>Future Healthcare Journal</w:t>
      </w:r>
      <w:r w:rsidRPr="002C6EFA">
        <w:rPr>
          <w:rFonts w:ascii="Arial" w:hAnsi="Arial" w:cs="Arial"/>
          <w:sz w:val="22"/>
          <w:szCs w:val="22"/>
        </w:rPr>
        <w:t>, 10(1), pp.3–6.</w:t>
      </w:r>
    </w:p>
    <w:p w14:paraId="3D24957E" w14:textId="77777777" w:rsidR="007B5F5D" w:rsidRPr="002C6EFA" w:rsidRDefault="007B5F5D" w:rsidP="002C6EFA">
      <w:pPr>
        <w:pStyle w:val="NormalWeb"/>
        <w:jc w:val="both"/>
        <w:rPr>
          <w:rFonts w:ascii="Arial" w:hAnsi="Arial" w:cs="Arial"/>
          <w:sz w:val="22"/>
          <w:szCs w:val="22"/>
        </w:rPr>
      </w:pPr>
      <w:r w:rsidRPr="002C6EFA">
        <w:rPr>
          <w:rFonts w:ascii="Arial" w:hAnsi="Arial" w:cs="Arial"/>
          <w:sz w:val="22"/>
          <w:szCs w:val="22"/>
        </w:rPr>
        <w:t xml:space="preserve">Rathi, R., Vakharia, A. and Shadab, M. (2021). Lean six sigma in the healthcare sector: A systematic literature review. </w:t>
      </w:r>
      <w:r w:rsidRPr="002C6EFA">
        <w:rPr>
          <w:rFonts w:ascii="Arial" w:hAnsi="Arial" w:cs="Arial"/>
          <w:i/>
          <w:iCs/>
          <w:sz w:val="22"/>
          <w:szCs w:val="22"/>
        </w:rPr>
        <w:t>Materials Today: Proceedings</w:t>
      </w:r>
      <w:r w:rsidRPr="002C6EFA">
        <w:rPr>
          <w:rFonts w:ascii="Arial" w:hAnsi="Arial" w:cs="Arial"/>
          <w:sz w:val="22"/>
          <w:szCs w:val="22"/>
        </w:rPr>
        <w:t xml:space="preserve">, [online] 50(5), pp.773–781. </w:t>
      </w:r>
      <w:proofErr w:type="spellStart"/>
      <w:proofErr w:type="gramStart"/>
      <w:r w:rsidRPr="002C6EFA">
        <w:rPr>
          <w:rFonts w:ascii="Arial" w:hAnsi="Arial" w:cs="Arial"/>
          <w:sz w:val="22"/>
          <w:szCs w:val="22"/>
        </w:rPr>
        <w:t>doi:https</w:t>
      </w:r>
      <w:proofErr w:type="spellEnd"/>
      <w:r w:rsidRPr="002C6EFA">
        <w:rPr>
          <w:rFonts w:ascii="Arial" w:hAnsi="Arial" w:cs="Arial"/>
          <w:sz w:val="22"/>
          <w:szCs w:val="22"/>
        </w:rPr>
        <w:t>://doi.org/10.1016/j.matpr.2021.05.534</w:t>
      </w:r>
      <w:proofErr w:type="gramEnd"/>
      <w:r w:rsidRPr="002C6EFA">
        <w:rPr>
          <w:rFonts w:ascii="Arial" w:hAnsi="Arial" w:cs="Arial"/>
          <w:sz w:val="22"/>
          <w:szCs w:val="22"/>
        </w:rPr>
        <w:t>.</w:t>
      </w:r>
    </w:p>
    <w:p w14:paraId="3F87D2CC" w14:textId="77777777" w:rsidR="007B5F5D" w:rsidRPr="002C6EFA" w:rsidRDefault="007B5F5D" w:rsidP="002C6EFA">
      <w:pPr>
        <w:pStyle w:val="NormalWeb"/>
        <w:spacing w:before="0" w:beforeAutospacing="0" w:after="240" w:afterAutospacing="0" w:line="360" w:lineRule="auto"/>
        <w:jc w:val="both"/>
        <w:rPr>
          <w:rFonts w:ascii="Arial" w:hAnsi="Arial" w:cs="Arial"/>
          <w:sz w:val="22"/>
          <w:szCs w:val="22"/>
        </w:rPr>
      </w:pPr>
      <w:r w:rsidRPr="002C6EFA">
        <w:rPr>
          <w:rFonts w:ascii="Arial" w:hAnsi="Arial" w:cs="Arial"/>
          <w:sz w:val="22"/>
          <w:szCs w:val="22"/>
        </w:rPr>
        <w:t xml:space="preserve">Reichert, A. and Jacobs, R. (2018). The impact of waiting time on patient outcomes: Evidence from early intervention in psychosis services in </w:t>
      </w:r>
      <w:proofErr w:type="spellStart"/>
      <w:r w:rsidRPr="002C6EFA">
        <w:rPr>
          <w:rFonts w:ascii="Arial" w:hAnsi="Arial" w:cs="Arial"/>
          <w:sz w:val="22"/>
          <w:szCs w:val="22"/>
        </w:rPr>
        <w:t>england</w:t>
      </w:r>
      <w:proofErr w:type="spellEnd"/>
      <w:r w:rsidRPr="002C6EFA">
        <w:rPr>
          <w:rFonts w:ascii="Arial" w:hAnsi="Arial" w:cs="Arial"/>
          <w:sz w:val="22"/>
          <w:szCs w:val="22"/>
        </w:rPr>
        <w:t xml:space="preserve">. </w:t>
      </w:r>
      <w:r w:rsidRPr="002C6EFA">
        <w:rPr>
          <w:rFonts w:ascii="Arial" w:hAnsi="Arial" w:cs="Arial"/>
          <w:i/>
          <w:iCs/>
          <w:sz w:val="22"/>
          <w:szCs w:val="22"/>
        </w:rPr>
        <w:t>Health Economics</w:t>
      </w:r>
      <w:r w:rsidRPr="002C6EFA">
        <w:rPr>
          <w:rFonts w:ascii="Arial" w:hAnsi="Arial" w:cs="Arial"/>
          <w:sz w:val="22"/>
          <w:szCs w:val="22"/>
        </w:rPr>
        <w:t xml:space="preserve">, 27(11), pp.1772–1787. </w:t>
      </w:r>
      <w:proofErr w:type="spellStart"/>
      <w:proofErr w:type="gramStart"/>
      <w:r w:rsidRPr="002C6EFA">
        <w:rPr>
          <w:rFonts w:ascii="Arial" w:hAnsi="Arial" w:cs="Arial"/>
          <w:sz w:val="22"/>
          <w:szCs w:val="22"/>
        </w:rPr>
        <w:t>doi:https</w:t>
      </w:r>
      <w:proofErr w:type="spellEnd"/>
      <w:r w:rsidRPr="002C6EFA">
        <w:rPr>
          <w:rFonts w:ascii="Arial" w:hAnsi="Arial" w:cs="Arial"/>
          <w:sz w:val="22"/>
          <w:szCs w:val="22"/>
        </w:rPr>
        <w:t>://doi.org/10.1002/hec.3800</w:t>
      </w:r>
      <w:proofErr w:type="gramEnd"/>
      <w:r w:rsidRPr="002C6EFA">
        <w:rPr>
          <w:rFonts w:ascii="Arial" w:hAnsi="Arial" w:cs="Arial"/>
          <w:sz w:val="22"/>
          <w:szCs w:val="22"/>
        </w:rPr>
        <w:t>.</w:t>
      </w:r>
    </w:p>
    <w:p w14:paraId="58AEB5A6" w14:textId="77777777" w:rsidR="007B5F5D" w:rsidRPr="002C6EFA" w:rsidRDefault="007B5F5D" w:rsidP="002C6EFA">
      <w:pPr>
        <w:pStyle w:val="NormalWeb"/>
        <w:spacing w:before="0" w:beforeAutospacing="0" w:after="240" w:afterAutospacing="0" w:line="360" w:lineRule="auto"/>
        <w:jc w:val="both"/>
        <w:rPr>
          <w:rFonts w:ascii="Arial" w:hAnsi="Arial" w:cs="Arial"/>
          <w:sz w:val="22"/>
          <w:szCs w:val="22"/>
        </w:rPr>
      </w:pPr>
      <w:r w:rsidRPr="002C6EFA">
        <w:rPr>
          <w:rFonts w:ascii="Arial" w:hAnsi="Arial" w:cs="Arial"/>
          <w:sz w:val="22"/>
          <w:szCs w:val="22"/>
        </w:rPr>
        <w:t xml:space="preserve">Seiji Hayashi, Emily Selia and Karen McDonnell (2009). Stress and Provider Retention in Underserved Communities. </w:t>
      </w:r>
      <w:r w:rsidRPr="002C6EFA">
        <w:rPr>
          <w:rFonts w:ascii="Arial" w:hAnsi="Arial" w:cs="Arial"/>
          <w:i/>
          <w:iCs/>
          <w:sz w:val="22"/>
          <w:szCs w:val="22"/>
        </w:rPr>
        <w:t>Journal of Health Care for the Poor and Underserved</w:t>
      </w:r>
      <w:r w:rsidRPr="002C6EFA">
        <w:rPr>
          <w:rFonts w:ascii="Arial" w:hAnsi="Arial" w:cs="Arial"/>
          <w:sz w:val="22"/>
          <w:szCs w:val="22"/>
        </w:rPr>
        <w:t xml:space="preserve">, 20(3), pp.597–604. </w:t>
      </w:r>
      <w:proofErr w:type="spellStart"/>
      <w:proofErr w:type="gramStart"/>
      <w:r w:rsidRPr="002C6EFA">
        <w:rPr>
          <w:rFonts w:ascii="Arial" w:hAnsi="Arial" w:cs="Arial"/>
          <w:sz w:val="22"/>
          <w:szCs w:val="22"/>
        </w:rPr>
        <w:t>doi:https</w:t>
      </w:r>
      <w:proofErr w:type="spellEnd"/>
      <w:r w:rsidRPr="002C6EFA">
        <w:rPr>
          <w:rFonts w:ascii="Arial" w:hAnsi="Arial" w:cs="Arial"/>
          <w:sz w:val="22"/>
          <w:szCs w:val="22"/>
        </w:rPr>
        <w:t>://doi.org/10.1353/hpu.0.0163</w:t>
      </w:r>
      <w:proofErr w:type="gramEnd"/>
      <w:r w:rsidRPr="002C6EFA">
        <w:rPr>
          <w:rFonts w:ascii="Arial" w:hAnsi="Arial" w:cs="Arial"/>
          <w:sz w:val="22"/>
          <w:szCs w:val="22"/>
        </w:rPr>
        <w:t>.</w:t>
      </w:r>
    </w:p>
    <w:p w14:paraId="417B7D77" w14:textId="77777777" w:rsidR="007B5F5D" w:rsidRPr="002C6EFA" w:rsidRDefault="007B5F5D" w:rsidP="002C6EFA">
      <w:pPr>
        <w:pStyle w:val="NormalWeb"/>
        <w:jc w:val="both"/>
        <w:rPr>
          <w:rFonts w:ascii="Arial" w:hAnsi="Arial" w:cs="Arial"/>
          <w:sz w:val="22"/>
          <w:szCs w:val="22"/>
        </w:rPr>
      </w:pPr>
      <w:r w:rsidRPr="002C6EFA">
        <w:rPr>
          <w:rFonts w:ascii="Arial" w:hAnsi="Arial" w:cs="Arial"/>
          <w:sz w:val="22"/>
          <w:szCs w:val="22"/>
        </w:rPr>
        <w:t xml:space="preserve">Singh, G., Patel, R.H. and Boster, J. (2024). </w:t>
      </w:r>
      <w:r w:rsidRPr="002C6EFA">
        <w:rPr>
          <w:rFonts w:ascii="Arial" w:hAnsi="Arial" w:cs="Arial"/>
          <w:i/>
          <w:iCs/>
          <w:sz w:val="22"/>
          <w:szCs w:val="22"/>
        </w:rPr>
        <w:t>Root cause analysis and medical error prevention</w:t>
      </w:r>
      <w:r w:rsidRPr="002C6EFA">
        <w:rPr>
          <w:rFonts w:ascii="Arial" w:hAnsi="Arial" w:cs="Arial"/>
          <w:sz w:val="22"/>
          <w:szCs w:val="22"/>
        </w:rPr>
        <w:t>. [online] PubMed. Available at: https://www.ncbi.nlm.nih.gov/books/NBK570638/.</w:t>
      </w:r>
    </w:p>
    <w:p w14:paraId="3989281B" w14:textId="77777777" w:rsidR="007B5F5D" w:rsidRPr="002C6EFA" w:rsidRDefault="007B5F5D" w:rsidP="002C6EFA">
      <w:pPr>
        <w:pStyle w:val="NormalWeb"/>
        <w:spacing w:before="0" w:beforeAutospacing="0" w:after="240" w:afterAutospacing="0" w:line="360" w:lineRule="auto"/>
        <w:jc w:val="both"/>
        <w:rPr>
          <w:rFonts w:ascii="Arial" w:hAnsi="Arial" w:cs="Arial"/>
          <w:sz w:val="22"/>
          <w:szCs w:val="22"/>
        </w:rPr>
      </w:pPr>
      <w:r w:rsidRPr="002C6EFA">
        <w:rPr>
          <w:rFonts w:ascii="Arial" w:hAnsi="Arial" w:cs="Arial"/>
          <w:sz w:val="22"/>
          <w:szCs w:val="22"/>
        </w:rPr>
        <w:t xml:space="preserve">Sun, Y. (2024). The study of the effect of performance accountability on performance management. </w:t>
      </w:r>
      <w:r w:rsidRPr="002C6EFA">
        <w:rPr>
          <w:rFonts w:ascii="Arial" w:hAnsi="Arial" w:cs="Arial"/>
          <w:i/>
          <w:iCs/>
          <w:sz w:val="22"/>
          <w:szCs w:val="22"/>
        </w:rPr>
        <w:t>Highlights in Business, Economics and Management</w:t>
      </w:r>
      <w:r w:rsidRPr="002C6EFA">
        <w:rPr>
          <w:rFonts w:ascii="Arial" w:hAnsi="Arial" w:cs="Arial"/>
          <w:sz w:val="22"/>
          <w:szCs w:val="22"/>
        </w:rPr>
        <w:t xml:space="preserve">, [online] 32, pp.187–198. </w:t>
      </w:r>
      <w:proofErr w:type="spellStart"/>
      <w:proofErr w:type="gramStart"/>
      <w:r w:rsidRPr="002C6EFA">
        <w:rPr>
          <w:rFonts w:ascii="Arial" w:hAnsi="Arial" w:cs="Arial"/>
          <w:sz w:val="22"/>
          <w:szCs w:val="22"/>
        </w:rPr>
        <w:t>doi:https</w:t>
      </w:r>
      <w:proofErr w:type="spellEnd"/>
      <w:r w:rsidRPr="002C6EFA">
        <w:rPr>
          <w:rFonts w:ascii="Arial" w:hAnsi="Arial" w:cs="Arial"/>
          <w:sz w:val="22"/>
          <w:szCs w:val="22"/>
        </w:rPr>
        <w:t>://doi.org/10.54097/pvfcd854</w:t>
      </w:r>
      <w:proofErr w:type="gramEnd"/>
      <w:r w:rsidRPr="002C6EFA">
        <w:rPr>
          <w:rFonts w:ascii="Arial" w:hAnsi="Arial" w:cs="Arial"/>
          <w:sz w:val="22"/>
          <w:szCs w:val="22"/>
        </w:rPr>
        <w:t>.</w:t>
      </w:r>
    </w:p>
    <w:p w14:paraId="5DD46089" w14:textId="77777777" w:rsidR="007B5F5D" w:rsidRPr="002C6EFA" w:rsidRDefault="007B5F5D" w:rsidP="002C6EFA">
      <w:pPr>
        <w:pStyle w:val="NormalWeb"/>
        <w:jc w:val="both"/>
        <w:rPr>
          <w:rFonts w:ascii="Arial" w:hAnsi="Arial" w:cs="Arial"/>
          <w:sz w:val="22"/>
          <w:szCs w:val="22"/>
        </w:rPr>
      </w:pPr>
      <w:r w:rsidRPr="002C6EFA">
        <w:rPr>
          <w:rFonts w:ascii="Arial" w:hAnsi="Arial" w:cs="Arial"/>
          <w:sz w:val="22"/>
          <w:szCs w:val="22"/>
        </w:rPr>
        <w:t xml:space="preserve">Sunder M, V. and Kunnath, N.R. (2019). Six Sigma to reduce claims processing errors in a healthcare payer firm. </w:t>
      </w:r>
      <w:r w:rsidRPr="002C6EFA">
        <w:rPr>
          <w:rFonts w:ascii="Arial" w:hAnsi="Arial" w:cs="Arial"/>
          <w:i/>
          <w:iCs/>
          <w:sz w:val="22"/>
          <w:szCs w:val="22"/>
        </w:rPr>
        <w:t>Production Planning &amp; Control</w:t>
      </w:r>
      <w:r w:rsidRPr="002C6EFA">
        <w:rPr>
          <w:rFonts w:ascii="Arial" w:hAnsi="Arial" w:cs="Arial"/>
          <w:sz w:val="22"/>
          <w:szCs w:val="22"/>
        </w:rPr>
        <w:t xml:space="preserve">, 31(6), pp.1–16. </w:t>
      </w:r>
      <w:proofErr w:type="spellStart"/>
      <w:proofErr w:type="gramStart"/>
      <w:r w:rsidRPr="002C6EFA">
        <w:rPr>
          <w:rFonts w:ascii="Arial" w:hAnsi="Arial" w:cs="Arial"/>
          <w:sz w:val="22"/>
          <w:szCs w:val="22"/>
        </w:rPr>
        <w:t>doi:https</w:t>
      </w:r>
      <w:proofErr w:type="spellEnd"/>
      <w:r w:rsidRPr="002C6EFA">
        <w:rPr>
          <w:rFonts w:ascii="Arial" w:hAnsi="Arial" w:cs="Arial"/>
          <w:sz w:val="22"/>
          <w:szCs w:val="22"/>
        </w:rPr>
        <w:t>://doi.org/10.1080/09537287.2019.1652857</w:t>
      </w:r>
      <w:proofErr w:type="gramEnd"/>
      <w:r w:rsidRPr="002C6EFA">
        <w:rPr>
          <w:rFonts w:ascii="Arial" w:hAnsi="Arial" w:cs="Arial"/>
          <w:sz w:val="22"/>
          <w:szCs w:val="22"/>
        </w:rPr>
        <w:t>.</w:t>
      </w:r>
    </w:p>
    <w:p w14:paraId="3788419C" w14:textId="77777777" w:rsidR="007B5F5D" w:rsidRPr="002C6EFA" w:rsidRDefault="007B5F5D" w:rsidP="002C6EFA">
      <w:pPr>
        <w:pStyle w:val="NormalWeb"/>
        <w:spacing w:before="0" w:beforeAutospacing="0" w:after="240" w:afterAutospacing="0" w:line="360" w:lineRule="auto"/>
        <w:jc w:val="both"/>
        <w:rPr>
          <w:rFonts w:ascii="Arial" w:hAnsi="Arial" w:cs="Arial"/>
          <w:sz w:val="22"/>
          <w:szCs w:val="22"/>
        </w:rPr>
      </w:pPr>
      <w:r w:rsidRPr="002C6EFA">
        <w:rPr>
          <w:rFonts w:ascii="Arial" w:hAnsi="Arial" w:cs="Arial"/>
          <w:sz w:val="22"/>
          <w:szCs w:val="22"/>
        </w:rPr>
        <w:t xml:space="preserve">Taylor, M.J., McNicholas, C., Nicolay, C., Darzi, A., Bell, D. and Reed, J.E. (2014). Systematic Review of the Application of the Plan–do–study–act Method to Improve Quality in Healthcare. </w:t>
      </w:r>
      <w:r w:rsidRPr="002C6EFA">
        <w:rPr>
          <w:rFonts w:ascii="Arial" w:hAnsi="Arial" w:cs="Arial"/>
          <w:i/>
          <w:iCs/>
          <w:sz w:val="22"/>
          <w:szCs w:val="22"/>
        </w:rPr>
        <w:lastRenderedPageBreak/>
        <w:t>BMJ Quality &amp; Safety</w:t>
      </w:r>
      <w:r w:rsidRPr="002C6EFA">
        <w:rPr>
          <w:rFonts w:ascii="Arial" w:hAnsi="Arial" w:cs="Arial"/>
          <w:sz w:val="22"/>
          <w:szCs w:val="22"/>
        </w:rPr>
        <w:t xml:space="preserve">, [online] 23(4), pp.290–298. </w:t>
      </w:r>
      <w:proofErr w:type="spellStart"/>
      <w:proofErr w:type="gramStart"/>
      <w:r w:rsidRPr="002C6EFA">
        <w:rPr>
          <w:rFonts w:ascii="Arial" w:hAnsi="Arial" w:cs="Arial"/>
          <w:sz w:val="22"/>
          <w:szCs w:val="22"/>
        </w:rPr>
        <w:t>doi:https</w:t>
      </w:r>
      <w:proofErr w:type="spellEnd"/>
      <w:r w:rsidRPr="002C6EFA">
        <w:rPr>
          <w:rFonts w:ascii="Arial" w:hAnsi="Arial" w:cs="Arial"/>
          <w:sz w:val="22"/>
          <w:szCs w:val="22"/>
        </w:rPr>
        <w:t>://doi.org/10.1136/bmjqs-2013-001862</w:t>
      </w:r>
      <w:proofErr w:type="gramEnd"/>
      <w:r w:rsidRPr="002C6EFA">
        <w:rPr>
          <w:rFonts w:ascii="Arial" w:hAnsi="Arial" w:cs="Arial"/>
          <w:sz w:val="22"/>
          <w:szCs w:val="22"/>
        </w:rPr>
        <w:t>.</w:t>
      </w:r>
    </w:p>
    <w:p w14:paraId="0149CF59" w14:textId="77777777" w:rsidR="007B5F5D" w:rsidRPr="002C6EFA" w:rsidRDefault="007B5F5D" w:rsidP="002C6EFA">
      <w:pPr>
        <w:pStyle w:val="NormalWeb"/>
        <w:spacing w:before="0" w:beforeAutospacing="0" w:after="240" w:afterAutospacing="0" w:line="360" w:lineRule="auto"/>
        <w:jc w:val="both"/>
        <w:rPr>
          <w:rFonts w:ascii="Arial" w:hAnsi="Arial" w:cs="Arial"/>
          <w:sz w:val="22"/>
          <w:szCs w:val="22"/>
        </w:rPr>
      </w:pPr>
      <w:r w:rsidRPr="002C6EFA">
        <w:rPr>
          <w:rFonts w:ascii="Arial" w:hAnsi="Arial" w:cs="Arial"/>
          <w:sz w:val="22"/>
          <w:szCs w:val="22"/>
        </w:rPr>
        <w:t xml:space="preserve">The Deming Institute (2021). </w:t>
      </w:r>
      <w:r w:rsidRPr="002C6EFA">
        <w:rPr>
          <w:rFonts w:ascii="Arial" w:hAnsi="Arial" w:cs="Arial"/>
          <w:i/>
          <w:iCs/>
          <w:sz w:val="22"/>
          <w:szCs w:val="22"/>
        </w:rPr>
        <w:t xml:space="preserve">PDSA </w:t>
      </w:r>
      <w:proofErr w:type="gramStart"/>
      <w:r w:rsidRPr="002C6EFA">
        <w:rPr>
          <w:rFonts w:ascii="Arial" w:hAnsi="Arial" w:cs="Arial"/>
          <w:i/>
          <w:iCs/>
          <w:sz w:val="22"/>
          <w:szCs w:val="22"/>
        </w:rPr>
        <w:t xml:space="preserve">Cycle </w:t>
      </w:r>
      <w:r w:rsidRPr="002C6EFA">
        <w:rPr>
          <w:rFonts w:ascii="Arial" w:hAnsi="Arial" w:cs="Arial"/>
          <w:sz w:val="22"/>
          <w:szCs w:val="22"/>
        </w:rPr>
        <w:t>.</w:t>
      </w:r>
      <w:proofErr w:type="gramEnd"/>
      <w:r w:rsidRPr="002C6EFA">
        <w:rPr>
          <w:rFonts w:ascii="Arial" w:hAnsi="Arial" w:cs="Arial"/>
          <w:sz w:val="22"/>
          <w:szCs w:val="22"/>
        </w:rPr>
        <w:t xml:space="preserve"> [online] The Deming Institute. Available at: https://deming.org/explore/pdsa/.</w:t>
      </w:r>
    </w:p>
    <w:p w14:paraId="07A43C5D" w14:textId="77777777" w:rsidR="007B5F5D" w:rsidRPr="002C6EFA" w:rsidRDefault="007B5F5D" w:rsidP="002C6EFA">
      <w:pPr>
        <w:pStyle w:val="NormalWeb"/>
        <w:spacing w:before="0" w:beforeAutospacing="0" w:after="240" w:afterAutospacing="0" w:line="360" w:lineRule="auto"/>
        <w:jc w:val="both"/>
        <w:rPr>
          <w:rFonts w:ascii="Arial" w:hAnsi="Arial" w:cs="Arial"/>
          <w:sz w:val="22"/>
          <w:szCs w:val="22"/>
        </w:rPr>
      </w:pPr>
      <w:r w:rsidRPr="002C6EFA">
        <w:rPr>
          <w:rFonts w:ascii="Arial" w:hAnsi="Arial" w:cs="Arial"/>
          <w:sz w:val="22"/>
          <w:szCs w:val="22"/>
        </w:rPr>
        <w:t xml:space="preserve">Turner, S., Vasilakis, C., Utley, M., Foster, P., Kotecha, A. and Fulop, N.J. (2018). Analysing Barriers to Service Improvement Using a multi-level Theory of innovation: the Case of Glaucoma Outpatient Clinics. </w:t>
      </w:r>
      <w:r w:rsidRPr="002C6EFA">
        <w:rPr>
          <w:rFonts w:ascii="Arial" w:hAnsi="Arial" w:cs="Arial"/>
          <w:i/>
          <w:iCs/>
          <w:sz w:val="22"/>
          <w:szCs w:val="22"/>
        </w:rPr>
        <w:t>Sociology of Health &amp; Illness</w:t>
      </w:r>
      <w:r w:rsidRPr="002C6EFA">
        <w:rPr>
          <w:rFonts w:ascii="Arial" w:hAnsi="Arial" w:cs="Arial"/>
          <w:sz w:val="22"/>
          <w:szCs w:val="22"/>
        </w:rPr>
        <w:t xml:space="preserve">, [online] 40(4), pp.654–669. </w:t>
      </w:r>
      <w:proofErr w:type="spellStart"/>
      <w:proofErr w:type="gramStart"/>
      <w:r w:rsidRPr="002C6EFA">
        <w:rPr>
          <w:rFonts w:ascii="Arial" w:hAnsi="Arial" w:cs="Arial"/>
          <w:sz w:val="22"/>
          <w:szCs w:val="22"/>
        </w:rPr>
        <w:t>doi:https</w:t>
      </w:r>
      <w:proofErr w:type="spellEnd"/>
      <w:r w:rsidRPr="002C6EFA">
        <w:rPr>
          <w:rFonts w:ascii="Arial" w:hAnsi="Arial" w:cs="Arial"/>
          <w:sz w:val="22"/>
          <w:szCs w:val="22"/>
        </w:rPr>
        <w:t>://doi.org/10.1111/1467-9566.12670</w:t>
      </w:r>
      <w:proofErr w:type="gramEnd"/>
      <w:r w:rsidRPr="002C6EFA">
        <w:rPr>
          <w:rFonts w:ascii="Arial" w:hAnsi="Arial" w:cs="Arial"/>
          <w:sz w:val="22"/>
          <w:szCs w:val="22"/>
        </w:rPr>
        <w:t>.</w:t>
      </w:r>
    </w:p>
    <w:p w14:paraId="42AC63A6" w14:textId="77777777" w:rsidR="007B5F5D" w:rsidRPr="007B5F5D" w:rsidRDefault="007B5F5D" w:rsidP="007B5F5D">
      <w:pPr>
        <w:pStyle w:val="NormalWeb"/>
        <w:spacing w:before="0" w:beforeAutospacing="0" w:after="240" w:afterAutospacing="0" w:line="360" w:lineRule="auto"/>
        <w:jc w:val="both"/>
        <w:rPr>
          <w:rFonts w:ascii="Arial" w:hAnsi="Arial" w:cs="Arial"/>
          <w:sz w:val="22"/>
          <w:szCs w:val="22"/>
        </w:rPr>
      </w:pPr>
      <w:r w:rsidRPr="002C6EFA">
        <w:rPr>
          <w:rFonts w:ascii="Arial" w:hAnsi="Arial" w:cs="Arial"/>
          <w:sz w:val="22"/>
          <w:szCs w:val="22"/>
        </w:rPr>
        <w:t xml:space="preserve">Wiegmann, D.A., J. Wood, L., N. Cohen, T. and Shappell, S.A. (2022). Understanding the ‘Swiss cheese model’ and its application to patient safety. </w:t>
      </w:r>
      <w:r w:rsidRPr="002C6EFA">
        <w:rPr>
          <w:rFonts w:ascii="Arial" w:hAnsi="Arial" w:cs="Arial"/>
          <w:i/>
          <w:iCs/>
          <w:sz w:val="22"/>
          <w:szCs w:val="22"/>
        </w:rPr>
        <w:t>Journal of Patient Safety</w:t>
      </w:r>
      <w:r w:rsidRPr="002C6EFA">
        <w:rPr>
          <w:rFonts w:ascii="Arial" w:hAnsi="Arial" w:cs="Arial"/>
          <w:sz w:val="22"/>
          <w:szCs w:val="22"/>
        </w:rPr>
        <w:t>, [online] 18(2), pp.119</w:t>
      </w:r>
      <w:r w:rsidRPr="007B5F5D">
        <w:rPr>
          <w:rFonts w:ascii="Arial" w:hAnsi="Arial" w:cs="Arial"/>
          <w:sz w:val="22"/>
          <w:szCs w:val="22"/>
        </w:rPr>
        <w:t xml:space="preserve">–123. Available at: </w:t>
      </w:r>
      <w:hyperlink r:id="rId12" w:history="1">
        <w:r w:rsidRPr="007B5F5D">
          <w:rPr>
            <w:rStyle w:val="Hyperlink"/>
            <w:rFonts w:ascii="Arial" w:hAnsi="Arial" w:cs="Arial"/>
            <w:sz w:val="22"/>
            <w:szCs w:val="22"/>
          </w:rPr>
          <w:t>https://www.ncbi.nlm.nih.gov/pmc/articles/PMC8514562/</w:t>
        </w:r>
      </w:hyperlink>
      <w:r w:rsidRPr="007B5F5D">
        <w:rPr>
          <w:rFonts w:ascii="Arial" w:hAnsi="Arial" w:cs="Arial"/>
          <w:sz w:val="22"/>
          <w:szCs w:val="22"/>
        </w:rPr>
        <w:t>.</w:t>
      </w:r>
    </w:p>
    <w:p w14:paraId="7D9F8E01" w14:textId="77777777" w:rsidR="007B5F5D" w:rsidRPr="007B5F5D" w:rsidRDefault="007B5F5D" w:rsidP="007B5F5D">
      <w:pPr>
        <w:pStyle w:val="NormalWeb"/>
        <w:spacing w:before="0" w:beforeAutospacing="0" w:after="240" w:afterAutospacing="0" w:line="360" w:lineRule="auto"/>
        <w:jc w:val="both"/>
        <w:rPr>
          <w:rFonts w:ascii="Arial" w:hAnsi="Arial" w:cs="Arial"/>
          <w:sz w:val="22"/>
          <w:szCs w:val="22"/>
        </w:rPr>
      </w:pPr>
    </w:p>
    <w:sectPr w:rsidR="007B5F5D" w:rsidRPr="007B5F5D" w:rsidSect="00005D48">
      <w:footerReference w:type="default" r:id="rId13"/>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57E5C" w14:textId="77777777" w:rsidR="00041F04" w:rsidRDefault="00041F04" w:rsidP="00251DD5">
      <w:pPr>
        <w:spacing w:line="240" w:lineRule="auto"/>
      </w:pPr>
      <w:r>
        <w:separator/>
      </w:r>
    </w:p>
  </w:endnote>
  <w:endnote w:type="continuationSeparator" w:id="0">
    <w:p w14:paraId="3714B56E" w14:textId="77777777" w:rsidR="00041F04" w:rsidRDefault="00041F04" w:rsidP="00251D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2A48194-EA86-40BC-BB48-17285056E8B5}"/>
  </w:font>
  <w:font w:name="SimSun">
    <w:altName w:val="宋体"/>
    <w:panose1 w:val="02010600030101010101"/>
    <w:charset w:val="86"/>
    <w:family w:val="auto"/>
    <w:pitch w:val="variable"/>
    <w:sig w:usb0="00000203" w:usb1="288F0000" w:usb2="00000016" w:usb3="00000000" w:csb0="00040001" w:csb1="00000000"/>
  </w:font>
  <w:font w:name="Shruti">
    <w:panose1 w:val="02000500000000000000"/>
    <w:charset w:val="00"/>
    <w:family w:val="swiss"/>
    <w:pitch w:val="variable"/>
    <w:sig w:usb0="00040003" w:usb1="00000000" w:usb2="00000000" w:usb3="00000000" w:csb0="00000001" w:csb1="00000000"/>
    <w:embedRegular r:id="rId2" w:fontKey="{69B40E1D-2E4B-426E-8386-F81CBA867172}"/>
  </w:font>
  <w:font w:name="Cambria">
    <w:panose1 w:val="02040503050406030204"/>
    <w:charset w:val="00"/>
    <w:family w:val="roman"/>
    <w:pitch w:val="variable"/>
    <w:sig w:usb0="E00006FF" w:usb1="420024FF" w:usb2="02000000" w:usb3="00000000" w:csb0="0000019F" w:csb1="00000000"/>
    <w:embedRegular r:id="rId3" w:fontKey="{C97B9066-DFA4-44D8-92D2-605D71695A7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9392920"/>
      <w:docPartObj>
        <w:docPartGallery w:val="Page Numbers (Bottom of Page)"/>
        <w:docPartUnique/>
      </w:docPartObj>
    </w:sdtPr>
    <w:sdtEndPr>
      <w:rPr>
        <w:color w:val="7F7F7F" w:themeColor="background1" w:themeShade="7F"/>
        <w:spacing w:val="60"/>
      </w:rPr>
    </w:sdtEndPr>
    <w:sdtContent>
      <w:p w14:paraId="2E07F404" w14:textId="78A40123" w:rsidR="00A06117" w:rsidRDefault="00A06117">
        <w:pPr>
          <w:pStyle w:val="Footer"/>
          <w:pBdr>
            <w:top w:val="single" w:sz="4" w:space="1" w:color="D9D9D9" w:themeColor="background1" w:themeShade="D9"/>
          </w:pBdr>
          <w:jc w:val="right"/>
        </w:pPr>
        <w:r>
          <w:fldChar w:fldCharType="begin"/>
        </w:r>
        <w:r>
          <w:instrText xml:space="preserve"> PAGE   \* MERGEFORMAT </w:instrText>
        </w:r>
        <w:r>
          <w:fldChar w:fldCharType="separate"/>
        </w:r>
        <w:r w:rsidR="009E6BF8">
          <w:rPr>
            <w:noProof/>
          </w:rPr>
          <w:t>16</w:t>
        </w:r>
        <w:r>
          <w:rPr>
            <w:noProof/>
          </w:rPr>
          <w:fldChar w:fldCharType="end"/>
        </w:r>
        <w:r>
          <w:t xml:space="preserve"> | </w:t>
        </w:r>
        <w:r>
          <w:rPr>
            <w:color w:val="7F7F7F" w:themeColor="background1" w:themeShade="7F"/>
            <w:spacing w:val="60"/>
          </w:rPr>
          <w:t>Page</w:t>
        </w:r>
      </w:p>
    </w:sdtContent>
  </w:sdt>
  <w:p w14:paraId="47CC3C00" w14:textId="77777777" w:rsidR="00251DD5" w:rsidRDefault="00251D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1FA20" w14:textId="77777777" w:rsidR="00041F04" w:rsidRDefault="00041F04" w:rsidP="00251DD5">
      <w:pPr>
        <w:spacing w:line="240" w:lineRule="auto"/>
      </w:pPr>
      <w:r>
        <w:separator/>
      </w:r>
    </w:p>
  </w:footnote>
  <w:footnote w:type="continuationSeparator" w:id="0">
    <w:p w14:paraId="60AC52D8" w14:textId="77777777" w:rsidR="00041F04" w:rsidRDefault="00041F04" w:rsidP="00251DD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F1A0D"/>
    <w:multiLevelType w:val="multilevel"/>
    <w:tmpl w:val="315020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9A5898"/>
    <w:multiLevelType w:val="hybridMultilevel"/>
    <w:tmpl w:val="18AA91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0DE4488"/>
    <w:multiLevelType w:val="hybridMultilevel"/>
    <w:tmpl w:val="D21C189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16B74CE"/>
    <w:multiLevelType w:val="multilevel"/>
    <w:tmpl w:val="ABE4CA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1D83740"/>
    <w:multiLevelType w:val="hybridMultilevel"/>
    <w:tmpl w:val="38EC170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7647230"/>
    <w:multiLevelType w:val="hybridMultilevel"/>
    <w:tmpl w:val="EEF847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51F7C33"/>
    <w:multiLevelType w:val="multilevel"/>
    <w:tmpl w:val="07220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D31217E"/>
    <w:multiLevelType w:val="hybridMultilevel"/>
    <w:tmpl w:val="4092AE9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72E22755"/>
    <w:multiLevelType w:val="hybridMultilevel"/>
    <w:tmpl w:val="4B8A7B5A"/>
    <w:lvl w:ilvl="0" w:tplc="40090015">
      <w:start w:val="1"/>
      <w:numFmt w:val="upperLetter"/>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9" w15:restartNumberingAfterBreak="0">
    <w:nsid w:val="7694511B"/>
    <w:multiLevelType w:val="multilevel"/>
    <w:tmpl w:val="854075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14908931">
    <w:abstractNumId w:val="1"/>
  </w:num>
  <w:num w:numId="2" w16cid:durableId="1327634850">
    <w:abstractNumId w:val="5"/>
  </w:num>
  <w:num w:numId="3" w16cid:durableId="2018074440">
    <w:abstractNumId w:val="3"/>
  </w:num>
  <w:num w:numId="4" w16cid:durableId="1849981547">
    <w:abstractNumId w:val="9"/>
  </w:num>
  <w:num w:numId="5" w16cid:durableId="1782187496">
    <w:abstractNumId w:val="6"/>
  </w:num>
  <w:num w:numId="6" w16cid:durableId="249395578">
    <w:abstractNumId w:val="0"/>
  </w:num>
  <w:num w:numId="7" w16cid:durableId="1567498215">
    <w:abstractNumId w:val="2"/>
  </w:num>
  <w:num w:numId="8" w16cid:durableId="1029841018">
    <w:abstractNumId w:val="4"/>
  </w:num>
  <w:num w:numId="9" w16cid:durableId="1087192430">
    <w:abstractNumId w:val="8"/>
  </w:num>
  <w:num w:numId="10" w16cid:durableId="96227210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DB8"/>
    <w:rsid w:val="00005D48"/>
    <w:rsid w:val="00041F04"/>
    <w:rsid w:val="00072232"/>
    <w:rsid w:val="000B2758"/>
    <w:rsid w:val="00113F14"/>
    <w:rsid w:val="00123680"/>
    <w:rsid w:val="00133A7F"/>
    <w:rsid w:val="0021218B"/>
    <w:rsid w:val="00251DD5"/>
    <w:rsid w:val="0025642D"/>
    <w:rsid w:val="00274732"/>
    <w:rsid w:val="00290AC6"/>
    <w:rsid w:val="002B1F2F"/>
    <w:rsid w:val="002C6EFA"/>
    <w:rsid w:val="002D5C45"/>
    <w:rsid w:val="002E6418"/>
    <w:rsid w:val="0030724C"/>
    <w:rsid w:val="00364E57"/>
    <w:rsid w:val="00390668"/>
    <w:rsid w:val="003D6C23"/>
    <w:rsid w:val="003F288E"/>
    <w:rsid w:val="00406B79"/>
    <w:rsid w:val="00452FD6"/>
    <w:rsid w:val="0045606F"/>
    <w:rsid w:val="004A1C14"/>
    <w:rsid w:val="00502DF8"/>
    <w:rsid w:val="00542F88"/>
    <w:rsid w:val="00551960"/>
    <w:rsid w:val="005E4740"/>
    <w:rsid w:val="006408B0"/>
    <w:rsid w:val="0066212B"/>
    <w:rsid w:val="00666DB8"/>
    <w:rsid w:val="006B5C21"/>
    <w:rsid w:val="00737309"/>
    <w:rsid w:val="00750751"/>
    <w:rsid w:val="007B3F88"/>
    <w:rsid w:val="007B5F5D"/>
    <w:rsid w:val="007B69AB"/>
    <w:rsid w:val="00827D71"/>
    <w:rsid w:val="00837EBB"/>
    <w:rsid w:val="00866495"/>
    <w:rsid w:val="008827AF"/>
    <w:rsid w:val="008B038C"/>
    <w:rsid w:val="008F10BF"/>
    <w:rsid w:val="00954254"/>
    <w:rsid w:val="0096314B"/>
    <w:rsid w:val="0096709A"/>
    <w:rsid w:val="009D240A"/>
    <w:rsid w:val="009E6BF8"/>
    <w:rsid w:val="00A06117"/>
    <w:rsid w:val="00A32680"/>
    <w:rsid w:val="00AB1498"/>
    <w:rsid w:val="00AE1DDD"/>
    <w:rsid w:val="00B77272"/>
    <w:rsid w:val="00B81225"/>
    <w:rsid w:val="00C4524B"/>
    <w:rsid w:val="00CA7201"/>
    <w:rsid w:val="00CB53B6"/>
    <w:rsid w:val="00CC5C11"/>
    <w:rsid w:val="00CD0259"/>
    <w:rsid w:val="00D067AB"/>
    <w:rsid w:val="00D37E72"/>
    <w:rsid w:val="00D74283"/>
    <w:rsid w:val="00E15F1B"/>
    <w:rsid w:val="00E17B03"/>
    <w:rsid w:val="00E5799D"/>
    <w:rsid w:val="00E97664"/>
    <w:rsid w:val="00EB17E4"/>
    <w:rsid w:val="00EC29B4"/>
    <w:rsid w:val="00EC41E2"/>
    <w:rsid w:val="00F147E0"/>
    <w:rsid w:val="00F37B22"/>
    <w:rsid w:val="00F6393C"/>
    <w:rsid w:val="00FC3E95"/>
    <w:rsid w:val="00FF610C"/>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BB6C1"/>
  <w15:docId w15:val="{C5E5D4ED-96F2-4A0C-A3FA-EFC46DA50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7201"/>
  </w:style>
  <w:style w:type="paragraph" w:styleId="Heading1">
    <w:name w:val="heading 1"/>
    <w:basedOn w:val="Normal"/>
    <w:next w:val="Normal"/>
    <w:autoRedefine/>
    <w:uiPriority w:val="9"/>
    <w:qFormat/>
    <w:rsid w:val="00542F88"/>
    <w:pPr>
      <w:spacing w:before="120" w:after="120" w:line="360" w:lineRule="auto"/>
      <w:jc w:val="both"/>
      <w:outlineLvl w:val="0"/>
    </w:pPr>
    <w:rPr>
      <w:rFonts w:eastAsia="Times New Roman" w:cs="Times New Roman"/>
      <w:b/>
      <w:bCs/>
      <w:sz w:val="28"/>
      <w:szCs w:val="28"/>
      <w:lang w:val="en-GB"/>
    </w:rPr>
  </w:style>
  <w:style w:type="paragraph" w:styleId="Heading2">
    <w:name w:val="heading 2"/>
    <w:basedOn w:val="Normal"/>
    <w:next w:val="Normal"/>
    <w:autoRedefine/>
    <w:uiPriority w:val="9"/>
    <w:unhideWhenUsed/>
    <w:qFormat/>
    <w:rsid w:val="00542F88"/>
    <w:pPr>
      <w:spacing w:before="120" w:after="120" w:line="360" w:lineRule="auto"/>
      <w:jc w:val="both"/>
      <w:outlineLvl w:val="1"/>
    </w:pPr>
    <w:rPr>
      <w:rFonts w:eastAsia="Times New Roman" w:cs="Times New Roman"/>
      <w:b/>
      <w:bCs/>
      <w:sz w:val="26"/>
      <w:szCs w:val="24"/>
      <w:lang w:val="en-GB"/>
    </w:rPr>
  </w:style>
  <w:style w:type="paragraph" w:styleId="Heading3">
    <w:name w:val="heading 3"/>
    <w:basedOn w:val="Normal"/>
    <w:next w:val="Normal"/>
    <w:uiPriority w:val="9"/>
    <w:unhideWhenUsed/>
    <w:qFormat/>
    <w:rsid w:val="00542F88"/>
    <w:pPr>
      <w:spacing w:after="200" w:line="360" w:lineRule="auto"/>
      <w:jc w:val="both"/>
      <w:outlineLvl w:val="2"/>
    </w:pPr>
    <w:rPr>
      <w:b/>
      <w:bCs/>
      <w:sz w:val="24"/>
      <w:szCs w:val="24"/>
      <w:lang w:val="en-GB"/>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styleId="TableGrid">
    <w:name w:val="Table Grid"/>
    <w:basedOn w:val="TableNormal"/>
    <w:uiPriority w:val="39"/>
    <w:rsid w:val="00133A7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51DD5"/>
    <w:pPr>
      <w:tabs>
        <w:tab w:val="center" w:pos="4513"/>
        <w:tab w:val="right" w:pos="9026"/>
      </w:tabs>
      <w:spacing w:line="240" w:lineRule="auto"/>
    </w:pPr>
  </w:style>
  <w:style w:type="character" w:customStyle="1" w:styleId="HeaderChar">
    <w:name w:val="Header Char"/>
    <w:basedOn w:val="DefaultParagraphFont"/>
    <w:link w:val="Header"/>
    <w:uiPriority w:val="99"/>
    <w:rsid w:val="00251DD5"/>
  </w:style>
  <w:style w:type="paragraph" w:styleId="Footer">
    <w:name w:val="footer"/>
    <w:basedOn w:val="Normal"/>
    <w:link w:val="FooterChar"/>
    <w:uiPriority w:val="99"/>
    <w:unhideWhenUsed/>
    <w:rsid w:val="00251DD5"/>
    <w:pPr>
      <w:tabs>
        <w:tab w:val="center" w:pos="4513"/>
        <w:tab w:val="right" w:pos="9026"/>
      </w:tabs>
      <w:spacing w:line="240" w:lineRule="auto"/>
    </w:pPr>
  </w:style>
  <w:style w:type="character" w:customStyle="1" w:styleId="FooterChar">
    <w:name w:val="Footer Char"/>
    <w:basedOn w:val="DefaultParagraphFont"/>
    <w:link w:val="Footer"/>
    <w:uiPriority w:val="99"/>
    <w:rsid w:val="00251DD5"/>
  </w:style>
  <w:style w:type="paragraph" w:styleId="TOCHeading">
    <w:name w:val="TOC Heading"/>
    <w:basedOn w:val="Heading1"/>
    <w:next w:val="Normal"/>
    <w:uiPriority w:val="39"/>
    <w:unhideWhenUsed/>
    <w:qFormat/>
    <w:rsid w:val="00251DD5"/>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251DD5"/>
    <w:pPr>
      <w:spacing w:after="100"/>
    </w:pPr>
  </w:style>
  <w:style w:type="paragraph" w:styleId="TOC2">
    <w:name w:val="toc 2"/>
    <w:basedOn w:val="Normal"/>
    <w:next w:val="Normal"/>
    <w:autoRedefine/>
    <w:uiPriority w:val="39"/>
    <w:unhideWhenUsed/>
    <w:rsid w:val="00251DD5"/>
    <w:pPr>
      <w:spacing w:after="100"/>
      <w:ind w:left="220"/>
    </w:pPr>
  </w:style>
  <w:style w:type="character" w:styleId="Hyperlink">
    <w:name w:val="Hyperlink"/>
    <w:basedOn w:val="DefaultParagraphFont"/>
    <w:uiPriority w:val="99"/>
    <w:unhideWhenUsed/>
    <w:rsid w:val="00251DD5"/>
    <w:rPr>
      <w:color w:val="0000FF" w:themeColor="hyperlink"/>
      <w:u w:val="single"/>
    </w:rPr>
  </w:style>
  <w:style w:type="paragraph" w:styleId="ListParagraph">
    <w:name w:val="List Paragraph"/>
    <w:basedOn w:val="Normal"/>
    <w:uiPriority w:val="34"/>
    <w:qFormat/>
    <w:rsid w:val="00D74283"/>
    <w:pPr>
      <w:ind w:left="720"/>
      <w:contextualSpacing/>
    </w:pPr>
  </w:style>
  <w:style w:type="table" w:styleId="GridTable2">
    <w:name w:val="Grid Table 2"/>
    <w:basedOn w:val="TableNormal"/>
    <w:uiPriority w:val="47"/>
    <w:rsid w:val="00542F88"/>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3">
    <w:name w:val="toc 3"/>
    <w:basedOn w:val="Normal"/>
    <w:next w:val="Normal"/>
    <w:autoRedefine/>
    <w:uiPriority w:val="39"/>
    <w:unhideWhenUsed/>
    <w:rsid w:val="00FC3E95"/>
    <w:pPr>
      <w:spacing w:after="100"/>
      <w:ind w:left="440"/>
    </w:pPr>
  </w:style>
  <w:style w:type="paragraph" w:styleId="NormalWeb">
    <w:name w:val="Normal (Web)"/>
    <w:basedOn w:val="Normal"/>
    <w:uiPriority w:val="99"/>
    <w:unhideWhenUsed/>
    <w:rsid w:val="00364E57"/>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UnresolvedMention">
    <w:name w:val="Unresolved Mention"/>
    <w:basedOn w:val="DefaultParagraphFont"/>
    <w:uiPriority w:val="99"/>
    <w:semiHidden/>
    <w:unhideWhenUsed/>
    <w:rsid w:val="002C6E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6958995">
      <w:bodyDiv w:val="1"/>
      <w:marLeft w:val="0"/>
      <w:marRight w:val="0"/>
      <w:marTop w:val="0"/>
      <w:marBottom w:val="0"/>
      <w:divBdr>
        <w:top w:val="none" w:sz="0" w:space="0" w:color="auto"/>
        <w:left w:val="none" w:sz="0" w:space="0" w:color="auto"/>
        <w:bottom w:val="none" w:sz="0" w:space="0" w:color="auto"/>
        <w:right w:val="none" w:sz="0" w:space="0" w:color="auto"/>
      </w:divBdr>
      <w:divsChild>
        <w:div w:id="15208949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cbi.nlm.nih.gov/pmc/articles/PMC851456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BE036-1F81-4FE3-92E0-C4B457E75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18</Pages>
  <Words>4448</Words>
  <Characters>26472</Characters>
  <Application>Microsoft Office Word</Application>
  <DocSecurity>0</DocSecurity>
  <Lines>472</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66</cp:revision>
  <dcterms:created xsi:type="dcterms:W3CDTF">2025-12-03T08:59:00Z</dcterms:created>
  <dcterms:modified xsi:type="dcterms:W3CDTF">2025-12-12T10:06:00Z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33e525be-1cef-4637-8cdd-4ba81c81caea</vt:lpwstr>
  </property>
</Properties>
</file>