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BDA49" w14:textId="38FDEF11" w:rsidR="005F1CB1" w:rsidRDefault="005F1CB1" w:rsidP="005F1CB1">
      <w:r>
        <w:rPr>
          <w:b/>
          <w:bCs/>
          <w:noProof/>
          <w:color w:val="EE0000"/>
        </w:rPr>
        <w:drawing>
          <wp:anchor distT="0" distB="0" distL="114300" distR="114300" simplePos="0" relativeHeight="251663360" behindDoc="0" locked="0" layoutInCell="1" allowOverlap="1" wp14:anchorId="137ECD8C" wp14:editId="42421BFA">
            <wp:simplePos x="0" y="0"/>
            <wp:positionH relativeFrom="column">
              <wp:posOffset>1015365</wp:posOffset>
            </wp:positionH>
            <wp:positionV relativeFrom="paragraph">
              <wp:posOffset>419100</wp:posOffset>
            </wp:positionV>
            <wp:extent cx="4105910" cy="4279900"/>
            <wp:effectExtent l="0" t="0" r="0" b="0"/>
            <wp:wrapSquare wrapText="bothSides"/>
            <wp:docPr id="1595727031" name="Picture 2" descr="A rainbow and cloud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49823" name="Picture 2" descr="A rainbow and clouds with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05910" cy="4279900"/>
                    </a:xfrm>
                    <a:prstGeom prst="rect">
                      <a:avLst/>
                    </a:prstGeom>
                  </pic:spPr>
                </pic:pic>
              </a:graphicData>
            </a:graphic>
            <wp14:sizeRelH relativeFrom="page">
              <wp14:pctWidth>0</wp14:pctWidth>
            </wp14:sizeRelH>
            <wp14:sizeRelV relativeFrom="page">
              <wp14:pctHeight>0</wp14:pctHeight>
            </wp14:sizeRelV>
          </wp:anchor>
        </w:drawing>
      </w:r>
      <w:sdt>
        <w:sdtPr>
          <w:id w:val="276692992"/>
          <w:docPartObj>
            <w:docPartGallery w:val="Cover Pages"/>
            <w:docPartUnique/>
          </w:docPartObj>
        </w:sdtPr>
        <w:sdtEndPr>
          <w:rPr>
            <w:rFonts w:asciiTheme="minorHAnsi" w:hAnsiTheme="minorHAnsi"/>
            <w:color w:val="000000"/>
          </w:rPr>
        </w:sdtEndPr>
        <w:sdtContent>
          <w:r>
            <w:rPr>
              <w:noProof/>
            </w:rPr>
            <mc:AlternateContent>
              <mc:Choice Requires="wpg">
                <w:drawing>
                  <wp:anchor distT="0" distB="0" distL="114300" distR="114300" simplePos="0" relativeHeight="251664384" behindDoc="1" locked="0" layoutInCell="1" allowOverlap="1" wp14:anchorId="547C66A3" wp14:editId="125BD2A9">
                    <wp:simplePos x="0" y="0"/>
                    <wp:positionH relativeFrom="page">
                      <wp:posOffset>353961</wp:posOffset>
                    </wp:positionH>
                    <wp:positionV relativeFrom="page">
                      <wp:posOffset>481781</wp:posOffset>
                    </wp:positionV>
                    <wp:extent cx="6858000" cy="9123528"/>
                    <wp:effectExtent l="0" t="0" r="0" b="0"/>
                    <wp:wrapSquare wrapText="bothSides"/>
                    <wp:docPr id="916212263" name="Group 105"/>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2078715381" name="Rectangle 2078715381"/>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3356127" name="Rectangle 833356127"/>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1667172413"/>
                                    <w:dataBinding w:prefixMappings="xmlns:ns0='http://purl.org/dc/elements/1.1/' xmlns:ns1='http://schemas.openxmlformats.org/package/2006/metadata/core-properties' " w:xpath="/ns1:coreProperties[1]/ns0:creator[1]" w:storeItemID="{6C3C8BC8-F283-45AE-878A-BAB7291924A1}"/>
                                    <w:text/>
                                  </w:sdtPr>
                                  <w:sdtContent>
                                    <w:p w14:paraId="7B96E953" w14:textId="3D3C8CEC" w:rsidR="005F1CB1" w:rsidRDefault="000B6052" w:rsidP="005F1CB1">
                                      <w:pPr>
                                        <w:pStyle w:val="NoSpacing"/>
                                        <w:spacing w:before="120"/>
                                        <w:jc w:val="center"/>
                                        <w:rPr>
                                          <w:color w:val="FFFFFF" w:themeColor="background1"/>
                                        </w:rPr>
                                      </w:pPr>
                                      <w:r>
                                        <w:rPr>
                                          <w:color w:val="FFFFFF" w:themeColor="background1"/>
                                        </w:rPr>
                                        <w:t>Alanis Jones (2318398)    Word count – 33</w:t>
                                      </w:r>
                                      <w:r w:rsidR="00A81611">
                                        <w:rPr>
                                          <w:color w:val="FFFFFF" w:themeColor="background1"/>
                                        </w:rPr>
                                        <w:t>12</w:t>
                                      </w:r>
                                      <w:r w:rsidR="00A22D3A">
                                        <w:rPr>
                                          <w:color w:val="FFFFFF" w:themeColor="background1"/>
                                        </w:rPr>
                                        <w:t xml:space="preserve"> </w:t>
                                      </w:r>
                                      <w:r>
                                        <w:rPr>
                                          <w:color w:val="FFFFFF" w:themeColor="background1"/>
                                        </w:rPr>
                                        <w:t xml:space="preserve"> Module - ECEY6012</w:t>
                                      </w:r>
                                    </w:p>
                                  </w:sdtContent>
                                </w:sdt>
                                <w:p w14:paraId="67821F65" w14:textId="3396FBAE" w:rsidR="005F1CB1" w:rsidRDefault="005F1CB1" w:rsidP="005F1CB1">
                                  <w:pPr>
                                    <w:pStyle w:val="NoSpacing"/>
                                    <w:spacing w:before="120"/>
                                    <w:jc w:val="center"/>
                                    <w:rPr>
                                      <w:color w:val="FFFFFF" w:themeColor="background1"/>
                                    </w:rPr>
                                  </w:pPr>
                                  <w:sdt>
                                    <w:sdtPr>
                                      <w:rPr>
                                        <w:caps/>
                                        <w:color w:val="FFFFFF" w:themeColor="background1"/>
                                      </w:rPr>
                                      <w:alias w:val="Company"/>
                                      <w:tag w:val=""/>
                                      <w:id w:val="1600221379"/>
                                      <w:dataBinding w:prefixMappings="xmlns:ns0='http://schemas.openxmlformats.org/officeDocument/2006/extended-properties' " w:xpath="/ns0:Properties[1]/ns0:Company[1]" w:storeItemID="{6668398D-A668-4E3E-A5EB-62B293D839F1}"/>
                                      <w:text/>
                                    </w:sdtPr>
                                    <w:sdtContent>
                                      <w:r>
                                        <w:rPr>
                                          <w:caps/>
                                          <w:color w:val="FFFFFF" w:themeColor="background1"/>
                                        </w:rPr>
                                        <w:t>open play</w:t>
                                      </w:r>
                                    </w:sdtContent>
                                  </w:sdt>
                                  <w:r>
                                    <w:rPr>
                                      <w:color w:val="FFFFFF" w:themeColor="background1"/>
                                    </w:rPr>
                                    <w:t> </w:t>
                                  </w:r>
                                  <w:r w:rsidR="00286172">
                                    <w:rPr>
                                      <w:color w:val="FFFFFF" w:themeColor="background1"/>
                                    </w:rPr>
                                    <w:t xml:space="preserve"> - Gender Neutral play for all children</w:t>
                                  </w:r>
                                  <w:r>
                                    <w:rPr>
                                      <w:color w:val="FFFFFF" w:themeColor="background1"/>
                                    </w:rPr>
                                    <w:t> </w:t>
                                  </w:r>
                                  <w:sdt>
                                    <w:sdtPr>
                                      <w:rPr>
                                        <w:color w:val="FFFFFF" w:themeColor="background1"/>
                                      </w:rPr>
                                      <w:alias w:val="Address"/>
                                      <w:tag w:val=""/>
                                      <w:id w:val="1015427160"/>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547C66A3" id="Group 105" o:spid="_x0000_s1026" style="position:absolute;margin-left:27.85pt;margin-top:37.95pt;width:540pt;height:718.4pt;z-index:-251652096;mso-height-percent:909;mso-position-horizontal-relative:page;mso-position-vertical-relative:page;mso-height-percent:909" coordsize="68580,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">
                    <v:rect id="Rectangle 2078715381"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" fillcolor="#156082 [3204]" stroked="f" strokeweight="1pt"/>
                    <v:rect id="Rectangle 833356127"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" fillcolor="#156082 [3204]" stroked="f" strokeweight="1pt">
                      <v:textbox inset="36pt,57.6pt,36pt,36pt">
                        <w:txbxContent>
                          <w:sdt>
                            <w:sdtPr>
                              <w:rPr>
                                <w:color w:val="FFFFFF" w:themeColor="background1"/>
                              </w:rPr>
                              <w:alias w:val="Author"/>
                              <w:tag w:val=""/>
                              <w:id w:val="-1667172413"/>
                              <w:dataBinding w:prefixMappings="xmlns:ns0='http://purl.org/dc/elements/1.1/' xmlns:ns1='http://schemas.openxmlformats.org/package/2006/metadata/core-properties' " w:xpath="/ns1:coreProperties[1]/ns0:creator[1]" w:storeItemID="{6C3C8BC8-F283-45AE-878A-BAB7291924A1}"/>
                              <w:text/>
                            </w:sdtPr>
                            <w:sdtContent>
                              <w:p w14:paraId="7B96E953" w14:textId="3D3C8CEC" w:rsidR="005F1CB1" w:rsidRDefault="000B6052" w:rsidP="005F1CB1">
                                <w:pPr>
                                  <w:pStyle w:val="NoSpacing"/>
                                  <w:spacing w:before="120"/>
                                  <w:jc w:val="center"/>
                                  <w:rPr>
                                    <w:color w:val="FFFFFF" w:themeColor="background1"/>
                                  </w:rPr>
                                </w:pPr>
                                <w:r>
                                  <w:rPr>
                                    <w:color w:val="FFFFFF" w:themeColor="background1"/>
                                  </w:rPr>
                                  <w:t>Alanis Jones (2318398)    Word count – 33</w:t>
                                </w:r>
                                <w:r w:rsidR="00A81611">
                                  <w:rPr>
                                    <w:color w:val="FFFFFF" w:themeColor="background1"/>
                                  </w:rPr>
                                  <w:t>12</w:t>
                                </w:r>
                                <w:r w:rsidR="00A22D3A">
                                  <w:rPr>
                                    <w:color w:val="FFFFFF" w:themeColor="background1"/>
                                  </w:rPr>
                                  <w:t xml:space="preserve"> </w:t>
                                </w:r>
                                <w:r>
                                  <w:rPr>
                                    <w:color w:val="FFFFFF" w:themeColor="background1"/>
                                  </w:rPr>
                                  <w:t xml:space="preserve"> Module - ECEY6012</w:t>
                                </w:r>
                              </w:p>
                            </w:sdtContent>
                          </w:sdt>
                          <w:p w14:paraId="67821F65" w14:textId="3396FBAE" w:rsidR="005F1CB1" w:rsidRDefault="005F1CB1" w:rsidP="005F1CB1">
                            <w:pPr>
                              <w:pStyle w:val="NoSpacing"/>
                              <w:spacing w:before="120"/>
                              <w:jc w:val="center"/>
                              <w:rPr>
                                <w:color w:val="FFFFFF" w:themeColor="background1"/>
                              </w:rPr>
                            </w:pPr>
                            <w:sdt>
                              <w:sdtPr>
                                <w:rPr>
                                  <w:caps/>
                                  <w:color w:val="FFFFFF" w:themeColor="background1"/>
                                </w:rPr>
                                <w:alias w:val="Company"/>
                                <w:tag w:val=""/>
                                <w:id w:val="1600221379"/>
                                <w:dataBinding w:prefixMappings="xmlns:ns0='http://schemas.openxmlformats.org/officeDocument/2006/extended-properties' " w:xpath="/ns0:Properties[1]/ns0:Company[1]" w:storeItemID="{6668398D-A668-4E3E-A5EB-62B293D839F1}"/>
                                <w:text/>
                              </w:sdtPr>
                              <w:sdtContent>
                                <w:r>
                                  <w:rPr>
                                    <w:caps/>
                                    <w:color w:val="FFFFFF" w:themeColor="background1"/>
                                  </w:rPr>
                                  <w:t>open play</w:t>
                                </w:r>
                              </w:sdtContent>
                            </w:sdt>
                            <w:r>
                              <w:rPr>
                                <w:color w:val="FFFFFF" w:themeColor="background1"/>
                              </w:rPr>
                              <w:t> </w:t>
                            </w:r>
                            <w:r w:rsidR="00286172">
                              <w:rPr>
                                <w:color w:val="FFFFFF" w:themeColor="background1"/>
                              </w:rPr>
                              <w:t xml:space="preserve"> - Gender Neutral play for all children</w:t>
                            </w:r>
                            <w:r>
                              <w:rPr>
                                <w:color w:val="FFFFFF" w:themeColor="background1"/>
                              </w:rPr>
                              <w:t> </w:t>
                            </w:r>
                            <w:sdt>
                              <w:sdtPr>
                                <w:rPr>
                                  <w:color w:val="FFFFFF" w:themeColor="background1"/>
                                </w:rPr>
                                <w:alias w:val="Address"/>
                                <w:tag w:val=""/>
                                <w:id w:val="1015427160"/>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w10:wrap type="square" anchorx="page" anchory="page"/>
                  </v:group>
                </w:pict>
              </mc:Fallback>
            </mc:AlternateContent>
          </w:r>
          <w:r>
            <w:rPr>
              <w:noProof/>
            </w:rPr>
            <mc:AlternateContent>
              <mc:Choice Requires="wpg">
                <w:drawing>
                  <wp:anchor distT="0" distB="0" distL="114300" distR="114300" simplePos="0" relativeHeight="251661312" behindDoc="1" locked="0" layoutInCell="1" allowOverlap="1" wp14:anchorId="445BBAA8" wp14:editId="776275D5">
                    <wp:simplePos x="0" y="0"/>
                    <wp:positionH relativeFrom="page">
                      <wp:align>center</wp:align>
                    </wp:positionH>
                    <wp:positionV relativeFrom="page">
                      <wp:align>center</wp:align>
                    </wp:positionV>
                    <wp:extent cx="6858000" cy="9123528"/>
                    <wp:effectExtent l="0" t="0" r="0" b="0"/>
                    <wp:wrapSquare wrapText="bothSides"/>
                    <wp:docPr id="193" name="Group 105"/>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22DFFC4" w14:textId="60605871" w:rsidR="005F1CB1" w:rsidRDefault="00A22D3A">
                                      <w:pPr>
                                        <w:pStyle w:val="NoSpacing"/>
                                        <w:spacing w:before="120"/>
                                        <w:jc w:val="center"/>
                                        <w:rPr>
                                          <w:color w:val="FFFFFF" w:themeColor="background1"/>
                                        </w:rPr>
                                      </w:pPr>
                                      <w:r>
                                        <w:rPr>
                                          <w:color w:val="FFFFFF" w:themeColor="background1"/>
                                        </w:rPr>
                                        <w:t>Alanis Jones (2318398)    Word count – 3312  Module - ECEY6012</w:t>
                                      </w:r>
                                    </w:p>
                                  </w:sdtContent>
                                </w:sdt>
                                <w:p w14:paraId="09B9B7A1" w14:textId="593B0E0B" w:rsidR="005F1CB1" w:rsidRDefault="005F1CB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open play</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445BBAA8" id="_x0000_s1029" style="position:absolute;margin-left:0;margin-top:0;width:540pt;height:718.4pt;z-index:-251655168;mso-height-percent:909;mso-position-horizontal:center;mso-position-horizontal-relative:page;mso-position-vertical:center;mso-position-vertical-relative:page;mso-height-percent:909" coordsize="68580,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">
                    <v:rect id="Rectangle 194" o:spid="_x0000_s1030"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31"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22DFFC4" w14:textId="60605871" w:rsidR="005F1CB1" w:rsidRDefault="00A22D3A">
                                <w:pPr>
                                  <w:pStyle w:val="NoSpacing"/>
                                  <w:spacing w:before="120"/>
                                  <w:jc w:val="center"/>
                                  <w:rPr>
                                    <w:color w:val="FFFFFF" w:themeColor="background1"/>
                                  </w:rPr>
                                </w:pPr>
                                <w:r>
                                  <w:rPr>
                                    <w:color w:val="FFFFFF" w:themeColor="background1"/>
                                  </w:rPr>
                                  <w:t>Alanis Jones (2318398)    Word count – 3312  Module - ECEY6012</w:t>
                                </w:r>
                              </w:p>
                            </w:sdtContent>
                          </w:sdt>
                          <w:p w14:paraId="09B9B7A1" w14:textId="593B0E0B" w:rsidR="005F1CB1" w:rsidRDefault="005F1CB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open play</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w10:wrap type="square" anchorx="page" anchory="page"/>
                  </v:group>
                </w:pict>
              </mc:Fallback>
            </mc:AlternateContent>
          </w:r>
        </w:sdtContent>
      </w:sdt>
    </w:p>
    <w:p w14:paraId="0E736AD9" w14:textId="765E9D0C" w:rsidR="005F1CB1" w:rsidRPr="005F1CB1" w:rsidRDefault="005F1CB1" w:rsidP="005F1CB1">
      <w:pPr>
        <w:jc w:val="center"/>
        <w:rPr>
          <w:rFonts w:asciiTheme="minorHAnsi" w:hAnsiTheme="minorHAnsi"/>
          <w:b/>
          <w:bCs/>
        </w:rPr>
      </w:pPr>
      <w:r w:rsidRPr="005F1CB1">
        <w:rPr>
          <w:rFonts w:asciiTheme="minorHAnsi" w:hAnsiTheme="minorHAnsi"/>
          <w:b/>
          <w:bCs/>
          <w:u w:val="single"/>
        </w:rPr>
        <w:lastRenderedPageBreak/>
        <w:t>Contents Page</w:t>
      </w:r>
    </w:p>
    <w:p w14:paraId="32832B03" w14:textId="77777777" w:rsidR="005F1CB1" w:rsidRDefault="005F1CB1" w:rsidP="005F1CB1">
      <w:pPr>
        <w:jc w:val="center"/>
        <w:rPr>
          <w:u w:val="single"/>
        </w:rPr>
      </w:pPr>
    </w:p>
    <w:p w14:paraId="46CB4669" w14:textId="77777777" w:rsidR="005F1CB1" w:rsidRDefault="005F1CB1" w:rsidP="005F1CB1">
      <w:pPr>
        <w:jc w:val="center"/>
        <w:rPr>
          <w:u w:val="single"/>
        </w:rPr>
      </w:pPr>
    </w:p>
    <w:p w14:paraId="16A9D8D3" w14:textId="6A32FD50" w:rsidR="005F1CB1" w:rsidRPr="005F1CB1" w:rsidRDefault="005F1CB1" w:rsidP="005F1CB1">
      <w:pPr>
        <w:rPr>
          <w:rFonts w:asciiTheme="minorHAnsi" w:hAnsiTheme="minorHAnsi"/>
          <w:b/>
          <w:bCs/>
          <w:u w:val="single"/>
        </w:rPr>
      </w:pPr>
      <w:r w:rsidRPr="005F1CB1">
        <w:rPr>
          <w:rFonts w:asciiTheme="minorHAnsi" w:hAnsiTheme="minorHAnsi"/>
          <w:b/>
          <w:bCs/>
          <w:u w:val="single"/>
        </w:rPr>
        <w:t>Part 1:</w:t>
      </w:r>
    </w:p>
    <w:p w14:paraId="0EC3CBAD" w14:textId="7A7CBCB9" w:rsidR="005F1CB1" w:rsidRDefault="005F1CB1" w:rsidP="005F1CB1">
      <w:pPr>
        <w:spacing w:before="100" w:beforeAutospacing="1" w:after="100" w:afterAutospacing="1"/>
        <w:outlineLvl w:val="1"/>
        <w:rPr>
          <w:rFonts w:asciiTheme="minorHAnsi" w:hAnsiTheme="minorHAnsi"/>
          <w:b/>
          <w:bCs/>
          <w:color w:val="000000"/>
        </w:rPr>
      </w:pPr>
      <w:r>
        <w:t xml:space="preserve"> </w:t>
      </w:r>
      <w:r w:rsidRPr="002A4EF1">
        <w:rPr>
          <w:rFonts w:asciiTheme="minorHAnsi" w:hAnsiTheme="minorHAnsi"/>
          <w:b/>
          <w:bCs/>
          <w:color w:val="000000"/>
        </w:rPr>
        <w:t>Introduction to the Enterprise</w:t>
      </w:r>
      <w:r w:rsidR="008C05CD">
        <w:rPr>
          <w:rFonts w:asciiTheme="minorHAnsi" w:hAnsiTheme="minorHAnsi"/>
          <w:b/>
          <w:bCs/>
          <w:color w:val="000000"/>
        </w:rPr>
        <w:t>………………………………………………….</w:t>
      </w:r>
      <w:r w:rsidR="00153769">
        <w:rPr>
          <w:rFonts w:asciiTheme="minorHAnsi" w:hAnsiTheme="minorHAnsi"/>
          <w:b/>
          <w:bCs/>
          <w:color w:val="000000"/>
        </w:rPr>
        <w:t>2</w:t>
      </w:r>
    </w:p>
    <w:p w14:paraId="6BAA0C0D" w14:textId="1E60ECC3" w:rsidR="005F1CB1" w:rsidRPr="002A4EF1" w:rsidRDefault="005F1CB1" w:rsidP="005F1CB1">
      <w:pPr>
        <w:spacing w:before="100" w:beforeAutospacing="1" w:after="100" w:afterAutospacing="1"/>
        <w:outlineLvl w:val="1"/>
        <w:rPr>
          <w:rFonts w:asciiTheme="minorHAnsi" w:hAnsiTheme="minorHAnsi"/>
          <w:b/>
          <w:bCs/>
          <w:color w:val="000000"/>
        </w:rPr>
      </w:pPr>
      <w:r>
        <w:rPr>
          <w:rFonts w:asciiTheme="minorHAnsi" w:hAnsiTheme="minorHAnsi"/>
          <w:b/>
          <w:bCs/>
          <w:color w:val="000000"/>
        </w:rPr>
        <w:t xml:space="preserve"> </w:t>
      </w:r>
      <w:r w:rsidRPr="002A4EF1">
        <w:rPr>
          <w:rFonts w:asciiTheme="minorHAnsi" w:hAnsiTheme="minorHAnsi"/>
          <w:b/>
          <w:bCs/>
          <w:color w:val="000000"/>
        </w:rPr>
        <w:t>The Business Model and Entrepreneurial Rationale</w:t>
      </w:r>
      <w:r w:rsidR="008C05CD">
        <w:rPr>
          <w:rFonts w:asciiTheme="minorHAnsi" w:hAnsiTheme="minorHAnsi"/>
          <w:b/>
          <w:bCs/>
          <w:color w:val="000000"/>
        </w:rPr>
        <w:t>…………………….</w:t>
      </w:r>
      <w:r w:rsidR="00153769">
        <w:rPr>
          <w:rFonts w:asciiTheme="minorHAnsi" w:hAnsiTheme="minorHAnsi"/>
          <w:b/>
          <w:bCs/>
          <w:color w:val="000000"/>
        </w:rPr>
        <w:t>2</w:t>
      </w:r>
    </w:p>
    <w:p w14:paraId="00A957A6" w14:textId="0767A95E" w:rsidR="005F1CB1" w:rsidRDefault="005F1CB1" w:rsidP="005F1CB1">
      <w:pPr>
        <w:spacing w:before="100" w:beforeAutospacing="1" w:after="100" w:afterAutospacing="1"/>
        <w:outlineLvl w:val="1"/>
        <w:rPr>
          <w:rFonts w:asciiTheme="minorHAnsi" w:hAnsiTheme="minorHAnsi"/>
          <w:b/>
          <w:bCs/>
          <w:color w:val="000000"/>
        </w:rPr>
      </w:pPr>
      <w:r>
        <w:rPr>
          <w:rFonts w:asciiTheme="minorHAnsi" w:hAnsiTheme="minorHAnsi"/>
          <w:b/>
          <w:bCs/>
          <w:color w:val="000000"/>
        </w:rPr>
        <w:t xml:space="preserve"> </w:t>
      </w:r>
      <w:r w:rsidRPr="002A4EF1">
        <w:rPr>
          <w:rFonts w:asciiTheme="minorHAnsi" w:hAnsiTheme="minorHAnsi"/>
          <w:b/>
          <w:bCs/>
          <w:color w:val="000000"/>
        </w:rPr>
        <w:t>Links to Early Childhood Development</w:t>
      </w:r>
      <w:r w:rsidR="008C05CD">
        <w:rPr>
          <w:rFonts w:asciiTheme="minorHAnsi" w:hAnsiTheme="minorHAnsi"/>
          <w:b/>
          <w:bCs/>
          <w:color w:val="000000"/>
        </w:rPr>
        <w:t>……………………………………..</w:t>
      </w:r>
      <w:r w:rsidR="00153769">
        <w:rPr>
          <w:rFonts w:asciiTheme="minorHAnsi" w:hAnsiTheme="minorHAnsi"/>
          <w:b/>
          <w:bCs/>
          <w:color w:val="000000"/>
        </w:rPr>
        <w:t>3</w:t>
      </w:r>
    </w:p>
    <w:p w14:paraId="5AB4B08B" w14:textId="2ED93B4A" w:rsidR="005F1CB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Target Audience and Stakeholder Engagement</w:t>
      </w:r>
      <w:r w:rsidR="008C05CD">
        <w:rPr>
          <w:rFonts w:asciiTheme="minorHAnsi" w:hAnsiTheme="minorHAnsi"/>
          <w:b/>
          <w:bCs/>
          <w:color w:val="000000"/>
        </w:rPr>
        <w:t>…………………………..</w:t>
      </w:r>
      <w:r w:rsidR="00153769">
        <w:rPr>
          <w:rFonts w:asciiTheme="minorHAnsi" w:hAnsiTheme="minorHAnsi"/>
          <w:b/>
          <w:bCs/>
          <w:color w:val="000000"/>
        </w:rPr>
        <w:t>4</w:t>
      </w:r>
    </w:p>
    <w:p w14:paraId="722F45D6" w14:textId="5EC44BF0" w:rsidR="005F1CB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Barriers and Initial Challenges</w:t>
      </w:r>
      <w:r w:rsidR="008C05CD">
        <w:rPr>
          <w:rFonts w:asciiTheme="minorHAnsi" w:hAnsiTheme="minorHAnsi"/>
          <w:b/>
          <w:bCs/>
          <w:color w:val="000000"/>
        </w:rPr>
        <w:t>…………………………………………………</w:t>
      </w:r>
      <w:r w:rsidR="00153769">
        <w:rPr>
          <w:rFonts w:asciiTheme="minorHAnsi" w:hAnsiTheme="minorHAnsi"/>
          <w:b/>
          <w:bCs/>
          <w:color w:val="000000"/>
        </w:rPr>
        <w:t>5</w:t>
      </w:r>
    </w:p>
    <w:p w14:paraId="668DD91E" w14:textId="2BA23006" w:rsidR="005F1CB1" w:rsidRPr="002A4EF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Personal Suitability and Leadership Capacity</w:t>
      </w:r>
      <w:r w:rsidR="008C05CD">
        <w:rPr>
          <w:rFonts w:asciiTheme="minorHAnsi" w:hAnsiTheme="minorHAnsi"/>
          <w:b/>
          <w:bCs/>
          <w:color w:val="000000"/>
        </w:rPr>
        <w:t>…………………………….</w:t>
      </w:r>
      <w:r w:rsidR="00153769">
        <w:rPr>
          <w:rFonts w:asciiTheme="minorHAnsi" w:hAnsiTheme="minorHAnsi"/>
          <w:b/>
          <w:bCs/>
          <w:color w:val="000000"/>
        </w:rPr>
        <w:t>5</w:t>
      </w:r>
    </w:p>
    <w:p w14:paraId="378E3B83" w14:textId="142D4EAD" w:rsidR="005F1CB1" w:rsidRDefault="005F1CB1" w:rsidP="005F1CB1">
      <w:pPr>
        <w:spacing w:before="100" w:beforeAutospacing="1" w:after="100" w:afterAutospacing="1"/>
        <w:outlineLvl w:val="1"/>
        <w:rPr>
          <w:rFonts w:asciiTheme="minorHAnsi" w:hAnsiTheme="minorHAnsi"/>
          <w:b/>
          <w:bCs/>
          <w:color w:val="000000"/>
        </w:rPr>
      </w:pPr>
      <w:r>
        <w:rPr>
          <w:rFonts w:asciiTheme="minorHAnsi" w:hAnsiTheme="minorHAnsi"/>
          <w:b/>
          <w:bCs/>
          <w:color w:val="000000"/>
        </w:rPr>
        <w:t>Part 2:</w:t>
      </w:r>
    </w:p>
    <w:p w14:paraId="3B51C903" w14:textId="1B4310E6" w:rsidR="005F1CB1" w:rsidRDefault="005F1CB1" w:rsidP="005F1CB1">
      <w:pPr>
        <w:spacing w:before="100" w:beforeAutospacing="1" w:after="100" w:afterAutospacing="1"/>
        <w:outlineLvl w:val="1"/>
        <w:rPr>
          <w:rFonts w:asciiTheme="minorHAnsi" w:hAnsiTheme="minorHAnsi"/>
          <w:b/>
          <w:bCs/>
          <w:color w:val="000000"/>
        </w:rPr>
      </w:pPr>
      <w:r w:rsidRPr="009E6805">
        <w:rPr>
          <w:rFonts w:asciiTheme="minorHAnsi" w:hAnsiTheme="minorHAnsi"/>
          <w:b/>
          <w:bCs/>
          <w:color w:val="000000"/>
        </w:rPr>
        <w:t>Research Conducted: Survey of Parents and Practitioners</w:t>
      </w:r>
      <w:r w:rsidR="008C05CD">
        <w:rPr>
          <w:rFonts w:asciiTheme="minorHAnsi" w:hAnsiTheme="minorHAnsi"/>
          <w:b/>
          <w:bCs/>
          <w:color w:val="000000"/>
        </w:rPr>
        <w:t>……</w:t>
      </w:r>
      <w:r w:rsidR="00471736">
        <w:rPr>
          <w:rFonts w:asciiTheme="minorHAnsi" w:hAnsiTheme="minorHAnsi"/>
          <w:b/>
          <w:bCs/>
          <w:color w:val="000000"/>
        </w:rPr>
        <w:t>.</w:t>
      </w:r>
      <w:r w:rsidR="008C05CD">
        <w:rPr>
          <w:rFonts w:asciiTheme="minorHAnsi" w:hAnsiTheme="minorHAnsi"/>
          <w:b/>
          <w:bCs/>
          <w:color w:val="000000"/>
        </w:rPr>
        <w:t>……</w:t>
      </w:r>
      <w:r w:rsidR="00153769">
        <w:rPr>
          <w:rFonts w:asciiTheme="minorHAnsi" w:hAnsiTheme="minorHAnsi"/>
          <w:b/>
          <w:bCs/>
          <w:color w:val="000000"/>
        </w:rPr>
        <w:t>6</w:t>
      </w:r>
    </w:p>
    <w:p w14:paraId="44FFF569" w14:textId="3EC64048" w:rsidR="005F1CB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Distinguishing Between Sex and Gender</w:t>
      </w:r>
      <w:r w:rsidR="008C05CD">
        <w:rPr>
          <w:rFonts w:asciiTheme="minorHAnsi" w:hAnsiTheme="minorHAnsi"/>
          <w:b/>
          <w:bCs/>
          <w:color w:val="000000"/>
        </w:rPr>
        <w:t>…………………………</w:t>
      </w:r>
      <w:r w:rsidR="00471736">
        <w:rPr>
          <w:rFonts w:asciiTheme="minorHAnsi" w:hAnsiTheme="minorHAnsi"/>
          <w:b/>
          <w:bCs/>
          <w:color w:val="000000"/>
        </w:rPr>
        <w:t>.</w:t>
      </w:r>
      <w:r w:rsidR="008C05CD">
        <w:rPr>
          <w:rFonts w:asciiTheme="minorHAnsi" w:hAnsiTheme="minorHAnsi"/>
          <w:b/>
          <w:bCs/>
          <w:color w:val="000000"/>
        </w:rPr>
        <w:t>…</w:t>
      </w:r>
      <w:r w:rsidR="00471736">
        <w:rPr>
          <w:rFonts w:asciiTheme="minorHAnsi" w:hAnsiTheme="minorHAnsi"/>
          <w:b/>
          <w:bCs/>
          <w:color w:val="000000"/>
        </w:rPr>
        <w:t>..</w:t>
      </w:r>
      <w:r w:rsidR="008C05CD">
        <w:rPr>
          <w:rFonts w:asciiTheme="minorHAnsi" w:hAnsiTheme="minorHAnsi"/>
          <w:b/>
          <w:bCs/>
          <w:color w:val="000000"/>
        </w:rPr>
        <w:t>…</w:t>
      </w:r>
      <w:r w:rsidR="006F0D15">
        <w:rPr>
          <w:rFonts w:asciiTheme="minorHAnsi" w:hAnsiTheme="minorHAnsi"/>
          <w:b/>
          <w:bCs/>
          <w:color w:val="000000"/>
        </w:rPr>
        <w:t>..6</w:t>
      </w:r>
    </w:p>
    <w:p w14:paraId="3C43A30C" w14:textId="6DD8E7C8" w:rsidR="005F1CB1" w:rsidRDefault="005F1CB1" w:rsidP="005F1CB1">
      <w:pPr>
        <w:pStyle w:val="Heading2"/>
        <w:rPr>
          <w:rStyle w:val="whitespace-normal"/>
          <w:rFonts w:asciiTheme="minorHAnsi" w:hAnsiTheme="minorHAnsi"/>
          <w:b/>
          <w:bCs/>
          <w:color w:val="000000"/>
          <w:sz w:val="24"/>
          <w:szCs w:val="24"/>
        </w:rPr>
      </w:pPr>
      <w:r w:rsidRPr="005F1CB1">
        <w:rPr>
          <w:rFonts w:asciiTheme="minorHAnsi" w:hAnsiTheme="minorHAnsi"/>
          <w:b/>
          <w:bCs/>
          <w:color w:val="000000"/>
          <w:sz w:val="24"/>
          <w:szCs w:val="24"/>
        </w:rPr>
        <w:t>Theoretical Perspective:</w:t>
      </w:r>
      <w:r w:rsidRPr="005F1CB1">
        <w:rPr>
          <w:rStyle w:val="apple-converted-space"/>
          <w:rFonts w:asciiTheme="minorHAnsi" w:hAnsiTheme="minorHAnsi"/>
          <w:b/>
          <w:bCs/>
          <w:color w:val="000000"/>
          <w:sz w:val="24"/>
          <w:szCs w:val="24"/>
        </w:rPr>
        <w:t> </w:t>
      </w:r>
      <w:r w:rsidRPr="005F1CB1">
        <w:rPr>
          <w:rStyle w:val="whitespace-normal"/>
          <w:rFonts w:asciiTheme="minorHAnsi" w:hAnsiTheme="minorHAnsi"/>
          <w:b/>
          <w:bCs/>
          <w:color w:val="000000"/>
          <w:sz w:val="24"/>
          <w:szCs w:val="24"/>
        </w:rPr>
        <w:t>Lev Vygotsky</w:t>
      </w:r>
      <w:r w:rsidR="008C05CD">
        <w:rPr>
          <w:rStyle w:val="whitespace-normal"/>
          <w:rFonts w:asciiTheme="minorHAnsi" w:hAnsiTheme="minorHAnsi"/>
          <w:b/>
          <w:bCs/>
          <w:color w:val="000000"/>
          <w:sz w:val="24"/>
          <w:szCs w:val="24"/>
        </w:rPr>
        <w:t>…………………………………</w:t>
      </w:r>
      <w:r w:rsidR="00471736">
        <w:rPr>
          <w:rStyle w:val="whitespace-normal"/>
          <w:rFonts w:asciiTheme="minorHAnsi" w:hAnsiTheme="minorHAnsi"/>
          <w:b/>
          <w:bCs/>
          <w:color w:val="000000"/>
          <w:sz w:val="24"/>
          <w:szCs w:val="24"/>
        </w:rPr>
        <w:t>.</w:t>
      </w:r>
      <w:r w:rsidR="008C05CD">
        <w:rPr>
          <w:rStyle w:val="whitespace-normal"/>
          <w:rFonts w:asciiTheme="minorHAnsi" w:hAnsiTheme="minorHAnsi"/>
          <w:b/>
          <w:bCs/>
          <w:color w:val="000000"/>
          <w:sz w:val="24"/>
          <w:szCs w:val="24"/>
        </w:rPr>
        <w:t>…</w:t>
      </w:r>
      <w:r w:rsidR="006F0D15">
        <w:rPr>
          <w:rStyle w:val="whitespace-normal"/>
          <w:rFonts w:asciiTheme="minorHAnsi" w:hAnsiTheme="minorHAnsi"/>
          <w:b/>
          <w:bCs/>
          <w:color w:val="000000"/>
          <w:sz w:val="24"/>
          <w:szCs w:val="24"/>
        </w:rPr>
        <w:t>..7</w:t>
      </w:r>
    </w:p>
    <w:p w14:paraId="70E33482" w14:textId="569CD096" w:rsidR="005F1CB1" w:rsidRDefault="005F1CB1" w:rsidP="005F1CB1">
      <w:pPr>
        <w:spacing w:before="100" w:beforeAutospacing="1" w:after="100" w:afterAutospacing="1"/>
        <w:outlineLvl w:val="1"/>
        <w:rPr>
          <w:rFonts w:asciiTheme="minorHAnsi" w:hAnsiTheme="minorHAnsi"/>
          <w:b/>
          <w:bCs/>
          <w:color w:val="000000"/>
        </w:rPr>
      </w:pPr>
      <w:r w:rsidRPr="005F1CB1">
        <w:rPr>
          <w:rFonts w:asciiTheme="minorHAnsi" w:hAnsiTheme="minorHAnsi"/>
          <w:b/>
          <w:bCs/>
          <w:color w:val="000000"/>
        </w:rPr>
        <w:t>Strategic Grant Applications and Enterprise Development</w:t>
      </w:r>
      <w:r w:rsidR="008C05CD">
        <w:rPr>
          <w:rFonts w:asciiTheme="minorHAnsi" w:hAnsiTheme="minorHAnsi"/>
          <w:b/>
          <w:bCs/>
          <w:color w:val="000000"/>
        </w:rPr>
        <w:t>……</w:t>
      </w:r>
      <w:r w:rsidR="00471736">
        <w:rPr>
          <w:rFonts w:asciiTheme="minorHAnsi" w:hAnsiTheme="minorHAnsi"/>
          <w:b/>
          <w:bCs/>
          <w:color w:val="000000"/>
        </w:rPr>
        <w:t>.</w:t>
      </w:r>
      <w:r w:rsidR="008C05CD">
        <w:rPr>
          <w:rFonts w:asciiTheme="minorHAnsi" w:hAnsiTheme="minorHAnsi"/>
          <w:b/>
          <w:bCs/>
          <w:color w:val="000000"/>
        </w:rPr>
        <w:t>……</w:t>
      </w:r>
      <w:r w:rsidR="006F0D15">
        <w:rPr>
          <w:rFonts w:asciiTheme="minorHAnsi" w:hAnsiTheme="minorHAnsi"/>
          <w:b/>
          <w:bCs/>
          <w:color w:val="000000"/>
        </w:rPr>
        <w:t>.7</w:t>
      </w:r>
    </w:p>
    <w:p w14:paraId="0EF81A18" w14:textId="58FB00CE" w:rsidR="005F1CB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Cultural Barriers and Ethical Considerations</w:t>
      </w:r>
      <w:r w:rsidR="008C05CD">
        <w:rPr>
          <w:rFonts w:asciiTheme="minorHAnsi" w:hAnsiTheme="minorHAnsi"/>
          <w:b/>
          <w:bCs/>
          <w:color w:val="000000"/>
        </w:rPr>
        <w:t>………………………</w:t>
      </w:r>
      <w:r w:rsidR="00471736">
        <w:rPr>
          <w:rFonts w:asciiTheme="minorHAnsi" w:hAnsiTheme="minorHAnsi"/>
          <w:b/>
          <w:bCs/>
          <w:color w:val="000000"/>
        </w:rPr>
        <w:t>.</w:t>
      </w:r>
      <w:r w:rsidR="008C05CD">
        <w:rPr>
          <w:rFonts w:asciiTheme="minorHAnsi" w:hAnsiTheme="minorHAnsi"/>
          <w:b/>
          <w:bCs/>
          <w:color w:val="000000"/>
        </w:rPr>
        <w:t>…….</w:t>
      </w:r>
      <w:r w:rsidR="006F0D15">
        <w:rPr>
          <w:rFonts w:asciiTheme="minorHAnsi" w:hAnsiTheme="minorHAnsi"/>
          <w:b/>
          <w:bCs/>
          <w:color w:val="000000"/>
        </w:rPr>
        <w:t>8</w:t>
      </w:r>
    </w:p>
    <w:p w14:paraId="5774FDDC" w14:textId="305AB168" w:rsidR="005F1CB1" w:rsidRDefault="005F1CB1" w:rsidP="005F1CB1">
      <w:pPr>
        <w:pStyle w:val="Heading1"/>
        <w:rPr>
          <w:rFonts w:asciiTheme="minorHAnsi" w:hAnsiTheme="minorHAnsi"/>
          <w:b/>
          <w:bCs/>
          <w:color w:val="000000"/>
          <w:sz w:val="24"/>
          <w:szCs w:val="24"/>
        </w:rPr>
      </w:pPr>
      <w:r w:rsidRPr="005F1CB1">
        <w:rPr>
          <w:rFonts w:asciiTheme="minorHAnsi" w:hAnsiTheme="minorHAnsi"/>
          <w:b/>
          <w:bCs/>
          <w:color w:val="000000"/>
          <w:sz w:val="24"/>
          <w:szCs w:val="24"/>
        </w:rPr>
        <w:t>PESTLE Analysis of Open Play</w:t>
      </w:r>
      <w:r w:rsidR="008C05CD">
        <w:rPr>
          <w:rFonts w:asciiTheme="minorHAnsi" w:hAnsiTheme="minorHAnsi"/>
          <w:b/>
          <w:bCs/>
          <w:color w:val="000000"/>
          <w:sz w:val="24"/>
          <w:szCs w:val="24"/>
        </w:rPr>
        <w:t>………………………………</w:t>
      </w:r>
      <w:r w:rsidR="00471736">
        <w:rPr>
          <w:rFonts w:asciiTheme="minorHAnsi" w:hAnsiTheme="minorHAnsi"/>
          <w:b/>
          <w:bCs/>
          <w:color w:val="000000"/>
          <w:sz w:val="24"/>
          <w:szCs w:val="24"/>
        </w:rPr>
        <w:t>.</w:t>
      </w:r>
      <w:r w:rsidR="008C05CD">
        <w:rPr>
          <w:rFonts w:asciiTheme="minorHAnsi" w:hAnsiTheme="minorHAnsi"/>
          <w:b/>
          <w:bCs/>
          <w:color w:val="000000"/>
          <w:sz w:val="24"/>
          <w:szCs w:val="24"/>
        </w:rPr>
        <w:t>……………</w:t>
      </w:r>
      <w:r w:rsidR="006F0D15">
        <w:rPr>
          <w:rFonts w:asciiTheme="minorHAnsi" w:hAnsiTheme="minorHAnsi"/>
          <w:b/>
          <w:bCs/>
          <w:color w:val="000000"/>
          <w:sz w:val="24"/>
          <w:szCs w:val="24"/>
        </w:rPr>
        <w:t>…9-13</w:t>
      </w:r>
    </w:p>
    <w:p w14:paraId="3C683161" w14:textId="77777777" w:rsidR="005F1CB1" w:rsidRDefault="005F1CB1" w:rsidP="005F1CB1">
      <w:pPr>
        <w:rPr>
          <w:rFonts w:asciiTheme="minorHAnsi" w:hAnsiTheme="minorHAnsi"/>
          <w:b/>
          <w:bCs/>
        </w:rPr>
      </w:pPr>
    </w:p>
    <w:p w14:paraId="6D6C37E4" w14:textId="28CC2650" w:rsidR="005F1CB1" w:rsidRDefault="005F1CB1" w:rsidP="005F1CB1">
      <w:pPr>
        <w:rPr>
          <w:rFonts w:asciiTheme="minorHAnsi" w:hAnsiTheme="minorHAnsi"/>
          <w:b/>
          <w:bCs/>
        </w:rPr>
      </w:pPr>
      <w:r>
        <w:rPr>
          <w:rFonts w:asciiTheme="minorHAnsi" w:hAnsiTheme="minorHAnsi"/>
          <w:b/>
          <w:bCs/>
        </w:rPr>
        <w:t>Flying start</w:t>
      </w:r>
      <w:r w:rsidR="007F33FA">
        <w:rPr>
          <w:rFonts w:asciiTheme="minorHAnsi" w:hAnsiTheme="minorHAnsi"/>
          <w:b/>
          <w:bCs/>
        </w:rPr>
        <w:t>………………………………………………………………</w:t>
      </w:r>
      <w:r w:rsidR="00471736">
        <w:rPr>
          <w:rFonts w:asciiTheme="minorHAnsi" w:hAnsiTheme="minorHAnsi"/>
          <w:b/>
          <w:bCs/>
        </w:rPr>
        <w:t>..</w:t>
      </w:r>
      <w:r w:rsidR="007F33FA">
        <w:rPr>
          <w:rFonts w:asciiTheme="minorHAnsi" w:hAnsiTheme="minorHAnsi"/>
          <w:b/>
          <w:bCs/>
        </w:rPr>
        <w:t>…………</w:t>
      </w:r>
      <w:r w:rsidR="006F0D15">
        <w:rPr>
          <w:rFonts w:asciiTheme="minorHAnsi" w:hAnsiTheme="minorHAnsi"/>
          <w:b/>
          <w:bCs/>
        </w:rPr>
        <w:t>.13</w:t>
      </w:r>
    </w:p>
    <w:p w14:paraId="05379152" w14:textId="3AE69B50" w:rsidR="005F1CB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Links to Current Practice and Government Legislation</w:t>
      </w:r>
      <w:r w:rsidR="007F33FA">
        <w:rPr>
          <w:rFonts w:asciiTheme="minorHAnsi" w:hAnsiTheme="minorHAnsi"/>
          <w:b/>
          <w:bCs/>
          <w:color w:val="000000"/>
        </w:rPr>
        <w:t>……</w:t>
      </w:r>
      <w:r w:rsidR="00471736">
        <w:rPr>
          <w:rFonts w:asciiTheme="minorHAnsi" w:hAnsiTheme="minorHAnsi"/>
          <w:b/>
          <w:bCs/>
          <w:color w:val="000000"/>
        </w:rPr>
        <w:t>.</w:t>
      </w:r>
      <w:r w:rsidR="007F33FA">
        <w:rPr>
          <w:rFonts w:asciiTheme="minorHAnsi" w:hAnsiTheme="minorHAnsi"/>
          <w:b/>
          <w:bCs/>
          <w:color w:val="000000"/>
        </w:rPr>
        <w:t>…………</w:t>
      </w:r>
      <w:r w:rsidR="006F0D15">
        <w:rPr>
          <w:rFonts w:asciiTheme="minorHAnsi" w:hAnsiTheme="minorHAnsi"/>
          <w:b/>
          <w:bCs/>
          <w:color w:val="000000"/>
        </w:rPr>
        <w:t>14</w:t>
      </w:r>
    </w:p>
    <w:p w14:paraId="60182D25" w14:textId="3BE11425" w:rsidR="005F1CB1" w:rsidRPr="002A4EF1" w:rsidRDefault="005F1CB1" w:rsidP="005F1CB1">
      <w:pPr>
        <w:spacing w:before="100" w:beforeAutospacing="1" w:after="100" w:afterAutospacing="1"/>
        <w:outlineLvl w:val="1"/>
        <w:rPr>
          <w:rFonts w:asciiTheme="minorHAnsi" w:hAnsiTheme="minorHAnsi"/>
          <w:b/>
          <w:bCs/>
          <w:color w:val="000000"/>
        </w:rPr>
      </w:pPr>
      <w:r w:rsidRPr="002A4EF1">
        <w:rPr>
          <w:rFonts w:asciiTheme="minorHAnsi" w:hAnsiTheme="minorHAnsi"/>
          <w:b/>
          <w:bCs/>
          <w:color w:val="000000"/>
        </w:rPr>
        <w:t>Future Development and Strategic Growth</w:t>
      </w:r>
      <w:r w:rsidR="007F33FA">
        <w:rPr>
          <w:rFonts w:asciiTheme="minorHAnsi" w:hAnsiTheme="minorHAnsi"/>
          <w:b/>
          <w:bCs/>
          <w:color w:val="000000"/>
        </w:rPr>
        <w:t>…………………………</w:t>
      </w:r>
      <w:r w:rsidR="00471736">
        <w:rPr>
          <w:rFonts w:asciiTheme="minorHAnsi" w:hAnsiTheme="minorHAnsi"/>
          <w:b/>
          <w:bCs/>
          <w:color w:val="000000"/>
        </w:rPr>
        <w:t>.</w:t>
      </w:r>
      <w:r w:rsidR="007F33FA">
        <w:rPr>
          <w:rFonts w:asciiTheme="minorHAnsi" w:hAnsiTheme="minorHAnsi"/>
          <w:b/>
          <w:bCs/>
          <w:color w:val="000000"/>
        </w:rPr>
        <w:t>……</w:t>
      </w:r>
      <w:r w:rsidR="006F0D15">
        <w:rPr>
          <w:rFonts w:asciiTheme="minorHAnsi" w:hAnsiTheme="minorHAnsi"/>
          <w:b/>
          <w:bCs/>
          <w:color w:val="000000"/>
        </w:rPr>
        <w:t>14</w:t>
      </w:r>
    </w:p>
    <w:p w14:paraId="0E87D8D6" w14:textId="44CE9F3D" w:rsidR="005F1CB1" w:rsidRDefault="005F1CB1" w:rsidP="005F1CB1">
      <w:pPr>
        <w:spacing w:before="100" w:beforeAutospacing="1" w:after="100" w:afterAutospacing="1"/>
        <w:outlineLvl w:val="1"/>
        <w:rPr>
          <w:rFonts w:asciiTheme="minorHAnsi" w:hAnsiTheme="minorHAnsi"/>
          <w:b/>
          <w:bCs/>
          <w:color w:val="000000"/>
        </w:rPr>
      </w:pPr>
      <w:r>
        <w:rPr>
          <w:rFonts w:asciiTheme="minorHAnsi" w:hAnsiTheme="minorHAnsi"/>
          <w:b/>
          <w:bCs/>
          <w:color w:val="000000"/>
        </w:rPr>
        <w:t>Conclusion</w:t>
      </w:r>
      <w:r w:rsidR="007F33FA">
        <w:rPr>
          <w:rFonts w:asciiTheme="minorHAnsi" w:hAnsiTheme="minorHAnsi"/>
          <w:b/>
          <w:bCs/>
          <w:color w:val="000000"/>
        </w:rPr>
        <w:t>………………………………………………………………………</w:t>
      </w:r>
      <w:r w:rsidR="00471736">
        <w:rPr>
          <w:rFonts w:asciiTheme="minorHAnsi" w:hAnsiTheme="minorHAnsi"/>
          <w:b/>
          <w:bCs/>
          <w:color w:val="000000"/>
        </w:rPr>
        <w:t>.</w:t>
      </w:r>
      <w:r w:rsidR="007F33FA">
        <w:rPr>
          <w:rFonts w:asciiTheme="minorHAnsi" w:hAnsiTheme="minorHAnsi"/>
          <w:b/>
          <w:bCs/>
          <w:color w:val="000000"/>
        </w:rPr>
        <w:t>…</w:t>
      </w:r>
      <w:r w:rsidR="006F0D15">
        <w:rPr>
          <w:rFonts w:asciiTheme="minorHAnsi" w:hAnsiTheme="minorHAnsi"/>
          <w:b/>
          <w:bCs/>
          <w:color w:val="000000"/>
        </w:rPr>
        <w:t>.15</w:t>
      </w:r>
      <w:r>
        <w:rPr>
          <w:rFonts w:asciiTheme="minorHAnsi" w:hAnsiTheme="minorHAnsi"/>
          <w:b/>
          <w:bCs/>
          <w:color w:val="000000"/>
        </w:rPr>
        <w:t xml:space="preserve"> </w:t>
      </w:r>
    </w:p>
    <w:p w14:paraId="1B2EE85F" w14:textId="45BFD228" w:rsidR="005F1CB1" w:rsidRDefault="005F1CB1" w:rsidP="005F1CB1">
      <w:pPr>
        <w:spacing w:before="100" w:beforeAutospacing="1" w:after="100" w:afterAutospacing="1"/>
        <w:outlineLvl w:val="1"/>
        <w:rPr>
          <w:rFonts w:asciiTheme="minorHAnsi" w:hAnsiTheme="minorHAnsi"/>
          <w:b/>
          <w:bCs/>
          <w:color w:val="000000"/>
        </w:rPr>
      </w:pPr>
      <w:r>
        <w:rPr>
          <w:rFonts w:asciiTheme="minorHAnsi" w:hAnsiTheme="minorHAnsi"/>
          <w:b/>
          <w:bCs/>
          <w:color w:val="000000"/>
        </w:rPr>
        <w:t>Reference List</w:t>
      </w:r>
      <w:r w:rsidR="007F33FA">
        <w:rPr>
          <w:rFonts w:asciiTheme="minorHAnsi" w:hAnsiTheme="minorHAnsi"/>
          <w:b/>
          <w:bCs/>
          <w:color w:val="000000"/>
        </w:rPr>
        <w:t>……………………………………………………………</w:t>
      </w:r>
      <w:r w:rsidR="00471736">
        <w:rPr>
          <w:rFonts w:asciiTheme="minorHAnsi" w:hAnsiTheme="minorHAnsi"/>
          <w:b/>
          <w:bCs/>
          <w:color w:val="000000"/>
        </w:rPr>
        <w:t>.</w:t>
      </w:r>
      <w:r w:rsidR="007F33FA">
        <w:rPr>
          <w:rFonts w:asciiTheme="minorHAnsi" w:hAnsiTheme="minorHAnsi"/>
          <w:b/>
          <w:bCs/>
          <w:color w:val="000000"/>
        </w:rPr>
        <w:t>……</w:t>
      </w:r>
      <w:r w:rsidR="00982012">
        <w:rPr>
          <w:rFonts w:asciiTheme="minorHAnsi" w:hAnsiTheme="minorHAnsi"/>
          <w:b/>
          <w:bCs/>
          <w:color w:val="000000"/>
        </w:rPr>
        <w:t>.16-21</w:t>
      </w:r>
    </w:p>
    <w:p w14:paraId="6F4B4E71" w14:textId="77777777" w:rsidR="005F1CB1" w:rsidRPr="002A4EF1" w:rsidRDefault="005F1CB1" w:rsidP="005F1CB1">
      <w:pPr>
        <w:spacing w:before="100" w:beforeAutospacing="1" w:after="100" w:afterAutospacing="1"/>
        <w:outlineLvl w:val="1"/>
        <w:rPr>
          <w:rFonts w:asciiTheme="minorHAnsi" w:hAnsiTheme="minorHAnsi"/>
          <w:b/>
          <w:bCs/>
          <w:color w:val="000000"/>
        </w:rPr>
      </w:pPr>
    </w:p>
    <w:p w14:paraId="44442476" w14:textId="77777777" w:rsidR="005F1CB1" w:rsidRPr="005F1CB1" w:rsidRDefault="005F1CB1" w:rsidP="005F1CB1">
      <w:pPr>
        <w:rPr>
          <w:rFonts w:asciiTheme="minorHAnsi" w:hAnsiTheme="minorHAnsi"/>
          <w:b/>
          <w:bCs/>
        </w:rPr>
      </w:pPr>
    </w:p>
    <w:p w14:paraId="2818B8C4" w14:textId="77777777" w:rsidR="005F1CB1" w:rsidRPr="002A4EF1" w:rsidRDefault="005F1CB1" w:rsidP="005F1CB1">
      <w:pPr>
        <w:spacing w:before="100" w:beforeAutospacing="1" w:after="100" w:afterAutospacing="1"/>
        <w:outlineLvl w:val="1"/>
        <w:rPr>
          <w:rFonts w:asciiTheme="minorHAnsi" w:hAnsiTheme="minorHAnsi"/>
          <w:b/>
          <w:bCs/>
          <w:color w:val="000000"/>
        </w:rPr>
      </w:pPr>
    </w:p>
    <w:p w14:paraId="562D298E" w14:textId="44346DD0" w:rsidR="005F1CB1" w:rsidRPr="005F1CB1" w:rsidRDefault="005F1CB1" w:rsidP="005F1CB1">
      <w:pPr>
        <w:spacing w:before="100" w:beforeAutospacing="1" w:after="100" w:afterAutospacing="1"/>
        <w:outlineLvl w:val="1"/>
        <w:rPr>
          <w:rFonts w:asciiTheme="minorHAnsi" w:hAnsiTheme="minorHAnsi"/>
          <w:b/>
          <w:bCs/>
          <w:color w:val="000000"/>
        </w:rPr>
      </w:pPr>
    </w:p>
    <w:p w14:paraId="631BF0C3" w14:textId="365AD86A" w:rsidR="002A4EF1" w:rsidRPr="002A4EF1" w:rsidRDefault="002A4EF1" w:rsidP="005F1CB1">
      <w:pPr>
        <w:spacing w:before="100" w:beforeAutospacing="1" w:after="100" w:afterAutospacing="1" w:line="360" w:lineRule="auto"/>
        <w:outlineLvl w:val="0"/>
        <w:rPr>
          <w:rFonts w:asciiTheme="minorHAnsi" w:hAnsiTheme="minorHAnsi"/>
          <w:b/>
          <w:bCs/>
          <w:color w:val="000000"/>
          <w:kern w:val="36"/>
        </w:rPr>
      </w:pPr>
      <w:r w:rsidRPr="002A4EF1">
        <w:rPr>
          <w:rFonts w:asciiTheme="minorHAnsi" w:hAnsiTheme="minorHAnsi"/>
          <w:b/>
          <w:bCs/>
          <w:color w:val="000000"/>
          <w:kern w:val="36"/>
        </w:rPr>
        <w:lastRenderedPageBreak/>
        <w:t>Part 1: Business Proposal – Introducing Open Play</w:t>
      </w:r>
    </w:p>
    <w:p w14:paraId="41F04620"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Introduction to the Enterprise</w:t>
      </w:r>
    </w:p>
    <w:p w14:paraId="39BF18EF" w14:textId="50779EBA"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Open Play is a proposed early years social enterprise based in South Wales, designed to challenge gender stereotyping in toys and play through</w:t>
      </w:r>
      <w:r w:rsidR="00DD2BB9">
        <w:rPr>
          <w:rFonts w:asciiTheme="minorHAnsi" w:hAnsiTheme="minorHAnsi"/>
          <w:color w:val="000000"/>
        </w:rPr>
        <w:t xml:space="preserve"> workshops</w:t>
      </w:r>
      <w:r w:rsidRPr="002A4EF1">
        <w:rPr>
          <w:rFonts w:asciiTheme="minorHAnsi" w:hAnsiTheme="minorHAnsi"/>
          <w:color w:val="000000"/>
        </w:rPr>
        <w:t>, parental guidance, and consultancy services. The enterprise responds to growing recognition in early childhood education that play environments significantly influence children’s identity formation, social development, and long-term educational trajectories</w:t>
      </w:r>
      <w:r w:rsidR="005F1CB1" w:rsidRPr="005F1CB1">
        <w:rPr>
          <w:rFonts w:asciiTheme="minorHAnsi" w:hAnsiTheme="minorHAnsi"/>
          <w:color w:val="000000"/>
        </w:rPr>
        <w:t xml:space="preserve"> (Reimers, 2018). While</w:t>
      </w:r>
      <w:r w:rsidRPr="002A4EF1">
        <w:rPr>
          <w:rFonts w:asciiTheme="minorHAnsi" w:hAnsiTheme="minorHAnsi"/>
          <w:color w:val="000000"/>
        </w:rPr>
        <w:t xml:space="preserve"> equality and inclusion are embedded within policy frameworks, there remains a gap between policy aspiration and daily practice in early years settings</w:t>
      </w:r>
      <w:r w:rsidR="005F1CB1" w:rsidRPr="005F1CB1">
        <w:rPr>
          <w:rFonts w:asciiTheme="minorHAnsi" w:hAnsiTheme="minorHAnsi"/>
          <w:color w:val="000000"/>
        </w:rPr>
        <w:t xml:space="preserve"> (Alahmari, 2023 and Prioletta,2018).</w:t>
      </w:r>
      <w:r w:rsidRPr="002A4EF1">
        <w:rPr>
          <w:rFonts w:asciiTheme="minorHAnsi" w:hAnsiTheme="minorHAnsi"/>
          <w:color w:val="000000"/>
        </w:rPr>
        <w:t xml:space="preserve"> Open Play seeks to bridge this gap by equipping adults with the knowledge and strategies required to create inclusive, stereotype-free play environments.</w:t>
      </w:r>
    </w:p>
    <w:p w14:paraId="732C6475"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The mission of Open Play is to promote inclusive early childhood experiences that allow all children to explore play, learning, and identity without restriction based on socially constructed gender expectations. The vision underpinning the enterprise is a future in which children’s opportunities are shaped by interests and developmental needs rather than societal assumptions about gender roles.</w:t>
      </w:r>
    </w:p>
    <w:p w14:paraId="4DF573BA" w14:textId="55FEB92B"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Unlike retail-based initiatives that focus on producing or selling gender-neutral toys, Open Play operates as an educational and consultancy-based enterprise. It recognises that sustainable change occurs not through products alone, but through reflective adult practice and systemic shifts in early years environments.</w:t>
      </w:r>
    </w:p>
    <w:p w14:paraId="5C657DC9"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The Business Model and Entrepreneurial Rationale</w:t>
      </w:r>
    </w:p>
    <w:p w14:paraId="3C977258" w14:textId="4B444489"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Open Play will operate through a blended delivery model combining in-person workshops, online seminars, digital resource subscriptions, and consultancy services for early years settings and primary schools. This structure enables both local impact and national scalability. The primary revenue streams will include school-based training packages, subscription access to digital resources, and collaborative partnerships with local authorities and teacher training providers.</w:t>
      </w:r>
    </w:p>
    <w:p w14:paraId="190A6A25" w14:textId="476E3100"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lastRenderedPageBreak/>
        <w:t xml:space="preserve">The enterprise is positioned as a social business that balances financial sustainability with social impact. The demand for equality-focused professional development is increasing, particularly </w:t>
      </w:r>
      <w:r w:rsidR="005F1CB1" w:rsidRPr="005F1CB1">
        <w:rPr>
          <w:rFonts w:asciiTheme="minorHAnsi" w:hAnsiTheme="minorHAnsi"/>
          <w:color w:val="000000"/>
        </w:rPr>
        <w:t>considering</w:t>
      </w:r>
      <w:r w:rsidRPr="002A4EF1">
        <w:rPr>
          <w:rFonts w:asciiTheme="minorHAnsi" w:hAnsiTheme="minorHAnsi"/>
          <w:color w:val="000000"/>
        </w:rPr>
        <w:t xml:space="preserve"> policy emphasis on inclusive practice and children’s rights (Welsh Government, 2022). However, most current provision</w:t>
      </w:r>
      <w:r w:rsidR="005F1CB1" w:rsidRPr="005F1CB1">
        <w:rPr>
          <w:rFonts w:asciiTheme="minorHAnsi" w:hAnsiTheme="minorHAnsi"/>
          <w:color w:val="000000"/>
        </w:rPr>
        <w:t>s</w:t>
      </w:r>
      <w:r w:rsidRPr="002A4EF1">
        <w:rPr>
          <w:rFonts w:asciiTheme="minorHAnsi" w:hAnsiTheme="minorHAnsi"/>
          <w:color w:val="000000"/>
        </w:rPr>
        <w:t xml:space="preserve"> address equality in broad terms rather than focusing specifically on play-based gender stereotyping in early childhood. Open Play </w:t>
      </w:r>
      <w:r w:rsidR="00406F8D">
        <w:rPr>
          <w:rFonts w:asciiTheme="minorHAnsi" w:hAnsiTheme="minorHAnsi"/>
          <w:color w:val="000000"/>
        </w:rPr>
        <w:t>fill</w:t>
      </w:r>
      <w:r w:rsidRPr="002A4EF1">
        <w:rPr>
          <w:rFonts w:asciiTheme="minorHAnsi" w:hAnsiTheme="minorHAnsi"/>
          <w:color w:val="000000"/>
        </w:rPr>
        <w:t>s this niche by targeting a clearly defined</w:t>
      </w:r>
      <w:r w:rsidR="00406F8D">
        <w:rPr>
          <w:rFonts w:asciiTheme="minorHAnsi" w:hAnsiTheme="minorHAnsi"/>
          <w:color w:val="000000"/>
        </w:rPr>
        <w:t>,</w:t>
      </w:r>
      <w:r w:rsidRPr="002A4EF1">
        <w:rPr>
          <w:rFonts w:asciiTheme="minorHAnsi" w:hAnsiTheme="minorHAnsi"/>
          <w:color w:val="000000"/>
        </w:rPr>
        <w:t xml:space="preserve"> underdeveloped market gap.</w:t>
      </w:r>
    </w:p>
    <w:p w14:paraId="177EF182" w14:textId="3A01F812"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From an entrepreneurial perspective, the enterprise demonstrates innovation through specialisation. Rather than duplicating general equality training, it concentrates on a specific developmental mechanism</w:t>
      </w:r>
      <w:r w:rsidR="005F1CB1" w:rsidRPr="005F1CB1">
        <w:rPr>
          <w:rFonts w:asciiTheme="minorHAnsi" w:hAnsiTheme="minorHAnsi"/>
          <w:color w:val="000000"/>
        </w:rPr>
        <w:t xml:space="preserve"> </w:t>
      </w:r>
      <w:r w:rsidRPr="002A4EF1">
        <w:rPr>
          <w:rFonts w:asciiTheme="minorHAnsi" w:hAnsiTheme="minorHAnsi"/>
          <w:color w:val="000000"/>
        </w:rPr>
        <w:t>and its relationship to gender identity formation. The low overhead structure, particularly through digital delivery, enhances sustainability and reduces financial risk in the early stages of operation.</w:t>
      </w:r>
    </w:p>
    <w:p w14:paraId="7C03CC7C"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Links to Early Childhood Development</w:t>
      </w:r>
    </w:p>
    <w:p w14:paraId="38C89D18" w14:textId="6CB6A813"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Early childhood is widely recognised as a critical period for cognitive, social, and emotional development</w:t>
      </w:r>
      <w:r w:rsidR="005F1CB1" w:rsidRPr="005F1CB1">
        <w:rPr>
          <w:rFonts w:asciiTheme="minorHAnsi" w:hAnsiTheme="minorHAnsi"/>
          <w:color w:val="000000"/>
        </w:rPr>
        <w:t xml:space="preserve"> (Michael, 2025). </w:t>
      </w:r>
      <w:r w:rsidRPr="002A4EF1">
        <w:rPr>
          <w:rFonts w:asciiTheme="minorHAnsi" w:hAnsiTheme="minorHAnsi"/>
          <w:color w:val="000000"/>
        </w:rPr>
        <w:t>During these formative years, children construct understandings of themselves and others through interaction, observation, and play</w:t>
      </w:r>
      <w:r w:rsidR="005F1CB1" w:rsidRPr="005F1CB1">
        <w:rPr>
          <w:rFonts w:asciiTheme="minorHAnsi" w:hAnsiTheme="minorHAnsi"/>
          <w:color w:val="000000"/>
        </w:rPr>
        <w:t xml:space="preserve"> (Fleer, 2021). Play</w:t>
      </w:r>
      <w:r w:rsidRPr="002A4EF1">
        <w:rPr>
          <w:rFonts w:asciiTheme="minorHAnsi" w:hAnsiTheme="minorHAnsi"/>
          <w:color w:val="000000"/>
        </w:rPr>
        <w:t xml:space="preserve"> functions as a central mechanism through which children develop language, problem-solving skills, emotional regulation, and social competence (UNICEF, 2022).</w:t>
      </w:r>
    </w:p>
    <w:p w14:paraId="033F78B7" w14:textId="3ABC1C9A"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Research demonstrates that gendered expectations can influence the types of toys offered to children, the language used to describe them, and the behaviours that are reinforced (Blakemore and Centers, 2021). For example, construction-based play is often marketed towards boys and supports spatial reasoning and analytical thinking, while nurturing and domestic role-play toys are frequently directed at girls and associated with empathy and communication skills</w:t>
      </w:r>
      <w:r w:rsidR="005F1CB1" w:rsidRPr="005F1CB1">
        <w:rPr>
          <w:rFonts w:asciiTheme="minorHAnsi" w:hAnsiTheme="minorHAnsi"/>
          <w:color w:val="000000"/>
        </w:rPr>
        <w:t xml:space="preserve"> (Weisgram, 2019). </w:t>
      </w:r>
      <w:r w:rsidRPr="002A4EF1">
        <w:rPr>
          <w:rFonts w:asciiTheme="minorHAnsi" w:hAnsiTheme="minorHAnsi"/>
          <w:color w:val="000000"/>
        </w:rPr>
        <w:t>When access to these activities is restricted by gender norms, children may experience narrowed developmental pathways</w:t>
      </w:r>
      <w:r w:rsidR="005F1CB1" w:rsidRPr="005F1CB1">
        <w:rPr>
          <w:rFonts w:asciiTheme="minorHAnsi" w:hAnsiTheme="minorHAnsi"/>
          <w:color w:val="000000"/>
        </w:rPr>
        <w:t xml:space="preserve"> (Barea, 2020</w:t>
      </w:r>
      <w:r w:rsidR="00EB5AE2">
        <w:rPr>
          <w:rFonts w:asciiTheme="minorHAnsi" w:hAnsiTheme="minorHAnsi"/>
          <w:color w:val="000000"/>
        </w:rPr>
        <w:t xml:space="preserve"> and Ichel,2025)</w:t>
      </w:r>
      <w:r w:rsidR="005F1CB1" w:rsidRPr="005F1CB1">
        <w:rPr>
          <w:rFonts w:asciiTheme="minorHAnsi" w:hAnsiTheme="minorHAnsi"/>
          <w:color w:val="000000"/>
        </w:rPr>
        <w:t>.</w:t>
      </w:r>
    </w:p>
    <w:p w14:paraId="3506B389"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lastRenderedPageBreak/>
        <w:t>The statutory framework for the Early Years Foundation Stage (Department for Education, 2023) emphasises enabling environments and inclusive practice, while the Curriculum for Wales promotes the development of confident individuals and ethical citizens (Welsh Government, 2022). Open Play aligns with these frameworks by promoting diverse play experiences that support holistic development across cognitive, social, emotional, and physical domains.</w:t>
      </w:r>
    </w:p>
    <w:p w14:paraId="0C7B8CB2" w14:textId="5D01CE2F"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By encouraging practitioners to reflect on classroom organisation, toy placement, language use, and adult interaction patterns, the enterprise directly addresses environmental influences on development. Inclusive play environments support identity exploration, enhance self-esteem, and promote a sense of belonging, all of which are central to wellbeing and engagement in learning</w:t>
      </w:r>
      <w:r w:rsidR="005F1CB1" w:rsidRPr="005F1CB1">
        <w:rPr>
          <w:rFonts w:asciiTheme="minorHAnsi" w:hAnsiTheme="minorHAnsi"/>
          <w:color w:val="000000"/>
        </w:rPr>
        <w:t xml:space="preserve"> (Rafat, 2022 and Dhibar,2024).</w:t>
      </w:r>
    </w:p>
    <w:p w14:paraId="7AD137B7"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Target Audience and Stakeholder Engagement</w:t>
      </w:r>
    </w:p>
    <w:p w14:paraId="47536A61"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The primary audience for Open Play consists of early years practitioners, nursery staff, foundation phase teachers, and trainee educators who shape children’s daily learning environments. Parents and carers represent a secondary audience, as home environments significantly influence play experiences and identity formation.</w:t>
      </w:r>
    </w:p>
    <w:p w14:paraId="6624F1AA"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Key stakeholders include local authorities, early years networks, teacher education institutions, and community organisations. Collaboration with these bodies will enhance credibility, facilitate access to training opportunities, and support long-term sustainability. Children are the ultimate beneficiaries, although the enterprise strategically targets adults to achieve systemic impact.</w:t>
      </w:r>
    </w:p>
    <w:p w14:paraId="3257EC36" w14:textId="0182C17A" w:rsidR="002A4EF1" w:rsidRPr="002A4EF1" w:rsidRDefault="002A4EF1" w:rsidP="005F1CB1">
      <w:pPr>
        <w:spacing w:line="360" w:lineRule="auto"/>
        <w:rPr>
          <w:rFonts w:asciiTheme="minorHAnsi" w:hAnsiTheme="minorHAnsi"/>
        </w:rPr>
      </w:pPr>
    </w:p>
    <w:p w14:paraId="1694652F" w14:textId="77777777" w:rsidR="005F1CB1" w:rsidRDefault="005F1CB1" w:rsidP="005F1CB1">
      <w:pPr>
        <w:spacing w:before="100" w:beforeAutospacing="1" w:after="100" w:afterAutospacing="1" w:line="360" w:lineRule="auto"/>
        <w:outlineLvl w:val="1"/>
        <w:rPr>
          <w:rFonts w:asciiTheme="minorHAnsi" w:hAnsiTheme="minorHAnsi"/>
          <w:b/>
          <w:bCs/>
          <w:color w:val="000000"/>
        </w:rPr>
      </w:pPr>
    </w:p>
    <w:p w14:paraId="0567F0F3" w14:textId="77777777" w:rsidR="005F1CB1" w:rsidRDefault="005F1CB1" w:rsidP="005F1CB1">
      <w:pPr>
        <w:spacing w:before="100" w:beforeAutospacing="1" w:after="100" w:afterAutospacing="1" w:line="360" w:lineRule="auto"/>
        <w:outlineLvl w:val="1"/>
        <w:rPr>
          <w:rFonts w:asciiTheme="minorHAnsi" w:hAnsiTheme="minorHAnsi"/>
          <w:b/>
          <w:bCs/>
          <w:color w:val="000000"/>
        </w:rPr>
      </w:pPr>
    </w:p>
    <w:p w14:paraId="4EB95234" w14:textId="77777777" w:rsidR="005F1CB1" w:rsidRDefault="005F1CB1" w:rsidP="005F1CB1">
      <w:pPr>
        <w:spacing w:before="100" w:beforeAutospacing="1" w:after="100" w:afterAutospacing="1" w:line="360" w:lineRule="auto"/>
        <w:outlineLvl w:val="1"/>
        <w:rPr>
          <w:rFonts w:asciiTheme="minorHAnsi" w:hAnsiTheme="minorHAnsi"/>
          <w:b/>
          <w:bCs/>
          <w:color w:val="000000"/>
        </w:rPr>
      </w:pPr>
    </w:p>
    <w:p w14:paraId="720DAB35" w14:textId="7F933DDD"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lastRenderedPageBreak/>
        <w:t>Barriers and Initial Challenges</w:t>
      </w:r>
    </w:p>
    <w:p w14:paraId="116DF70F" w14:textId="5C9CFED5"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Despite strong developmental justification, several barriers may affect implementation. Cultural norms surrounding gender roles remain deeply embedded within society, and some families or practitioners may interpret non-stereotypical play initiatives as ideological rather than developmental. This presents a reputational risk that must be carefully managed through evidence-based communication</w:t>
      </w:r>
      <w:r w:rsidR="005F1CB1" w:rsidRPr="005F1CB1">
        <w:rPr>
          <w:rFonts w:asciiTheme="minorHAnsi" w:hAnsiTheme="minorHAnsi"/>
          <w:color w:val="000000"/>
        </w:rPr>
        <w:t xml:space="preserve"> (Song</w:t>
      </w:r>
      <w:r w:rsidR="00FF50EE">
        <w:rPr>
          <w:rFonts w:asciiTheme="minorHAnsi" w:hAnsiTheme="minorHAnsi"/>
          <w:color w:val="000000"/>
        </w:rPr>
        <w:t xml:space="preserve"> </w:t>
      </w:r>
      <w:r w:rsidR="00FF50EE">
        <w:rPr>
          <w:rFonts w:asciiTheme="minorHAnsi" w:hAnsiTheme="minorHAnsi"/>
          <w:i/>
          <w:iCs/>
          <w:color w:val="000000"/>
        </w:rPr>
        <w:t>et al</w:t>
      </w:r>
      <w:r w:rsidR="005F1CB1" w:rsidRPr="005F1CB1">
        <w:rPr>
          <w:rFonts w:asciiTheme="minorHAnsi" w:hAnsiTheme="minorHAnsi"/>
          <w:color w:val="000000"/>
        </w:rPr>
        <w:t>, 2017 and Olgasola</w:t>
      </w:r>
      <w:r w:rsidR="00FF50EE">
        <w:rPr>
          <w:rFonts w:asciiTheme="minorHAnsi" w:hAnsiTheme="minorHAnsi"/>
          <w:color w:val="000000"/>
        </w:rPr>
        <w:t>,</w:t>
      </w:r>
      <w:r w:rsidR="005F1CB1" w:rsidRPr="005F1CB1">
        <w:rPr>
          <w:rFonts w:asciiTheme="minorHAnsi" w:hAnsiTheme="minorHAnsi"/>
          <w:color w:val="000000"/>
        </w:rPr>
        <w:t xml:space="preserve"> 2018).</w:t>
      </w:r>
    </w:p>
    <w:p w14:paraId="5072A0CD" w14:textId="439A7875" w:rsidR="002A4EF1" w:rsidRPr="002A4EF1" w:rsidRDefault="002A4EF1" w:rsidP="00FF50EE">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color w:val="000000"/>
        </w:rPr>
        <w:t>Financial constraints within early years settings also pose a challenge, as professional development budgets are often limited. Additionally, as a new enterprise, Open Play must establish credibility in a competitive training market. Addressing these barriers requires strategic marketing, policy alignment, partnership development, and a clear articulation of measurable impact.</w:t>
      </w:r>
      <w:r w:rsidR="005F1CB1" w:rsidRPr="005F1CB1">
        <w:rPr>
          <w:rFonts w:asciiTheme="minorHAnsi" w:hAnsiTheme="minorHAnsi"/>
          <w:color w:val="000000"/>
        </w:rPr>
        <w:t xml:space="preserve"> To overcome these financial barriers, </w:t>
      </w:r>
      <w:r w:rsidR="00FF50EE" w:rsidRPr="005F1CB1">
        <w:rPr>
          <w:rFonts w:asciiTheme="minorHAnsi" w:hAnsiTheme="minorHAnsi"/>
          <w:color w:val="000000"/>
        </w:rPr>
        <w:t>Open Play</w:t>
      </w:r>
      <w:r w:rsidR="005F1CB1" w:rsidRPr="005F1CB1">
        <w:rPr>
          <w:rFonts w:asciiTheme="minorHAnsi" w:hAnsiTheme="minorHAnsi"/>
          <w:color w:val="000000"/>
        </w:rPr>
        <w:t xml:space="preserve"> has done research on working with the Welsh Government to secure grants to help support the business. This is discussed in more detail under the ‘</w:t>
      </w:r>
      <w:r w:rsidR="005F1CB1" w:rsidRPr="005F1CB1">
        <w:rPr>
          <w:rFonts w:asciiTheme="minorHAnsi" w:hAnsiTheme="minorHAnsi"/>
          <w:b/>
          <w:bCs/>
          <w:color w:val="000000"/>
        </w:rPr>
        <w:t>Strategic Grant Applications and Enterprise Development</w:t>
      </w:r>
      <w:r w:rsidR="005F1CB1" w:rsidRPr="005F1CB1">
        <w:rPr>
          <w:rFonts w:asciiTheme="minorHAnsi" w:hAnsiTheme="minorHAnsi"/>
          <w:b/>
          <w:bCs/>
          <w:color w:val="000000"/>
        </w:rPr>
        <w:t>’</w:t>
      </w:r>
      <w:r w:rsidR="005F1CB1" w:rsidRPr="005F1CB1">
        <w:rPr>
          <w:rFonts w:asciiTheme="minorHAnsi" w:hAnsiTheme="minorHAnsi"/>
          <w:color w:val="000000"/>
        </w:rPr>
        <w:t xml:space="preserve"> section of the business plan.</w:t>
      </w:r>
    </w:p>
    <w:p w14:paraId="588FC125"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Personal Suitability and Leadership Capacity</w:t>
      </w:r>
    </w:p>
    <w:p w14:paraId="1DF19F21" w14:textId="4377A289"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 xml:space="preserve">My academic background in early childhood education provides a strong theoretical foundation in developmental </w:t>
      </w:r>
      <w:r w:rsidR="005F1CB1" w:rsidRPr="005F1CB1">
        <w:rPr>
          <w:rFonts w:asciiTheme="minorHAnsi" w:hAnsiTheme="minorHAnsi"/>
          <w:color w:val="000000"/>
        </w:rPr>
        <w:t>thinking</w:t>
      </w:r>
      <w:r w:rsidRPr="002A4EF1">
        <w:rPr>
          <w:rFonts w:asciiTheme="minorHAnsi" w:hAnsiTheme="minorHAnsi"/>
          <w:color w:val="000000"/>
        </w:rPr>
        <w:t>, inclusive pedagogy, and policy frameworks. My commitment to child-centred practice and equality of opportunity aligns directly with the mission of Open Play. The combination of subject expertise, personal motivation, and awareness of current policy contexts positions me well to design and deliver evidence-informed training.</w:t>
      </w:r>
    </w:p>
    <w:p w14:paraId="43475047" w14:textId="14784F5A" w:rsidR="005F1CB1" w:rsidRPr="005F1CB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Entrepreneurially, I demonstrate opportunity recognition, social value orientation, and commitment to scalable delivery. The integration of research, policy alignment, and sustainable revenue models reflects a strategic approach to enterprise development within the early years sector.</w:t>
      </w:r>
    </w:p>
    <w:p w14:paraId="1FFFC317" w14:textId="77777777" w:rsidR="00FF50EE" w:rsidRDefault="00FF50EE" w:rsidP="005F1CB1">
      <w:pPr>
        <w:spacing w:before="100" w:beforeAutospacing="1" w:after="100" w:afterAutospacing="1" w:line="360" w:lineRule="auto"/>
        <w:outlineLvl w:val="0"/>
        <w:rPr>
          <w:rFonts w:asciiTheme="minorHAnsi" w:hAnsiTheme="minorHAnsi"/>
          <w:b/>
          <w:bCs/>
          <w:color w:val="000000"/>
          <w:kern w:val="36"/>
        </w:rPr>
      </w:pPr>
    </w:p>
    <w:p w14:paraId="50C9A512" w14:textId="180C03F0" w:rsidR="002A4EF1" w:rsidRPr="005F1CB1" w:rsidRDefault="002A4EF1" w:rsidP="005F1CB1">
      <w:pPr>
        <w:spacing w:before="100" w:beforeAutospacing="1" w:after="100" w:afterAutospacing="1" w:line="360" w:lineRule="auto"/>
        <w:outlineLvl w:val="0"/>
        <w:rPr>
          <w:rFonts w:asciiTheme="minorHAnsi" w:hAnsiTheme="minorHAnsi"/>
          <w:b/>
          <w:bCs/>
          <w:color w:val="000000"/>
          <w:kern w:val="36"/>
        </w:rPr>
      </w:pPr>
      <w:r w:rsidRPr="002A4EF1">
        <w:rPr>
          <w:rFonts w:asciiTheme="minorHAnsi" w:hAnsiTheme="minorHAnsi"/>
          <w:b/>
          <w:bCs/>
          <w:color w:val="000000"/>
          <w:kern w:val="36"/>
        </w:rPr>
        <w:lastRenderedPageBreak/>
        <w:t>Part 2: Critical and Reflective Analysis</w:t>
      </w:r>
    </w:p>
    <w:p w14:paraId="5946AD9C" w14:textId="77777777" w:rsidR="009E6805" w:rsidRPr="009E6805" w:rsidRDefault="009E6805" w:rsidP="005F1CB1">
      <w:pPr>
        <w:spacing w:before="100" w:beforeAutospacing="1" w:after="100" w:afterAutospacing="1" w:line="360" w:lineRule="auto"/>
        <w:outlineLvl w:val="1"/>
        <w:rPr>
          <w:rFonts w:asciiTheme="minorHAnsi" w:hAnsiTheme="minorHAnsi"/>
          <w:b/>
          <w:bCs/>
          <w:color w:val="000000"/>
        </w:rPr>
      </w:pPr>
      <w:r w:rsidRPr="009E6805">
        <w:rPr>
          <w:rFonts w:asciiTheme="minorHAnsi" w:hAnsiTheme="minorHAnsi"/>
          <w:b/>
          <w:bCs/>
          <w:color w:val="000000"/>
        </w:rPr>
        <w:t>Research Conducted: Survey of Parents and Practitioners</w:t>
      </w:r>
    </w:p>
    <w:p w14:paraId="73E917C2" w14:textId="49581304"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To explore the perceived value of Open Play, I conducted a small-scale survey shared via social media and local early years networks, receiving ten responses from nursery practitioners, primary teachers and parents of children aged 0–7. </w:t>
      </w:r>
      <w:r w:rsidRPr="005F1CB1">
        <w:rPr>
          <w:rFonts w:asciiTheme="minorHAnsi" w:hAnsiTheme="minorHAnsi"/>
          <w:color w:val="000000"/>
        </w:rPr>
        <w:t>I had mixed views and responses.</w:t>
      </w:r>
      <w:r w:rsidRPr="005F1CB1">
        <w:rPr>
          <w:rFonts w:asciiTheme="minorHAnsi" w:hAnsiTheme="minorHAnsi"/>
          <w:color w:val="000000"/>
        </w:rPr>
        <w:t xml:space="preserve"> Several participants strongly supported the concept, recognising that gendered play can restrict children’s interests and development; one teacher noted that play environments often “unconsciously reflect gender bias.” Others were more sceptical, questioning whether gender stereotyping should take priority over issues such as behaviour management or limited resources. A small number believed children naturally choose how they play regardless of adult influence.</w:t>
      </w:r>
    </w:p>
    <w:p w14:paraId="62CE888A" w14:textId="188040FB" w:rsidR="002A4EF1" w:rsidRPr="002A4EF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Respondents also highlighted practical challenges, including limited time for professional development, financial constraints, and uncertainty about implementing inclusive practice sensitively. Some parents reported difficulty encouraging diverse play at home</w:t>
      </w:r>
      <w:r w:rsidRPr="005F1CB1">
        <w:rPr>
          <w:rFonts w:asciiTheme="minorHAnsi" w:hAnsiTheme="minorHAnsi"/>
          <w:color w:val="000000"/>
        </w:rPr>
        <w:t>,</w:t>
      </w:r>
      <w:r w:rsidRPr="005F1CB1">
        <w:rPr>
          <w:rFonts w:asciiTheme="minorHAnsi" w:hAnsiTheme="minorHAnsi"/>
          <w:color w:val="000000"/>
        </w:rPr>
        <w:t xml:space="preserve"> where cultural or family expectations reinforced traditional roles. Although small in scale, the survey demonstrates the need for Open Play to clearly evidence its developmental value while offering accessible, practical and low-cost resources tailored to real-world early years settings.</w:t>
      </w:r>
    </w:p>
    <w:p w14:paraId="285910A4"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Distinguishing Between Sex and Gender in Early Childhood Contexts</w:t>
      </w:r>
    </w:p>
    <w:p w14:paraId="7BE03CBD" w14:textId="4A09529A"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A critical foundation of Open Play lies in understanding the distinction between sex and gender. Sex refers to biological attributes such as chromosomes and reproductive anatomy. Gender, by contrast, is socially constructed and encompasses roles, behaviours, and expectations shaped by cultural and societal norms</w:t>
      </w:r>
      <w:r w:rsidR="005F1CB1" w:rsidRPr="005F1CB1">
        <w:rPr>
          <w:rFonts w:asciiTheme="minorHAnsi" w:hAnsiTheme="minorHAnsi"/>
          <w:color w:val="000000"/>
        </w:rPr>
        <w:t xml:space="preserve"> (Lips,2020 and Shudson,2019)</w:t>
      </w:r>
    </w:p>
    <w:p w14:paraId="648724B4"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 xml:space="preserve">In early childhood environments, gender is often reinforced through toys, classroom organisation, adult language, and peer interaction. Research suggests that toy marketing and adult responses can subtly guide children toward gender-conforming </w:t>
      </w:r>
      <w:r w:rsidRPr="002A4EF1">
        <w:rPr>
          <w:rFonts w:asciiTheme="minorHAnsi" w:hAnsiTheme="minorHAnsi"/>
          <w:color w:val="000000"/>
        </w:rPr>
        <w:lastRenderedPageBreak/>
        <w:t>behaviours (Blakemore and Centers, 2021). These influences are not biologically determined but socially produced, meaning they can also be socially challenged.</w:t>
      </w:r>
    </w:p>
    <w:p w14:paraId="2F980BF2" w14:textId="77777777" w:rsidR="002A4EF1" w:rsidRPr="005F1CB1" w:rsidRDefault="002A4EF1" w:rsidP="005F1CB1">
      <w:pPr>
        <w:spacing w:before="100" w:beforeAutospacing="1" w:after="100" w:afterAutospacing="1" w:line="360" w:lineRule="auto"/>
        <w:rPr>
          <w:rFonts w:asciiTheme="minorHAnsi" w:hAnsiTheme="minorHAnsi"/>
          <w:b/>
          <w:bCs/>
          <w:color w:val="000000"/>
        </w:rPr>
      </w:pPr>
      <w:r w:rsidRPr="002A4EF1">
        <w:rPr>
          <w:rFonts w:asciiTheme="minorHAnsi" w:hAnsiTheme="minorHAnsi"/>
          <w:color w:val="000000"/>
        </w:rPr>
        <w:t>Critically, the objective of Open Play is not to erase gender identity but to prevent restrictive stereotyping that limits developmental opportunity. This distinction is essential when engaging with stakeholders who may conflate inclusive practice with ideological agendas.</w:t>
      </w:r>
    </w:p>
    <w:p w14:paraId="39764166" w14:textId="77777777" w:rsidR="005F1CB1" w:rsidRPr="005F1CB1" w:rsidRDefault="005F1CB1" w:rsidP="005F1CB1">
      <w:pPr>
        <w:pStyle w:val="Heading2"/>
        <w:spacing w:line="360" w:lineRule="auto"/>
        <w:rPr>
          <w:rFonts w:asciiTheme="minorHAnsi" w:hAnsiTheme="minorHAnsi"/>
          <w:b/>
          <w:bCs/>
          <w:color w:val="000000"/>
          <w:sz w:val="24"/>
          <w:szCs w:val="24"/>
        </w:rPr>
      </w:pPr>
      <w:r w:rsidRPr="005F1CB1">
        <w:rPr>
          <w:rFonts w:asciiTheme="minorHAnsi" w:hAnsiTheme="minorHAnsi"/>
          <w:b/>
          <w:bCs/>
          <w:color w:val="000000"/>
          <w:sz w:val="24"/>
          <w:szCs w:val="24"/>
        </w:rPr>
        <w:t>Theoretical Perspective:</w:t>
      </w:r>
      <w:r w:rsidRPr="005F1CB1">
        <w:rPr>
          <w:rStyle w:val="apple-converted-space"/>
          <w:rFonts w:asciiTheme="minorHAnsi" w:hAnsiTheme="minorHAnsi"/>
          <w:b/>
          <w:bCs/>
          <w:color w:val="000000"/>
          <w:sz w:val="24"/>
          <w:szCs w:val="24"/>
        </w:rPr>
        <w:t> </w:t>
      </w:r>
      <w:r w:rsidRPr="005F1CB1">
        <w:rPr>
          <w:rStyle w:val="whitespace-normal"/>
          <w:rFonts w:asciiTheme="minorHAnsi" w:hAnsiTheme="minorHAnsi"/>
          <w:b/>
          <w:bCs/>
          <w:color w:val="000000"/>
          <w:sz w:val="24"/>
          <w:szCs w:val="24"/>
        </w:rPr>
        <w:t>Lev Vygotsky</w:t>
      </w:r>
    </w:p>
    <w:p w14:paraId="4900A3CF" w14:textId="17AA4D1D"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Vygotsky’s sociocultural theory situates play as a primary context for learning and identity development through social interaction, language, and cultural tools. Research applying his framework highlights how adults scaffold </w:t>
      </w:r>
      <w:r w:rsidRPr="005F1CB1">
        <w:rPr>
          <w:rFonts w:asciiTheme="minorHAnsi" w:hAnsiTheme="minorHAnsi"/>
          <w:color w:val="000000"/>
        </w:rPr>
        <w:t>plays</w:t>
      </w:r>
      <w:r w:rsidRPr="005F1CB1">
        <w:rPr>
          <w:rFonts w:asciiTheme="minorHAnsi" w:hAnsiTheme="minorHAnsi"/>
          <w:color w:val="000000"/>
        </w:rPr>
        <w:t xml:space="preserve"> to extend children’s cognitive and social capacities (Veraksa, Samuelsson &amp; Colliver, 2022; Bodrova &amp; Leong, 2023). Within early years settings, gendered behaviours and expectations are transmitted and reinforced through these interactions. Open Play’s focus on reflective practitioner practice aligns with Vygotskian principles, emphasising the role of adult facilitation in expanding children’s developmental opportunities beyond restrictive norms.</w:t>
      </w:r>
    </w:p>
    <w:p w14:paraId="7925C382" w14:textId="77777777" w:rsidR="005F1CB1" w:rsidRPr="005F1CB1" w:rsidRDefault="005F1CB1" w:rsidP="005F1CB1">
      <w:pPr>
        <w:spacing w:before="100" w:beforeAutospacing="1" w:after="100" w:afterAutospacing="1" w:line="360" w:lineRule="auto"/>
        <w:outlineLvl w:val="1"/>
        <w:rPr>
          <w:rFonts w:asciiTheme="minorHAnsi" w:hAnsiTheme="minorHAnsi"/>
          <w:b/>
          <w:bCs/>
          <w:color w:val="000000"/>
        </w:rPr>
      </w:pPr>
      <w:r w:rsidRPr="005F1CB1">
        <w:rPr>
          <w:rFonts w:asciiTheme="minorHAnsi" w:hAnsiTheme="minorHAnsi"/>
          <w:b/>
          <w:bCs/>
          <w:color w:val="000000"/>
        </w:rPr>
        <w:t>Strategic Grant Applications and Enterprise Development</w:t>
      </w:r>
    </w:p>
    <w:p w14:paraId="38CA4BD6" w14:textId="77777777" w:rsidR="005F1CB1" w:rsidRPr="005F1CB1" w:rsidRDefault="005F1CB1" w:rsidP="005F1CB1">
      <w:pPr>
        <w:spacing w:before="100" w:beforeAutospacing="1" w:after="100" w:afterAutospacing="1" w:line="360" w:lineRule="auto"/>
        <w:rPr>
          <w:rFonts w:asciiTheme="minorHAnsi" w:hAnsiTheme="minorHAnsi"/>
          <w:color w:val="000000"/>
        </w:rPr>
      </w:pPr>
      <w:bookmarkStart w:id="0" w:name="OLE_LINK3"/>
      <w:r w:rsidRPr="005F1CB1">
        <w:rPr>
          <w:rFonts w:asciiTheme="minorHAnsi" w:hAnsiTheme="minorHAnsi"/>
          <w:color w:val="000000"/>
        </w:rPr>
        <w:t>To support the financial development of Open Play, I investigated potential grant opportunities within Wales. Many social enterprises and early years initiatives benefit from funding streams aimed at professional development, inclusion, and early intervention. For example, the Welsh Government and associated bodies offer funding for early years innovation and workforce development, particularly where initiatives align with policy priorities such as inclusive education and play sufficiency (Play Wales, 2025). </w:t>
      </w:r>
    </w:p>
    <w:bookmarkEnd w:id="0"/>
    <w:p w14:paraId="43CC2317" w14:textId="77777777" w:rsidR="005F1CB1" w:rsidRPr="005F1CB1" w:rsidRDefault="005F1CB1" w:rsidP="005F1CB1">
      <w:p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 xml:space="preserve">The grant application process I undertook began with identifying relevant funders, including local authority children’s services grants and early years inclusion funding streams. I created a proposal that linked Open Play’s objectives directly to national policy goals such as the Welsh Government’s Early Childhood Play, Learning and Care </w:t>
      </w:r>
      <w:r w:rsidRPr="005F1CB1">
        <w:rPr>
          <w:rFonts w:asciiTheme="minorHAnsi" w:hAnsiTheme="minorHAnsi"/>
          <w:color w:val="000000"/>
        </w:rPr>
        <w:lastRenderedPageBreak/>
        <w:t>strategic framework, which emphasises play as fundamental to development and inclusive practice (Welsh Government, 2024). </w:t>
      </w:r>
    </w:p>
    <w:p w14:paraId="096AF4BD" w14:textId="77777777" w:rsidR="005F1CB1" w:rsidRPr="005F1CB1" w:rsidRDefault="005F1CB1" w:rsidP="005F1CB1">
      <w:p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The application detailed:</w:t>
      </w:r>
    </w:p>
    <w:p w14:paraId="673B9FCB" w14:textId="77777777" w:rsidR="005F1CB1" w:rsidRPr="005F1CB1" w:rsidRDefault="005F1CB1" w:rsidP="005F1CB1">
      <w:pPr>
        <w:numPr>
          <w:ilvl w:val="0"/>
          <w:numId w:val="3"/>
        </w:num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The developmental need based on research and survey data,</w:t>
      </w:r>
    </w:p>
    <w:p w14:paraId="756E243B" w14:textId="77777777" w:rsidR="005F1CB1" w:rsidRPr="005F1CB1" w:rsidRDefault="005F1CB1" w:rsidP="005F1CB1">
      <w:pPr>
        <w:numPr>
          <w:ilvl w:val="0"/>
          <w:numId w:val="3"/>
        </w:num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Alignment with Welsh statutory guidance on play sufficiency and inclusive practice (Play Wales, 2025), </w:t>
      </w:r>
    </w:p>
    <w:p w14:paraId="1D70E472" w14:textId="77777777" w:rsidR="005F1CB1" w:rsidRPr="005F1CB1" w:rsidRDefault="005F1CB1" w:rsidP="005F1CB1">
      <w:pPr>
        <w:numPr>
          <w:ilvl w:val="0"/>
          <w:numId w:val="3"/>
        </w:num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A sustainability plan demonstrating how initial funding would support digital resource development and pilot workshops.</w:t>
      </w:r>
    </w:p>
    <w:p w14:paraId="6633F52E" w14:textId="1B40C7C7" w:rsidR="005F1CB1" w:rsidRPr="002A4EF1" w:rsidRDefault="005F1CB1" w:rsidP="00FF50EE">
      <w:pPr>
        <w:spacing w:before="100" w:beforeAutospacing="1" w:after="100" w:afterAutospacing="1" w:line="360" w:lineRule="auto"/>
        <w:rPr>
          <w:rFonts w:asciiTheme="minorHAnsi" w:hAnsiTheme="minorHAnsi"/>
          <w:color w:val="000000"/>
        </w:rPr>
      </w:pPr>
      <w:r w:rsidRPr="005F1CB1">
        <w:rPr>
          <w:rFonts w:asciiTheme="minorHAnsi" w:hAnsiTheme="minorHAnsi"/>
          <w:color w:val="000000"/>
        </w:rPr>
        <w:t>This process illuminated key challenges in grant seeking, including the need for robust evidence of long-term impact, evidence of demand, and clear alignment with strategic priorities held by funders. While not all applications were successful, this exercise improved the business’s readiness to engage with future funding rounds and highlighted the importance of evidence-informed design.</w:t>
      </w:r>
    </w:p>
    <w:p w14:paraId="189B57A0"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Cultural Barriers and Ethical Considerations</w:t>
      </w:r>
    </w:p>
    <w:p w14:paraId="1A7D5B30" w14:textId="428FC1C4"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Cultural resistance represents one of the most significant potential barriers. Gender roles are shaped by family traditions, religious beliefs, and community values. A culturally insensitive approach risks alienating families and practitioners, thereby undermining the enterprise’s objectives</w:t>
      </w:r>
      <w:r w:rsidR="005F1CB1" w:rsidRPr="005F1CB1">
        <w:rPr>
          <w:rFonts w:asciiTheme="minorHAnsi" w:hAnsiTheme="minorHAnsi"/>
          <w:color w:val="000000"/>
        </w:rPr>
        <w:t xml:space="preserve"> (Murnen,2016 and Alanzi, 2020).</w:t>
      </w:r>
    </w:p>
    <w:p w14:paraId="561FED8B"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To address this, Open Play must adopt a culturally responsive framework that emphasises child wellbeing and developmental research rather than normative arguments about identity. Framing discussions around evidence of cognitive and emotional benefits reduces defensiveness. Engaging stakeholders through dialogue rather than prescription allows for gradual reflection and change.</w:t>
      </w:r>
    </w:p>
    <w:p w14:paraId="7C33A8E4" w14:textId="5E3B8F20"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 xml:space="preserve">The Children’s Commissioner for Wales (2023) highlights the importance of a rights-based approach that promotes non-discrimination while respecting diversity. Open </w:t>
      </w:r>
      <w:r w:rsidRPr="002A4EF1">
        <w:rPr>
          <w:rFonts w:asciiTheme="minorHAnsi" w:hAnsiTheme="minorHAnsi"/>
          <w:color w:val="000000"/>
        </w:rPr>
        <w:lastRenderedPageBreak/>
        <w:t>Play must balance these principles carefully, ensuring that equality promotion does not disregard cultural identity.</w:t>
      </w:r>
    </w:p>
    <w:p w14:paraId="59B8F4FC" w14:textId="77777777" w:rsidR="005F1CB1" w:rsidRPr="005F1CB1" w:rsidRDefault="005F1CB1" w:rsidP="005F1CB1">
      <w:pPr>
        <w:pStyle w:val="Heading1"/>
        <w:spacing w:line="360" w:lineRule="auto"/>
        <w:rPr>
          <w:rFonts w:asciiTheme="minorHAnsi" w:hAnsiTheme="minorHAnsi"/>
          <w:b/>
          <w:bCs/>
          <w:color w:val="000000"/>
          <w:sz w:val="24"/>
          <w:szCs w:val="24"/>
        </w:rPr>
      </w:pPr>
      <w:bookmarkStart w:id="1" w:name="OLE_LINK4"/>
      <w:r w:rsidRPr="005F1CB1">
        <w:rPr>
          <w:rFonts w:asciiTheme="minorHAnsi" w:hAnsiTheme="minorHAnsi"/>
          <w:b/>
          <w:bCs/>
          <w:color w:val="000000"/>
          <w:sz w:val="24"/>
          <w:szCs w:val="24"/>
        </w:rPr>
        <w:t>PESTLE Analysis of Open Play</w:t>
      </w:r>
    </w:p>
    <w:p w14:paraId="279B5DDC" w14:textId="77777777" w:rsid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t>Political Factors</w:t>
      </w:r>
    </w:p>
    <w:p w14:paraId="0CF37523" w14:textId="77777777" w:rsidR="00A81611" w:rsidRPr="00A81611" w:rsidRDefault="00A81611" w:rsidP="00A81611">
      <w:pPr>
        <w:pStyle w:val="NormalWeb"/>
        <w:spacing w:line="360" w:lineRule="auto"/>
        <w:rPr>
          <w:rFonts w:asciiTheme="minorHAnsi" w:hAnsiTheme="minorHAnsi"/>
          <w:color w:val="000000"/>
        </w:rPr>
      </w:pPr>
      <w:r w:rsidRPr="00A81611">
        <w:rPr>
          <w:rFonts w:asciiTheme="minorHAnsi" w:hAnsiTheme="minorHAnsi"/>
          <w:color w:val="000000"/>
        </w:rPr>
        <w:t>Politically, Open Play operates within a Welsh policy context that formally supports equality and inclusion. Gender equality is embedded within broader commitments to social justice under the Curriculum and Assessment (Wales) Act 2021. The Curriculum for Wales aims to develop “ethical, informed citizens” and “healthy, confident individuals” (Welsh Government, 2022), providing a strong foundation for challenging restrictive gender norms in early childhood.</w:t>
      </w:r>
    </w:p>
    <w:p w14:paraId="72E1682C" w14:textId="77777777" w:rsidR="00A81611" w:rsidRPr="00A81611" w:rsidRDefault="00A81611" w:rsidP="00A81611">
      <w:pPr>
        <w:pStyle w:val="NormalWeb"/>
        <w:spacing w:line="360" w:lineRule="auto"/>
        <w:rPr>
          <w:rFonts w:asciiTheme="minorHAnsi" w:hAnsiTheme="minorHAnsi"/>
          <w:color w:val="000000"/>
        </w:rPr>
      </w:pPr>
      <w:r w:rsidRPr="00A81611">
        <w:rPr>
          <w:rFonts w:asciiTheme="minorHAnsi" w:hAnsiTheme="minorHAnsi"/>
          <w:color w:val="000000"/>
        </w:rPr>
        <w:t>From a gender perspective, this alignment is a significant strength. Open Play’s mission to reduce gender stereotyping directly supports national educational priorities and can position the business as helping schools meet inspection expectations around equity and wellbeing (Estyn, 2024).</w:t>
      </w:r>
    </w:p>
    <w:p w14:paraId="4C66637C" w14:textId="77777777" w:rsidR="00A81611" w:rsidRPr="00A81611" w:rsidRDefault="00A81611" w:rsidP="00A81611">
      <w:pPr>
        <w:pStyle w:val="NormalWeb"/>
        <w:spacing w:line="360" w:lineRule="auto"/>
        <w:rPr>
          <w:rFonts w:asciiTheme="minorHAnsi" w:hAnsiTheme="minorHAnsi"/>
          <w:color w:val="000000"/>
        </w:rPr>
      </w:pPr>
      <w:r w:rsidRPr="00A81611">
        <w:rPr>
          <w:rFonts w:asciiTheme="minorHAnsi" w:hAnsiTheme="minorHAnsi"/>
          <w:color w:val="000000"/>
        </w:rPr>
        <w:t>However, political support does not eliminate contestation. Gender discourse can become politicised, particularly where it intersects with parental beliefs and media narratives. Although Welsh policy promotes inclusivity, implementation is shaped by school leadership and community context. Estyn (2024) notes that while many schools demonstrate commitment to equity, approaches to sensitive aspects of inclusion vary. This presents a weakness: policy alignment does not guarantee consistent practice-level acceptance.</w:t>
      </w:r>
    </w:p>
    <w:p w14:paraId="0F035D7F" w14:textId="74027C49" w:rsidR="00A81611" w:rsidRPr="00A81611" w:rsidRDefault="00A81611" w:rsidP="00A81611">
      <w:pPr>
        <w:pStyle w:val="NormalWeb"/>
        <w:spacing w:line="360" w:lineRule="auto"/>
        <w:rPr>
          <w:rFonts w:asciiTheme="minorHAnsi" w:hAnsiTheme="minorHAnsi"/>
          <w:color w:val="000000"/>
        </w:rPr>
      </w:pPr>
      <w:r w:rsidRPr="00A81611">
        <w:rPr>
          <w:rFonts w:asciiTheme="minorHAnsi" w:hAnsiTheme="minorHAnsi"/>
          <w:color w:val="000000"/>
        </w:rPr>
        <w:t xml:space="preserve">From an early </w:t>
      </w:r>
      <w:r w:rsidR="005B05EA" w:rsidRPr="00A81611">
        <w:rPr>
          <w:rFonts w:asciiTheme="minorHAnsi" w:hAnsiTheme="minorHAnsi"/>
          <w:color w:val="000000"/>
        </w:rPr>
        <w:t>year’s</w:t>
      </w:r>
      <w:r w:rsidRPr="00A81611">
        <w:rPr>
          <w:rFonts w:asciiTheme="minorHAnsi" w:hAnsiTheme="minorHAnsi"/>
          <w:color w:val="000000"/>
        </w:rPr>
        <w:t xml:space="preserve"> perspective, the emphasis on equity strengthens the case for early intervention. Research shows that gender stereotyping emerges in early childhood and can shape cognitive, social and aspirational development (Endendijk and Portegijs, 2018; OECD, 2021). Early years settings therefore play a crucial role in reinforcing or disrupting restrictive norms, aligning Open Play with preventative policy agendas (Welsh Government, 2022).</w:t>
      </w:r>
    </w:p>
    <w:p w14:paraId="0F2695A0" w14:textId="77777777" w:rsidR="00A81611" w:rsidRPr="00A81611" w:rsidRDefault="00A81611" w:rsidP="00A81611">
      <w:pPr>
        <w:pStyle w:val="NormalWeb"/>
        <w:spacing w:line="360" w:lineRule="auto"/>
        <w:rPr>
          <w:rFonts w:asciiTheme="minorHAnsi" w:hAnsiTheme="minorHAnsi"/>
          <w:color w:val="000000"/>
        </w:rPr>
      </w:pPr>
      <w:r w:rsidRPr="00A81611">
        <w:rPr>
          <w:rFonts w:asciiTheme="minorHAnsi" w:hAnsiTheme="minorHAnsi"/>
          <w:color w:val="000000"/>
        </w:rPr>
        <w:lastRenderedPageBreak/>
        <w:t>Within Wales, devolution enables a progressive, rights-based educational framework distinct from other UK nations (Welsh Government, 2022). This creates opportunity for inclusion-focused enterprises. However, shifts in Welsh Government funding priorities, particularly in early years budgets, could affect schools’ ability to commission external services (Welsh Government, 2024). Political alignment therefore creates opportunity, but not financial certainty.</w:t>
      </w:r>
    </w:p>
    <w:p w14:paraId="71CE3FDD" w14:textId="77777777" w:rsidR="00A81611" w:rsidRPr="00A81611" w:rsidRDefault="00A81611" w:rsidP="00A81611"/>
    <w:p w14:paraId="7A9EC64E" w14:textId="77777777" w:rsidR="005F1CB1" w:rsidRP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t>Economic Factors</w:t>
      </w:r>
    </w:p>
    <w:p w14:paraId="382A86DD"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Economically, early years settings across Wales face sustained funding pressures. Gender-inclusive consultancy services may be perceived as non-essential when budgets prioritise staffing ratios and core provision. This constitutes a structural weakness for Open Play.</w:t>
      </w:r>
    </w:p>
    <w:p w14:paraId="52848EBF" w14:textId="5DB9EB73"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However, from a developmental economics perspective, investment in early childhood produces long-term social and economic returns (OECD, 2021). Gender stereotyping can limit children’s aspirations, subject choices, and career pathways, reinforcing economic inequalities later in life. By framing its services as preventative</w:t>
      </w:r>
      <w:r w:rsidRPr="005F1CB1">
        <w:rPr>
          <w:rFonts w:asciiTheme="minorHAnsi" w:hAnsiTheme="minorHAnsi"/>
          <w:color w:val="000000"/>
        </w:rPr>
        <w:t xml:space="preserve">, </w:t>
      </w:r>
      <w:r w:rsidRPr="005F1CB1">
        <w:rPr>
          <w:rFonts w:asciiTheme="minorHAnsi" w:hAnsiTheme="minorHAnsi"/>
          <w:color w:val="000000"/>
        </w:rPr>
        <w:t>supporting cognitive flexibility, confidence and identity development</w:t>
      </w:r>
      <w:r w:rsidRPr="005F1CB1">
        <w:rPr>
          <w:rFonts w:asciiTheme="minorHAnsi" w:hAnsiTheme="minorHAnsi"/>
          <w:color w:val="000000"/>
        </w:rPr>
        <w:t xml:space="preserve"> </w:t>
      </w:r>
      <w:r w:rsidRPr="005F1CB1">
        <w:rPr>
          <w:rFonts w:asciiTheme="minorHAnsi" w:hAnsiTheme="minorHAnsi"/>
          <w:color w:val="000000"/>
        </w:rPr>
        <w:t>Open Play can align with the economic rationale for early intervention</w:t>
      </w:r>
      <w:r w:rsidR="00E27F61">
        <w:rPr>
          <w:rFonts w:asciiTheme="minorHAnsi" w:hAnsiTheme="minorHAnsi"/>
          <w:color w:val="000000"/>
        </w:rPr>
        <w:t xml:space="preserve"> (</w:t>
      </w:r>
      <w:r w:rsidR="00BB58C5">
        <w:rPr>
          <w:rFonts w:asciiTheme="minorHAnsi" w:hAnsiTheme="minorHAnsi"/>
          <w:color w:val="000000"/>
        </w:rPr>
        <w:t>The Fawcett Society,2019).</w:t>
      </w:r>
    </w:p>
    <w:p w14:paraId="426513A6" w14:textId="060389C3"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In Wales, programmes such as Flying Start target areas of socio-economic deprivation. In communities such as Merthyr Tydfil, Blaenau Gwent, Rhondda Cynon Taf and parts of Newport, children may experience compounded disadvantage</w:t>
      </w:r>
      <w:r w:rsidR="00BD1EAB">
        <w:rPr>
          <w:rFonts w:asciiTheme="minorHAnsi" w:hAnsiTheme="minorHAnsi"/>
          <w:color w:val="000000"/>
        </w:rPr>
        <w:t xml:space="preserve"> (Welsh Government, 2024</w:t>
      </w:r>
      <w:r w:rsidR="000B6052">
        <w:rPr>
          <w:rFonts w:asciiTheme="minorHAnsi" w:hAnsiTheme="minorHAnsi"/>
          <w:color w:val="000000"/>
        </w:rPr>
        <w:t>).</w:t>
      </w:r>
      <w:r w:rsidR="000B6052" w:rsidRPr="005F1CB1">
        <w:rPr>
          <w:rFonts w:asciiTheme="minorHAnsi" w:hAnsiTheme="minorHAnsi"/>
          <w:color w:val="000000"/>
        </w:rPr>
        <w:t xml:space="preserve"> In</w:t>
      </w:r>
      <w:r w:rsidRPr="005F1CB1">
        <w:rPr>
          <w:rFonts w:asciiTheme="minorHAnsi" w:hAnsiTheme="minorHAnsi"/>
          <w:color w:val="000000"/>
        </w:rPr>
        <w:t xml:space="preserve"> these areas, rigid gender norms can intersect with socio-economic inequality, narrowing children’s perceived opportunities. Open Play’s approach could therefore contribute to widening aspiration and supporting the Curriculum for Wales’ ambition of enabling children to realise their potential regardless of background.</w:t>
      </w:r>
    </w:p>
    <w:p w14:paraId="7BEBBAF5" w14:textId="75613596"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A strength lies in the scalability of digital delivery. Online training reduces overhead costs and increases affordability for smaller rural settings. However, digital poverty in </w:t>
      </w:r>
      <w:r w:rsidRPr="005F1CB1">
        <w:rPr>
          <w:rFonts w:asciiTheme="minorHAnsi" w:hAnsiTheme="minorHAnsi"/>
          <w:color w:val="000000"/>
        </w:rPr>
        <w:lastRenderedPageBreak/>
        <w:t>some Welsh communities may limit engagement, requiring blended delivery models</w:t>
      </w:r>
      <w:r w:rsidR="00247DB2">
        <w:rPr>
          <w:rFonts w:asciiTheme="minorHAnsi" w:hAnsiTheme="minorHAnsi"/>
          <w:color w:val="000000"/>
        </w:rPr>
        <w:t xml:space="preserve"> (Ichen, 2025). </w:t>
      </w:r>
    </w:p>
    <w:p w14:paraId="1D7053B3" w14:textId="77777777" w:rsidR="005F1CB1" w:rsidRP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t>Social Factors</w:t>
      </w:r>
    </w:p>
    <w:p w14:paraId="7947B5E4" w14:textId="1AA13826"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Social attitudes toward gender are shifting, with increasing awareness of equality and diversity. This creates market opportunity. Parents and practitioners are more frequently questioning pink/blue marketing divides and stereotyped role play expectations</w:t>
      </w:r>
      <w:r w:rsidR="000B062A">
        <w:rPr>
          <w:rFonts w:asciiTheme="minorHAnsi" w:hAnsiTheme="minorHAnsi"/>
          <w:color w:val="000000"/>
        </w:rPr>
        <w:t xml:space="preserve"> (Sagheer,2025).</w:t>
      </w:r>
    </w:p>
    <w:p w14:paraId="4F19F10D" w14:textId="2C9A7DEC"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However, gender remains socially embedded and culturally reinforced. Research suggests that adults</w:t>
      </w:r>
      <w:r w:rsidRPr="005F1CB1">
        <w:rPr>
          <w:rFonts w:asciiTheme="minorHAnsi" w:hAnsiTheme="minorHAnsi"/>
          <w:color w:val="000000"/>
        </w:rPr>
        <w:t xml:space="preserve"> </w:t>
      </w:r>
      <w:r w:rsidRPr="005F1CB1">
        <w:rPr>
          <w:rFonts w:asciiTheme="minorHAnsi" w:hAnsiTheme="minorHAnsi"/>
          <w:color w:val="000000"/>
        </w:rPr>
        <w:t>often unintentionally</w:t>
      </w:r>
      <w:r w:rsidRPr="005F1CB1">
        <w:rPr>
          <w:rFonts w:asciiTheme="minorHAnsi" w:hAnsiTheme="minorHAnsi"/>
          <w:color w:val="000000"/>
        </w:rPr>
        <w:t xml:space="preserve"> </w:t>
      </w:r>
      <w:r w:rsidRPr="005F1CB1">
        <w:rPr>
          <w:rFonts w:asciiTheme="minorHAnsi" w:hAnsiTheme="minorHAnsi"/>
          <w:color w:val="000000"/>
        </w:rPr>
        <w:t>reinforce gendered expectations through language, toy selection and behavioural responses (Blakemore and Centers, 2021). Open Play challenges deeply normalised practices, which may provoke resistance from families who perceive gender-neutral approaches as ideological rather than developmental.</w:t>
      </w:r>
    </w:p>
    <w:p w14:paraId="314157EA" w14:textId="62A46F99"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From an early </w:t>
      </w:r>
      <w:r w:rsidRPr="005F1CB1">
        <w:rPr>
          <w:rFonts w:asciiTheme="minorHAnsi" w:hAnsiTheme="minorHAnsi"/>
          <w:color w:val="000000"/>
        </w:rPr>
        <w:t>year’s</w:t>
      </w:r>
      <w:r w:rsidRPr="005F1CB1">
        <w:rPr>
          <w:rFonts w:asciiTheme="minorHAnsi" w:hAnsiTheme="minorHAnsi"/>
          <w:color w:val="000000"/>
        </w:rPr>
        <w:t xml:space="preserve"> perspective, </w:t>
      </w:r>
      <w:r w:rsidR="00FA5A0F">
        <w:rPr>
          <w:rFonts w:asciiTheme="minorHAnsi" w:hAnsiTheme="minorHAnsi"/>
          <w:color w:val="000000"/>
        </w:rPr>
        <w:t>d</w:t>
      </w:r>
      <w:r w:rsidRPr="005F1CB1">
        <w:rPr>
          <w:rFonts w:asciiTheme="minorHAnsi" w:hAnsiTheme="minorHAnsi"/>
          <w:color w:val="000000"/>
        </w:rPr>
        <w:t>evelopmentally appropriate practice emphasises child-led exploration. Restricting play through gendered expectations can limit spatial skills, emotional expression, or leadership behaviours depending on the child. Open Play’s strength lies in reframing inclusion not as social activism, but as developmental enrichment</w:t>
      </w:r>
      <w:r w:rsidR="00DB211B">
        <w:rPr>
          <w:rFonts w:asciiTheme="minorHAnsi" w:hAnsiTheme="minorHAnsi"/>
          <w:color w:val="000000"/>
        </w:rPr>
        <w:t xml:space="preserve"> (</w:t>
      </w:r>
      <w:r w:rsidR="00DB211B" w:rsidRPr="00DB211B">
        <w:rPr>
          <w:rFonts w:asciiTheme="minorHAnsi" w:hAnsiTheme="minorHAnsi"/>
          <w:color w:val="000000"/>
        </w:rPr>
        <w:t>King and Priest, 2021)</w:t>
      </w:r>
      <w:r w:rsidR="00DB211B">
        <w:rPr>
          <w:rFonts w:asciiTheme="minorHAnsi" w:hAnsiTheme="minorHAnsi"/>
          <w:color w:val="000000"/>
        </w:rPr>
        <w:t>.</w:t>
      </w:r>
    </w:p>
    <w:p w14:paraId="69A61557" w14:textId="5CD03956"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In Wales, the Curriculum for Wales promotes belonging, diversity and identity exploration. This provides a culturally supportive backdrop. However, Wales also includes communities with strong traditional or faith-based values. Cultural competence and sensitive engagement strategies are therefore essential to avoid alienation</w:t>
      </w:r>
      <w:r w:rsidR="00DB211B">
        <w:rPr>
          <w:rFonts w:asciiTheme="minorHAnsi" w:hAnsiTheme="minorHAnsi"/>
          <w:color w:val="000000"/>
        </w:rPr>
        <w:t xml:space="preserve"> (Welsh Government, 2022).</w:t>
      </w:r>
    </w:p>
    <w:p w14:paraId="238D96F4" w14:textId="77777777" w:rsidR="005F1CB1" w:rsidRP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t>Technological Factors</w:t>
      </w:r>
    </w:p>
    <w:p w14:paraId="09E4DB25"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Technological infrastructure enables Open Play to deliver webinars, digital toolkits and reflective practice modules. This is a strategic strength, particularly in geographically dispersed Welsh regions such as rural Powys or Carmarthenshire.</w:t>
      </w:r>
    </w:p>
    <w:p w14:paraId="2BB7DF61" w14:textId="76C582D8"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lastRenderedPageBreak/>
        <w:t>Technology also enables data collection, evaluation and impact measurement</w:t>
      </w:r>
      <w:r w:rsidRPr="005F1CB1">
        <w:rPr>
          <w:rFonts w:asciiTheme="minorHAnsi" w:hAnsiTheme="minorHAnsi"/>
          <w:color w:val="000000"/>
        </w:rPr>
        <w:t xml:space="preserve"> </w:t>
      </w:r>
      <w:r w:rsidRPr="005F1CB1">
        <w:rPr>
          <w:rFonts w:asciiTheme="minorHAnsi" w:hAnsiTheme="minorHAnsi"/>
          <w:color w:val="000000"/>
        </w:rPr>
        <w:t>critical for demonstrating improvements in inclusive practice and linking outcomes to early years developmental frameworks.</w:t>
      </w:r>
    </w:p>
    <w:p w14:paraId="480143E9" w14:textId="14F8E7C6"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However, digital inequality remains a concern in parts of South Wales, particularly in lower-income households. If practitioner access to digital training is inconsistent, implementation may be uneven. Furthermore, reliance on digital delivery may reduce relational engagement, which is often crucial when discussing sensitive gender topics</w:t>
      </w:r>
      <w:r w:rsidR="009B7B02">
        <w:rPr>
          <w:rFonts w:asciiTheme="minorHAnsi" w:hAnsiTheme="minorHAnsi"/>
          <w:color w:val="000000"/>
        </w:rPr>
        <w:t xml:space="preserve"> (Adams, 2021).</w:t>
      </w:r>
    </w:p>
    <w:p w14:paraId="06C9D870" w14:textId="18539D3B"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Linking to early years pedagogy, reflective dialogue and practitioner modelling are central to change. Technology must therefore enhance</w:t>
      </w:r>
      <w:r w:rsidR="009B7B02">
        <w:rPr>
          <w:rFonts w:asciiTheme="minorHAnsi" w:hAnsiTheme="minorHAnsi"/>
          <w:color w:val="000000"/>
        </w:rPr>
        <w:t>,</w:t>
      </w:r>
      <w:r w:rsidRPr="005F1CB1">
        <w:rPr>
          <w:rFonts w:asciiTheme="minorHAnsi" w:hAnsiTheme="minorHAnsi"/>
          <w:color w:val="000000"/>
        </w:rPr>
        <w:t xml:space="preserve"> </w:t>
      </w:r>
      <w:r w:rsidRPr="005F1CB1">
        <w:rPr>
          <w:rFonts w:asciiTheme="minorHAnsi" w:hAnsiTheme="minorHAnsi"/>
          <w:color w:val="000000"/>
        </w:rPr>
        <w:t>not replace</w:t>
      </w:r>
      <w:r w:rsidR="009B7B02">
        <w:rPr>
          <w:rFonts w:asciiTheme="minorHAnsi" w:hAnsiTheme="minorHAnsi"/>
          <w:color w:val="000000"/>
        </w:rPr>
        <w:t>,</w:t>
      </w:r>
      <w:r w:rsidRPr="005F1CB1">
        <w:rPr>
          <w:rFonts w:asciiTheme="minorHAnsi" w:hAnsiTheme="minorHAnsi"/>
          <w:color w:val="000000"/>
        </w:rPr>
        <w:t xml:space="preserve"> </w:t>
      </w:r>
      <w:r w:rsidRPr="005F1CB1">
        <w:rPr>
          <w:rFonts w:asciiTheme="minorHAnsi" w:hAnsiTheme="minorHAnsi"/>
          <w:color w:val="000000"/>
        </w:rPr>
        <w:t>professional reflection</w:t>
      </w:r>
      <w:r w:rsidR="004C1A72">
        <w:rPr>
          <w:rFonts w:asciiTheme="minorHAnsi" w:hAnsiTheme="minorHAnsi"/>
          <w:color w:val="000000"/>
        </w:rPr>
        <w:t xml:space="preserve"> (Early Childhood Education Journal,2024).</w:t>
      </w:r>
    </w:p>
    <w:p w14:paraId="0880FD9C" w14:textId="77777777" w:rsidR="005F1CB1" w:rsidRP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t>Legal Factors</w:t>
      </w:r>
    </w:p>
    <w:p w14:paraId="578DF0A2" w14:textId="11D224B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Legally, educational settings in Wales must comply with equality legislation and public sector equality duties. Schools are required to prevent discrimination and promote inclusive environments. This regulatory framework is a significant strength for Open Play, as it creates institutional accountability</w:t>
      </w:r>
      <w:r w:rsidR="00E92581">
        <w:rPr>
          <w:rFonts w:asciiTheme="minorHAnsi" w:hAnsiTheme="minorHAnsi"/>
          <w:color w:val="000000"/>
        </w:rPr>
        <w:t xml:space="preserve"> (Welsh Government,2024).</w:t>
      </w:r>
    </w:p>
    <w:p w14:paraId="7B556212"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Gender stereotyping, while not always overt discrimination, can contribute to unequal participation. By offering structured guidance, Open Play supports settings in evidencing inclusive practice during inspection processes.</w:t>
      </w:r>
    </w:p>
    <w:p w14:paraId="15A049F9"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However, legal alignment does not eliminate ambiguity. The distinction between sex and gender can be contested in public discourse. Schools may fear misinterpretation of equality guidance. Open Play must therefore ensure its materials are legally robust, clearly grounded in child development research and consistent with Welsh Government guidance.</w:t>
      </w:r>
    </w:p>
    <w:p w14:paraId="30EDC61A" w14:textId="3042C814"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The Curriculum for Wales emphasises rights-based education and children’s participation. Framing inclusive play as supporting children’s rights to explore identity strengthens legal and ethical legitimacy</w:t>
      </w:r>
      <w:r w:rsidR="00806198">
        <w:rPr>
          <w:rFonts w:asciiTheme="minorHAnsi" w:hAnsiTheme="minorHAnsi"/>
          <w:color w:val="000000"/>
        </w:rPr>
        <w:t xml:space="preserve"> (Welsh Government, 2024).</w:t>
      </w:r>
    </w:p>
    <w:p w14:paraId="2CD593CF" w14:textId="77777777" w:rsidR="005F1CB1" w:rsidRDefault="005F1CB1" w:rsidP="005F1CB1">
      <w:pPr>
        <w:pStyle w:val="Heading2"/>
        <w:spacing w:line="360" w:lineRule="auto"/>
        <w:rPr>
          <w:rFonts w:asciiTheme="minorHAnsi" w:hAnsiTheme="minorHAnsi"/>
          <w:color w:val="000000"/>
          <w:sz w:val="24"/>
          <w:szCs w:val="24"/>
        </w:rPr>
      </w:pPr>
      <w:r w:rsidRPr="005F1CB1">
        <w:rPr>
          <w:rFonts w:asciiTheme="minorHAnsi" w:hAnsiTheme="minorHAnsi"/>
          <w:color w:val="000000"/>
          <w:sz w:val="24"/>
          <w:szCs w:val="24"/>
        </w:rPr>
        <w:lastRenderedPageBreak/>
        <w:t>Environmental Factors</w:t>
      </w:r>
    </w:p>
    <w:p w14:paraId="6E0D484A" w14:textId="04C3C54F" w:rsidR="00C64DBD" w:rsidRPr="00C64DBD" w:rsidRDefault="00C64DBD" w:rsidP="00C64DBD">
      <w:pPr>
        <w:spacing w:line="360" w:lineRule="auto"/>
        <w:rPr>
          <w:rFonts w:asciiTheme="minorHAnsi" w:hAnsiTheme="minorHAnsi"/>
        </w:rPr>
      </w:pPr>
      <w:r w:rsidRPr="00C64DBD">
        <w:rPr>
          <w:rFonts w:asciiTheme="minorHAnsi" w:hAnsiTheme="minorHAnsi"/>
          <w:color w:val="000000"/>
        </w:rPr>
        <w:t>Environmental considerations intersect with gender inclusion in early years settings. Open Play encourages sustainable, non-gendered, open-ended resources, aligning inclusive pedagogy with the Curriculum for Wales’ emphasis on ethical, informed citizenship. Outdoor and nature-based learning provide ideal contexts for stereotype-free play, promoting social and environmental sustainability. However, eco-friendly materials may carry higher upfront costs, posing challenges for settings operating within constrained budgets while striving to embed inclusive, developmentally appropriate practices.</w:t>
      </w:r>
    </w:p>
    <w:bookmarkEnd w:id="1"/>
    <w:p w14:paraId="12CA09B5" w14:textId="13EAB2F5" w:rsidR="005F1CB1" w:rsidRPr="005F1CB1" w:rsidRDefault="005F1CB1" w:rsidP="005F1CB1">
      <w:pPr>
        <w:pStyle w:val="NormalWeb"/>
        <w:spacing w:line="360" w:lineRule="auto"/>
        <w:rPr>
          <w:rFonts w:asciiTheme="minorHAnsi" w:hAnsiTheme="minorHAnsi"/>
          <w:b/>
          <w:bCs/>
          <w:color w:val="000000"/>
        </w:rPr>
      </w:pPr>
      <w:r w:rsidRPr="005F1CB1">
        <w:rPr>
          <w:rFonts w:asciiTheme="minorHAnsi" w:hAnsiTheme="minorHAnsi"/>
          <w:b/>
          <w:bCs/>
          <w:color w:val="000000"/>
        </w:rPr>
        <w:t>Flying Start</w:t>
      </w:r>
    </w:p>
    <w:p w14:paraId="49384461"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The Welsh Government’s</w:t>
      </w:r>
      <w:r w:rsidRPr="005F1CB1">
        <w:rPr>
          <w:rStyle w:val="apple-converted-space"/>
          <w:rFonts w:asciiTheme="minorHAnsi" w:eastAsiaTheme="majorEastAsia" w:hAnsiTheme="minorHAnsi"/>
          <w:color w:val="000000"/>
        </w:rPr>
        <w:t> </w:t>
      </w:r>
      <w:r w:rsidRPr="005F1CB1">
        <w:rPr>
          <w:rStyle w:val="Strong"/>
          <w:rFonts w:asciiTheme="minorHAnsi" w:eastAsiaTheme="majorEastAsia" w:hAnsiTheme="minorHAnsi"/>
          <w:b w:val="0"/>
          <w:bCs w:val="0"/>
          <w:color w:val="000000"/>
        </w:rPr>
        <w:t>Flying Start</w:t>
      </w:r>
      <w:r w:rsidRPr="005F1CB1">
        <w:rPr>
          <w:rStyle w:val="apple-converted-space"/>
          <w:rFonts w:asciiTheme="minorHAnsi" w:eastAsiaTheme="majorEastAsia" w:hAnsiTheme="minorHAnsi"/>
          <w:color w:val="000000"/>
        </w:rPr>
        <w:t> </w:t>
      </w:r>
      <w:r w:rsidRPr="005F1CB1">
        <w:rPr>
          <w:rFonts w:asciiTheme="minorHAnsi" w:hAnsiTheme="minorHAnsi"/>
          <w:color w:val="000000"/>
        </w:rPr>
        <w:t>programme is a targeted early intervention initiative supporting families with children under four in socio-economically disadvantaged areas (Welsh Government, 2024; 2025). It provides funded part-time childcare, enhanced health visiting, parenting programmes and support for early language development, with eligibility determined through the Welsh Index of Multiple Deprivation. In South Wales, Flying Start operates in areas including Ely, Llanrumney and Rumney in Cardiff; Sandfields and Aberavon in Neath Port Talbot; Ebbw Vale in Blaenau Gwent; and targeted wards within Caerphilly and Merthyr Tydfil. These communities often experience overlapping challenges such as income deprivation and lower educational attainment, increasing the importance of high-quality early years provision.</w:t>
      </w:r>
    </w:p>
    <w:p w14:paraId="051A3BB3" w14:textId="670F5F08"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 xml:space="preserve">Open Play holds </w:t>
      </w:r>
      <w:r w:rsidRPr="005F1CB1">
        <w:rPr>
          <w:rFonts w:asciiTheme="minorHAnsi" w:hAnsiTheme="minorHAnsi"/>
          <w:color w:val="000000"/>
        </w:rPr>
        <w:t>relevance</w:t>
      </w:r>
      <w:r w:rsidRPr="005F1CB1">
        <w:rPr>
          <w:rFonts w:asciiTheme="minorHAnsi" w:hAnsiTheme="minorHAnsi"/>
          <w:color w:val="000000"/>
        </w:rPr>
        <w:t xml:space="preserve"> within these contexts. Research indicates that children in disadvantaged communities benefit most from enriched early intervention (OECD, 2021), and restrictive gender stereotyping may further narrow developmental opportunities. By complementing existing Flying Start provision with inclusive play training, Open Play could enhance the quality of early years experiences while aligning with Welsh policy priorities around equity and workforce development (Welsh Government, 2024). Targeting these areas strengthens the social enterprise dimension of the business, positioning it not only as a gender-inclusive initiative but as a </w:t>
      </w:r>
      <w:r w:rsidRPr="005F1CB1">
        <w:rPr>
          <w:rFonts w:asciiTheme="minorHAnsi" w:hAnsiTheme="minorHAnsi"/>
          <w:color w:val="000000"/>
        </w:rPr>
        <w:lastRenderedPageBreak/>
        <w:t>contributor to broader social justice and educational equality objectives within Wales (Pinoncely, 2016)</w:t>
      </w:r>
      <w:r w:rsidRPr="005F1CB1">
        <w:rPr>
          <w:rFonts w:asciiTheme="minorHAnsi" w:hAnsiTheme="minorHAnsi"/>
          <w:color w:val="000000"/>
        </w:rPr>
        <w:t>.</w:t>
      </w:r>
    </w:p>
    <w:p w14:paraId="68070C27"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Links to Current Practice and Government Legislation</w:t>
      </w:r>
    </w:p>
    <w:p w14:paraId="716A2947" w14:textId="5A3991F5"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Contemporary early years practice increasingly recognises the importance of child-led learning and enabling environments</w:t>
      </w:r>
      <w:r w:rsidR="005F1CB1" w:rsidRPr="005F1CB1">
        <w:rPr>
          <w:rFonts w:asciiTheme="minorHAnsi" w:hAnsiTheme="minorHAnsi"/>
          <w:color w:val="000000"/>
        </w:rPr>
        <w:t xml:space="preserve"> (Liberto,2016 and Woods,2017</w:t>
      </w:r>
      <w:r w:rsidR="005E62B3">
        <w:rPr>
          <w:rFonts w:asciiTheme="minorHAnsi" w:hAnsiTheme="minorHAnsi"/>
          <w:color w:val="000000"/>
        </w:rPr>
        <w:t xml:space="preserve">). </w:t>
      </w:r>
      <w:r w:rsidR="005F1CB1" w:rsidRPr="005F1CB1">
        <w:rPr>
          <w:rFonts w:asciiTheme="minorHAnsi" w:hAnsiTheme="minorHAnsi"/>
          <w:color w:val="000000"/>
        </w:rPr>
        <w:t xml:space="preserve"> </w:t>
      </w:r>
      <w:r w:rsidRPr="002A4EF1">
        <w:rPr>
          <w:rFonts w:asciiTheme="minorHAnsi" w:hAnsiTheme="minorHAnsi"/>
          <w:color w:val="000000"/>
        </w:rPr>
        <w:t>However, unconscious bias in resource organisation and adult interaction persists. Policy frameworks advocate inclusion, yet implementation varies across settings</w:t>
      </w:r>
      <w:r w:rsidR="005F1CB1" w:rsidRPr="005F1CB1">
        <w:rPr>
          <w:rFonts w:asciiTheme="minorHAnsi" w:hAnsiTheme="minorHAnsi"/>
          <w:color w:val="000000"/>
        </w:rPr>
        <w:t xml:space="preserve"> (Whitsel </w:t>
      </w:r>
      <w:r w:rsidR="005F1CB1" w:rsidRPr="00FF50EE">
        <w:rPr>
          <w:rFonts w:asciiTheme="minorHAnsi" w:hAnsiTheme="minorHAnsi"/>
          <w:i/>
          <w:iCs/>
          <w:color w:val="000000"/>
        </w:rPr>
        <w:t>et al</w:t>
      </w:r>
      <w:r w:rsidR="005F1CB1" w:rsidRPr="005F1CB1">
        <w:rPr>
          <w:rFonts w:asciiTheme="minorHAnsi" w:hAnsiTheme="minorHAnsi"/>
          <w:color w:val="000000"/>
        </w:rPr>
        <w:t>, 2024).</w:t>
      </w:r>
    </w:p>
    <w:p w14:paraId="10BE8554"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The Curriculum for Wales positions early education as foundational to lifelong learning and citizenship (Welsh Government, 2022). By addressing gender stereotyping at this stage, Open Play contributes to long-term educational equity. Equality legislation and inspection requirements further reinforce the necessity of inclusive provision (Estyn, 2024).</w:t>
      </w:r>
    </w:p>
    <w:p w14:paraId="3C591B72" w14:textId="4ECF8004"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Open Play</w:t>
      </w:r>
      <w:r w:rsidR="00537151">
        <w:rPr>
          <w:rFonts w:asciiTheme="minorHAnsi" w:hAnsiTheme="minorHAnsi"/>
          <w:color w:val="000000"/>
        </w:rPr>
        <w:t>,</w:t>
      </w:r>
      <w:r w:rsidRPr="002A4EF1">
        <w:rPr>
          <w:rFonts w:asciiTheme="minorHAnsi" w:hAnsiTheme="minorHAnsi"/>
          <w:color w:val="000000"/>
        </w:rPr>
        <w:t xml:space="preserve"> therefore</w:t>
      </w:r>
      <w:r w:rsidR="00537151">
        <w:rPr>
          <w:rFonts w:asciiTheme="minorHAnsi" w:hAnsiTheme="minorHAnsi"/>
          <w:color w:val="000000"/>
        </w:rPr>
        <w:t>,</w:t>
      </w:r>
      <w:r w:rsidRPr="002A4EF1">
        <w:rPr>
          <w:rFonts w:asciiTheme="minorHAnsi" w:hAnsiTheme="minorHAnsi"/>
          <w:color w:val="000000"/>
        </w:rPr>
        <w:t xml:space="preserve"> operates not as an external critique of practice but as a supportive mechanism enabling practitioners to translate policy into everyday classroom strategies.</w:t>
      </w:r>
    </w:p>
    <w:p w14:paraId="417EC6A5" w14:textId="77777777" w:rsidR="002A4EF1" w:rsidRPr="002A4EF1" w:rsidRDefault="002A4EF1" w:rsidP="005F1CB1">
      <w:pPr>
        <w:spacing w:before="100" w:beforeAutospacing="1" w:after="100" w:afterAutospacing="1" w:line="360" w:lineRule="auto"/>
        <w:outlineLvl w:val="1"/>
        <w:rPr>
          <w:rFonts w:asciiTheme="minorHAnsi" w:hAnsiTheme="minorHAnsi"/>
          <w:b/>
          <w:bCs/>
          <w:color w:val="000000"/>
        </w:rPr>
      </w:pPr>
      <w:r w:rsidRPr="002A4EF1">
        <w:rPr>
          <w:rFonts w:asciiTheme="minorHAnsi" w:hAnsiTheme="minorHAnsi"/>
          <w:b/>
          <w:bCs/>
          <w:color w:val="000000"/>
        </w:rPr>
        <w:t>Future Development and Strategic Growth</w:t>
      </w:r>
    </w:p>
    <w:p w14:paraId="6F3FD194" w14:textId="707A73E2" w:rsidR="002A4EF1" w:rsidRPr="002A4EF1" w:rsidRDefault="005F1CB1" w:rsidP="005F1CB1">
      <w:pPr>
        <w:spacing w:line="360" w:lineRule="auto"/>
        <w:rPr>
          <w:rFonts w:asciiTheme="minorHAnsi" w:hAnsiTheme="minorHAnsi"/>
        </w:rPr>
      </w:pPr>
      <w:r w:rsidRPr="005F1CB1">
        <w:rPr>
          <w:rFonts w:asciiTheme="minorHAnsi" w:hAnsiTheme="minorHAnsi"/>
          <w:color w:val="000000"/>
        </w:rPr>
        <w:t>In the future, I would like to expand Open Play across the whole of the UK and potentially into Europe, reaching a wider audience of children, families, and practitioners. I aim to have a greater influence within the early childhood education community by developing accredited professional development programmes in collaboration with higher education institutions and establishing research partnerships to generate empirical evidence of impact. The creation of national and international online platforms would support this broader reach. Long-term sustainability will depend on robust impact measurement, strong stakeholder engagement, diversified funding, and adaptive service design. As societal understanding of inclusion continues to evolve, Open Play has the potential to shape the wider discourse on early childhood education.</w:t>
      </w:r>
    </w:p>
    <w:p w14:paraId="7E580217" w14:textId="77777777" w:rsidR="002A4EF1" w:rsidRPr="002A4EF1" w:rsidRDefault="002A4EF1" w:rsidP="005F1CB1">
      <w:pPr>
        <w:spacing w:before="100" w:beforeAutospacing="1" w:after="100" w:afterAutospacing="1" w:line="360" w:lineRule="auto"/>
        <w:outlineLvl w:val="0"/>
        <w:rPr>
          <w:rFonts w:asciiTheme="minorHAnsi" w:hAnsiTheme="minorHAnsi"/>
          <w:b/>
          <w:bCs/>
          <w:color w:val="000000"/>
          <w:kern w:val="36"/>
        </w:rPr>
      </w:pPr>
      <w:r w:rsidRPr="002A4EF1">
        <w:rPr>
          <w:rFonts w:asciiTheme="minorHAnsi" w:hAnsiTheme="minorHAnsi"/>
          <w:b/>
          <w:bCs/>
          <w:color w:val="000000"/>
          <w:kern w:val="36"/>
        </w:rPr>
        <w:lastRenderedPageBreak/>
        <w:t>Conclusion</w:t>
      </w:r>
    </w:p>
    <w:p w14:paraId="115518C8" w14:textId="77777777" w:rsidR="002A4EF1" w:rsidRPr="002A4EF1" w:rsidRDefault="002A4EF1" w:rsidP="005F1CB1">
      <w:pPr>
        <w:spacing w:before="100" w:beforeAutospacing="1" w:after="100" w:afterAutospacing="1" w:line="360" w:lineRule="auto"/>
        <w:rPr>
          <w:rFonts w:asciiTheme="minorHAnsi" w:hAnsiTheme="minorHAnsi"/>
          <w:color w:val="000000"/>
        </w:rPr>
      </w:pPr>
      <w:r w:rsidRPr="002A4EF1">
        <w:rPr>
          <w:rFonts w:asciiTheme="minorHAnsi" w:hAnsiTheme="minorHAnsi"/>
          <w:color w:val="000000"/>
        </w:rPr>
        <w:t>Open Play represents a strategically designed social enterprise addressing the developmental implications of gender stereotyping in early childhood play. By integrating academic research, policy alignment, and entrepreneurial sustainability, the initiative bridges the gap between inclusion rhetoric and daily practice. While cultural, financial, and institutional barriers exist, careful positioning, evidence-based delivery, and policy engagement provide strong foundations for viability and impact.</w:t>
      </w:r>
    </w:p>
    <w:p w14:paraId="18680CF9" w14:textId="77777777" w:rsidR="005F1CB1" w:rsidRDefault="005F1CB1" w:rsidP="005F1CB1">
      <w:pPr>
        <w:spacing w:before="100" w:beforeAutospacing="1" w:after="100" w:afterAutospacing="1" w:line="360" w:lineRule="auto"/>
        <w:outlineLvl w:val="0"/>
        <w:rPr>
          <w:rFonts w:asciiTheme="minorHAnsi" w:hAnsiTheme="minorHAnsi"/>
          <w:b/>
          <w:bCs/>
          <w:color w:val="000000"/>
          <w:kern w:val="36"/>
        </w:rPr>
      </w:pPr>
    </w:p>
    <w:p w14:paraId="577AC413" w14:textId="77777777" w:rsidR="005F1CB1" w:rsidRDefault="005F1CB1" w:rsidP="005F1CB1">
      <w:pPr>
        <w:spacing w:before="100" w:beforeAutospacing="1" w:after="100" w:afterAutospacing="1" w:line="360" w:lineRule="auto"/>
        <w:outlineLvl w:val="0"/>
        <w:rPr>
          <w:rFonts w:asciiTheme="minorHAnsi" w:hAnsiTheme="minorHAnsi"/>
          <w:b/>
          <w:bCs/>
          <w:color w:val="000000"/>
          <w:kern w:val="36"/>
        </w:rPr>
      </w:pPr>
    </w:p>
    <w:p w14:paraId="5147255E" w14:textId="77777777" w:rsidR="005F1CB1" w:rsidRDefault="005F1CB1" w:rsidP="005F1CB1">
      <w:pPr>
        <w:spacing w:before="100" w:beforeAutospacing="1" w:after="100" w:afterAutospacing="1" w:line="360" w:lineRule="auto"/>
        <w:outlineLvl w:val="0"/>
        <w:rPr>
          <w:rFonts w:asciiTheme="minorHAnsi" w:hAnsiTheme="minorHAnsi"/>
          <w:b/>
          <w:bCs/>
          <w:color w:val="000000"/>
          <w:kern w:val="36"/>
        </w:rPr>
      </w:pPr>
    </w:p>
    <w:p w14:paraId="68997970" w14:textId="77777777" w:rsidR="005F1CB1" w:rsidRDefault="005F1CB1" w:rsidP="005F1CB1">
      <w:pPr>
        <w:spacing w:before="100" w:beforeAutospacing="1" w:after="100" w:afterAutospacing="1" w:line="360" w:lineRule="auto"/>
        <w:outlineLvl w:val="0"/>
        <w:rPr>
          <w:rFonts w:asciiTheme="minorHAnsi" w:hAnsiTheme="minorHAnsi"/>
          <w:b/>
          <w:bCs/>
          <w:color w:val="000000"/>
          <w:kern w:val="36"/>
        </w:rPr>
      </w:pPr>
    </w:p>
    <w:p w14:paraId="624EF0D9" w14:textId="77777777" w:rsidR="00950979" w:rsidRDefault="00950979" w:rsidP="005F1CB1">
      <w:pPr>
        <w:spacing w:before="100" w:beforeAutospacing="1" w:after="100" w:afterAutospacing="1" w:line="360" w:lineRule="auto"/>
        <w:outlineLvl w:val="0"/>
        <w:rPr>
          <w:rFonts w:asciiTheme="minorHAnsi" w:hAnsiTheme="minorHAnsi"/>
          <w:b/>
          <w:bCs/>
          <w:color w:val="000000"/>
          <w:kern w:val="36"/>
        </w:rPr>
      </w:pPr>
    </w:p>
    <w:p w14:paraId="3FF0B4F0" w14:textId="77777777" w:rsidR="00950979" w:rsidRDefault="00950979" w:rsidP="005F1CB1">
      <w:pPr>
        <w:spacing w:before="100" w:beforeAutospacing="1" w:after="100" w:afterAutospacing="1" w:line="360" w:lineRule="auto"/>
        <w:outlineLvl w:val="0"/>
        <w:rPr>
          <w:rFonts w:asciiTheme="minorHAnsi" w:hAnsiTheme="minorHAnsi"/>
          <w:b/>
          <w:bCs/>
          <w:color w:val="000000"/>
          <w:kern w:val="36"/>
        </w:rPr>
      </w:pPr>
    </w:p>
    <w:p w14:paraId="6FED7C7F" w14:textId="77777777" w:rsidR="00950979" w:rsidRDefault="00950979" w:rsidP="005F1CB1">
      <w:pPr>
        <w:spacing w:before="100" w:beforeAutospacing="1" w:after="100" w:afterAutospacing="1" w:line="360" w:lineRule="auto"/>
        <w:outlineLvl w:val="0"/>
        <w:rPr>
          <w:rFonts w:asciiTheme="minorHAnsi" w:hAnsiTheme="minorHAnsi"/>
          <w:b/>
          <w:bCs/>
          <w:color w:val="000000"/>
          <w:kern w:val="36"/>
        </w:rPr>
      </w:pPr>
    </w:p>
    <w:p w14:paraId="6F6550FE" w14:textId="77777777" w:rsidR="00950979" w:rsidRDefault="00950979" w:rsidP="005F1CB1">
      <w:pPr>
        <w:spacing w:before="100" w:beforeAutospacing="1" w:after="100" w:afterAutospacing="1" w:line="360" w:lineRule="auto"/>
        <w:outlineLvl w:val="0"/>
        <w:rPr>
          <w:rFonts w:asciiTheme="minorHAnsi" w:hAnsiTheme="minorHAnsi"/>
          <w:b/>
          <w:bCs/>
          <w:color w:val="000000"/>
          <w:kern w:val="36"/>
        </w:rPr>
      </w:pPr>
    </w:p>
    <w:p w14:paraId="01F5AD86" w14:textId="77777777" w:rsidR="00950979" w:rsidRDefault="00950979" w:rsidP="005F1CB1">
      <w:pPr>
        <w:spacing w:before="100" w:beforeAutospacing="1" w:after="100" w:afterAutospacing="1" w:line="360" w:lineRule="auto"/>
        <w:outlineLvl w:val="0"/>
        <w:rPr>
          <w:rFonts w:asciiTheme="minorHAnsi" w:hAnsiTheme="minorHAnsi"/>
          <w:b/>
          <w:bCs/>
          <w:color w:val="000000"/>
          <w:kern w:val="36"/>
        </w:rPr>
      </w:pPr>
    </w:p>
    <w:p w14:paraId="527CDF5E" w14:textId="77777777" w:rsidR="00950979" w:rsidRDefault="00950979" w:rsidP="005F1CB1">
      <w:pPr>
        <w:spacing w:before="100" w:beforeAutospacing="1" w:after="100" w:afterAutospacing="1" w:line="360" w:lineRule="auto"/>
        <w:outlineLvl w:val="0"/>
        <w:rPr>
          <w:rFonts w:asciiTheme="minorHAnsi" w:hAnsiTheme="minorHAnsi"/>
          <w:b/>
          <w:bCs/>
          <w:color w:val="000000"/>
          <w:kern w:val="36"/>
        </w:rPr>
      </w:pPr>
    </w:p>
    <w:p w14:paraId="590AF16F" w14:textId="77777777" w:rsidR="00A22D3A" w:rsidRDefault="00A22D3A" w:rsidP="005F1CB1">
      <w:pPr>
        <w:spacing w:before="100" w:beforeAutospacing="1" w:after="100" w:afterAutospacing="1" w:line="360" w:lineRule="auto"/>
        <w:outlineLvl w:val="0"/>
        <w:rPr>
          <w:rFonts w:asciiTheme="minorHAnsi" w:hAnsiTheme="minorHAnsi"/>
          <w:b/>
          <w:bCs/>
          <w:color w:val="000000"/>
          <w:kern w:val="36"/>
        </w:rPr>
      </w:pPr>
    </w:p>
    <w:p w14:paraId="22F75372" w14:textId="77777777" w:rsidR="00A22D3A" w:rsidRDefault="00A22D3A" w:rsidP="005F1CB1">
      <w:pPr>
        <w:spacing w:before="100" w:beforeAutospacing="1" w:after="100" w:afterAutospacing="1" w:line="360" w:lineRule="auto"/>
        <w:outlineLvl w:val="0"/>
        <w:rPr>
          <w:rFonts w:asciiTheme="minorHAnsi" w:hAnsiTheme="minorHAnsi"/>
          <w:b/>
          <w:bCs/>
          <w:color w:val="000000"/>
          <w:kern w:val="36"/>
        </w:rPr>
      </w:pPr>
    </w:p>
    <w:p w14:paraId="5FA85021" w14:textId="77777777" w:rsidR="00A22D3A" w:rsidRDefault="00A22D3A" w:rsidP="005F1CB1">
      <w:pPr>
        <w:spacing w:before="100" w:beforeAutospacing="1" w:after="100" w:afterAutospacing="1" w:line="360" w:lineRule="auto"/>
        <w:outlineLvl w:val="0"/>
        <w:rPr>
          <w:rFonts w:asciiTheme="minorHAnsi" w:hAnsiTheme="minorHAnsi"/>
          <w:b/>
          <w:bCs/>
          <w:color w:val="000000"/>
          <w:kern w:val="36"/>
        </w:rPr>
      </w:pPr>
    </w:p>
    <w:p w14:paraId="25018E69" w14:textId="77777777" w:rsidR="00A22D3A" w:rsidRDefault="00A22D3A" w:rsidP="005F1CB1">
      <w:pPr>
        <w:spacing w:before="100" w:beforeAutospacing="1" w:after="100" w:afterAutospacing="1" w:line="360" w:lineRule="auto"/>
        <w:outlineLvl w:val="0"/>
        <w:rPr>
          <w:rFonts w:asciiTheme="minorHAnsi" w:hAnsiTheme="minorHAnsi"/>
          <w:b/>
          <w:bCs/>
          <w:color w:val="000000"/>
          <w:kern w:val="36"/>
        </w:rPr>
      </w:pPr>
    </w:p>
    <w:p w14:paraId="24B0C8E4" w14:textId="5716E950" w:rsidR="002A4EF1" w:rsidRPr="005F1CB1" w:rsidRDefault="002A4EF1" w:rsidP="005F1CB1">
      <w:pPr>
        <w:spacing w:before="100" w:beforeAutospacing="1" w:after="100" w:afterAutospacing="1" w:line="360" w:lineRule="auto"/>
        <w:outlineLvl w:val="0"/>
        <w:rPr>
          <w:rFonts w:asciiTheme="minorHAnsi" w:hAnsiTheme="minorHAnsi"/>
          <w:b/>
          <w:bCs/>
          <w:color w:val="000000"/>
          <w:kern w:val="36"/>
        </w:rPr>
      </w:pPr>
      <w:r w:rsidRPr="002A4EF1">
        <w:rPr>
          <w:rFonts w:asciiTheme="minorHAnsi" w:hAnsiTheme="minorHAnsi"/>
          <w:b/>
          <w:bCs/>
          <w:color w:val="000000"/>
          <w:kern w:val="36"/>
        </w:rPr>
        <w:lastRenderedPageBreak/>
        <w:t>Reference List</w:t>
      </w:r>
    </w:p>
    <w:tbl>
      <w:tblPr>
        <w:tblW w:w="6570" w:type="dxa"/>
        <w:tblCellMar>
          <w:left w:w="0" w:type="dxa"/>
          <w:right w:w="0" w:type="dxa"/>
        </w:tblCellMar>
        <w:tblLook w:val="04A0" w:firstRow="1" w:lastRow="0" w:firstColumn="1" w:lastColumn="0" w:noHBand="0" w:noVBand="1"/>
      </w:tblPr>
      <w:tblGrid>
        <w:gridCol w:w="6570"/>
      </w:tblGrid>
      <w:tr w:rsidR="005F1CB1" w:rsidRPr="005F1CB1" w14:paraId="11FAC818" w14:textId="77777777">
        <w:tc>
          <w:tcPr>
            <w:tcW w:w="0" w:type="auto"/>
            <w:vAlign w:val="center"/>
            <w:hideMark/>
          </w:tcPr>
          <w:p w14:paraId="0CA4310F" w14:textId="77777777" w:rsidR="005F1CB1" w:rsidRPr="005F1CB1" w:rsidRDefault="005F1CB1" w:rsidP="005F1CB1">
            <w:pPr>
              <w:spacing w:line="360" w:lineRule="auto"/>
              <w:rPr>
                <w:rFonts w:asciiTheme="minorHAnsi" w:hAnsiTheme="minorHAnsi"/>
              </w:rPr>
            </w:pPr>
          </w:p>
        </w:tc>
      </w:tr>
      <w:tr w:rsidR="005F1CB1" w:rsidRPr="005F1CB1" w14:paraId="5A354D09" w14:textId="77777777">
        <w:tc>
          <w:tcPr>
            <w:tcW w:w="0" w:type="auto"/>
            <w:tcMar>
              <w:top w:w="120" w:type="dxa"/>
              <w:left w:w="0" w:type="dxa"/>
              <w:bottom w:w="120" w:type="dxa"/>
              <w:right w:w="0" w:type="dxa"/>
            </w:tcMar>
            <w:hideMark/>
          </w:tcPr>
          <w:p w14:paraId="5CDB0AAC" w14:textId="09D3E029" w:rsidR="005F1CB1" w:rsidRPr="005F1CB1" w:rsidRDefault="005F1CB1" w:rsidP="005F1CB1">
            <w:pPr>
              <w:spacing w:line="360" w:lineRule="auto"/>
              <w:rPr>
                <w:rFonts w:asciiTheme="minorHAnsi" w:hAnsiTheme="minorHAnsi" w:cs="Arial"/>
                <w:color w:val="222222"/>
              </w:rPr>
            </w:pPr>
          </w:p>
        </w:tc>
      </w:tr>
      <w:tr w:rsidR="005F1CB1" w:rsidRPr="005F1CB1" w14:paraId="2FDF0D68" w14:textId="77777777">
        <w:tc>
          <w:tcPr>
            <w:tcW w:w="0" w:type="auto"/>
            <w:tcMar>
              <w:top w:w="120" w:type="dxa"/>
              <w:left w:w="0" w:type="dxa"/>
              <w:bottom w:w="120" w:type="dxa"/>
              <w:right w:w="0" w:type="dxa"/>
            </w:tcMar>
            <w:hideMark/>
          </w:tcPr>
          <w:p w14:paraId="49D94955" w14:textId="77777777" w:rsidR="005F1CB1" w:rsidRPr="005F1CB1" w:rsidRDefault="005F1CB1" w:rsidP="005F1CB1">
            <w:pPr>
              <w:spacing w:line="360" w:lineRule="auto"/>
              <w:rPr>
                <w:rFonts w:asciiTheme="minorHAnsi" w:hAnsiTheme="minorHAnsi" w:cs="Arial"/>
                <w:color w:val="222222"/>
              </w:rPr>
            </w:pPr>
          </w:p>
        </w:tc>
      </w:tr>
    </w:tbl>
    <w:p w14:paraId="3672CDA2" w14:textId="41C263F0"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Adams, L.E. (2021) ‘Prioritising education continuity for the poor: why online education is not in favour of the poor’, in</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EDULEARN21 Proceedings</w:t>
      </w:r>
      <w:r w:rsidRPr="005F1CB1">
        <w:rPr>
          <w:rFonts w:asciiTheme="minorHAnsi" w:hAnsiTheme="minorHAnsi"/>
          <w:color w:val="000000"/>
        </w:rPr>
        <w:t>. Valencia: IATED, pp. 5825–5831.</w:t>
      </w:r>
      <w:r w:rsidRPr="005F1CB1">
        <w:rPr>
          <w:rFonts w:asciiTheme="minorHAnsi" w:hAnsiTheme="minorHAnsi"/>
          <w:color w:val="000000"/>
        </w:rPr>
        <w:t xml:space="preserve"> Available at: </w:t>
      </w:r>
      <w:hyperlink r:id="rId9" w:history="1">
        <w:r w:rsidRPr="005F1CB1">
          <w:rPr>
            <w:rStyle w:val="Hyperlink"/>
            <w:rFonts w:asciiTheme="minorHAnsi" w:hAnsiTheme="minorHAnsi"/>
          </w:rPr>
          <w:t>https://library.iated.org/view/ADAMS2021PRI?re=downloadnotallowed</w:t>
        </w:r>
      </w:hyperlink>
      <w:r w:rsidRPr="005F1CB1">
        <w:rPr>
          <w:rFonts w:asciiTheme="minorHAnsi" w:hAnsiTheme="minorHAnsi"/>
          <w:color w:val="000000"/>
        </w:rPr>
        <w:t xml:space="preserve"> (Accessed:</w:t>
      </w:r>
      <w:r w:rsidR="009B7B02">
        <w:rPr>
          <w:rFonts w:asciiTheme="minorHAnsi" w:hAnsiTheme="minorHAnsi"/>
          <w:color w:val="000000"/>
        </w:rPr>
        <w:t>20 February 2026).</w:t>
      </w:r>
    </w:p>
    <w:p w14:paraId="6D478DA0" w14:textId="405B0A2C"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Alahmari, A., Alrweta, S., Malkawi, M., Nacpil, V., Strekalova-Hughes, E. and Young, R. (2023) ‘Playing the system: Advocacy for play equity in early childhood education’,</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 xml:space="preserve">Theory </w:t>
      </w:r>
      <w:r w:rsidR="000B6052" w:rsidRPr="005F1CB1">
        <w:rPr>
          <w:rStyle w:val="Emphasis"/>
          <w:rFonts w:asciiTheme="minorHAnsi" w:eastAsiaTheme="majorEastAsia" w:hAnsiTheme="minorHAnsi"/>
          <w:color w:val="000000"/>
        </w:rPr>
        <w:t>into</w:t>
      </w:r>
      <w:r w:rsidRPr="005F1CB1">
        <w:rPr>
          <w:rStyle w:val="Emphasis"/>
          <w:rFonts w:asciiTheme="minorHAnsi" w:eastAsiaTheme="majorEastAsia" w:hAnsiTheme="minorHAnsi"/>
          <w:color w:val="000000"/>
        </w:rPr>
        <w:t xml:space="preserve"> Practice</w:t>
      </w:r>
      <w:r w:rsidRPr="005F1CB1">
        <w:rPr>
          <w:rFonts w:asciiTheme="minorHAnsi" w:hAnsiTheme="minorHAnsi"/>
          <w:color w:val="000000"/>
        </w:rPr>
        <w:t>, 62(2), pp. 107–114.</w:t>
      </w:r>
      <w:r w:rsidRPr="005F1CB1">
        <w:rPr>
          <w:rFonts w:asciiTheme="minorHAnsi" w:hAnsiTheme="minorHAnsi"/>
          <w:color w:val="000000"/>
        </w:rPr>
        <w:t xml:space="preserve"> Available at: </w:t>
      </w:r>
      <w:hyperlink r:id="rId10" w:history="1">
        <w:r w:rsidRPr="005F1CB1">
          <w:rPr>
            <w:rStyle w:val="Hyperlink"/>
            <w:rFonts w:asciiTheme="minorHAnsi" w:hAnsiTheme="minorHAnsi"/>
          </w:rPr>
          <w:t>https://www.tandfonline.com/doi/abs/10.1080/00405841.2023.2202133</w:t>
        </w:r>
      </w:hyperlink>
      <w:r w:rsidRPr="005F1CB1">
        <w:rPr>
          <w:rFonts w:asciiTheme="minorHAnsi" w:hAnsiTheme="minorHAnsi"/>
          <w:color w:val="000000"/>
        </w:rPr>
        <w:t xml:space="preserve"> (Accessed:</w:t>
      </w:r>
      <w:r w:rsidR="008A0A5A">
        <w:rPr>
          <w:rFonts w:asciiTheme="minorHAnsi" w:hAnsiTheme="minorHAnsi"/>
          <w:color w:val="000000"/>
        </w:rPr>
        <w:t xml:space="preserve"> 16 February 2026)</w:t>
      </w:r>
    </w:p>
    <w:p w14:paraId="6D1121CB" w14:textId="61F20755"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Alanazi, D., Alghamdi, R. and Alghamdi, A. (2020) ‘Teacher perceptions of gender roles, socialization, and culture during children’s physical play’,</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International Journal of the Whole Child</w:t>
      </w:r>
      <w:r w:rsidRPr="005F1CB1">
        <w:rPr>
          <w:rFonts w:asciiTheme="minorHAnsi" w:hAnsiTheme="minorHAnsi"/>
          <w:color w:val="000000"/>
        </w:rPr>
        <w:t>, 5(1), pp. 28–38.</w:t>
      </w:r>
      <w:r w:rsidRPr="005F1CB1">
        <w:rPr>
          <w:rFonts w:asciiTheme="minorHAnsi" w:hAnsiTheme="minorHAnsi"/>
          <w:color w:val="000000"/>
        </w:rPr>
        <w:t xml:space="preserve"> Available at: </w:t>
      </w:r>
      <w:hyperlink r:id="rId11" w:history="1">
        <w:r w:rsidRPr="005F1CB1">
          <w:rPr>
            <w:rStyle w:val="Hyperlink"/>
            <w:rFonts w:asciiTheme="minorHAnsi" w:hAnsiTheme="minorHAnsi"/>
          </w:rPr>
          <w:t>https://www.researchgate.net/publication/341030873_Teacher_Perceptions_of_Gender_Roles_Socialization_and_Culture_During_Children's_Physical_Play</w:t>
        </w:r>
      </w:hyperlink>
      <w:r w:rsidRPr="005F1CB1">
        <w:rPr>
          <w:rFonts w:asciiTheme="minorHAnsi" w:hAnsiTheme="minorHAnsi"/>
          <w:color w:val="000000"/>
        </w:rPr>
        <w:t xml:space="preserve"> (Accessed:</w:t>
      </w:r>
      <w:r w:rsidR="00AF62BA">
        <w:rPr>
          <w:rFonts w:asciiTheme="minorHAnsi" w:hAnsiTheme="minorHAnsi"/>
          <w:color w:val="000000"/>
        </w:rPr>
        <w:t xml:space="preserve"> 18 February 2026).</w:t>
      </w:r>
    </w:p>
    <w:p w14:paraId="454A4D86" w14:textId="3275A152"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Barea, E.M.G. and Marín, Y.R. (2020) ‘Gender stereotypes in childhood’,</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Pedagogía Social</w:t>
      </w:r>
      <w:r w:rsidRPr="005F1CB1">
        <w:rPr>
          <w:rFonts w:asciiTheme="minorHAnsi" w:hAnsiTheme="minorHAnsi"/>
          <w:color w:val="000000"/>
        </w:rPr>
        <w:t>, 36, pp. 125–138.</w:t>
      </w:r>
      <w:r w:rsidRPr="005F1CB1">
        <w:rPr>
          <w:rFonts w:asciiTheme="minorHAnsi" w:hAnsiTheme="minorHAnsi"/>
          <w:color w:val="000000"/>
        </w:rPr>
        <w:t xml:space="preserve"> Available at: </w:t>
      </w:r>
      <w:hyperlink r:id="rId12" w:history="1">
        <w:r w:rsidRPr="005F1CB1">
          <w:rPr>
            <w:rStyle w:val="Hyperlink"/>
            <w:rFonts w:asciiTheme="minorHAnsi" w:hAnsiTheme="minorHAnsi"/>
          </w:rPr>
          <w:t>https://www.researchgate.net/publication/343550682_Estereotipos_de_genero_en_la_infancia/fulltext/5f313e9f458515b72912351d/Estereotipos-de-genero-en-la-infancia.pdf</w:t>
        </w:r>
      </w:hyperlink>
      <w:r w:rsidRPr="005F1CB1">
        <w:rPr>
          <w:rFonts w:asciiTheme="minorHAnsi" w:hAnsiTheme="minorHAnsi"/>
          <w:color w:val="000000"/>
        </w:rPr>
        <w:t xml:space="preserve"> (Accessed:</w:t>
      </w:r>
      <w:r w:rsidR="00AF62BA">
        <w:rPr>
          <w:rFonts w:asciiTheme="minorHAnsi" w:hAnsiTheme="minorHAnsi"/>
          <w:color w:val="000000"/>
        </w:rPr>
        <w:t xml:space="preserve"> 18 February 2026).</w:t>
      </w:r>
    </w:p>
    <w:p w14:paraId="4E8CF35B" w14:textId="3D6DD51C"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Blakemore, J.E.O. and Centers, R.E. (2021) ‘Characteristics of boys’ and girls’ toys and gender role development’,</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Journal of Applied Developmental Psychology</w:t>
      </w:r>
      <w:r w:rsidRPr="005F1CB1">
        <w:rPr>
          <w:rFonts w:asciiTheme="minorHAnsi" w:hAnsiTheme="minorHAnsi"/>
          <w:color w:val="000000"/>
        </w:rPr>
        <w:t>, 42, pp. 1–10.</w:t>
      </w:r>
      <w:r w:rsidRPr="005F1CB1">
        <w:rPr>
          <w:rFonts w:asciiTheme="minorHAnsi" w:hAnsiTheme="minorHAnsi"/>
          <w:color w:val="000000"/>
        </w:rPr>
        <w:t xml:space="preserve"> Available at: </w:t>
      </w:r>
      <w:hyperlink r:id="rId13" w:history="1">
        <w:r w:rsidRPr="005F1CB1">
          <w:rPr>
            <w:rStyle w:val="Hyperlink"/>
            <w:rFonts w:asciiTheme="minorHAnsi" w:hAnsiTheme="minorHAnsi"/>
          </w:rPr>
          <w:t>https://www.researchgate.net/publication/48516050_Characteristics_of_Boys'_and_Girls'_Toys</w:t>
        </w:r>
      </w:hyperlink>
      <w:r w:rsidRPr="005F1CB1">
        <w:rPr>
          <w:rFonts w:asciiTheme="minorHAnsi" w:hAnsiTheme="minorHAnsi"/>
          <w:color w:val="000000"/>
        </w:rPr>
        <w:t xml:space="preserve"> (Accessed:</w:t>
      </w:r>
      <w:r w:rsidR="00AF62BA">
        <w:rPr>
          <w:rFonts w:asciiTheme="minorHAnsi" w:hAnsiTheme="minorHAnsi"/>
          <w:color w:val="000000"/>
        </w:rPr>
        <w:t xml:space="preserve"> 16 February 2026).</w:t>
      </w:r>
    </w:p>
    <w:p w14:paraId="1060D68F" w14:textId="59DEC53F"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lastRenderedPageBreak/>
        <w:t>Bodrova, E. and Leong, D.J. (2023) ‘Why Vygotsky still matters: Contemporary perspectives on play’,</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American Journal of Play</w:t>
      </w:r>
      <w:r w:rsidRPr="005F1CB1">
        <w:rPr>
          <w:rFonts w:asciiTheme="minorHAnsi" w:hAnsiTheme="minorHAnsi"/>
          <w:color w:val="000000"/>
        </w:rPr>
        <w:t xml:space="preserve">, 15(3). Available at: </w:t>
      </w:r>
      <w:hyperlink r:id="rId14" w:history="1">
        <w:r w:rsidRPr="005F1CB1">
          <w:rPr>
            <w:rStyle w:val="Hyperlink"/>
            <w:rFonts w:asciiTheme="minorHAnsi" w:hAnsiTheme="minorHAnsi"/>
          </w:rPr>
          <w:t>https://www.museumofplay.org/app/uploads/2024/02/AJP-15-3-Interview.pdf</w:t>
        </w:r>
      </w:hyperlink>
      <w:r w:rsidRPr="005F1CB1">
        <w:rPr>
          <w:rFonts w:asciiTheme="minorHAnsi" w:hAnsiTheme="minorHAnsi"/>
          <w:color w:val="000000"/>
        </w:rPr>
        <w:t xml:space="preserve"> </w:t>
      </w:r>
      <w:r w:rsidRPr="005F1CB1">
        <w:rPr>
          <w:rFonts w:asciiTheme="minorHAnsi" w:hAnsiTheme="minorHAnsi"/>
          <w:color w:val="000000"/>
        </w:rPr>
        <w:t xml:space="preserve"> (Accessed: </w:t>
      </w:r>
      <w:r w:rsidRPr="005F1CB1">
        <w:rPr>
          <w:rFonts w:asciiTheme="minorHAnsi" w:hAnsiTheme="minorHAnsi"/>
          <w:color w:val="000000"/>
        </w:rPr>
        <w:t xml:space="preserve">20 </w:t>
      </w:r>
      <w:r w:rsidRPr="005F1CB1">
        <w:rPr>
          <w:rFonts w:asciiTheme="minorHAnsi" w:hAnsiTheme="minorHAnsi"/>
          <w:color w:val="000000"/>
        </w:rPr>
        <w:t>February 2026).</w:t>
      </w:r>
    </w:p>
    <w:p w14:paraId="6E13E006"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Children’s Commissioner for Wales (2023)</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A children’s rights approach to education in Wales</w:t>
      </w:r>
      <w:r w:rsidRPr="005F1CB1">
        <w:rPr>
          <w:rFonts w:asciiTheme="minorHAnsi" w:hAnsiTheme="minorHAnsi"/>
          <w:color w:val="000000"/>
        </w:rPr>
        <w:t>. Available at:</w:t>
      </w:r>
      <w:r w:rsidRPr="005F1CB1">
        <w:rPr>
          <w:rStyle w:val="apple-converted-space"/>
          <w:rFonts w:asciiTheme="minorHAnsi" w:eastAsiaTheme="majorEastAsia" w:hAnsiTheme="minorHAnsi"/>
          <w:color w:val="000000"/>
        </w:rPr>
        <w:t> </w:t>
      </w:r>
      <w:hyperlink r:id="rId15" w:tgtFrame="_new" w:history="1">
        <w:r w:rsidRPr="005F1CB1">
          <w:rPr>
            <w:rStyle w:val="Hyperlink"/>
            <w:rFonts w:asciiTheme="minorHAnsi" w:eastAsiaTheme="majorEastAsia" w:hAnsiTheme="minorHAnsi"/>
          </w:rPr>
          <w:t>https://www.childcomwales.org.uk</w:t>
        </w:r>
      </w:hyperlink>
      <w:r w:rsidRPr="005F1CB1">
        <w:rPr>
          <w:rStyle w:val="apple-converted-space"/>
          <w:rFonts w:asciiTheme="minorHAnsi" w:eastAsiaTheme="majorEastAsia" w:hAnsiTheme="minorHAnsi"/>
          <w:color w:val="000000"/>
        </w:rPr>
        <w:t> </w:t>
      </w:r>
      <w:r w:rsidRPr="005F1CB1">
        <w:rPr>
          <w:rFonts w:asciiTheme="minorHAnsi" w:hAnsiTheme="minorHAnsi"/>
          <w:color w:val="000000"/>
        </w:rPr>
        <w:t>(Accessed: 18 February 2026).</w:t>
      </w:r>
    </w:p>
    <w:p w14:paraId="0B86293D" w14:textId="08604C2B"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Department for Education (2023)</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 xml:space="preserve">Statutory framework for the early </w:t>
      </w:r>
      <w:r w:rsidR="000B6052" w:rsidRPr="005F1CB1">
        <w:rPr>
          <w:rStyle w:val="Emphasis"/>
          <w:rFonts w:asciiTheme="minorHAnsi" w:eastAsiaTheme="majorEastAsia" w:hAnsiTheme="minorHAnsi"/>
          <w:color w:val="000000"/>
        </w:rPr>
        <w:t>year’s</w:t>
      </w:r>
      <w:r w:rsidRPr="005F1CB1">
        <w:rPr>
          <w:rStyle w:val="Emphasis"/>
          <w:rFonts w:asciiTheme="minorHAnsi" w:eastAsiaTheme="majorEastAsia" w:hAnsiTheme="minorHAnsi"/>
          <w:color w:val="000000"/>
        </w:rPr>
        <w:t xml:space="preserve"> foundation stage</w:t>
      </w:r>
      <w:r w:rsidRPr="005F1CB1">
        <w:rPr>
          <w:rFonts w:asciiTheme="minorHAnsi" w:hAnsiTheme="minorHAnsi"/>
          <w:color w:val="000000"/>
        </w:rPr>
        <w:t>. London</w:t>
      </w:r>
      <w:r w:rsidRPr="005F1CB1">
        <w:rPr>
          <w:rFonts w:asciiTheme="minorHAnsi" w:hAnsiTheme="minorHAnsi"/>
          <w:color w:val="000000"/>
        </w:rPr>
        <w:t xml:space="preserve">. Available at: </w:t>
      </w:r>
      <w:hyperlink r:id="rId16" w:history="1">
        <w:r w:rsidRPr="005F1CB1">
          <w:rPr>
            <w:rStyle w:val="Hyperlink"/>
            <w:rFonts w:asciiTheme="minorHAnsi" w:hAnsiTheme="minorHAnsi"/>
          </w:rPr>
          <w:t>https://www.gov.uk/government/publications/early-years-foundation-stage-framework--2</w:t>
        </w:r>
      </w:hyperlink>
      <w:r w:rsidRPr="005F1CB1">
        <w:rPr>
          <w:rFonts w:asciiTheme="minorHAnsi" w:hAnsiTheme="minorHAnsi"/>
          <w:color w:val="000000"/>
        </w:rPr>
        <w:t xml:space="preserve"> (Accessed:</w:t>
      </w:r>
      <w:r w:rsidR="00AF62BA">
        <w:rPr>
          <w:rFonts w:asciiTheme="minorHAnsi" w:hAnsiTheme="minorHAnsi"/>
          <w:color w:val="000000"/>
        </w:rPr>
        <w:t xml:space="preserve"> 18 February 2026).</w:t>
      </w:r>
    </w:p>
    <w:p w14:paraId="34E8C195" w14:textId="4D44790A"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Dhibar, A., Gonçalves, E. and Gorgel, A. (2024) ‘Inclusive play framework: an approach to promote awareness about gender neutral play in Portuguese context’, in</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Meeting of Research in Music, Arts and Design</w:t>
      </w:r>
      <w:r w:rsidRPr="005F1CB1">
        <w:rPr>
          <w:rFonts w:asciiTheme="minorHAnsi" w:hAnsiTheme="minorHAnsi"/>
          <w:color w:val="000000"/>
        </w:rPr>
        <w:t>. Cham: Springer Nature Switzerland, pp. 243–261.</w:t>
      </w:r>
      <w:r w:rsidRPr="005F1CB1">
        <w:rPr>
          <w:rFonts w:asciiTheme="minorHAnsi" w:hAnsiTheme="minorHAnsi"/>
          <w:color w:val="000000"/>
        </w:rPr>
        <w:t xml:space="preserve"> Available at: </w:t>
      </w:r>
      <w:hyperlink r:id="rId17" w:history="1">
        <w:r w:rsidRPr="005F1CB1">
          <w:rPr>
            <w:rStyle w:val="Hyperlink"/>
            <w:rFonts w:asciiTheme="minorHAnsi" w:hAnsiTheme="minorHAnsi"/>
          </w:rPr>
          <w:t>https://link.springer.com/chapter/10.1007/978-3-031-73705-3_18</w:t>
        </w:r>
      </w:hyperlink>
      <w:r w:rsidRPr="005F1CB1">
        <w:rPr>
          <w:rFonts w:asciiTheme="minorHAnsi" w:hAnsiTheme="minorHAnsi"/>
          <w:color w:val="000000"/>
        </w:rPr>
        <w:t xml:space="preserve"> (Accessed:</w:t>
      </w:r>
      <w:r w:rsidR="00AF62BA">
        <w:rPr>
          <w:rFonts w:asciiTheme="minorHAnsi" w:hAnsiTheme="minorHAnsi"/>
          <w:color w:val="000000"/>
        </w:rPr>
        <w:t xml:space="preserve"> 18 February 2026).</w:t>
      </w:r>
    </w:p>
    <w:p w14:paraId="60574259" w14:textId="511A1F41"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Endendijk, J.J. and Portegijs, W. (2018) ‘The gendered division of labor and children’s gender stereotypes: A systematic review’,</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Sex Roles</w:t>
      </w:r>
      <w:r w:rsidRPr="005F1CB1">
        <w:rPr>
          <w:rFonts w:asciiTheme="minorHAnsi" w:hAnsiTheme="minorHAnsi"/>
          <w:color w:val="000000"/>
        </w:rPr>
        <w:t>, 78(7–8), pp. 437–456.</w:t>
      </w:r>
      <w:r w:rsidRPr="005F1CB1">
        <w:rPr>
          <w:rFonts w:asciiTheme="minorHAnsi" w:hAnsiTheme="minorHAnsi"/>
          <w:color w:val="000000"/>
        </w:rPr>
        <w:t xml:space="preserve"> Available at: </w:t>
      </w:r>
      <w:hyperlink r:id="rId18" w:history="1">
        <w:r w:rsidRPr="005F1CB1">
          <w:rPr>
            <w:rStyle w:val="Hyperlink"/>
            <w:rFonts w:asciiTheme="minorHAnsi" w:hAnsiTheme="minorHAnsi"/>
          </w:rPr>
          <w:t>https://link.springer.com/article/10.1007/s11199-023-01362-0</w:t>
        </w:r>
      </w:hyperlink>
      <w:r w:rsidRPr="005F1CB1">
        <w:rPr>
          <w:rFonts w:asciiTheme="minorHAnsi" w:hAnsiTheme="minorHAnsi"/>
          <w:color w:val="000000"/>
        </w:rPr>
        <w:t xml:space="preserve"> (Accessed:</w:t>
      </w:r>
      <w:r w:rsidR="00253429">
        <w:rPr>
          <w:rFonts w:asciiTheme="minorHAnsi" w:hAnsiTheme="minorHAnsi"/>
          <w:color w:val="000000"/>
        </w:rPr>
        <w:t xml:space="preserve"> 17 February 2026).</w:t>
      </w:r>
    </w:p>
    <w:p w14:paraId="0E994CA4" w14:textId="5378D38C"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Estyn (2024a)</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Annual report 2023–2024</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19" w:history="1">
        <w:r w:rsidRPr="005F1CB1">
          <w:rPr>
            <w:rStyle w:val="Hyperlink"/>
            <w:rFonts w:asciiTheme="minorHAnsi" w:hAnsiTheme="minorHAnsi"/>
          </w:rPr>
          <w:t>https://estyn.gov.wales/app/uploads/2024/10/Annual-Report-and-Accounts-2023-2024.pdf</w:t>
        </w:r>
      </w:hyperlink>
      <w:r w:rsidRPr="005F1CB1">
        <w:rPr>
          <w:rFonts w:asciiTheme="minorHAnsi" w:hAnsiTheme="minorHAnsi"/>
          <w:color w:val="000000"/>
        </w:rPr>
        <w:t xml:space="preserve"> (Accessed: 18 February 2026).</w:t>
      </w:r>
    </w:p>
    <w:p w14:paraId="2A1DF02B"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Estyn (2024b)</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Equal opportunities policy</w:t>
      </w:r>
      <w:r w:rsidRPr="005F1CB1">
        <w:rPr>
          <w:rFonts w:asciiTheme="minorHAnsi" w:hAnsiTheme="minorHAnsi"/>
          <w:color w:val="000000"/>
        </w:rPr>
        <w:t>. Available at:</w:t>
      </w:r>
      <w:r w:rsidRPr="005F1CB1">
        <w:rPr>
          <w:rStyle w:val="apple-converted-space"/>
          <w:rFonts w:asciiTheme="minorHAnsi" w:eastAsiaTheme="majorEastAsia" w:hAnsiTheme="minorHAnsi"/>
          <w:color w:val="000000"/>
        </w:rPr>
        <w:t> </w:t>
      </w:r>
      <w:hyperlink r:id="rId20" w:tgtFrame="_new" w:history="1">
        <w:r w:rsidRPr="005F1CB1">
          <w:rPr>
            <w:rStyle w:val="Hyperlink"/>
            <w:rFonts w:asciiTheme="minorHAnsi" w:eastAsiaTheme="majorEastAsia" w:hAnsiTheme="minorHAnsi"/>
          </w:rPr>
          <w:t>https://estyn.gov.wales</w:t>
        </w:r>
      </w:hyperlink>
      <w:r w:rsidRPr="005F1CB1">
        <w:rPr>
          <w:rStyle w:val="apple-converted-space"/>
          <w:rFonts w:asciiTheme="minorHAnsi" w:eastAsiaTheme="majorEastAsia" w:hAnsiTheme="minorHAnsi"/>
          <w:color w:val="000000"/>
        </w:rPr>
        <w:t> </w:t>
      </w:r>
      <w:r w:rsidRPr="005F1CB1">
        <w:rPr>
          <w:rFonts w:asciiTheme="minorHAnsi" w:hAnsiTheme="minorHAnsi"/>
          <w:color w:val="000000"/>
        </w:rPr>
        <w:t>(Accessed: 18 February 2026).</w:t>
      </w:r>
    </w:p>
    <w:p w14:paraId="59936B20"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Fleer, M. (2021)</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Play in the early years</w:t>
      </w:r>
      <w:r w:rsidRPr="005F1CB1">
        <w:rPr>
          <w:rFonts w:asciiTheme="minorHAnsi" w:hAnsiTheme="minorHAnsi"/>
          <w:color w:val="000000"/>
        </w:rPr>
        <w:t>. Cambridge: Cambridge University Press.</w:t>
      </w:r>
    </w:p>
    <w:p w14:paraId="07818BBC" w14:textId="2AD86F9F" w:rsid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Ichel, G.F. and Tyler, A.N. (2025) ‘Critical period: A history of the transition from questions of when, to what, to how’, in</w:t>
      </w:r>
      <w:r w:rsidRPr="005F1CB1">
        <w:rPr>
          <w:rStyle w:val="apple-converted-space"/>
          <w:rFonts w:asciiTheme="minorHAnsi" w:eastAsiaTheme="majorEastAsia" w:hAnsiTheme="minorHAnsi"/>
          <w:color w:val="000000"/>
        </w:rPr>
        <w:t> </w:t>
      </w:r>
      <w:r w:rsidR="000B6052" w:rsidRPr="005F1CB1">
        <w:rPr>
          <w:rStyle w:val="Emphasis"/>
          <w:rFonts w:asciiTheme="minorHAnsi" w:eastAsiaTheme="majorEastAsia" w:hAnsiTheme="minorHAnsi"/>
          <w:color w:val="000000"/>
        </w:rPr>
        <w:t>the</w:t>
      </w:r>
      <w:r w:rsidRPr="005F1CB1">
        <w:rPr>
          <w:rStyle w:val="Emphasis"/>
          <w:rFonts w:asciiTheme="minorHAnsi" w:eastAsiaTheme="majorEastAsia" w:hAnsiTheme="minorHAnsi"/>
          <w:color w:val="000000"/>
        </w:rPr>
        <w:t xml:space="preserve"> heredity hoax</w:t>
      </w:r>
      <w:r w:rsidRPr="005F1CB1">
        <w:rPr>
          <w:rFonts w:asciiTheme="minorHAnsi" w:hAnsiTheme="minorHAnsi"/>
          <w:color w:val="000000"/>
        </w:rPr>
        <w:t>. London: Routledge, pp. 127–</w:t>
      </w:r>
      <w:r w:rsidRPr="005F1CB1">
        <w:rPr>
          <w:rFonts w:asciiTheme="minorHAnsi" w:hAnsiTheme="minorHAnsi"/>
          <w:color w:val="000000"/>
        </w:rPr>
        <w:lastRenderedPageBreak/>
        <w:t>134.</w:t>
      </w:r>
      <w:r w:rsidRPr="005F1CB1">
        <w:rPr>
          <w:rFonts w:asciiTheme="minorHAnsi" w:hAnsiTheme="minorHAnsi"/>
          <w:color w:val="000000"/>
        </w:rPr>
        <w:t xml:space="preserve"> Available at: </w:t>
      </w:r>
      <w:hyperlink r:id="rId21" w:history="1">
        <w:r w:rsidRPr="005F1CB1">
          <w:rPr>
            <w:rStyle w:val="Hyperlink"/>
            <w:rFonts w:asciiTheme="minorHAnsi" w:hAnsiTheme="minorHAnsi"/>
          </w:rPr>
          <w:t>https://pubmed.ncbi.nlm.nih.gov/15772973/</w:t>
        </w:r>
      </w:hyperlink>
      <w:r w:rsidRPr="005F1CB1">
        <w:rPr>
          <w:rFonts w:asciiTheme="minorHAnsi" w:hAnsiTheme="minorHAnsi"/>
          <w:color w:val="000000"/>
        </w:rPr>
        <w:t xml:space="preserve"> (Accessed:</w:t>
      </w:r>
      <w:r w:rsidR="00EB5AE2">
        <w:rPr>
          <w:rFonts w:asciiTheme="minorHAnsi" w:hAnsiTheme="minorHAnsi"/>
          <w:color w:val="000000"/>
        </w:rPr>
        <w:t xml:space="preserve"> 16 February 2026).</w:t>
      </w:r>
    </w:p>
    <w:p w14:paraId="36387927" w14:textId="6A964689" w:rsidR="00226F41" w:rsidRPr="00226F41" w:rsidRDefault="00226F41" w:rsidP="005F1CB1">
      <w:pPr>
        <w:pStyle w:val="NormalWeb"/>
        <w:spacing w:line="360" w:lineRule="auto"/>
        <w:rPr>
          <w:rFonts w:asciiTheme="minorHAnsi" w:hAnsiTheme="minorHAnsi"/>
          <w:color w:val="000000"/>
        </w:rPr>
      </w:pPr>
      <w:r w:rsidRPr="00226F41">
        <w:rPr>
          <w:rFonts w:asciiTheme="minorHAnsi" w:hAnsiTheme="minorHAnsi"/>
          <w:color w:val="000000"/>
        </w:rPr>
        <w:t>King, T.L. and Priest, N. (2021)</w:t>
      </w:r>
      <w:r w:rsidRPr="00226F41">
        <w:rPr>
          <w:rStyle w:val="apple-converted-space"/>
          <w:rFonts w:asciiTheme="minorHAnsi" w:eastAsiaTheme="majorEastAsia" w:hAnsiTheme="minorHAnsi"/>
          <w:color w:val="000000"/>
        </w:rPr>
        <w:t> </w:t>
      </w:r>
      <w:r w:rsidRPr="00226F41">
        <w:rPr>
          <w:rStyle w:val="Emphasis"/>
          <w:rFonts w:asciiTheme="minorHAnsi" w:eastAsiaTheme="majorEastAsia" w:hAnsiTheme="minorHAnsi"/>
          <w:color w:val="000000"/>
        </w:rPr>
        <w:t>Gender stereotypes and biases in early childhood: A systematic review</w:t>
      </w:r>
      <w:r w:rsidRPr="00226F41">
        <w:rPr>
          <w:rFonts w:asciiTheme="minorHAnsi" w:hAnsiTheme="minorHAnsi"/>
          <w:color w:val="000000"/>
        </w:rPr>
        <w:t>,</w:t>
      </w:r>
      <w:r w:rsidRPr="00226F41">
        <w:rPr>
          <w:rStyle w:val="apple-converted-space"/>
          <w:rFonts w:asciiTheme="minorHAnsi" w:eastAsiaTheme="majorEastAsia" w:hAnsiTheme="minorHAnsi"/>
          <w:color w:val="000000"/>
        </w:rPr>
        <w:t> </w:t>
      </w:r>
      <w:r w:rsidRPr="00226F41">
        <w:rPr>
          <w:rStyle w:val="Emphasis"/>
          <w:rFonts w:asciiTheme="minorHAnsi" w:eastAsiaTheme="majorEastAsia" w:hAnsiTheme="minorHAnsi"/>
          <w:color w:val="000000"/>
        </w:rPr>
        <w:t>Australasian Journal of Early Childhood</w:t>
      </w:r>
      <w:r w:rsidRPr="00226F41">
        <w:rPr>
          <w:rFonts w:asciiTheme="minorHAnsi" w:hAnsiTheme="minorHAnsi"/>
          <w:color w:val="000000"/>
        </w:rPr>
        <w:t>. Available at:</w:t>
      </w:r>
      <w:r w:rsidRPr="00226F41">
        <w:rPr>
          <w:rStyle w:val="apple-converted-space"/>
          <w:rFonts w:asciiTheme="minorHAnsi" w:eastAsiaTheme="majorEastAsia" w:hAnsiTheme="minorHAnsi"/>
          <w:color w:val="000000"/>
        </w:rPr>
        <w:t> </w:t>
      </w:r>
      <w:hyperlink r:id="rId22" w:tgtFrame="_new" w:history="1">
        <w:r w:rsidRPr="00226F41">
          <w:rPr>
            <w:rStyle w:val="Hyperlink"/>
            <w:rFonts w:asciiTheme="minorHAnsi" w:eastAsiaTheme="majorEastAsia" w:hAnsiTheme="minorHAnsi"/>
          </w:rPr>
          <w:t>https://www.researchgate.net/publication/350585032_Gender_stereotypes_and_biases_in_early_childhood_A_systematic_review</w:t>
        </w:r>
      </w:hyperlink>
      <w:r w:rsidRPr="00226F41">
        <w:rPr>
          <w:rStyle w:val="apple-converted-space"/>
          <w:rFonts w:asciiTheme="minorHAnsi" w:eastAsiaTheme="majorEastAsia" w:hAnsiTheme="minorHAnsi"/>
          <w:color w:val="000000"/>
        </w:rPr>
        <w:t> </w:t>
      </w:r>
      <w:r w:rsidRPr="00226F41">
        <w:rPr>
          <w:rFonts w:asciiTheme="minorHAnsi" w:hAnsiTheme="minorHAnsi"/>
          <w:color w:val="000000"/>
        </w:rPr>
        <w:t>(Accessed: 2</w:t>
      </w:r>
      <w:r>
        <w:rPr>
          <w:rFonts w:asciiTheme="minorHAnsi" w:hAnsiTheme="minorHAnsi"/>
          <w:color w:val="000000"/>
        </w:rPr>
        <w:t>1</w:t>
      </w:r>
      <w:r w:rsidRPr="00226F41">
        <w:rPr>
          <w:rFonts w:asciiTheme="minorHAnsi" w:hAnsiTheme="minorHAnsi"/>
          <w:color w:val="000000"/>
        </w:rPr>
        <w:t xml:space="preserve"> February 2026).</w:t>
      </w:r>
    </w:p>
    <w:p w14:paraId="0FDA6E5C" w14:textId="7DABF46F"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Liberto, G. (2016) ‘Child-led and interest-inspired learning, home education, learning differences and the impact of regulation’,</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Cogent Education</w:t>
      </w:r>
      <w:r w:rsidRPr="005F1CB1">
        <w:rPr>
          <w:rFonts w:asciiTheme="minorHAnsi" w:hAnsiTheme="minorHAnsi"/>
          <w:color w:val="000000"/>
        </w:rPr>
        <w:t>, 3(1)</w:t>
      </w:r>
      <w:r w:rsidRPr="005F1CB1">
        <w:rPr>
          <w:rFonts w:asciiTheme="minorHAnsi" w:hAnsiTheme="minorHAnsi"/>
          <w:color w:val="000000"/>
        </w:rPr>
        <w:t xml:space="preserve">. Available at: </w:t>
      </w:r>
      <w:hyperlink r:id="rId23" w:history="1">
        <w:r w:rsidRPr="005F1CB1">
          <w:rPr>
            <w:rStyle w:val="Hyperlink"/>
            <w:rFonts w:asciiTheme="minorHAnsi" w:hAnsiTheme="minorHAnsi"/>
          </w:rPr>
          <w:t>https://www.tandfonline.com/doi/full/10.1080/2331186X.2016.1194734</w:t>
        </w:r>
      </w:hyperlink>
      <w:r w:rsidRPr="005F1CB1">
        <w:rPr>
          <w:rFonts w:asciiTheme="minorHAnsi" w:hAnsiTheme="minorHAnsi"/>
          <w:color w:val="000000"/>
        </w:rPr>
        <w:t xml:space="preserve"> (Accessed:</w:t>
      </w:r>
      <w:r w:rsidR="00EB5AE2">
        <w:rPr>
          <w:rFonts w:asciiTheme="minorHAnsi" w:hAnsiTheme="minorHAnsi"/>
          <w:color w:val="000000"/>
        </w:rPr>
        <w:t>20 February 2026).</w:t>
      </w:r>
    </w:p>
    <w:p w14:paraId="49C888B4"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Lips, H.M. (2020)</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Sex and gender: An introduction</w:t>
      </w:r>
      <w:r w:rsidRPr="005F1CB1">
        <w:rPr>
          <w:rFonts w:asciiTheme="minorHAnsi" w:hAnsiTheme="minorHAnsi"/>
          <w:color w:val="000000"/>
        </w:rPr>
        <w:t>. Long Grove, IL: Waveland Press.</w:t>
      </w:r>
    </w:p>
    <w:p w14:paraId="2D312D98" w14:textId="1B89CC9B"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Murnen, S.K., Greenfield, C., Younger, A. and Boyd, H. (2016) ‘Boys act and girls appear: A content analysis of gender stereotypes associated with characters in children’s popular culture’,</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Sex Roles</w:t>
      </w:r>
      <w:r w:rsidRPr="005F1CB1">
        <w:rPr>
          <w:rFonts w:asciiTheme="minorHAnsi" w:hAnsiTheme="minorHAnsi"/>
          <w:color w:val="000000"/>
        </w:rPr>
        <w:t>, 74(1), pp. 78–91.</w:t>
      </w:r>
      <w:r w:rsidRPr="005F1CB1">
        <w:rPr>
          <w:rFonts w:asciiTheme="minorHAnsi" w:hAnsiTheme="minorHAnsi"/>
          <w:color w:val="000000"/>
        </w:rPr>
        <w:t xml:space="preserve"> Available at: </w:t>
      </w:r>
      <w:hyperlink r:id="rId24" w:history="1">
        <w:r w:rsidRPr="005F1CB1">
          <w:rPr>
            <w:rStyle w:val="Hyperlink"/>
            <w:rFonts w:asciiTheme="minorHAnsi" w:hAnsiTheme="minorHAnsi"/>
          </w:rPr>
          <w:t>https://link.springer.com/article/10.1007/s11199-015-0558-x</w:t>
        </w:r>
      </w:hyperlink>
      <w:r w:rsidRPr="005F1CB1">
        <w:rPr>
          <w:rFonts w:asciiTheme="minorHAnsi" w:hAnsiTheme="minorHAnsi"/>
          <w:color w:val="000000"/>
        </w:rPr>
        <w:t xml:space="preserve"> (Accessed: </w:t>
      </w:r>
      <w:r w:rsidR="00D66A2A">
        <w:rPr>
          <w:rFonts w:asciiTheme="minorHAnsi" w:hAnsiTheme="minorHAnsi"/>
          <w:color w:val="000000"/>
        </w:rPr>
        <w:t>20 February 2026).</w:t>
      </w:r>
    </w:p>
    <w:p w14:paraId="52AEEFA4"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OECD (2021)</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Starting strong VI: Supporting meaningful interactions in early childhood education and care</w:t>
      </w:r>
      <w:r w:rsidRPr="005F1CB1">
        <w:rPr>
          <w:rFonts w:asciiTheme="minorHAnsi" w:hAnsiTheme="minorHAnsi"/>
          <w:color w:val="000000"/>
        </w:rPr>
        <w:t>. Paris: OECD Publishing.</w:t>
      </w:r>
    </w:p>
    <w:p w14:paraId="1C2C551A" w14:textId="4A58CAB6"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Olusoga, Y. (2018) ‘“We don’t play like that here”: Social, cultural and gender perspectives on play’, in</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Perspectives on play</w:t>
      </w:r>
      <w:r w:rsidRPr="005F1CB1">
        <w:rPr>
          <w:rFonts w:asciiTheme="minorHAnsi" w:hAnsiTheme="minorHAnsi"/>
          <w:color w:val="000000"/>
        </w:rPr>
        <w:t>. London: Routledge, pp. 47–80.</w:t>
      </w:r>
      <w:r w:rsidRPr="005F1CB1">
        <w:rPr>
          <w:rFonts w:asciiTheme="minorHAnsi" w:hAnsiTheme="minorHAnsi"/>
          <w:color w:val="000000"/>
        </w:rPr>
        <w:t xml:space="preserve"> Available at: </w:t>
      </w:r>
      <w:hyperlink r:id="rId25" w:history="1">
        <w:r w:rsidRPr="005F1CB1">
          <w:rPr>
            <w:rStyle w:val="Hyperlink"/>
            <w:rFonts w:asciiTheme="minorHAnsi" w:hAnsiTheme="minorHAnsi"/>
          </w:rPr>
          <w:t>https://www.taylorfrancis.com/chapters/edit/10.4324/9781315834399-14/play-like-social-cultural-gender-perspectives-play-yinka-olusoga</w:t>
        </w:r>
      </w:hyperlink>
      <w:r w:rsidRPr="005F1CB1">
        <w:rPr>
          <w:rFonts w:asciiTheme="minorHAnsi" w:hAnsiTheme="minorHAnsi"/>
          <w:color w:val="000000"/>
        </w:rPr>
        <w:t xml:space="preserve"> (Accessed:</w:t>
      </w:r>
    </w:p>
    <w:p w14:paraId="6BC976D9" w14:textId="7777777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Pinoncely, V. (2016)</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Poverty, place and inequality</w:t>
      </w:r>
      <w:r w:rsidRPr="005F1CB1">
        <w:rPr>
          <w:rStyle w:val="apple-converted-space"/>
          <w:rFonts w:asciiTheme="minorHAnsi" w:eastAsiaTheme="majorEastAsia" w:hAnsiTheme="minorHAnsi"/>
          <w:color w:val="000000"/>
        </w:rPr>
        <w:t> </w:t>
      </w:r>
      <w:r w:rsidRPr="005F1CB1">
        <w:rPr>
          <w:rFonts w:asciiTheme="minorHAnsi" w:hAnsiTheme="minorHAnsi"/>
          <w:color w:val="000000"/>
        </w:rPr>
        <w:t>(Doctoral dissertation). Royal Town Planning Institute.</w:t>
      </w:r>
    </w:p>
    <w:p w14:paraId="2AE149B6" w14:textId="5CC03F35"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Prioletta, J. (2018) ‘Unequal education in preschool: Gender at play’,</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Girlhood Studies</w:t>
      </w:r>
      <w:r w:rsidRPr="005F1CB1">
        <w:rPr>
          <w:rFonts w:asciiTheme="minorHAnsi" w:hAnsiTheme="minorHAnsi"/>
          <w:color w:val="000000"/>
        </w:rPr>
        <w:t>, 11(2), pp. 79–94.</w:t>
      </w:r>
      <w:r w:rsidRPr="005F1CB1">
        <w:rPr>
          <w:rFonts w:asciiTheme="minorHAnsi" w:hAnsiTheme="minorHAnsi"/>
          <w:color w:val="000000"/>
        </w:rPr>
        <w:t xml:space="preserve"> Available at; </w:t>
      </w:r>
      <w:hyperlink r:id="rId26" w:history="1">
        <w:r w:rsidRPr="005F1CB1">
          <w:rPr>
            <w:rStyle w:val="Hyperlink"/>
            <w:rFonts w:asciiTheme="minorHAnsi" w:hAnsiTheme="minorHAnsi"/>
          </w:rPr>
          <w:t>https://www.berghahnjournals.com/view/journals/girlhood-studies/11/2/ghs110207.xml</w:t>
        </w:r>
      </w:hyperlink>
      <w:r w:rsidRPr="005F1CB1">
        <w:rPr>
          <w:rFonts w:asciiTheme="minorHAnsi" w:hAnsiTheme="minorHAnsi"/>
          <w:color w:val="000000"/>
        </w:rPr>
        <w:t xml:space="preserve"> (Accessed:</w:t>
      </w:r>
      <w:r w:rsidR="00405F28">
        <w:rPr>
          <w:rFonts w:asciiTheme="minorHAnsi" w:hAnsiTheme="minorHAnsi"/>
          <w:color w:val="000000"/>
        </w:rPr>
        <w:t xml:space="preserve"> 17 February 2026).</w:t>
      </w:r>
    </w:p>
    <w:p w14:paraId="1FD58DBB" w14:textId="4C4CC862"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Rafat, M. (2022) ‘Social role theory: Stereotyped expectations of gendered toys and its implications in a society’,</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American Journal of Gender and Development Studies</w:t>
      </w:r>
      <w:r w:rsidRPr="005F1CB1">
        <w:rPr>
          <w:rFonts w:asciiTheme="minorHAnsi" w:hAnsiTheme="minorHAnsi"/>
          <w:color w:val="000000"/>
        </w:rPr>
        <w:t>, 1(1), pp. 1–14.</w:t>
      </w:r>
      <w:r w:rsidRPr="005F1CB1">
        <w:rPr>
          <w:rFonts w:asciiTheme="minorHAnsi" w:hAnsiTheme="minorHAnsi"/>
          <w:color w:val="000000"/>
        </w:rPr>
        <w:t xml:space="preserve"> Available at: </w:t>
      </w:r>
      <w:hyperlink r:id="rId27" w:history="1">
        <w:r w:rsidRPr="005F1CB1">
          <w:rPr>
            <w:rStyle w:val="Hyperlink"/>
            <w:rFonts w:asciiTheme="minorHAnsi" w:hAnsiTheme="minorHAnsi"/>
          </w:rPr>
          <w:t>https://gprjournals.org/journals/index.php/AJGDS/article/view/81</w:t>
        </w:r>
      </w:hyperlink>
      <w:r w:rsidRPr="005F1CB1">
        <w:rPr>
          <w:rFonts w:asciiTheme="minorHAnsi" w:hAnsiTheme="minorHAnsi"/>
          <w:color w:val="000000"/>
        </w:rPr>
        <w:t xml:space="preserve"> (Accessed: </w:t>
      </w:r>
      <w:r w:rsidR="00405F28">
        <w:rPr>
          <w:rFonts w:asciiTheme="minorHAnsi" w:hAnsiTheme="minorHAnsi"/>
          <w:color w:val="000000"/>
        </w:rPr>
        <w:t>18 February 2026).</w:t>
      </w:r>
    </w:p>
    <w:p w14:paraId="5EAB04C4" w14:textId="24883F36" w:rsid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Reimers, A.K., Schoeppe, S., Demetriou, Y. and Knapp, G. (2018) ‘Physical activity and outdoor play of children in public playgrounds: Do gender and social environment matter?’,</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International Journal of Environmental Research and Public Health</w:t>
      </w:r>
      <w:r w:rsidRPr="005F1CB1">
        <w:rPr>
          <w:rFonts w:asciiTheme="minorHAnsi" w:hAnsiTheme="minorHAnsi"/>
          <w:color w:val="000000"/>
        </w:rPr>
        <w:t>, 15(7), p. 1356.</w:t>
      </w:r>
      <w:r w:rsidRPr="005F1CB1">
        <w:rPr>
          <w:rFonts w:asciiTheme="minorHAnsi" w:hAnsiTheme="minorHAnsi"/>
          <w:color w:val="000000"/>
        </w:rPr>
        <w:t xml:space="preserve"> Available at: </w:t>
      </w:r>
      <w:hyperlink r:id="rId28" w:history="1">
        <w:r w:rsidRPr="005F1CB1">
          <w:rPr>
            <w:rStyle w:val="Hyperlink"/>
            <w:rFonts w:asciiTheme="minorHAnsi" w:hAnsiTheme="minorHAnsi"/>
          </w:rPr>
          <w:t>https://pmc.ncbi.nlm.nih.gov/articles/PMC6069007/</w:t>
        </w:r>
      </w:hyperlink>
      <w:r w:rsidRPr="005F1CB1">
        <w:rPr>
          <w:rFonts w:asciiTheme="minorHAnsi" w:hAnsiTheme="minorHAnsi"/>
          <w:color w:val="000000"/>
        </w:rPr>
        <w:t xml:space="preserve"> (Accessed:</w:t>
      </w:r>
      <w:r w:rsidR="00343E5C">
        <w:rPr>
          <w:rFonts w:asciiTheme="minorHAnsi" w:hAnsiTheme="minorHAnsi"/>
          <w:color w:val="000000"/>
        </w:rPr>
        <w:t xml:space="preserve"> 16 February 2026).</w:t>
      </w:r>
    </w:p>
    <w:p w14:paraId="668E1857" w14:textId="1030281D" w:rsidR="000B062A" w:rsidRPr="000B062A" w:rsidRDefault="000B062A" w:rsidP="005F1CB1">
      <w:pPr>
        <w:pStyle w:val="NormalWeb"/>
        <w:spacing w:line="360" w:lineRule="auto"/>
        <w:rPr>
          <w:rFonts w:asciiTheme="minorHAnsi" w:hAnsiTheme="minorHAnsi"/>
          <w:color w:val="000000"/>
        </w:rPr>
      </w:pPr>
      <w:r w:rsidRPr="000B062A">
        <w:rPr>
          <w:rStyle w:val="Strong"/>
          <w:rFonts w:asciiTheme="minorHAnsi" w:eastAsiaTheme="majorEastAsia" w:hAnsiTheme="minorHAnsi"/>
          <w:b w:val="0"/>
          <w:bCs w:val="0"/>
          <w:color w:val="000000"/>
        </w:rPr>
        <w:t>Sagheer, S., Gurrieri, L. and Aleti, T. (2025)</w:t>
      </w:r>
      <w:r w:rsidRPr="000B062A">
        <w:rPr>
          <w:rStyle w:val="apple-converted-space"/>
          <w:rFonts w:asciiTheme="minorHAnsi" w:eastAsiaTheme="majorEastAsia" w:hAnsiTheme="minorHAnsi"/>
          <w:color w:val="000000"/>
        </w:rPr>
        <w:t> </w:t>
      </w:r>
      <w:r w:rsidRPr="000B062A">
        <w:rPr>
          <w:rStyle w:val="Emphasis"/>
          <w:rFonts w:asciiTheme="minorHAnsi" w:eastAsiaTheme="majorEastAsia" w:hAnsiTheme="minorHAnsi"/>
          <w:color w:val="000000"/>
        </w:rPr>
        <w:t>The gendered marketing of children's toys: An integrative review and de</w:t>
      </w:r>
      <w:r w:rsidRPr="000B062A">
        <w:rPr>
          <w:rStyle w:val="Emphasis"/>
          <w:rFonts w:asciiTheme="minorHAnsi" w:eastAsiaTheme="majorEastAsia" w:hAnsiTheme="minorHAnsi"/>
          <w:color w:val="000000"/>
        </w:rPr>
        <w:noBreakHyphen/>
        <w:t>gendering agenda</w:t>
      </w:r>
      <w:r w:rsidRPr="000B062A">
        <w:rPr>
          <w:rFonts w:asciiTheme="minorHAnsi" w:hAnsiTheme="minorHAnsi"/>
          <w:color w:val="000000"/>
        </w:rPr>
        <w:t>,</w:t>
      </w:r>
      <w:r w:rsidRPr="000B062A">
        <w:rPr>
          <w:rStyle w:val="apple-converted-space"/>
          <w:rFonts w:asciiTheme="minorHAnsi" w:eastAsiaTheme="majorEastAsia" w:hAnsiTheme="minorHAnsi"/>
          <w:color w:val="000000"/>
        </w:rPr>
        <w:t> </w:t>
      </w:r>
      <w:r w:rsidRPr="000B062A">
        <w:rPr>
          <w:rStyle w:val="Emphasis"/>
          <w:rFonts w:asciiTheme="minorHAnsi" w:eastAsiaTheme="majorEastAsia" w:hAnsiTheme="minorHAnsi"/>
          <w:color w:val="000000"/>
        </w:rPr>
        <w:t>Journal of Consumer Culture</w:t>
      </w:r>
      <w:r>
        <w:rPr>
          <w:rFonts w:asciiTheme="minorHAnsi" w:hAnsiTheme="minorHAnsi"/>
          <w:color w:val="000000"/>
        </w:rPr>
        <w:t>. A</w:t>
      </w:r>
      <w:r w:rsidRPr="000B062A">
        <w:rPr>
          <w:rFonts w:asciiTheme="minorHAnsi" w:hAnsiTheme="minorHAnsi"/>
          <w:color w:val="000000"/>
        </w:rPr>
        <w:t>vailable at:</w:t>
      </w:r>
      <w:r w:rsidRPr="000B062A">
        <w:rPr>
          <w:rStyle w:val="apple-converted-space"/>
          <w:rFonts w:asciiTheme="minorHAnsi" w:eastAsiaTheme="majorEastAsia" w:hAnsiTheme="minorHAnsi"/>
          <w:color w:val="000000"/>
        </w:rPr>
        <w:t> </w:t>
      </w:r>
      <w:hyperlink r:id="rId29" w:history="1">
        <w:r w:rsidRPr="005C59F4">
          <w:rPr>
            <w:rStyle w:val="Hyperlink"/>
            <w:rFonts w:asciiTheme="minorHAnsi" w:hAnsiTheme="minorHAnsi"/>
          </w:rPr>
          <w:t>https://doi.org/10.1177/14705931251342546</w:t>
        </w:r>
      </w:hyperlink>
      <w:r>
        <w:rPr>
          <w:rFonts w:asciiTheme="minorHAnsi" w:hAnsiTheme="minorHAnsi"/>
        </w:rPr>
        <w:t xml:space="preserve"> </w:t>
      </w:r>
      <w:r w:rsidRPr="000B062A">
        <w:rPr>
          <w:rFonts w:asciiTheme="minorHAnsi" w:hAnsiTheme="minorHAnsi"/>
          <w:color w:val="000000"/>
        </w:rPr>
        <w:t>(Accessed: 2</w:t>
      </w:r>
      <w:r>
        <w:rPr>
          <w:rFonts w:asciiTheme="minorHAnsi" w:hAnsiTheme="minorHAnsi"/>
          <w:color w:val="000000"/>
        </w:rPr>
        <w:t>1</w:t>
      </w:r>
      <w:r w:rsidRPr="000B062A">
        <w:rPr>
          <w:rFonts w:asciiTheme="minorHAnsi" w:hAnsiTheme="minorHAnsi"/>
          <w:color w:val="000000"/>
        </w:rPr>
        <w:t xml:space="preserve"> February 2026)</w:t>
      </w:r>
      <w:r>
        <w:rPr>
          <w:rFonts w:asciiTheme="minorHAnsi" w:hAnsiTheme="minorHAnsi"/>
          <w:color w:val="000000"/>
        </w:rPr>
        <w:t>.</w:t>
      </w:r>
    </w:p>
    <w:p w14:paraId="61E2B821" w14:textId="38125E7D"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Schudson, Z.C., Beischel, W.J. and Van Anders, S.M. (2019) ‘Individual variation in gender/sex category definitions’,</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Psychology of Sexual Orientation and Gender Diversity</w:t>
      </w:r>
      <w:r w:rsidRPr="005F1CB1">
        <w:rPr>
          <w:rFonts w:asciiTheme="minorHAnsi" w:hAnsiTheme="minorHAnsi"/>
          <w:color w:val="000000"/>
        </w:rPr>
        <w:t>, 6(4), p. 448.</w:t>
      </w:r>
      <w:r w:rsidRPr="005F1CB1">
        <w:rPr>
          <w:rFonts w:asciiTheme="minorHAnsi" w:hAnsiTheme="minorHAnsi"/>
          <w:color w:val="000000"/>
        </w:rPr>
        <w:t xml:space="preserve"> Available at: </w:t>
      </w:r>
      <w:hyperlink r:id="rId30" w:history="1">
        <w:r w:rsidRPr="005F1CB1">
          <w:rPr>
            <w:rStyle w:val="Hyperlink"/>
            <w:rFonts w:asciiTheme="minorHAnsi" w:hAnsiTheme="minorHAnsi"/>
          </w:rPr>
          <w:t>https://psycnet.apa.org/record/2019-42958-001</w:t>
        </w:r>
      </w:hyperlink>
      <w:r w:rsidRPr="005F1CB1">
        <w:rPr>
          <w:rFonts w:asciiTheme="minorHAnsi" w:hAnsiTheme="minorHAnsi"/>
          <w:color w:val="000000"/>
        </w:rPr>
        <w:t xml:space="preserve"> (Accessed:</w:t>
      </w:r>
      <w:r w:rsidR="00343E5C">
        <w:rPr>
          <w:rFonts w:asciiTheme="minorHAnsi" w:hAnsiTheme="minorHAnsi"/>
          <w:color w:val="000000"/>
        </w:rPr>
        <w:t xml:space="preserve"> </w:t>
      </w:r>
      <w:r w:rsidR="00FE22E9">
        <w:rPr>
          <w:rFonts w:asciiTheme="minorHAnsi" w:hAnsiTheme="minorHAnsi"/>
          <w:color w:val="000000"/>
        </w:rPr>
        <w:t>19 February 2026).</w:t>
      </w:r>
    </w:p>
    <w:p w14:paraId="51BEBD87" w14:textId="0B53EB62" w:rsid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Song, D.H., Park, S., Yang, S.W., Yang, Y. and Won, K. (2017) ‘Gender differences and gender stereotype in play style among young Korean gamers’,</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Journal of the Korea Institute of Information and Communication Engineering</w:t>
      </w:r>
      <w:r w:rsidRPr="005F1CB1">
        <w:rPr>
          <w:rFonts w:asciiTheme="minorHAnsi" w:hAnsiTheme="minorHAnsi"/>
          <w:color w:val="000000"/>
        </w:rPr>
        <w:t>, 21(1), pp. 72–81.</w:t>
      </w:r>
      <w:r w:rsidRPr="005F1CB1">
        <w:rPr>
          <w:rFonts w:asciiTheme="minorHAnsi" w:hAnsiTheme="minorHAnsi"/>
          <w:color w:val="000000"/>
        </w:rPr>
        <w:t xml:space="preserve"> Available at: </w:t>
      </w:r>
      <w:hyperlink r:id="rId31" w:history="1">
        <w:r w:rsidRPr="005F1CB1">
          <w:rPr>
            <w:rStyle w:val="Hyperlink"/>
            <w:rFonts w:asciiTheme="minorHAnsi" w:hAnsiTheme="minorHAnsi"/>
          </w:rPr>
          <w:t>https://www.researchgate.net/publication/316325216_Gender_Differences_and_Gender_Stereotype_in_Play_Style_among_Young_Korean_Gamers</w:t>
        </w:r>
      </w:hyperlink>
      <w:r w:rsidRPr="005F1CB1">
        <w:rPr>
          <w:rFonts w:asciiTheme="minorHAnsi" w:hAnsiTheme="minorHAnsi"/>
          <w:color w:val="000000"/>
        </w:rPr>
        <w:t xml:space="preserve"> (Accessed:</w:t>
      </w:r>
      <w:r w:rsidR="00FE22E9">
        <w:rPr>
          <w:rFonts w:asciiTheme="minorHAnsi" w:hAnsiTheme="minorHAnsi"/>
          <w:color w:val="000000"/>
        </w:rPr>
        <w:t xml:space="preserve"> 21 February 2026).</w:t>
      </w:r>
    </w:p>
    <w:p w14:paraId="1D23E67E" w14:textId="22C29A47" w:rsidR="00BB58C5" w:rsidRPr="00BB58C5" w:rsidRDefault="00BB58C5" w:rsidP="005F1CB1">
      <w:pPr>
        <w:pStyle w:val="NormalWeb"/>
        <w:spacing w:line="360" w:lineRule="auto"/>
        <w:rPr>
          <w:rFonts w:asciiTheme="minorHAnsi" w:hAnsiTheme="minorHAnsi"/>
          <w:color w:val="000000"/>
        </w:rPr>
      </w:pPr>
      <w:r w:rsidRPr="00BB58C5">
        <w:rPr>
          <w:rFonts w:asciiTheme="minorHAnsi" w:hAnsiTheme="minorHAnsi"/>
          <w:color w:val="000000"/>
        </w:rPr>
        <w:t>The Fawcett Society (2019)</w:t>
      </w:r>
      <w:r w:rsidRPr="00BB58C5">
        <w:rPr>
          <w:rStyle w:val="apple-converted-space"/>
          <w:rFonts w:asciiTheme="minorHAnsi" w:eastAsiaTheme="majorEastAsia" w:hAnsiTheme="minorHAnsi"/>
          <w:color w:val="000000"/>
        </w:rPr>
        <w:t> </w:t>
      </w:r>
      <w:r w:rsidRPr="00BB58C5">
        <w:rPr>
          <w:rStyle w:val="Emphasis"/>
          <w:rFonts w:asciiTheme="minorHAnsi" w:eastAsiaTheme="majorEastAsia" w:hAnsiTheme="minorHAnsi"/>
          <w:color w:val="000000"/>
        </w:rPr>
        <w:t>Gender stereotypes in early childhood: A literature review</w:t>
      </w:r>
      <w:r w:rsidRPr="00BB58C5">
        <w:rPr>
          <w:rFonts w:asciiTheme="minorHAnsi" w:hAnsiTheme="minorHAnsi"/>
          <w:color w:val="000000"/>
        </w:rPr>
        <w:t>. The Fawcett Society, London. Available at:</w:t>
      </w:r>
      <w:r w:rsidRPr="00BB58C5">
        <w:rPr>
          <w:rStyle w:val="apple-converted-space"/>
          <w:rFonts w:asciiTheme="minorHAnsi" w:eastAsiaTheme="majorEastAsia" w:hAnsiTheme="minorHAnsi"/>
          <w:color w:val="000000"/>
        </w:rPr>
        <w:t> </w:t>
      </w:r>
      <w:hyperlink r:id="rId32" w:tgtFrame="_new" w:history="1">
        <w:r w:rsidRPr="00BB58C5">
          <w:rPr>
            <w:rStyle w:val="Hyperlink"/>
            <w:rFonts w:asciiTheme="minorHAnsi" w:eastAsiaTheme="majorEastAsia" w:hAnsiTheme="minorHAnsi"/>
          </w:rPr>
          <w:t>https://www.fawcettsociety.org.uk/gender-stereotypes-in-early-childhood-a-literature-review/</w:t>
        </w:r>
      </w:hyperlink>
      <w:r w:rsidRPr="00BB58C5">
        <w:rPr>
          <w:rStyle w:val="apple-converted-space"/>
          <w:rFonts w:asciiTheme="minorHAnsi" w:eastAsiaTheme="majorEastAsia" w:hAnsiTheme="minorHAnsi"/>
          <w:color w:val="000000"/>
        </w:rPr>
        <w:t> </w:t>
      </w:r>
      <w:r w:rsidRPr="00BB58C5">
        <w:rPr>
          <w:rFonts w:asciiTheme="minorHAnsi" w:hAnsiTheme="minorHAnsi"/>
          <w:color w:val="000000"/>
        </w:rPr>
        <w:t>(Accessed: 2</w:t>
      </w:r>
      <w:r>
        <w:rPr>
          <w:rFonts w:asciiTheme="minorHAnsi" w:hAnsiTheme="minorHAnsi"/>
          <w:color w:val="000000"/>
        </w:rPr>
        <w:t>1</w:t>
      </w:r>
      <w:r w:rsidRPr="00BB58C5">
        <w:rPr>
          <w:rFonts w:asciiTheme="minorHAnsi" w:hAnsiTheme="minorHAnsi"/>
          <w:color w:val="000000"/>
        </w:rPr>
        <w:t xml:space="preserve"> February 2026</w:t>
      </w:r>
      <w:r>
        <w:rPr>
          <w:rFonts w:asciiTheme="minorHAnsi" w:hAnsiTheme="minorHAnsi"/>
          <w:color w:val="000000"/>
        </w:rPr>
        <w:t>).</w:t>
      </w:r>
    </w:p>
    <w:p w14:paraId="1D79C155" w14:textId="035CA81F"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lastRenderedPageBreak/>
        <w:t>UNICEF (2022)</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Learning through play: Strengthening learning through play in early childhood education programmes</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33" w:history="1">
        <w:r w:rsidRPr="005F1CB1">
          <w:rPr>
            <w:rStyle w:val="Hyperlink"/>
            <w:rFonts w:asciiTheme="minorHAnsi" w:hAnsiTheme="minorHAnsi"/>
          </w:rPr>
          <w:t>https://www.unicef.org/sites/default/files/2018-12/UNICEF-Lego-Foundation-Learning-through-Play.pdf</w:t>
        </w:r>
      </w:hyperlink>
      <w:r w:rsidRPr="005F1CB1">
        <w:rPr>
          <w:rFonts w:asciiTheme="minorHAnsi" w:hAnsiTheme="minorHAnsi"/>
          <w:color w:val="000000"/>
        </w:rPr>
        <w:t xml:space="preserve"> (Accessed:</w:t>
      </w:r>
      <w:r w:rsidR="00FE22E9">
        <w:rPr>
          <w:rFonts w:asciiTheme="minorHAnsi" w:hAnsiTheme="minorHAnsi"/>
          <w:color w:val="000000"/>
        </w:rPr>
        <w:t xml:space="preserve"> 18 February 2026).</w:t>
      </w:r>
    </w:p>
    <w:p w14:paraId="62FA92D3" w14:textId="24BFC64F"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Veraksa, N., Pramling Samuelsson, I. and Colliver, Y. (2022) ‘Early child development in play and education: A cultural-historical paradigm’,</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Frontiers in Psychology</w:t>
      </w:r>
      <w:r w:rsidRPr="005F1CB1">
        <w:rPr>
          <w:rFonts w:asciiTheme="minorHAnsi" w:hAnsiTheme="minorHAnsi"/>
          <w:color w:val="000000"/>
        </w:rPr>
        <w:t>.</w:t>
      </w:r>
      <w:r w:rsidRPr="005F1CB1">
        <w:rPr>
          <w:rFonts w:asciiTheme="minorHAnsi" w:hAnsiTheme="minorHAnsi"/>
          <w:color w:val="000000"/>
        </w:rPr>
        <w:t xml:space="preserve"> Available at: </w:t>
      </w:r>
      <w:hyperlink r:id="rId34" w:history="1">
        <w:r w:rsidRPr="005F1CB1">
          <w:rPr>
            <w:rStyle w:val="Hyperlink"/>
            <w:rFonts w:asciiTheme="minorHAnsi" w:hAnsiTheme="minorHAnsi"/>
          </w:rPr>
          <w:t>https://www.frontiersin.org/journals/psychology/articles/10.3389/fpsyg.2022.968473/full</w:t>
        </w:r>
      </w:hyperlink>
      <w:r w:rsidRPr="005F1CB1">
        <w:rPr>
          <w:rFonts w:asciiTheme="minorHAnsi" w:hAnsiTheme="minorHAnsi"/>
          <w:color w:val="000000"/>
        </w:rPr>
        <w:t xml:space="preserve"> (Accessed: </w:t>
      </w:r>
      <w:r w:rsidR="00FE22E9">
        <w:rPr>
          <w:rFonts w:asciiTheme="minorHAnsi" w:hAnsiTheme="minorHAnsi"/>
          <w:color w:val="000000"/>
        </w:rPr>
        <w:t>18 February 2026).</w:t>
      </w:r>
    </w:p>
    <w:p w14:paraId="41DF844A" w14:textId="7566ABA8"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Weisgram, E.S. (2019) ‘Reducing gender stereotypes in toys and play for smarter, stronger, and kinder kids’,</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American Journal of Play</w:t>
      </w:r>
      <w:r w:rsidRPr="005F1CB1">
        <w:rPr>
          <w:rFonts w:asciiTheme="minorHAnsi" w:hAnsiTheme="minorHAnsi"/>
          <w:color w:val="000000"/>
        </w:rPr>
        <w:t>, 12(1), pp. 74–88.</w:t>
      </w:r>
      <w:r w:rsidRPr="005F1CB1">
        <w:rPr>
          <w:rFonts w:asciiTheme="minorHAnsi" w:hAnsiTheme="minorHAnsi"/>
          <w:color w:val="000000"/>
        </w:rPr>
        <w:t xml:space="preserve"> Available at: </w:t>
      </w:r>
      <w:hyperlink r:id="rId35" w:history="1">
        <w:r w:rsidRPr="005F1CB1">
          <w:rPr>
            <w:rStyle w:val="Hyperlink"/>
            <w:rFonts w:asciiTheme="minorHAnsi" w:hAnsiTheme="minorHAnsi"/>
          </w:rPr>
          <w:t>https://files.eric.ed.gov/fulltext/EJ1238538.pdf</w:t>
        </w:r>
      </w:hyperlink>
      <w:r w:rsidRPr="005F1CB1">
        <w:rPr>
          <w:rFonts w:asciiTheme="minorHAnsi" w:hAnsiTheme="minorHAnsi"/>
          <w:color w:val="000000"/>
        </w:rPr>
        <w:t xml:space="preserve"> (Accessed:</w:t>
      </w:r>
      <w:r w:rsidR="00FE22E9">
        <w:rPr>
          <w:rFonts w:asciiTheme="minorHAnsi" w:hAnsiTheme="minorHAnsi"/>
          <w:color w:val="000000"/>
        </w:rPr>
        <w:t xml:space="preserve"> 17 February 2026).</w:t>
      </w:r>
    </w:p>
    <w:p w14:paraId="36E2EA58" w14:textId="05B78F08" w:rsid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Welsh Government (2022a)</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Curriculum for Wales: Annual report</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36" w:history="1">
        <w:r w:rsidRPr="005F1CB1">
          <w:rPr>
            <w:rStyle w:val="Hyperlink"/>
            <w:rFonts w:asciiTheme="minorHAnsi" w:hAnsiTheme="minorHAnsi"/>
          </w:rPr>
          <w:t>https://www.gov.wales/curriculum-wales-annual-report-2022-html</w:t>
        </w:r>
      </w:hyperlink>
      <w:r w:rsidRPr="005F1CB1">
        <w:rPr>
          <w:rFonts w:asciiTheme="minorHAnsi" w:hAnsiTheme="minorHAnsi"/>
          <w:color w:val="000000"/>
        </w:rPr>
        <w:t xml:space="preserve"> (Accessed:</w:t>
      </w:r>
      <w:r w:rsidR="00FE22E9">
        <w:rPr>
          <w:rFonts w:asciiTheme="minorHAnsi" w:hAnsiTheme="minorHAnsi"/>
          <w:color w:val="000000"/>
        </w:rPr>
        <w:t xml:space="preserve"> 18 February 2026).</w:t>
      </w:r>
    </w:p>
    <w:p w14:paraId="3A44F52E" w14:textId="5DA64497" w:rsid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Welsh Government (2022b)</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Curriculum for Wales: Framework guidance</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37" w:history="1">
        <w:r w:rsidRPr="005F1CB1">
          <w:rPr>
            <w:rStyle w:val="Hyperlink"/>
            <w:rFonts w:asciiTheme="minorHAnsi" w:hAnsiTheme="minorHAnsi"/>
          </w:rPr>
          <w:t>https://hwb.gov.wales/api/storage/18d0d2f1-0563-4945-a889-d1548ae24c4e/curriculum-for-wales-guidance.pdf</w:t>
        </w:r>
      </w:hyperlink>
      <w:r w:rsidRPr="005F1CB1">
        <w:rPr>
          <w:rFonts w:asciiTheme="minorHAnsi" w:hAnsiTheme="minorHAnsi"/>
          <w:color w:val="000000"/>
        </w:rPr>
        <w:t xml:space="preserve"> (Accessed:</w:t>
      </w:r>
      <w:r w:rsidR="00FE22E9">
        <w:rPr>
          <w:rFonts w:asciiTheme="minorHAnsi" w:hAnsiTheme="minorHAnsi"/>
          <w:color w:val="000000"/>
        </w:rPr>
        <w:t xml:space="preserve"> 18 February 2026).</w:t>
      </w:r>
    </w:p>
    <w:p w14:paraId="23F537EB" w14:textId="2F5310B8" w:rsidR="0080158E" w:rsidRPr="005F1CB1" w:rsidRDefault="0080158E" w:rsidP="005F1CB1">
      <w:pPr>
        <w:pStyle w:val="NormalWeb"/>
        <w:spacing w:line="360" w:lineRule="auto"/>
        <w:rPr>
          <w:rFonts w:asciiTheme="minorHAnsi" w:hAnsiTheme="minorHAnsi"/>
          <w:color w:val="000000"/>
        </w:rPr>
      </w:pPr>
      <w:r>
        <w:rPr>
          <w:rFonts w:asciiTheme="minorHAnsi" w:hAnsiTheme="minorHAnsi"/>
          <w:color w:val="000000"/>
        </w:rPr>
        <w:t xml:space="preserve">Welsh Government (2024) </w:t>
      </w:r>
      <w:r>
        <w:rPr>
          <w:rFonts w:asciiTheme="minorHAnsi" w:hAnsiTheme="minorHAnsi"/>
          <w:i/>
          <w:iCs/>
          <w:color w:val="000000"/>
        </w:rPr>
        <w:t xml:space="preserve">curriculum for Wales: summary of legislation. </w:t>
      </w:r>
      <w:r>
        <w:rPr>
          <w:rFonts w:asciiTheme="minorHAnsi" w:hAnsiTheme="minorHAnsi"/>
          <w:color w:val="000000"/>
        </w:rPr>
        <w:t>Available at:</w:t>
      </w:r>
      <w:r w:rsidRPr="0080158E">
        <w:t xml:space="preserve"> </w:t>
      </w:r>
      <w:hyperlink r:id="rId38" w:history="1">
        <w:r w:rsidRPr="005C59F4">
          <w:rPr>
            <w:rStyle w:val="Hyperlink"/>
            <w:rFonts w:asciiTheme="minorHAnsi" w:hAnsiTheme="minorHAnsi"/>
          </w:rPr>
          <w:t>https://hwb.gov.wales/curriculum-for-wales/summary-of-legislation?utm_source=chatgpt.com</w:t>
        </w:r>
      </w:hyperlink>
      <w:r>
        <w:rPr>
          <w:rFonts w:asciiTheme="minorHAnsi" w:hAnsiTheme="minorHAnsi"/>
          <w:color w:val="000000"/>
        </w:rPr>
        <w:t xml:space="preserve"> (Accessed: 20 February 2026).</w:t>
      </w:r>
    </w:p>
    <w:p w14:paraId="4CB5E083" w14:textId="4D68412B" w:rsidR="005F1CB1" w:rsidRPr="005F1CB1" w:rsidRDefault="005F1CB1" w:rsidP="005F1CB1">
      <w:pPr>
        <w:pStyle w:val="NormalWeb"/>
        <w:spacing w:line="360" w:lineRule="auto"/>
        <w:rPr>
          <w:rStyle w:val="apple-converted-space"/>
          <w:rFonts w:asciiTheme="minorHAnsi" w:eastAsiaTheme="majorEastAsia" w:hAnsiTheme="minorHAnsi"/>
          <w:color w:val="000000"/>
        </w:rPr>
      </w:pPr>
      <w:r w:rsidRPr="005F1CB1">
        <w:rPr>
          <w:rFonts w:asciiTheme="minorHAnsi" w:hAnsiTheme="minorHAnsi"/>
          <w:color w:val="000000"/>
        </w:rPr>
        <w:t>Welsh Government (2024)</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Early Childhood Play, Learning and Care Plan in Wales</w:t>
      </w:r>
      <w:r w:rsidRPr="005F1CB1">
        <w:rPr>
          <w:rFonts w:asciiTheme="minorHAnsi" w:hAnsiTheme="minorHAnsi"/>
          <w:color w:val="000000"/>
        </w:rPr>
        <w:t>, Welsh Government, Cardiff. Available at:</w:t>
      </w:r>
      <w:r w:rsidRPr="005F1CB1">
        <w:rPr>
          <w:rStyle w:val="apple-converted-space"/>
          <w:rFonts w:asciiTheme="minorHAnsi" w:eastAsiaTheme="majorEastAsia" w:hAnsiTheme="minorHAnsi"/>
          <w:color w:val="000000"/>
        </w:rPr>
        <w:t> </w:t>
      </w:r>
      <w:hyperlink r:id="rId39" w:tgtFrame="_new" w:history="1">
        <w:r w:rsidRPr="005F1CB1">
          <w:rPr>
            <w:rStyle w:val="Hyperlink"/>
            <w:rFonts w:asciiTheme="minorHAnsi" w:eastAsiaTheme="majorEastAsia" w:hAnsiTheme="minorHAnsi"/>
            <w:i/>
            <w:iCs/>
          </w:rPr>
          <w:t>https://www.gov.wales/sites/default/files/publications/2024-03/early-childhood-play-learning-care-plan.pdf</w:t>
        </w:r>
      </w:hyperlink>
      <w:r w:rsidRPr="005F1CB1">
        <w:rPr>
          <w:rStyle w:val="apple-converted-space"/>
          <w:rFonts w:asciiTheme="minorHAnsi" w:eastAsiaTheme="majorEastAsia" w:hAnsiTheme="minorHAnsi"/>
          <w:color w:val="000000"/>
        </w:rPr>
        <w:t> </w:t>
      </w:r>
      <w:r w:rsidRPr="005F1CB1">
        <w:rPr>
          <w:rFonts w:asciiTheme="minorHAnsi" w:hAnsiTheme="minorHAnsi"/>
          <w:color w:val="000000"/>
        </w:rPr>
        <w:t xml:space="preserve">(Accessed: </w:t>
      </w:r>
      <w:r w:rsidR="00FE22E9">
        <w:rPr>
          <w:rFonts w:asciiTheme="minorHAnsi" w:hAnsiTheme="minorHAnsi"/>
          <w:color w:val="000000"/>
        </w:rPr>
        <w:t xml:space="preserve">17 </w:t>
      </w:r>
      <w:r w:rsidRPr="005F1CB1">
        <w:rPr>
          <w:rFonts w:asciiTheme="minorHAnsi" w:hAnsiTheme="minorHAnsi"/>
          <w:color w:val="000000"/>
        </w:rPr>
        <w:t>February 2026).</w:t>
      </w:r>
      <w:r w:rsidRPr="005F1CB1">
        <w:rPr>
          <w:rStyle w:val="apple-converted-space"/>
          <w:rFonts w:asciiTheme="minorHAnsi" w:eastAsiaTheme="majorEastAsia" w:hAnsiTheme="minorHAnsi"/>
          <w:color w:val="000000"/>
        </w:rPr>
        <w:t> </w:t>
      </w:r>
    </w:p>
    <w:p w14:paraId="7ABD56BF" w14:textId="3C61196C"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Welsh Government (2025)</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Equity and inclusion in the Curriculum for Wales: a qualitative study</w:t>
      </w:r>
      <w:r w:rsidRPr="005F1CB1">
        <w:rPr>
          <w:rFonts w:asciiTheme="minorHAnsi" w:hAnsiTheme="minorHAnsi"/>
          <w:color w:val="000000"/>
        </w:rPr>
        <w:t xml:space="preserve">, Welsh Government, Cardiff. Available </w:t>
      </w:r>
      <w:r w:rsidRPr="005F1CB1">
        <w:rPr>
          <w:rFonts w:asciiTheme="minorHAnsi" w:hAnsiTheme="minorHAnsi"/>
          <w:color w:val="000000"/>
        </w:rPr>
        <w:lastRenderedPageBreak/>
        <w:t>at:</w:t>
      </w:r>
      <w:r w:rsidRPr="005F1CB1">
        <w:rPr>
          <w:rStyle w:val="apple-converted-space"/>
          <w:rFonts w:asciiTheme="minorHAnsi" w:eastAsiaTheme="majorEastAsia" w:hAnsiTheme="minorHAnsi"/>
          <w:color w:val="000000"/>
        </w:rPr>
        <w:t> </w:t>
      </w:r>
      <w:hyperlink r:id="rId40" w:tgtFrame="_new" w:history="1">
        <w:r w:rsidRPr="005F1CB1">
          <w:rPr>
            <w:rStyle w:val="Hyperlink"/>
            <w:rFonts w:asciiTheme="minorHAnsi" w:eastAsiaTheme="majorEastAsia" w:hAnsiTheme="minorHAnsi"/>
            <w:i/>
            <w:iCs/>
          </w:rPr>
          <w:t>https://www.gov.wales/equity-and-inclusion-curriculum-wales-qualitative-study</w:t>
        </w:r>
      </w:hyperlink>
      <w:r w:rsidRPr="005F1CB1">
        <w:rPr>
          <w:rStyle w:val="apple-converted-space"/>
          <w:rFonts w:asciiTheme="minorHAnsi" w:eastAsiaTheme="majorEastAsia" w:hAnsiTheme="minorHAnsi"/>
          <w:color w:val="000000"/>
        </w:rPr>
        <w:t> </w:t>
      </w:r>
      <w:r w:rsidRPr="005F1CB1">
        <w:rPr>
          <w:rFonts w:asciiTheme="minorHAnsi" w:hAnsiTheme="minorHAnsi"/>
          <w:color w:val="000000"/>
        </w:rPr>
        <w:t xml:space="preserve">(Accessed: </w:t>
      </w:r>
      <w:r w:rsidR="00F0452C">
        <w:rPr>
          <w:rFonts w:asciiTheme="minorHAnsi" w:hAnsiTheme="minorHAnsi"/>
          <w:color w:val="000000"/>
        </w:rPr>
        <w:t xml:space="preserve">20 </w:t>
      </w:r>
      <w:r w:rsidRPr="005F1CB1">
        <w:rPr>
          <w:rFonts w:asciiTheme="minorHAnsi" w:hAnsiTheme="minorHAnsi"/>
          <w:color w:val="000000"/>
        </w:rPr>
        <w:t>February 2026).</w:t>
      </w:r>
      <w:r w:rsidRPr="005F1CB1">
        <w:rPr>
          <w:rStyle w:val="apple-converted-space"/>
          <w:rFonts w:asciiTheme="minorHAnsi" w:eastAsiaTheme="majorEastAsia" w:hAnsiTheme="minorHAnsi"/>
          <w:color w:val="000000"/>
        </w:rPr>
        <w:t> </w:t>
      </w:r>
    </w:p>
    <w:p w14:paraId="027EBCEE" w14:textId="12602EBB"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Welsh Government (2024a)</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Final budget 2024–2025</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41" w:history="1">
        <w:r w:rsidRPr="005F1CB1">
          <w:rPr>
            <w:rStyle w:val="Hyperlink"/>
            <w:rFonts w:asciiTheme="minorHAnsi" w:hAnsiTheme="minorHAnsi"/>
          </w:rPr>
          <w:t>https://www.gov.wales/final-budget-2024-2025</w:t>
        </w:r>
      </w:hyperlink>
      <w:r w:rsidRPr="005F1CB1">
        <w:rPr>
          <w:rFonts w:asciiTheme="minorHAnsi" w:hAnsiTheme="minorHAnsi"/>
          <w:color w:val="000000"/>
        </w:rPr>
        <w:t xml:space="preserve"> (Accessed: </w:t>
      </w:r>
      <w:r w:rsidR="00F0452C">
        <w:rPr>
          <w:rFonts w:asciiTheme="minorHAnsi" w:hAnsiTheme="minorHAnsi"/>
          <w:color w:val="000000"/>
        </w:rPr>
        <w:t>21 February 2026).</w:t>
      </w:r>
    </w:p>
    <w:p w14:paraId="5322BA6C" w14:textId="73C4FED5"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Welsh Government (2024b)</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Flying Start: Guidance for local authorities</w:t>
      </w:r>
      <w:r w:rsidRPr="005F1CB1">
        <w:rPr>
          <w:rFonts w:asciiTheme="minorHAnsi" w:hAnsiTheme="minorHAnsi"/>
          <w:color w:val="000000"/>
        </w:rPr>
        <w:t xml:space="preserve">. </w:t>
      </w:r>
      <w:r w:rsidRPr="005F1CB1">
        <w:rPr>
          <w:rFonts w:asciiTheme="minorHAnsi" w:hAnsiTheme="minorHAnsi"/>
          <w:color w:val="000000"/>
        </w:rPr>
        <w:t xml:space="preserve">Available at: </w:t>
      </w:r>
      <w:hyperlink r:id="rId42" w:history="1">
        <w:r w:rsidRPr="005F1CB1">
          <w:rPr>
            <w:rStyle w:val="Hyperlink"/>
            <w:rFonts w:asciiTheme="minorHAnsi" w:hAnsiTheme="minorHAnsi"/>
          </w:rPr>
          <w:t>https://www.gov.wales/flying-start-outreach-guidance-local-authorities-html</w:t>
        </w:r>
      </w:hyperlink>
      <w:r w:rsidRPr="005F1CB1">
        <w:rPr>
          <w:rFonts w:asciiTheme="minorHAnsi" w:hAnsiTheme="minorHAnsi"/>
          <w:color w:val="000000"/>
        </w:rPr>
        <w:t xml:space="preserve"> (Accessed:</w:t>
      </w:r>
      <w:r w:rsidR="00F0452C">
        <w:rPr>
          <w:rFonts w:asciiTheme="minorHAnsi" w:hAnsiTheme="minorHAnsi"/>
          <w:color w:val="000000"/>
        </w:rPr>
        <w:t xml:space="preserve"> 21 February 2026).</w:t>
      </w:r>
    </w:p>
    <w:p w14:paraId="76569168" w14:textId="1EE5CC99"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Whitsel, L.P., Honeycutt, S., Radcliffe, R., Johnson, J., Chase, P.J. and Noyes, P. (2024) ‘Policy implementation and outcome evaluation: Establishing a framework and expanding capacity for advocacy organi</w:t>
      </w:r>
      <w:r w:rsidRPr="005F1CB1">
        <w:rPr>
          <w:rFonts w:asciiTheme="minorHAnsi" w:hAnsiTheme="minorHAnsi"/>
          <w:color w:val="000000"/>
        </w:rPr>
        <w:t>s</w:t>
      </w:r>
      <w:r w:rsidRPr="005F1CB1">
        <w:rPr>
          <w:rFonts w:asciiTheme="minorHAnsi" w:hAnsiTheme="minorHAnsi"/>
          <w:color w:val="000000"/>
        </w:rPr>
        <w:t>ations to assess the impact of their work in public policy’,</w:t>
      </w:r>
      <w:r w:rsidRPr="005F1CB1">
        <w:rPr>
          <w:rStyle w:val="apple-converted-space"/>
          <w:rFonts w:asciiTheme="minorHAnsi" w:eastAsiaTheme="majorEastAsia" w:hAnsiTheme="minorHAnsi"/>
          <w:color w:val="000000"/>
        </w:rPr>
        <w:t> </w:t>
      </w:r>
      <w:r w:rsidRPr="005F1CB1">
        <w:rPr>
          <w:rStyle w:val="Emphasis"/>
          <w:rFonts w:asciiTheme="minorHAnsi" w:eastAsiaTheme="majorEastAsia" w:hAnsiTheme="minorHAnsi"/>
          <w:color w:val="000000"/>
        </w:rPr>
        <w:t>Health Research Policy and Systems</w:t>
      </w:r>
      <w:r w:rsidRPr="005F1CB1">
        <w:rPr>
          <w:rFonts w:asciiTheme="minorHAnsi" w:hAnsiTheme="minorHAnsi"/>
          <w:color w:val="000000"/>
        </w:rPr>
        <w:t>, 22(1), p. 27.</w:t>
      </w:r>
      <w:r w:rsidRPr="005F1CB1">
        <w:rPr>
          <w:rFonts w:asciiTheme="minorHAnsi" w:hAnsiTheme="minorHAnsi"/>
          <w:color w:val="000000"/>
        </w:rPr>
        <w:t xml:space="preserve"> Available at: </w:t>
      </w:r>
      <w:hyperlink r:id="rId43" w:history="1">
        <w:r w:rsidRPr="005F1CB1">
          <w:rPr>
            <w:rStyle w:val="Hyperlink"/>
            <w:rFonts w:asciiTheme="minorHAnsi" w:hAnsiTheme="minorHAnsi"/>
          </w:rPr>
          <w:t>https://pubmed.ncbi.nlm.nih.gov/38378597/</w:t>
        </w:r>
      </w:hyperlink>
      <w:r w:rsidRPr="005F1CB1">
        <w:rPr>
          <w:rFonts w:asciiTheme="minorHAnsi" w:hAnsiTheme="minorHAnsi"/>
          <w:color w:val="000000"/>
        </w:rPr>
        <w:t xml:space="preserve"> (Accessed:</w:t>
      </w:r>
      <w:r w:rsidR="00F0452C">
        <w:rPr>
          <w:rFonts w:asciiTheme="minorHAnsi" w:hAnsiTheme="minorHAnsi"/>
          <w:color w:val="000000"/>
        </w:rPr>
        <w:t xml:space="preserve"> 20 February 2026).</w:t>
      </w:r>
    </w:p>
    <w:p w14:paraId="72154142" w14:textId="59C6E3B7" w:rsidR="005F1CB1" w:rsidRPr="005F1CB1" w:rsidRDefault="005F1CB1" w:rsidP="005F1CB1">
      <w:pPr>
        <w:pStyle w:val="NormalWeb"/>
        <w:spacing w:line="360" w:lineRule="auto"/>
        <w:rPr>
          <w:rFonts w:asciiTheme="minorHAnsi" w:hAnsiTheme="minorHAnsi"/>
          <w:color w:val="000000"/>
        </w:rPr>
      </w:pPr>
      <w:r w:rsidRPr="005F1CB1">
        <w:rPr>
          <w:rFonts w:asciiTheme="minorHAnsi" w:hAnsiTheme="minorHAnsi"/>
          <w:color w:val="000000"/>
        </w:rPr>
        <w:t>Woods, A. (2017)</w:t>
      </w:r>
      <w:r w:rsidR="00F0452C">
        <w:rPr>
          <w:rStyle w:val="apple-converted-space"/>
          <w:rFonts w:asciiTheme="minorHAnsi" w:eastAsiaTheme="majorEastAsia" w:hAnsiTheme="minorHAnsi"/>
          <w:color w:val="000000"/>
        </w:rPr>
        <w:t xml:space="preserve">. </w:t>
      </w:r>
      <w:r w:rsidRPr="005F1CB1">
        <w:rPr>
          <w:rStyle w:val="Emphasis"/>
          <w:rFonts w:asciiTheme="minorHAnsi" w:eastAsiaTheme="majorEastAsia" w:hAnsiTheme="minorHAnsi"/>
          <w:color w:val="000000"/>
        </w:rPr>
        <w:t>Child-initiated play and learning: Planning for possibilities in the early years</w:t>
      </w:r>
      <w:r w:rsidRPr="005F1CB1">
        <w:rPr>
          <w:rFonts w:asciiTheme="minorHAnsi" w:hAnsiTheme="minorHAnsi"/>
          <w:color w:val="000000"/>
        </w:rPr>
        <w:t>. Abingdon: Taylor &amp; Francis.</w:t>
      </w:r>
    </w:p>
    <w:p w14:paraId="23C14184" w14:textId="77777777" w:rsidR="005F1CB1" w:rsidRDefault="005F1CB1" w:rsidP="005F1CB1">
      <w:pPr>
        <w:rPr>
          <w:rFonts w:ascii="-webkit-standard" w:hAnsi="-webkit-standard"/>
          <w:color w:val="000000"/>
          <w:sz w:val="27"/>
          <w:szCs w:val="27"/>
        </w:rPr>
      </w:pPr>
    </w:p>
    <w:p w14:paraId="1207D339" w14:textId="77777777" w:rsidR="005F1CB1" w:rsidRDefault="005F1CB1" w:rsidP="005F1CB1">
      <w:pPr>
        <w:spacing w:before="100" w:beforeAutospacing="1" w:after="100" w:afterAutospacing="1" w:line="360" w:lineRule="auto"/>
        <w:rPr>
          <w:rFonts w:ascii="Arial" w:hAnsi="Arial" w:cs="Arial"/>
          <w:color w:val="222222"/>
          <w:sz w:val="20"/>
          <w:szCs w:val="20"/>
          <w:shd w:val="clear" w:color="auto" w:fill="FFFFFF"/>
        </w:rPr>
      </w:pPr>
    </w:p>
    <w:p w14:paraId="7B6D5198" w14:textId="77777777" w:rsidR="005F1CB1" w:rsidRDefault="005F1CB1" w:rsidP="005F1CB1">
      <w:pPr>
        <w:pStyle w:val="NormalWeb"/>
        <w:rPr>
          <w:color w:val="000000"/>
        </w:rPr>
      </w:pPr>
    </w:p>
    <w:p w14:paraId="6456A30D" w14:textId="77777777" w:rsidR="005F1CB1" w:rsidRDefault="005F1CB1" w:rsidP="002A4EF1">
      <w:pPr>
        <w:spacing w:before="100" w:beforeAutospacing="1" w:after="100" w:afterAutospacing="1"/>
        <w:rPr>
          <w:rFonts w:ascii="Arial" w:hAnsi="Arial" w:cs="Arial"/>
          <w:color w:val="222222"/>
          <w:sz w:val="20"/>
          <w:szCs w:val="20"/>
          <w:shd w:val="clear" w:color="auto" w:fill="FFFFFF"/>
        </w:rPr>
      </w:pPr>
    </w:p>
    <w:p w14:paraId="0A1E8EC9" w14:textId="77777777" w:rsidR="005F1CB1" w:rsidRPr="002A4EF1" w:rsidRDefault="005F1CB1" w:rsidP="002A4EF1">
      <w:pPr>
        <w:spacing w:before="100" w:beforeAutospacing="1" w:after="100" w:afterAutospacing="1"/>
        <w:rPr>
          <w:color w:val="000000"/>
        </w:rPr>
      </w:pPr>
    </w:p>
    <w:p w14:paraId="33F73141" w14:textId="77777777" w:rsidR="002A4EF1" w:rsidRDefault="002A4EF1"/>
    <w:sectPr w:rsidR="002A4EF1" w:rsidSect="005F1CB1">
      <w:footerReference w:type="even"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F5968" w14:textId="77777777" w:rsidR="0018250A" w:rsidRDefault="0018250A" w:rsidP="005F1CB1">
      <w:r>
        <w:separator/>
      </w:r>
    </w:p>
  </w:endnote>
  <w:endnote w:type="continuationSeparator" w:id="0">
    <w:p w14:paraId="7A40C4BD" w14:textId="77777777" w:rsidR="0018250A" w:rsidRDefault="0018250A" w:rsidP="005F1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5529344"/>
      <w:docPartObj>
        <w:docPartGallery w:val="Page Numbers (Bottom of Page)"/>
        <w:docPartUnique/>
      </w:docPartObj>
    </w:sdtPr>
    <w:sdtContent>
      <w:p w14:paraId="20C94279" w14:textId="1B1DC1F4" w:rsidR="005F1CB1" w:rsidRDefault="005F1CB1" w:rsidP="005C59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063693E" w14:textId="77777777" w:rsidR="005F1CB1" w:rsidRDefault="005F1C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9164111"/>
      <w:docPartObj>
        <w:docPartGallery w:val="Page Numbers (Bottom of Page)"/>
        <w:docPartUnique/>
      </w:docPartObj>
    </w:sdtPr>
    <w:sdtContent>
      <w:p w14:paraId="41F4C02F" w14:textId="6F5F81AC" w:rsidR="005F1CB1" w:rsidRDefault="005F1CB1" w:rsidP="005C59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F2B41E" w14:textId="77777777" w:rsidR="005F1CB1" w:rsidRDefault="005F1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E0DDB" w14:textId="77777777" w:rsidR="0018250A" w:rsidRDefault="0018250A" w:rsidP="005F1CB1">
      <w:r>
        <w:separator/>
      </w:r>
    </w:p>
  </w:footnote>
  <w:footnote w:type="continuationSeparator" w:id="0">
    <w:p w14:paraId="22671CC5" w14:textId="77777777" w:rsidR="0018250A" w:rsidRDefault="0018250A" w:rsidP="005F1C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E1085"/>
    <w:multiLevelType w:val="multilevel"/>
    <w:tmpl w:val="F8EC2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3F15AA"/>
    <w:multiLevelType w:val="multilevel"/>
    <w:tmpl w:val="93606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3108AF"/>
    <w:multiLevelType w:val="multilevel"/>
    <w:tmpl w:val="B600C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0771125">
    <w:abstractNumId w:val="0"/>
  </w:num>
  <w:num w:numId="2" w16cid:durableId="1370716064">
    <w:abstractNumId w:val="2"/>
  </w:num>
  <w:num w:numId="3" w16cid:durableId="2314769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048"/>
    <w:rsid w:val="00034973"/>
    <w:rsid w:val="00061120"/>
    <w:rsid w:val="00092B08"/>
    <w:rsid w:val="000B062A"/>
    <w:rsid w:val="000B6052"/>
    <w:rsid w:val="000F29C7"/>
    <w:rsid w:val="00153769"/>
    <w:rsid w:val="0018250A"/>
    <w:rsid w:val="00224C81"/>
    <w:rsid w:val="00226F41"/>
    <w:rsid w:val="00247DB2"/>
    <w:rsid w:val="00253429"/>
    <w:rsid w:val="00286172"/>
    <w:rsid w:val="002A4EF1"/>
    <w:rsid w:val="00343E5C"/>
    <w:rsid w:val="00405F28"/>
    <w:rsid w:val="00406F8D"/>
    <w:rsid w:val="00457195"/>
    <w:rsid w:val="00471736"/>
    <w:rsid w:val="004C1A72"/>
    <w:rsid w:val="00505590"/>
    <w:rsid w:val="00537151"/>
    <w:rsid w:val="005B05EA"/>
    <w:rsid w:val="005E62B3"/>
    <w:rsid w:val="005F1CB1"/>
    <w:rsid w:val="006F0D15"/>
    <w:rsid w:val="006F7670"/>
    <w:rsid w:val="00746327"/>
    <w:rsid w:val="007E3D89"/>
    <w:rsid w:val="007F33FA"/>
    <w:rsid w:val="0080158E"/>
    <w:rsid w:val="00806198"/>
    <w:rsid w:val="008A0A5A"/>
    <w:rsid w:val="008C05CD"/>
    <w:rsid w:val="00950979"/>
    <w:rsid w:val="00982012"/>
    <w:rsid w:val="009B7B02"/>
    <w:rsid w:val="009E6805"/>
    <w:rsid w:val="00A22D3A"/>
    <w:rsid w:val="00A41048"/>
    <w:rsid w:val="00A81611"/>
    <w:rsid w:val="00AC445D"/>
    <w:rsid w:val="00AF62BA"/>
    <w:rsid w:val="00BB58C5"/>
    <w:rsid w:val="00BB7E85"/>
    <w:rsid w:val="00BD1EAB"/>
    <w:rsid w:val="00C64DBD"/>
    <w:rsid w:val="00CB640E"/>
    <w:rsid w:val="00D66A2A"/>
    <w:rsid w:val="00D91937"/>
    <w:rsid w:val="00DB211B"/>
    <w:rsid w:val="00DB5A7F"/>
    <w:rsid w:val="00DD2BB9"/>
    <w:rsid w:val="00E27F61"/>
    <w:rsid w:val="00E92581"/>
    <w:rsid w:val="00EB5AE2"/>
    <w:rsid w:val="00F0452C"/>
    <w:rsid w:val="00F87B16"/>
    <w:rsid w:val="00FA5A0F"/>
    <w:rsid w:val="00FE22E9"/>
    <w:rsid w:val="00FF5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E677E"/>
  <w15:chartTrackingRefBased/>
  <w15:docId w15:val="{9885D24F-714B-5D48-9C3B-4631D27CD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CB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410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10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10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0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0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0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0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0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0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0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10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10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0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0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0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0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0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048"/>
    <w:rPr>
      <w:rFonts w:eastAsiaTheme="majorEastAsia" w:cstheme="majorBidi"/>
      <w:color w:val="272727" w:themeColor="text1" w:themeTint="D8"/>
    </w:rPr>
  </w:style>
  <w:style w:type="paragraph" w:styleId="Title">
    <w:name w:val="Title"/>
    <w:basedOn w:val="Normal"/>
    <w:next w:val="Normal"/>
    <w:link w:val="TitleChar"/>
    <w:uiPriority w:val="10"/>
    <w:qFormat/>
    <w:rsid w:val="00A410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0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0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0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0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1048"/>
    <w:rPr>
      <w:i/>
      <w:iCs/>
      <w:color w:val="404040" w:themeColor="text1" w:themeTint="BF"/>
    </w:rPr>
  </w:style>
  <w:style w:type="paragraph" w:styleId="ListParagraph">
    <w:name w:val="List Paragraph"/>
    <w:basedOn w:val="Normal"/>
    <w:uiPriority w:val="34"/>
    <w:qFormat/>
    <w:rsid w:val="00A41048"/>
    <w:pPr>
      <w:ind w:left="720"/>
      <w:contextualSpacing/>
    </w:pPr>
  </w:style>
  <w:style w:type="character" w:styleId="IntenseEmphasis">
    <w:name w:val="Intense Emphasis"/>
    <w:basedOn w:val="DefaultParagraphFont"/>
    <w:uiPriority w:val="21"/>
    <w:qFormat/>
    <w:rsid w:val="00A41048"/>
    <w:rPr>
      <w:i/>
      <w:iCs/>
      <w:color w:val="0F4761" w:themeColor="accent1" w:themeShade="BF"/>
    </w:rPr>
  </w:style>
  <w:style w:type="paragraph" w:styleId="IntenseQuote">
    <w:name w:val="Intense Quote"/>
    <w:basedOn w:val="Normal"/>
    <w:next w:val="Normal"/>
    <w:link w:val="IntenseQuoteChar"/>
    <w:uiPriority w:val="30"/>
    <w:qFormat/>
    <w:rsid w:val="00A410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048"/>
    <w:rPr>
      <w:i/>
      <w:iCs/>
      <w:color w:val="0F4761" w:themeColor="accent1" w:themeShade="BF"/>
    </w:rPr>
  </w:style>
  <w:style w:type="character" w:styleId="IntenseReference">
    <w:name w:val="Intense Reference"/>
    <w:basedOn w:val="DefaultParagraphFont"/>
    <w:uiPriority w:val="32"/>
    <w:qFormat/>
    <w:rsid w:val="00A41048"/>
    <w:rPr>
      <w:b/>
      <w:bCs/>
      <w:smallCaps/>
      <w:color w:val="0F4761" w:themeColor="accent1" w:themeShade="BF"/>
      <w:spacing w:val="5"/>
    </w:rPr>
  </w:style>
  <w:style w:type="paragraph" w:styleId="NormalWeb">
    <w:name w:val="Normal (Web)"/>
    <w:basedOn w:val="Normal"/>
    <w:uiPriority w:val="99"/>
    <w:unhideWhenUsed/>
    <w:rsid w:val="000F29C7"/>
    <w:pPr>
      <w:spacing w:before="100" w:beforeAutospacing="1" w:after="100" w:afterAutospacing="1"/>
    </w:pPr>
  </w:style>
  <w:style w:type="character" w:customStyle="1" w:styleId="apple-converted-space">
    <w:name w:val="apple-converted-space"/>
    <w:basedOn w:val="DefaultParagraphFont"/>
    <w:rsid w:val="000F29C7"/>
  </w:style>
  <w:style w:type="character" w:styleId="Hyperlink">
    <w:name w:val="Hyperlink"/>
    <w:basedOn w:val="DefaultParagraphFont"/>
    <w:uiPriority w:val="99"/>
    <w:unhideWhenUsed/>
    <w:rsid w:val="000F29C7"/>
    <w:rPr>
      <w:color w:val="0000FF"/>
      <w:u w:val="single"/>
    </w:rPr>
  </w:style>
  <w:style w:type="character" w:styleId="Emphasis">
    <w:name w:val="Emphasis"/>
    <w:basedOn w:val="DefaultParagraphFont"/>
    <w:uiPriority w:val="20"/>
    <w:qFormat/>
    <w:rsid w:val="002A4EF1"/>
    <w:rPr>
      <w:i/>
      <w:iCs/>
    </w:rPr>
  </w:style>
  <w:style w:type="character" w:styleId="Strong">
    <w:name w:val="Strong"/>
    <w:basedOn w:val="DefaultParagraphFont"/>
    <w:uiPriority w:val="22"/>
    <w:qFormat/>
    <w:rsid w:val="005F1CB1"/>
    <w:rPr>
      <w:b/>
      <w:bCs/>
    </w:rPr>
  </w:style>
  <w:style w:type="character" w:customStyle="1" w:styleId="whitespace-normal">
    <w:name w:val="whitespace-normal"/>
    <w:basedOn w:val="DefaultParagraphFont"/>
    <w:rsid w:val="005F1CB1"/>
  </w:style>
  <w:style w:type="character" w:styleId="UnresolvedMention">
    <w:name w:val="Unresolved Mention"/>
    <w:basedOn w:val="DefaultParagraphFont"/>
    <w:uiPriority w:val="99"/>
    <w:semiHidden/>
    <w:unhideWhenUsed/>
    <w:rsid w:val="005F1CB1"/>
    <w:rPr>
      <w:color w:val="605E5C"/>
      <w:shd w:val="clear" w:color="auto" w:fill="E1DFDD"/>
    </w:rPr>
  </w:style>
  <w:style w:type="paragraph" w:styleId="Footer">
    <w:name w:val="footer"/>
    <w:basedOn w:val="Normal"/>
    <w:link w:val="FooterChar"/>
    <w:uiPriority w:val="99"/>
    <w:unhideWhenUsed/>
    <w:rsid w:val="005F1CB1"/>
    <w:pPr>
      <w:tabs>
        <w:tab w:val="center" w:pos="4513"/>
        <w:tab w:val="right" w:pos="9026"/>
      </w:tabs>
    </w:pPr>
  </w:style>
  <w:style w:type="character" w:customStyle="1" w:styleId="FooterChar">
    <w:name w:val="Footer Char"/>
    <w:basedOn w:val="DefaultParagraphFont"/>
    <w:link w:val="Footer"/>
    <w:uiPriority w:val="99"/>
    <w:rsid w:val="005F1CB1"/>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F1CB1"/>
  </w:style>
  <w:style w:type="paragraph" w:styleId="NoSpacing">
    <w:name w:val="No Spacing"/>
    <w:link w:val="NoSpacingChar"/>
    <w:uiPriority w:val="1"/>
    <w:qFormat/>
    <w:rsid w:val="005F1CB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F1CB1"/>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5F1CB1"/>
    <w:pPr>
      <w:tabs>
        <w:tab w:val="center" w:pos="4513"/>
        <w:tab w:val="right" w:pos="9026"/>
      </w:tabs>
    </w:pPr>
  </w:style>
  <w:style w:type="character" w:customStyle="1" w:styleId="HeaderChar">
    <w:name w:val="Header Char"/>
    <w:basedOn w:val="DefaultParagraphFont"/>
    <w:link w:val="Header"/>
    <w:uiPriority w:val="99"/>
    <w:rsid w:val="005F1CB1"/>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48516050_Characteristics_of_Boys'_and_Girls'_Toys" TargetMode="External"/><Relationship Id="rId18" Type="http://schemas.openxmlformats.org/officeDocument/2006/relationships/hyperlink" Target="https://link.springer.com/article/10.1007/s11199-023-01362-0" TargetMode="External"/><Relationship Id="rId26" Type="http://schemas.openxmlformats.org/officeDocument/2006/relationships/hyperlink" Target="https://www.berghahnjournals.com/view/journals/girlhood-studies/11/2/ghs110207.xml" TargetMode="External"/><Relationship Id="rId39" Type="http://schemas.openxmlformats.org/officeDocument/2006/relationships/hyperlink" Target="https://www.gov.wales/sites/default/files/publications/2024-03/early-childhood-play-learning-care-plan.pdf?utm_source=chatgpt.com" TargetMode="External"/><Relationship Id="rId21" Type="http://schemas.openxmlformats.org/officeDocument/2006/relationships/hyperlink" Target="https://pubmed.ncbi.nlm.nih.gov/15772973/" TargetMode="External"/><Relationship Id="rId34" Type="http://schemas.openxmlformats.org/officeDocument/2006/relationships/hyperlink" Target="https://www.frontiersin.org/journals/psychology/articles/10.3389/fpsyg.2022.968473/full" TargetMode="External"/><Relationship Id="rId42" Type="http://schemas.openxmlformats.org/officeDocument/2006/relationships/hyperlink" Target="https://www.gov.wales/flying-start-outreach-guidance-local-authorities-html"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early-years-foundation-stage-framework--2" TargetMode="External"/><Relationship Id="rId29" Type="http://schemas.openxmlformats.org/officeDocument/2006/relationships/hyperlink" Target="https://doi.org/10.1177/147059312513425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1030873_Teacher_Perceptions_of_Gender_Roles_Socialization_and_Culture_During_Children's_Physical_Play" TargetMode="External"/><Relationship Id="rId24" Type="http://schemas.openxmlformats.org/officeDocument/2006/relationships/hyperlink" Target="https://link.springer.com/article/10.1007/s11199-015-0558-x" TargetMode="External"/><Relationship Id="rId32" Type="http://schemas.openxmlformats.org/officeDocument/2006/relationships/hyperlink" Target="https://www.fawcettsociety.org.uk/gender-stereotypes-in-early-childhood-a-literature-review/?utm_source=chatgpt.com" TargetMode="External"/><Relationship Id="rId37" Type="http://schemas.openxmlformats.org/officeDocument/2006/relationships/hyperlink" Target="https://hwb.gov.wales/api/storage/18d0d2f1-0563-4945-a889-d1548ae24c4e/curriculum-for-wales-guidance.pdf" TargetMode="External"/><Relationship Id="rId40" Type="http://schemas.openxmlformats.org/officeDocument/2006/relationships/hyperlink" Target="https://www.gov.wales/equity-and-inclusion-curriculum-wales-qualitative-study?utm_source=chatgpt.com" TargetMode="External"/><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childcomwales.org.uk/" TargetMode="External"/><Relationship Id="rId23" Type="http://schemas.openxmlformats.org/officeDocument/2006/relationships/hyperlink" Target="https://www.tandfonline.com/doi/full/10.1080/2331186X.2016.1194734" TargetMode="External"/><Relationship Id="rId28" Type="http://schemas.openxmlformats.org/officeDocument/2006/relationships/hyperlink" Target="https://pmc.ncbi.nlm.nih.gov/articles/PMC6069007/" TargetMode="External"/><Relationship Id="rId36" Type="http://schemas.openxmlformats.org/officeDocument/2006/relationships/hyperlink" Target="https://www.gov.wales/curriculum-wales-annual-report-2022-html" TargetMode="External"/><Relationship Id="rId10" Type="http://schemas.openxmlformats.org/officeDocument/2006/relationships/hyperlink" Target="https://www.tandfonline.com/doi/abs/10.1080/00405841.2023.2202133" TargetMode="External"/><Relationship Id="rId19" Type="http://schemas.openxmlformats.org/officeDocument/2006/relationships/hyperlink" Target="https://estyn.gov.wales/app/uploads/2024/10/Annual-Report-and-Accounts-2023-2024.pdf" TargetMode="External"/><Relationship Id="rId31" Type="http://schemas.openxmlformats.org/officeDocument/2006/relationships/hyperlink" Target="https://www.researchgate.net/publication/316325216_Gender_Differences_and_Gender_Stereotype_in_Play_Style_among_Young_Korean_Gamer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ibrary.iated.org/view/ADAMS2021PRI?re=downloadnotallowed" TargetMode="External"/><Relationship Id="rId14" Type="http://schemas.openxmlformats.org/officeDocument/2006/relationships/hyperlink" Target="https://www.museumofplay.org/app/uploads/2024/02/AJP-15-3-Interview.pdf" TargetMode="External"/><Relationship Id="rId22" Type="http://schemas.openxmlformats.org/officeDocument/2006/relationships/hyperlink" Target="https://www.researchgate.net/publication/350585032_Gender_stereotypes_and_biases_in_early_childhood_A_systematic_review?utm_source=chatgpt.com" TargetMode="External"/><Relationship Id="rId27" Type="http://schemas.openxmlformats.org/officeDocument/2006/relationships/hyperlink" Target="https://gprjournals.org/journals/index.php/AJGDS/article/view/81" TargetMode="External"/><Relationship Id="rId30" Type="http://schemas.openxmlformats.org/officeDocument/2006/relationships/hyperlink" Target="https://psycnet.apa.org/record/2019-42958-001" TargetMode="External"/><Relationship Id="rId35" Type="http://schemas.openxmlformats.org/officeDocument/2006/relationships/hyperlink" Target="https://files.eric.ed.gov/fulltext/EJ1238538.pdf" TargetMode="External"/><Relationship Id="rId43" Type="http://schemas.openxmlformats.org/officeDocument/2006/relationships/hyperlink" Target="https://pubmed.ncbi.nlm.nih.gov/38378597/"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researchgate.net/publication/343550682_Estereotipos_de_genero_en_la_infancia/fulltext/5f313e9f458515b72912351d/Estereotipos-de-genero-en-la-infancia.pdf" TargetMode="External"/><Relationship Id="rId17" Type="http://schemas.openxmlformats.org/officeDocument/2006/relationships/hyperlink" Target="https://link.springer.com/chapter/10.1007/978-3-031-73705-3_18" TargetMode="External"/><Relationship Id="rId25" Type="http://schemas.openxmlformats.org/officeDocument/2006/relationships/hyperlink" Target="https://www.taylorfrancis.com/chapters/edit/10.4324/9781315834399-14/play-like-social-cultural-gender-perspectives-play-yinka-olusoga" TargetMode="External"/><Relationship Id="rId33" Type="http://schemas.openxmlformats.org/officeDocument/2006/relationships/hyperlink" Target="https://www.unicef.org/sites/default/files/2018-12/UNICEF-Lego-Foundation-Learning-through-Play.pdf" TargetMode="External"/><Relationship Id="rId38" Type="http://schemas.openxmlformats.org/officeDocument/2006/relationships/hyperlink" Target="https://hwb.gov.wales/curriculum-for-wales/summary-of-legislation?utm_source=chatgpt.com" TargetMode="External"/><Relationship Id="rId46" Type="http://schemas.openxmlformats.org/officeDocument/2006/relationships/fontTable" Target="fontTable.xml"/><Relationship Id="rId20" Type="http://schemas.openxmlformats.org/officeDocument/2006/relationships/hyperlink" Target="https://estyn.gov.wales/" TargetMode="External"/><Relationship Id="rId41" Type="http://schemas.openxmlformats.org/officeDocument/2006/relationships/hyperlink" Target="https://www.gov.wales/final-budget-2024-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6646B8-CFA9-364B-BD40-96733EE4B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22</Pages>
  <Words>5961</Words>
  <Characters>33980</Characters>
  <Application>Microsoft Office Word</Application>
  <DocSecurity>0</DocSecurity>
  <Lines>283</Lines>
  <Paragraphs>79</Paragraphs>
  <ScaleCrop>false</ScaleCrop>
  <Company>open play</Company>
  <LinksUpToDate>false</LinksUpToDate>
  <CharactersWithSpaces>39862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    Word count – 3312  Module - ECEY6012</dc:creator>
  <cp:keywords/>
  <dc:description/>
  <cp:lastModifiedBy>Alanis Jones (2318398)</cp:lastModifiedBy>
  <cp:revision>53</cp:revision>
  <dcterms:created xsi:type="dcterms:W3CDTF">2026-02-18T13:15:00Z</dcterms:created>
  <dcterms:modified xsi:type="dcterms:W3CDTF">2026-02-28T15:01:00Z</dcterms:modified>
</cp:coreProperties>
</file>