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0B98" w:rsidRDefault="00CE6522">
      <w:pPr>
        <w:rPr>
          <w:u w:val="single"/>
        </w:rPr>
      </w:pPr>
      <w:r w:rsidRPr="00CE6522">
        <w:rPr>
          <w:u w:val="single"/>
        </w:rPr>
        <w:t>Britain and the Great War Portfolio, consisting of: a book report and a document analysis</w:t>
      </w:r>
    </w:p>
    <w:p w:rsidR="00675B95" w:rsidRDefault="00675B95">
      <w:pPr>
        <w:rPr>
          <w:u w:val="single"/>
        </w:rPr>
      </w:pPr>
    </w:p>
    <w:p w:rsidR="00CE6522" w:rsidRDefault="00CE6522">
      <w:r>
        <w:t xml:space="preserve">Book Report: </w:t>
      </w:r>
      <w:r w:rsidRPr="001433CB">
        <w:rPr>
          <w:u w:val="single"/>
        </w:rPr>
        <w:t>British Culture and the First World War by George Robb</w:t>
      </w:r>
    </w:p>
    <w:p w:rsidR="00CE6522" w:rsidRDefault="00CE6522">
      <w:r>
        <w:t xml:space="preserve">This historical textbook pertaining to the social history of Britain during the First World War was written by a George Robb, himself a celebrated historian on social history within the British Isles, is a great entry point for those who are unacquainted with the inner workings of British Culture over the course of this time frame. </w:t>
      </w:r>
      <w:r w:rsidR="00DD4A06">
        <w:t xml:space="preserve">While maintaining a close academic and analytical theme within the text, it is easily digestible and catalogued; providing easy referencing points for those wanting to work through the period in question. Robb’s viewpoint is also a unique one, as that which he pours over his other work he expresses here, and that is a closer look at the common themes and mindsets that were used to unify Britain in a great time of strife and danger, tragedy and victory. Instead of looking at how the culture overall was </w:t>
      </w:r>
      <w:r w:rsidR="009C1F88">
        <w:t>affected</w:t>
      </w:r>
      <w:r w:rsidR="00DD4A06">
        <w:t xml:space="preserve">, he looks at the ordinary people that were changed over the course of the war, and how this was perhaps used to feed in to the war effort to the advantage of </w:t>
      </w:r>
      <w:proofErr w:type="gramStart"/>
      <w:r w:rsidR="00DD4A06">
        <w:t>Britain as a whole</w:t>
      </w:r>
      <w:proofErr w:type="gramEnd"/>
      <w:r w:rsidR="00DD4A06">
        <w:t xml:space="preserve">. This text comfortably sits within the modernist outlook on the war; not busying itself with the lives of generals or politicians, but instead looking at the history ‘from the ground up’, taking the viewpoint of the ordinary folk who were </w:t>
      </w:r>
      <w:proofErr w:type="gramStart"/>
      <w:r w:rsidR="00DD4A06">
        <w:t>in the midst of</w:t>
      </w:r>
      <w:proofErr w:type="gramEnd"/>
      <w:r w:rsidR="00DD4A06">
        <w:t xml:space="preserve"> one of the most pivotal moments in modern history. </w:t>
      </w:r>
    </w:p>
    <w:p w:rsidR="00DD4A06" w:rsidRDefault="00DD4A06">
      <w:r>
        <w:t xml:space="preserve">In terms of looking at the subject matter of this text, it is incredibly diverse and rich, something that can be considered both a strength and a weakness. </w:t>
      </w:r>
      <w:r w:rsidR="00A329D1">
        <w:t>Clearly the depth of field that this text can command is a strongpoint, as not only can it observe the troops reaction to the war, but the ordinary people too. This is brought in to focus when it is realised that this text sits amidst an anthology of similar novels that cover societal and cultural changes within Britain stretching as far as the Middle Ages to the Modern era, a clear strong element of this text when paired with these texts also. Not only can the historian observe changes during the First World War, but also look to see the changes before the conflict to better understand the magnitude of social upheaval present in the timeframe. The depth to which a historian can dive in to the subject matter on show is also a strength. A patient and analytical researcher can go so far as to study individuals within this context, and investigate their personal feelings towards the changes in society and how they affected them personally. Whether this be through new found work in the factories as a woman, or experiencing such terrible loss on a huge scale, it is possible to research the ordinary Briton to a minute detail, all in keeping with the original subject of cultural change.</w:t>
      </w:r>
    </w:p>
    <w:p w:rsidR="00A329D1" w:rsidRDefault="00A329D1">
      <w:r>
        <w:t xml:space="preserve">However, the </w:t>
      </w:r>
      <w:r w:rsidR="001433CB">
        <w:t xml:space="preserve">inlying weaknesses can already be viewed from this rudimentary analysis. Much like in military tactics, having a wide line does not mean it is the strongest, and this is applicable to the subject matter of cultural changes in Britain during the First World War. With having more topics on hand, it is easier to poke holes in arguments due to the text itself needing to cover them all, as without strong factual reinforcement the points made can crumble even after the weakest of onslaught. Unless a historical text focuses on a </w:t>
      </w:r>
      <w:proofErr w:type="gramStart"/>
      <w:r w:rsidR="001433CB">
        <w:t>particular aspect</w:t>
      </w:r>
      <w:proofErr w:type="gramEnd"/>
      <w:r w:rsidR="001433CB">
        <w:t xml:space="preserve">, such as the experience of racial minorities within the cultural change of Britain, it is impossible to mount an effective and strong argument over every single point made due to the broad nature and subject matter at hand. The richness of the subject matter could be considered a weakness too, as to a budding historian wanting to conduct research in to the field </w:t>
      </w:r>
      <w:r w:rsidR="007C45E4">
        <w:t xml:space="preserve">may consider it too thoroughly combed to create any new breakthroughs. The topic of cultural change is covered extensively in modernist historiography, as it pertains to the study of more mundane elements of historical societies, and so it may seem ‘overcrowded’. </w:t>
      </w:r>
    </w:p>
    <w:p w:rsidR="000E7B6D" w:rsidRDefault="000E7B6D">
      <w:r>
        <w:lastRenderedPageBreak/>
        <w:t xml:space="preserve">Moving in to the fulcrum of the text itself, the author puts forward that many elements of society changed, and few saw </w:t>
      </w:r>
      <w:r w:rsidR="004570F3">
        <w:t>stagnations</w:t>
      </w:r>
      <w:r>
        <w:t xml:space="preserve"> in the face of the First World War. The text is split in to eight themes, ranging from race to art, class to sex, science to memorialisation. Each chapter is a brief overview, highlighting the inherent weakness of conducting research in to such a broad subject matter, but a clear conclusion can be formed: the people of Britain were changed forever. Not only was the role of women questioned through their work in previously male-dominated jobs, but the very idea of Nationalism was reinforced along with changes in sensibilities within art and culture. To the reader these themes are mutually exclusive; for instance, the gruesome visages of the First World War concocted by poets and writers who had witnessed it effected common attitudes to gore, </w:t>
      </w:r>
      <w:r w:rsidR="001C52D8">
        <w:t xml:space="preserve">war and bloodshed, which in turn influenced filmmaking, technologies and remembering the war. The text </w:t>
      </w:r>
      <w:proofErr w:type="gramStart"/>
      <w:r w:rsidR="001C52D8">
        <w:t>can be seen as</w:t>
      </w:r>
      <w:proofErr w:type="gramEnd"/>
      <w:r w:rsidR="001C52D8">
        <w:t xml:space="preserve"> a series of domino effect cultural changes, that with one changing several followed it, and thus many elements of British culture and society changed. </w:t>
      </w:r>
      <w:r w:rsidR="00CE7CC2">
        <w:t xml:space="preserve">Robb looks at how the First World War gave voice to disenfranchised groups within the British Empire which led to greater </w:t>
      </w:r>
      <w:r w:rsidR="00260490">
        <w:t>outcries</w:t>
      </w:r>
      <w:r w:rsidR="00CE7CC2">
        <w:t xml:space="preserve"> of freedom from countries such as India and Ireland. The sense of ‘Britishness’ was questioned, as while it had been used as a rallying cry he argues that it was superficial. Robb also argues that the First World War was the first paving stone for </w:t>
      </w:r>
      <w:r w:rsidR="001C2317">
        <w:t xml:space="preserve">creating ‘faceless war’: conflict in which the traditional lines between soldiers and non-combatants is blurred. This path, he writes, was set in motion by the advancement and need for new technologies over the course of the Great War. Robb also points out that another great change in Britain was that the society at large censored itself: </w:t>
      </w:r>
      <w:proofErr w:type="gramStart"/>
      <w:r w:rsidR="001C2317">
        <w:t>that is to say it</w:t>
      </w:r>
      <w:proofErr w:type="gramEnd"/>
      <w:r w:rsidR="001C2317">
        <w:t xml:space="preserve"> sacrificed its own personal liberty in order to bring the country through the war. He argues only a small percentage of propaganda was government-controlled, the </w:t>
      </w:r>
      <w:proofErr w:type="gramStart"/>
      <w:r w:rsidR="001C2317">
        <w:t>vast majority</w:t>
      </w:r>
      <w:proofErr w:type="gramEnd"/>
      <w:r w:rsidR="001C2317">
        <w:t xml:space="preserve"> was reinforced by the public themselves, denouncing those who objected to the conflict akin to the ‘thought criminal’ in Orwell’s 1984. </w:t>
      </w:r>
    </w:p>
    <w:p w:rsidR="0083339B" w:rsidRDefault="0083339B">
      <w:r>
        <w:t xml:space="preserve">In looking at this text as an academic aid, it is very helpful in bringing a fresh-faced First World War historian in to the societal history fold. </w:t>
      </w:r>
      <w:r w:rsidR="00EB099F">
        <w:t xml:space="preserve">While it may not be as strong as others, it gives a thought-out overview of the many cultural impacts that the Great War had on Britain, and the experiences of the ordinary folk at the time. This text can prove useful for looking at elementary Subaltern Studies and, using this as a crutch, be used to delve in to and analyse the experiences of certain individuals within the public. While looking at the minute detail, it is imperative to maintain a sight on the wider picture, which this historical textbook can provide. </w:t>
      </w:r>
      <w:r w:rsidR="00BC22B5">
        <w:t>This text is also a god companion for looking in to how the war has been memorialised and the initial cultural barriers that such an act had to break down, such as outdated sensibilities pertaining to soldiers and their deaths. This topic is still very hotly debated, and so for a historian wanting to understand the lengths to which this issue stretches to, th</w:t>
      </w:r>
      <w:r w:rsidR="00513678">
        <w:t xml:space="preserve">is text is a good introduction. However, for a historian wanting to study any individual aspect of cultural change it is lieu of depth, something that can only step as far as an introduction before needing to search out other sources to better understand their chosen avenue. This also poses a problem for those already inducted in to the academic field, as they are past the introductory level of these topics, and thus would not need the overview of such, meaning this text falls by the lay-side when consumed by people already initiated to the field. In summary, Robb’s work is a good source of knowledge on a broad range of cultural topics in Britain during the First World War, and thus can be useful for new historians or casual researchers alike. But along with this, his work is lost amongst more in-depth </w:t>
      </w:r>
      <w:r w:rsidR="00250EAB">
        <w:t xml:space="preserve">researchers and historians of the First World War, as his simplistic style and general overviews are loath to be included in higher-tier works pertaining to the Great War. </w:t>
      </w:r>
    </w:p>
    <w:p w:rsidR="00606BEC" w:rsidRDefault="00CC1DFB">
      <w:r>
        <w:t>Word count: 1329</w:t>
      </w:r>
    </w:p>
    <w:p w:rsidR="00CC1DFB" w:rsidRDefault="00CC1DFB"/>
    <w:p w:rsidR="00CC1DFB" w:rsidRDefault="00CC1DFB">
      <w:r>
        <w:t xml:space="preserve">Document Analysis: </w:t>
      </w:r>
      <w:r w:rsidRPr="00CC1DFB">
        <w:rPr>
          <w:u w:val="single"/>
        </w:rPr>
        <w:t>‘Daddy, What Did You Do in the Great War?’ poster by Savile Lumley</w:t>
      </w:r>
    </w:p>
    <w:p w:rsidR="00886F42" w:rsidRDefault="00886F42"/>
    <w:p w:rsidR="00886F42" w:rsidRDefault="00886F42">
      <w:r w:rsidRPr="00886F42">
        <w:rPr>
          <w:noProof/>
        </w:rPr>
        <w:drawing>
          <wp:anchor distT="0" distB="0" distL="114300" distR="114300" simplePos="0" relativeHeight="251658240" behindDoc="0" locked="0" layoutInCell="1" allowOverlap="1" wp14:anchorId="19DB9BCF">
            <wp:simplePos x="0" y="0"/>
            <wp:positionH relativeFrom="column">
              <wp:posOffset>1483360</wp:posOffset>
            </wp:positionH>
            <wp:positionV relativeFrom="paragraph">
              <wp:posOffset>0</wp:posOffset>
            </wp:positionV>
            <wp:extent cx="2772410" cy="407670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772410" cy="4076700"/>
                    </a:xfrm>
                    <a:prstGeom prst="rect">
                      <a:avLst/>
                    </a:prstGeom>
                  </pic:spPr>
                </pic:pic>
              </a:graphicData>
            </a:graphic>
            <wp14:sizeRelH relativeFrom="page">
              <wp14:pctWidth>0</wp14:pctWidth>
            </wp14:sizeRelH>
            <wp14:sizeRelV relativeFrom="page">
              <wp14:pctHeight>0</wp14:pctHeight>
            </wp14:sizeRelV>
          </wp:anchor>
        </w:drawing>
      </w:r>
    </w:p>
    <w:p w:rsidR="00886F42" w:rsidRDefault="00886F42"/>
    <w:p w:rsidR="00886F42" w:rsidRDefault="00886F42"/>
    <w:p w:rsidR="00886F42" w:rsidRDefault="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Pr="00886F42" w:rsidRDefault="00886F42" w:rsidP="00886F42"/>
    <w:p w:rsidR="00886F42" w:rsidRDefault="00886F42" w:rsidP="00886F42"/>
    <w:p w:rsidR="00606BEC" w:rsidRDefault="00886F42" w:rsidP="00886F42">
      <w:pPr>
        <w:jc w:val="center"/>
      </w:pPr>
      <w:r>
        <w:t>Image:</w:t>
      </w:r>
      <w:r>
        <w:rPr>
          <w:rStyle w:val="FootnoteReference"/>
        </w:rPr>
        <w:footnoteReference w:id="1"/>
      </w:r>
    </w:p>
    <w:p w:rsidR="001F0433" w:rsidRDefault="001F0433" w:rsidP="001F0433">
      <w:r>
        <w:t xml:space="preserve">Perhaps one of the </w:t>
      </w:r>
      <w:r w:rsidR="002C0A7E">
        <w:t>rarer</w:t>
      </w:r>
      <w:r>
        <w:t xml:space="preserve"> posters seen in Britain during the Great War, this recruitment poster immediately brings in to question thoughts of legacy, duty, integrity and loyalty in to those who would have looked at it. The illustrator who coined the </w:t>
      </w:r>
      <w:r w:rsidR="006E1CDA">
        <w:t xml:space="preserve">poster, Savile Lumley, was approached by a man named Paul Gunn who approached him with an anecdote that his father had come home one night anxious over the notion that his children would think less of him for not enlisting. </w:t>
      </w:r>
      <w:proofErr w:type="gramStart"/>
      <w:r w:rsidR="006E1CDA">
        <w:t>In order to</w:t>
      </w:r>
      <w:proofErr w:type="gramEnd"/>
      <w:r w:rsidR="006E1CDA">
        <w:t xml:space="preserve"> persuade other fathers to enlist, Lumley created the poster. While not appearing in any publication, it was distributed as a poster, thus the audience for this would have been any young man thinking of enlisting. Since it was introduced before conscription in 1916 (the poster was printed in 1915 to be exact) </w:t>
      </w:r>
      <w:proofErr w:type="gramStart"/>
      <w:r w:rsidR="006E1CDA">
        <w:t>it is clear that Lumley</w:t>
      </w:r>
      <w:proofErr w:type="gramEnd"/>
      <w:r w:rsidR="006E1CDA">
        <w:t xml:space="preserve"> wanted to emotionally blackmail young men and fathers in to enlisting in to the Armed Forces, as many volunteers were needed after it was clear the initial Expeditionary Force was not enough. </w:t>
      </w:r>
      <w:r w:rsidR="009E18A2">
        <w:t xml:space="preserve">It received a modicum of official success, as the man who provided the anecdote to which the poster is based enlisted in to the Westminster Volunteers not three months after the initial circulation. </w:t>
      </w:r>
    </w:p>
    <w:p w:rsidR="00256D1F" w:rsidRDefault="00FD4E57" w:rsidP="001F0433">
      <w:r>
        <w:t xml:space="preserve">Comparing this item of propaganda with others it is clear to see the similarities. As conscription had not forced men on to the front, the British government had to rely on volunteers </w:t>
      </w:r>
      <w:proofErr w:type="gramStart"/>
      <w:r>
        <w:t>in order to</w:t>
      </w:r>
      <w:proofErr w:type="gramEnd"/>
      <w:r>
        <w:t xml:space="preserve"> continue the war against the Hun. A sense of duty is what appears to drive most of these, the most famous being Lord Kitchener’s imposing ‘Your Country Needs YOU’ posters that while not receiving </w:t>
      </w:r>
      <w:r>
        <w:lastRenderedPageBreak/>
        <w:t>wide circulation, have become immortalised in British popular culture and stands out as the highlight of propaganda posters of the ti</w:t>
      </w:r>
      <w:r w:rsidR="002C0A7E">
        <w:t xml:space="preserve">me. Lumley’s work is no different, instilling the same anxiety that Gunn’s father felt over enlisting to persuade men to sign up and fight. While it is not as blunt as Kitchener’s strong visage, it is </w:t>
      </w:r>
      <w:r w:rsidR="00DA1FE0">
        <w:t xml:space="preserve">still effective in conveying the overriding sense of shame in not doing something for your country, as the innocent question of a child </w:t>
      </w:r>
      <w:r w:rsidR="00256D1F">
        <w:t xml:space="preserve">would seek to mean more to current or potential fathers </w:t>
      </w:r>
      <w:r w:rsidR="002642B1" w:rsidRPr="00256D1F">
        <w:rPr>
          <w:noProof/>
        </w:rPr>
        <w:drawing>
          <wp:anchor distT="0" distB="0" distL="114300" distR="114300" simplePos="0" relativeHeight="251659264" behindDoc="0" locked="0" layoutInCell="1" allowOverlap="1" wp14:anchorId="494B4908">
            <wp:simplePos x="0" y="0"/>
            <wp:positionH relativeFrom="column">
              <wp:posOffset>1372870</wp:posOffset>
            </wp:positionH>
            <wp:positionV relativeFrom="paragraph">
              <wp:posOffset>1143000</wp:posOffset>
            </wp:positionV>
            <wp:extent cx="2727960" cy="394652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727960" cy="3946525"/>
                    </a:xfrm>
                    <a:prstGeom prst="rect">
                      <a:avLst/>
                    </a:prstGeom>
                  </pic:spPr>
                </pic:pic>
              </a:graphicData>
            </a:graphic>
            <wp14:sizeRelH relativeFrom="page">
              <wp14:pctWidth>0</wp14:pctWidth>
            </wp14:sizeRelH>
            <wp14:sizeRelV relativeFrom="page">
              <wp14:pctHeight>0</wp14:pctHeight>
            </wp14:sizeRelV>
          </wp:anchor>
        </w:drawing>
      </w:r>
      <w:r w:rsidR="00256D1F">
        <w:t xml:space="preserve">than a far-away Lord. </w:t>
      </w:r>
    </w:p>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Pr="00256D1F" w:rsidRDefault="00256D1F" w:rsidP="00256D1F"/>
    <w:p w:rsidR="00256D1F" w:rsidRDefault="00256D1F" w:rsidP="00256D1F"/>
    <w:p w:rsidR="00FD4E57" w:rsidRDefault="00256D1F" w:rsidP="00256D1F">
      <w:pPr>
        <w:jc w:val="center"/>
      </w:pPr>
      <w:r>
        <w:t>Image:</w:t>
      </w:r>
      <w:r>
        <w:rPr>
          <w:rStyle w:val="FootnoteReference"/>
        </w:rPr>
        <w:footnoteReference w:id="2"/>
      </w:r>
    </w:p>
    <w:p w:rsidR="00CB14BD" w:rsidRDefault="00CB14BD" w:rsidP="00CB14BD">
      <w:r>
        <w:t>The two posters do share a similarity in that both utilise manly figures, which would have appealed to the idea of what men were supposed to do in times of war, and that was to do the manly thing. For Leete it was to use the national hero of Kitchener to persuade the men to fight, but Lumley prods in to the average man’s life, where their children would ask of them what they had heard in school about their friends’ dads and their roles in the Great War. This situation is almost universal, too, as any child would ask of their parent where they were during something of great importance, even stretching in to m</w:t>
      </w:r>
      <w:r w:rsidR="00DC106E">
        <w:t xml:space="preserve">odern conflict. In that regard </w:t>
      </w:r>
      <w:r>
        <w:t xml:space="preserve">the poster is timeless, but shortly after the war Lumley disenfranchised himself from </w:t>
      </w:r>
      <w:r w:rsidR="0017134C">
        <w:t xml:space="preserve">his work. </w:t>
      </w:r>
      <w:r w:rsidR="00580F21">
        <w:t xml:space="preserve">Perhaps it was due to his form of blackmail sending many to their death and injury on the front, while Kitchener never got to feel that remorse. </w:t>
      </w:r>
      <w:r w:rsidR="00655160">
        <w:t xml:space="preserve">Both also convey ideas of loyalty, but to different abstract ideas. Kitchener demands loyalty to your country, whereas Lumley demands loyalty to your family, in the sense that it is your duty to serve </w:t>
      </w:r>
      <w:proofErr w:type="gramStart"/>
      <w:r w:rsidR="00655160">
        <w:t>in order to</w:t>
      </w:r>
      <w:proofErr w:type="gramEnd"/>
      <w:r w:rsidR="00655160">
        <w:t xml:space="preserve"> protect your family. </w:t>
      </w:r>
    </w:p>
    <w:p w:rsidR="009800A2" w:rsidRDefault="009800A2" w:rsidP="00CB14BD">
      <w:r>
        <w:lastRenderedPageBreak/>
        <w:t xml:space="preserve">‘Fight, or face shame from your own children’, that is the overarching message of this poster. </w:t>
      </w:r>
      <w:r w:rsidR="004D4562">
        <w:t xml:space="preserve">The man’s daughter is sitting on his knee, innocently asking a question as to her father’s dealings in the Great War, but to the father this is a question he has dreaded. As his face tells of his utter shame in having to admit he did not fight, and looks at the viewer with a look as to </w:t>
      </w:r>
      <w:r w:rsidR="00EE0166">
        <w:t>say,</w:t>
      </w:r>
      <w:r w:rsidR="004D4562">
        <w:t xml:space="preserve"> ‘do you want to be in my position?’. To further drive the point home, his son is playing with redcoat soldiers, at the time a great moment of contention of history for boys aspiring to be heroes, while his father did not enlist and serve as his toys have. </w:t>
      </w:r>
      <w:r w:rsidR="00426B31">
        <w:t xml:space="preserve">In a way the son has done more than his father: at least he is around soldiers, while his father refused. It is also clear that his daughter is reading from a book of some sort, and perhaps while reading the Great War is mentioned, thus provoking the question. While this does assume on Lumley’s part that he knew the Great War would be historically important, this is also telling of the message of the poster. By not enlisting the father has precluded himself from the annals of history, a mistake his contemporaries and peers did not make. </w:t>
      </w:r>
      <w:r w:rsidR="00C65ABA">
        <w:t xml:space="preserve">This would make him feel great shame not just with his daughter but his friends and family too. </w:t>
      </w:r>
    </w:p>
    <w:p w:rsidR="00C65ABA" w:rsidRDefault="00C65ABA" w:rsidP="00CB14BD">
      <w:r>
        <w:t xml:space="preserve">The poster uses strong emotional blackmail to convince men to join the Armed Forces, using their sense of manliness to woo them in to combat. </w:t>
      </w:r>
      <w:proofErr w:type="gramStart"/>
      <w:r>
        <w:t>At this time</w:t>
      </w:r>
      <w:proofErr w:type="gramEnd"/>
      <w:r>
        <w:t xml:space="preserve"> the father was still considered the head of the household, and thus being shamed in such a way would make that power hold much weaker. In a way it would have fired up the ego of the </w:t>
      </w:r>
      <w:r w:rsidR="00EF6273">
        <w:t xml:space="preserve">viewer, making them think of similar conversations they would have with their families if they didn’t enlist. </w:t>
      </w:r>
      <w:r w:rsidR="00D5596C">
        <w:t xml:space="preserve">As mentioned above, both duty and loyalty are exploited too, namely in the use of the family to instil a </w:t>
      </w:r>
      <w:r w:rsidR="000F02E6">
        <w:t xml:space="preserve">patriotic service. Not only would you let down your country, as Kitchener would say, but you would let down your family and those who love you. </w:t>
      </w:r>
      <w:r w:rsidR="00405611">
        <w:t>Of course,</w:t>
      </w:r>
      <w:r w:rsidR="000F02E6">
        <w:t xml:space="preserve"> the poster makes no mention of the heartache caused by leaving your family, possibly for good, but </w:t>
      </w:r>
      <w:proofErr w:type="gramStart"/>
      <w:r w:rsidR="000F02E6">
        <w:t>in order to</w:t>
      </w:r>
      <w:proofErr w:type="gramEnd"/>
      <w:r w:rsidR="000F02E6">
        <w:t xml:space="preserve"> stymie up the numbers honesty could not be the best policy. </w:t>
      </w:r>
      <w:r w:rsidR="00555C1F">
        <w:t xml:space="preserve">The daughter is even looking at her father expectantly, hoping for epic tales of heroically serving his country, but alas he </w:t>
      </w:r>
      <w:r w:rsidR="00405611">
        <w:t>cannot</w:t>
      </w:r>
      <w:r w:rsidR="00555C1F">
        <w:t xml:space="preserve"> give them. </w:t>
      </w:r>
      <w:r w:rsidR="001214F7">
        <w:t xml:space="preserve">The poster also inspires selflessness to a degree, in that providing for family and country you need to put yourself back. This appears to be an overarching message in British society at the time, and it makes sense to carry it forward in to a recruitment aid. </w:t>
      </w:r>
      <w:proofErr w:type="gramStart"/>
      <w:r w:rsidR="001214F7">
        <w:t>In order to</w:t>
      </w:r>
      <w:proofErr w:type="gramEnd"/>
      <w:r w:rsidR="001214F7">
        <w:t xml:space="preserve"> be best use for your country, the father has to be a cog in the machine. </w:t>
      </w:r>
      <w:r w:rsidR="00D7370F">
        <w:t xml:space="preserve">But by being a part of the mechanism the father can avoid shame, disloyalty, non-egotism and unmanliness. </w:t>
      </w:r>
    </w:p>
    <w:p w:rsidR="00D7370F" w:rsidRDefault="00D7370F" w:rsidP="00CB14BD">
      <w:r>
        <w:t xml:space="preserve">In summary, Lumley’s poster, while not as widely circulated as others, is still meaningful in looking at how regular men were persuaded to enlist. </w:t>
      </w:r>
      <w:r w:rsidR="00163E0E">
        <w:t xml:space="preserve">Fathers were </w:t>
      </w:r>
      <w:r w:rsidR="00327587">
        <w:t xml:space="preserve">blackmailed in to not bringing shame to themselves or their children through not fighting, and since it is based </w:t>
      </w:r>
      <w:proofErr w:type="gramStart"/>
      <w:r w:rsidR="00327587">
        <w:t>off of</w:t>
      </w:r>
      <w:proofErr w:type="gramEnd"/>
      <w:r w:rsidR="00327587">
        <w:t xml:space="preserve"> an anecdote (despite the clear thought that perhaps this was faked) this seems to point to a general fear amongst fathers and potential fathers that by not fighting they could be letting down not just themselves,</w:t>
      </w:r>
      <w:r w:rsidR="00464845">
        <w:t xml:space="preserve"> but others in their life too. </w:t>
      </w:r>
      <w:r w:rsidR="00440227">
        <w:t>However,</w:t>
      </w:r>
      <w:bookmarkStart w:id="2" w:name="_GoBack"/>
      <w:bookmarkEnd w:id="2"/>
      <w:r w:rsidR="00464845">
        <w:t xml:space="preserve"> recruitment still trickled until conscription in 1916, and not even the Derby Scheme in the August of 1915 was enough to uplift the volunteer numbers. Only with breaking tradition in Britain could the government continue to wage war against the Central Powers, and this was just in time as it coincided with the disasters along the Somme Offensive. More and more fighting-age men were needed, and they were funnelled in to the Front. Only through conscription could Britain have continued to wage war effectively. </w:t>
      </w:r>
    </w:p>
    <w:p w:rsidR="00464845" w:rsidRDefault="00464845" w:rsidP="00CB14BD">
      <w:r>
        <w:t>Word count: 1302</w:t>
      </w:r>
    </w:p>
    <w:p w:rsidR="00464845" w:rsidRDefault="00464845" w:rsidP="00CB14BD">
      <w:r>
        <w:t>Total word count: 2730</w:t>
      </w:r>
    </w:p>
    <w:p w:rsidR="00EE3C23" w:rsidRDefault="00EE3C23" w:rsidP="00CB14BD"/>
    <w:p w:rsidR="00EE3C23" w:rsidRDefault="00EE3C23" w:rsidP="00CB14BD"/>
    <w:p w:rsidR="00EE3C23" w:rsidRDefault="00EE3C23" w:rsidP="00CB14BD"/>
    <w:p w:rsidR="00EE3C23" w:rsidRDefault="00EE3C23" w:rsidP="00CB14BD"/>
    <w:p w:rsidR="00EE3C23" w:rsidRPr="00675B95" w:rsidRDefault="00EE3C23" w:rsidP="00CB14BD">
      <w:pPr>
        <w:rPr>
          <w:u w:val="single"/>
        </w:rPr>
      </w:pPr>
      <w:r w:rsidRPr="00675B95">
        <w:rPr>
          <w:u w:val="single"/>
        </w:rPr>
        <w:t xml:space="preserve">Bibliography: </w:t>
      </w:r>
    </w:p>
    <w:p w:rsidR="00EE3C23" w:rsidRDefault="00EE3C23" w:rsidP="00CB14BD">
      <w:r>
        <w:t>Pictures:</w:t>
      </w:r>
    </w:p>
    <w:p w:rsidR="00EE3C23" w:rsidRDefault="00882A9E" w:rsidP="00882A9E">
      <w:pPr>
        <w:pStyle w:val="ListParagraph"/>
        <w:numPr>
          <w:ilvl w:val="0"/>
          <w:numId w:val="1"/>
        </w:numPr>
      </w:pPr>
      <w:r>
        <w:t>Leete. A</w:t>
      </w:r>
      <w:r w:rsidRPr="00882A9E">
        <w:t>, ‘Kitchener Wants You’, (Imperial War Museum, London), (http://i.dailymail.co.uk/i/pix/2014/08/26/1409051494733_wps_14_Lord_Kitchener_rallies_th.jpg, accessed: 06/11/17)</w:t>
      </w:r>
    </w:p>
    <w:p w:rsidR="00882A9E" w:rsidRPr="00256D1F" w:rsidRDefault="00882A9E" w:rsidP="00882A9E">
      <w:pPr>
        <w:pStyle w:val="ListParagraph"/>
        <w:numPr>
          <w:ilvl w:val="0"/>
          <w:numId w:val="1"/>
        </w:numPr>
      </w:pPr>
      <w:r>
        <w:t>Lumley. S</w:t>
      </w:r>
      <w:r w:rsidRPr="00882A9E">
        <w:t xml:space="preserve">, ‘Daddy, what did YOU do in the Great War?’, </w:t>
      </w:r>
      <w:proofErr w:type="gramStart"/>
      <w:r w:rsidRPr="00882A9E">
        <w:t>( Imperial</w:t>
      </w:r>
      <w:proofErr w:type="gramEnd"/>
      <w:r w:rsidRPr="00882A9E">
        <w:t xml:space="preserve"> War Museum, London) (https://historyimages.blogspot.co.uk/2012/07/rare-british-ww1-propaganda-posters.html, accessed: 06/11/17)</w:t>
      </w:r>
    </w:p>
    <w:sectPr w:rsidR="00882A9E" w:rsidRPr="00256D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4F6D" w:rsidRDefault="00034F6D" w:rsidP="00886F42">
      <w:pPr>
        <w:spacing w:after="0" w:line="240" w:lineRule="auto"/>
      </w:pPr>
      <w:r>
        <w:separator/>
      </w:r>
    </w:p>
  </w:endnote>
  <w:endnote w:type="continuationSeparator" w:id="0">
    <w:p w:rsidR="00034F6D" w:rsidRDefault="00034F6D" w:rsidP="00886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4F6D" w:rsidRDefault="00034F6D" w:rsidP="00886F42">
      <w:pPr>
        <w:spacing w:after="0" w:line="240" w:lineRule="auto"/>
      </w:pPr>
      <w:r>
        <w:separator/>
      </w:r>
    </w:p>
  </w:footnote>
  <w:footnote w:type="continuationSeparator" w:id="0">
    <w:p w:rsidR="00034F6D" w:rsidRDefault="00034F6D" w:rsidP="00886F42">
      <w:pPr>
        <w:spacing w:after="0" w:line="240" w:lineRule="auto"/>
      </w:pPr>
      <w:r>
        <w:continuationSeparator/>
      </w:r>
    </w:p>
  </w:footnote>
  <w:footnote w:id="1">
    <w:p w:rsidR="00886F42" w:rsidRDefault="00886F42">
      <w:pPr>
        <w:pStyle w:val="FootnoteText"/>
      </w:pPr>
      <w:r>
        <w:rPr>
          <w:rStyle w:val="FootnoteReference"/>
        </w:rPr>
        <w:footnoteRef/>
      </w:r>
      <w:r>
        <w:t xml:space="preserve"> </w:t>
      </w:r>
      <w:bookmarkStart w:id="0" w:name="_Hlk497776130"/>
      <w:r>
        <w:t>S. Lumley, ‘Daddy, what did YOU do in the Great War?’, ( Imperial War Museum, London) (</w:t>
      </w:r>
      <w:hyperlink r:id="rId1" w:history="1">
        <w:r w:rsidRPr="00F23645">
          <w:rPr>
            <w:rStyle w:val="Hyperlink"/>
          </w:rPr>
          <w:t>https://historyimages.blogspot.co.uk/2012/07/rare-british-ww1-propaganda-posters.html</w:t>
        </w:r>
      </w:hyperlink>
      <w:r>
        <w:t>, accessed: 06/11/17)</w:t>
      </w:r>
      <w:bookmarkEnd w:id="0"/>
    </w:p>
  </w:footnote>
  <w:footnote w:id="2">
    <w:p w:rsidR="00256D1F" w:rsidRDefault="00256D1F">
      <w:pPr>
        <w:pStyle w:val="FootnoteText"/>
      </w:pPr>
      <w:r>
        <w:rPr>
          <w:rStyle w:val="FootnoteReference"/>
        </w:rPr>
        <w:footnoteRef/>
      </w:r>
      <w:r>
        <w:t xml:space="preserve"> </w:t>
      </w:r>
      <w:bookmarkStart w:id="1" w:name="_Hlk497776091"/>
      <w:r>
        <w:t>A. Leete, ‘Kitchener Wants You’, (Imperial War Museum, London), (</w:t>
      </w:r>
      <w:hyperlink r:id="rId2" w:history="1">
        <w:r w:rsidRPr="00F23645">
          <w:rPr>
            <w:rStyle w:val="Hyperlink"/>
          </w:rPr>
          <w:t>http://i.dailymail.co.uk/i/pix/2014/08/26/1409051494733_wps_14_Lord_Kitchener_rallies_th.jpg</w:t>
        </w:r>
      </w:hyperlink>
      <w:r>
        <w:t>, accessed: 06/11/17)</w:t>
      </w:r>
      <w:bookmarkEnd w:id="1"/>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7324B7"/>
    <w:multiLevelType w:val="hybridMultilevel"/>
    <w:tmpl w:val="7D0A6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6522"/>
    <w:rsid w:val="00034F6D"/>
    <w:rsid w:val="00041544"/>
    <w:rsid w:val="000E7B6D"/>
    <w:rsid w:val="000F02E6"/>
    <w:rsid w:val="000F379E"/>
    <w:rsid w:val="001214F7"/>
    <w:rsid w:val="001433CB"/>
    <w:rsid w:val="00163E0E"/>
    <w:rsid w:val="0017134C"/>
    <w:rsid w:val="001C2317"/>
    <w:rsid w:val="001C52D8"/>
    <w:rsid w:val="001F0433"/>
    <w:rsid w:val="00250EAB"/>
    <w:rsid w:val="00256D1F"/>
    <w:rsid w:val="00260490"/>
    <w:rsid w:val="002642B1"/>
    <w:rsid w:val="002C0A7E"/>
    <w:rsid w:val="00327587"/>
    <w:rsid w:val="00405611"/>
    <w:rsid w:val="00426B31"/>
    <w:rsid w:val="00440227"/>
    <w:rsid w:val="004570F3"/>
    <w:rsid w:val="00464845"/>
    <w:rsid w:val="00464D8D"/>
    <w:rsid w:val="004D4562"/>
    <w:rsid w:val="00513678"/>
    <w:rsid w:val="00555C1F"/>
    <w:rsid w:val="00580F21"/>
    <w:rsid w:val="005D0483"/>
    <w:rsid w:val="00606BEC"/>
    <w:rsid w:val="00655160"/>
    <w:rsid w:val="00675B95"/>
    <w:rsid w:val="006E1CDA"/>
    <w:rsid w:val="007C45E4"/>
    <w:rsid w:val="0083339B"/>
    <w:rsid w:val="00872E20"/>
    <w:rsid w:val="00882A9E"/>
    <w:rsid w:val="00886F42"/>
    <w:rsid w:val="009800A2"/>
    <w:rsid w:val="009C1F88"/>
    <w:rsid w:val="009E18A2"/>
    <w:rsid w:val="00A329D1"/>
    <w:rsid w:val="00B76827"/>
    <w:rsid w:val="00BC22B5"/>
    <w:rsid w:val="00C65ABA"/>
    <w:rsid w:val="00CB14BD"/>
    <w:rsid w:val="00CC1DFB"/>
    <w:rsid w:val="00CE6522"/>
    <w:rsid w:val="00CE7CC2"/>
    <w:rsid w:val="00D5596C"/>
    <w:rsid w:val="00D7370F"/>
    <w:rsid w:val="00DA1FE0"/>
    <w:rsid w:val="00DC106E"/>
    <w:rsid w:val="00DD4A06"/>
    <w:rsid w:val="00EB099F"/>
    <w:rsid w:val="00EE0166"/>
    <w:rsid w:val="00EE3C23"/>
    <w:rsid w:val="00EF6273"/>
    <w:rsid w:val="00F96874"/>
    <w:rsid w:val="00FB490C"/>
    <w:rsid w:val="00FD4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62ECF4A-7628-44C7-A336-5EF6BAE5E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6F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6F42"/>
    <w:rPr>
      <w:sz w:val="20"/>
      <w:szCs w:val="20"/>
    </w:rPr>
  </w:style>
  <w:style w:type="character" w:styleId="FootnoteReference">
    <w:name w:val="footnote reference"/>
    <w:basedOn w:val="DefaultParagraphFont"/>
    <w:uiPriority w:val="99"/>
    <w:semiHidden/>
    <w:unhideWhenUsed/>
    <w:rsid w:val="00886F42"/>
    <w:rPr>
      <w:vertAlign w:val="superscript"/>
    </w:rPr>
  </w:style>
  <w:style w:type="character" w:styleId="Hyperlink">
    <w:name w:val="Hyperlink"/>
    <w:basedOn w:val="DefaultParagraphFont"/>
    <w:uiPriority w:val="99"/>
    <w:unhideWhenUsed/>
    <w:rsid w:val="00886F42"/>
    <w:rPr>
      <w:color w:val="0563C1" w:themeColor="hyperlink"/>
      <w:u w:val="single"/>
    </w:rPr>
  </w:style>
  <w:style w:type="character" w:styleId="UnresolvedMention">
    <w:name w:val="Unresolved Mention"/>
    <w:basedOn w:val="DefaultParagraphFont"/>
    <w:uiPriority w:val="99"/>
    <w:semiHidden/>
    <w:unhideWhenUsed/>
    <w:rsid w:val="00886F42"/>
    <w:rPr>
      <w:color w:val="808080"/>
      <w:shd w:val="clear" w:color="auto" w:fill="E6E6E6"/>
    </w:rPr>
  </w:style>
  <w:style w:type="paragraph" w:styleId="ListParagraph">
    <w:name w:val="List Paragraph"/>
    <w:basedOn w:val="Normal"/>
    <w:uiPriority w:val="34"/>
    <w:qFormat/>
    <w:rsid w:val="00EE3C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footnotes.xml.rels><?xml version="1.0" encoding="UTF-8" standalone="yes"?>
<Relationships xmlns="http://schemas.openxmlformats.org/package/2006/relationships"><Relationship Id="rId2" Type="http://schemas.openxmlformats.org/officeDocument/2006/relationships/hyperlink" Target="http://i.dailymail.co.uk/i/pix/2014/08/26/1409051494733_wps_14_Lord_Kitchener_rallies_th.jpg" TargetMode="External"/><Relationship Id="rId1" Type="http://schemas.openxmlformats.org/officeDocument/2006/relationships/hyperlink" Target="https://historyimages.blogspot.co.uk/2012/07/rare-british-ww1-propaganda-poster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028B42-C880-486D-9ED2-4AE1AF240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6</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Taylor</dc:creator>
  <cp:keywords/>
  <dc:description/>
  <cp:lastModifiedBy>Robin Taylor</cp:lastModifiedBy>
  <cp:revision>39</cp:revision>
  <dcterms:created xsi:type="dcterms:W3CDTF">2017-11-06T21:01:00Z</dcterms:created>
  <dcterms:modified xsi:type="dcterms:W3CDTF">2017-11-07T00:03:00Z</dcterms:modified>
</cp:coreProperties>
</file>