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55E77" w14:textId="7F3FDF9F" w:rsidR="00670AD7" w:rsidRDefault="00670AD7" w:rsidP="008360EC">
      <w:pPr>
        <w:jc w:val="both"/>
        <w:rPr>
          <w:b/>
          <w:bCs/>
          <w:u w:val="single"/>
        </w:rPr>
      </w:pPr>
    </w:p>
    <w:p w14:paraId="6BFAAAE7" w14:textId="77777777" w:rsidR="001A14DF" w:rsidRDefault="001A14DF">
      <w:pPr>
        <w:rPr>
          <w:b/>
          <w:bCs/>
          <w:u w:val="single"/>
        </w:rPr>
      </w:pPr>
      <w:r>
        <w:rPr>
          <w:b/>
          <w:bCs/>
          <w:noProof/>
          <w:u w:val="single"/>
        </w:rPr>
        <w:drawing>
          <wp:inline distT="0" distB="0" distL="0" distR="0" wp14:anchorId="4A90BA15" wp14:editId="46FFA2C5">
            <wp:extent cx="5523230" cy="969645"/>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3230" cy="969645"/>
                    </a:xfrm>
                    <a:prstGeom prst="rect">
                      <a:avLst/>
                    </a:prstGeom>
                    <a:noFill/>
                  </pic:spPr>
                </pic:pic>
              </a:graphicData>
            </a:graphic>
          </wp:inline>
        </w:drawing>
      </w:r>
    </w:p>
    <w:p w14:paraId="3624050D" w14:textId="77777777" w:rsidR="001A14DF" w:rsidRDefault="001A14DF">
      <w:pPr>
        <w:rPr>
          <w:b/>
          <w:bCs/>
          <w:u w:val="single"/>
        </w:rPr>
      </w:pPr>
    </w:p>
    <w:p w14:paraId="736235E9" w14:textId="77777777" w:rsidR="001A14DF" w:rsidRDefault="001A14DF">
      <w:pPr>
        <w:rPr>
          <w:b/>
          <w:bCs/>
          <w:u w:val="single"/>
        </w:rPr>
      </w:pPr>
    </w:p>
    <w:p w14:paraId="38A88261" w14:textId="77777777" w:rsidR="001A14DF" w:rsidRDefault="001A14DF">
      <w:pPr>
        <w:rPr>
          <w:b/>
          <w:bCs/>
          <w:u w:val="single"/>
        </w:rPr>
      </w:pPr>
    </w:p>
    <w:p w14:paraId="6880E87A" w14:textId="77777777" w:rsidR="001A14DF" w:rsidRDefault="001A14DF">
      <w:pPr>
        <w:rPr>
          <w:b/>
          <w:bCs/>
          <w:u w:val="single"/>
        </w:rPr>
      </w:pPr>
    </w:p>
    <w:p w14:paraId="34637CD1" w14:textId="77777777" w:rsidR="001A14DF" w:rsidRPr="00F40877" w:rsidRDefault="001A14DF" w:rsidP="001A14DF">
      <w:pPr>
        <w:spacing w:line="360" w:lineRule="auto"/>
        <w:jc w:val="both"/>
        <w:rPr>
          <w:rFonts w:ascii="Arial" w:hAnsi="Arial" w:cs="Arial"/>
          <w:color w:val="010203"/>
        </w:rPr>
      </w:pPr>
      <w:r w:rsidRPr="00F40877">
        <w:rPr>
          <w:rFonts w:ascii="Arial" w:hAnsi="Arial" w:cs="Arial"/>
          <w:b/>
          <w:bCs/>
          <w:color w:val="010203"/>
        </w:rPr>
        <w:t>Programme</w:t>
      </w:r>
      <w:r w:rsidRPr="00204740">
        <w:rPr>
          <w:rFonts w:cstheme="minorHAnsi"/>
          <w:b/>
          <w:bCs/>
          <w:color w:val="010203"/>
        </w:rPr>
        <w:t xml:space="preserve">: </w:t>
      </w:r>
      <w:r w:rsidRPr="00600AFE">
        <w:rPr>
          <w:rFonts w:cstheme="minorHAnsi"/>
          <w:b/>
          <w:bCs/>
          <w:color w:val="010203"/>
          <w:sz w:val="24"/>
          <w:szCs w:val="24"/>
        </w:rPr>
        <w:t>MSc Public Health and Social Care in Practice</w:t>
      </w:r>
    </w:p>
    <w:p w14:paraId="67B8385D" w14:textId="77777777" w:rsidR="001A14DF" w:rsidRPr="00F40877" w:rsidRDefault="001A14DF" w:rsidP="001A14DF">
      <w:pPr>
        <w:spacing w:line="360" w:lineRule="auto"/>
        <w:jc w:val="both"/>
        <w:rPr>
          <w:rFonts w:ascii="Arial" w:hAnsi="Arial" w:cs="Arial"/>
          <w:color w:val="010203"/>
        </w:rPr>
      </w:pPr>
      <w:r w:rsidRPr="00F40877">
        <w:rPr>
          <w:rFonts w:ascii="Arial" w:hAnsi="Arial" w:cs="Arial"/>
          <w:b/>
          <w:bCs/>
          <w:color w:val="010203"/>
        </w:rPr>
        <w:t>Module name:</w:t>
      </w:r>
      <w:r>
        <w:rPr>
          <w:rFonts w:ascii="Arial" w:hAnsi="Arial" w:cs="Arial"/>
          <w:b/>
          <w:bCs/>
          <w:color w:val="010203"/>
        </w:rPr>
        <w:t xml:space="preserve"> Practice Based Research </w:t>
      </w:r>
    </w:p>
    <w:p w14:paraId="21572AD8" w14:textId="77777777" w:rsidR="001A14DF" w:rsidRPr="00F40877" w:rsidRDefault="001A14DF" w:rsidP="001A14DF">
      <w:pPr>
        <w:spacing w:line="360" w:lineRule="auto"/>
        <w:jc w:val="both"/>
        <w:rPr>
          <w:rFonts w:ascii="Arial" w:hAnsi="Arial" w:cs="Arial"/>
          <w:b/>
          <w:bCs/>
          <w:color w:val="010203"/>
        </w:rPr>
      </w:pPr>
      <w:r w:rsidRPr="00F40877">
        <w:rPr>
          <w:rFonts w:ascii="Arial" w:hAnsi="Arial" w:cs="Arial"/>
          <w:b/>
          <w:bCs/>
          <w:color w:val="010203"/>
        </w:rPr>
        <w:t>Module code:</w:t>
      </w:r>
      <w:r>
        <w:rPr>
          <w:rFonts w:ascii="Arial" w:hAnsi="Arial" w:cs="Arial"/>
          <w:b/>
          <w:bCs/>
          <w:color w:val="010203"/>
        </w:rPr>
        <w:t xml:space="preserve"> LCHS 7008</w:t>
      </w:r>
    </w:p>
    <w:p w14:paraId="281358E4" w14:textId="55F2159E" w:rsidR="001A14DF" w:rsidRPr="00F40877" w:rsidRDefault="001A14DF" w:rsidP="001A14DF">
      <w:pPr>
        <w:spacing w:line="360" w:lineRule="auto"/>
        <w:jc w:val="both"/>
        <w:rPr>
          <w:rFonts w:ascii="Arial" w:hAnsi="Arial" w:cs="Arial"/>
          <w:b/>
          <w:bCs/>
          <w:color w:val="010203"/>
        </w:rPr>
      </w:pPr>
      <w:r w:rsidRPr="00F40877">
        <w:rPr>
          <w:rFonts w:ascii="Arial" w:hAnsi="Arial" w:cs="Arial"/>
          <w:b/>
          <w:bCs/>
          <w:color w:val="010203"/>
        </w:rPr>
        <w:t>Student name:</w:t>
      </w:r>
      <w:r>
        <w:rPr>
          <w:rFonts w:ascii="Arial" w:hAnsi="Arial" w:cs="Arial"/>
          <w:b/>
          <w:bCs/>
          <w:color w:val="010203"/>
        </w:rPr>
        <w:t xml:space="preserve"> </w:t>
      </w:r>
      <w:r w:rsidR="00301147">
        <w:rPr>
          <w:rFonts w:ascii="Arial" w:hAnsi="Arial" w:cs="Arial"/>
          <w:b/>
          <w:bCs/>
          <w:color w:val="010203"/>
        </w:rPr>
        <w:t xml:space="preserve"> keval valundra</w:t>
      </w:r>
    </w:p>
    <w:p w14:paraId="5072E340" w14:textId="5AEE093A" w:rsidR="00670AD7" w:rsidRDefault="001A14DF" w:rsidP="001A14DF">
      <w:pPr>
        <w:rPr>
          <w:b/>
          <w:bCs/>
          <w:u w:val="single"/>
        </w:rPr>
      </w:pPr>
      <w:r w:rsidRPr="00F40877">
        <w:rPr>
          <w:rFonts w:ascii="Arial" w:hAnsi="Arial" w:cs="Arial"/>
          <w:b/>
          <w:bCs/>
          <w:color w:val="010203"/>
        </w:rPr>
        <w:t>Student ID:</w:t>
      </w:r>
      <w:r>
        <w:rPr>
          <w:b/>
          <w:bCs/>
          <w:u w:val="single"/>
        </w:rPr>
        <w:t xml:space="preserve"> </w:t>
      </w:r>
      <w:r w:rsidR="00301147">
        <w:rPr>
          <w:b/>
          <w:bCs/>
          <w:u w:val="single"/>
        </w:rPr>
        <w:t>2431091</w:t>
      </w:r>
      <w:r w:rsidR="00670AD7">
        <w:rPr>
          <w:b/>
          <w:bCs/>
          <w:u w:val="single"/>
        </w:rPr>
        <w:br w:type="page"/>
      </w:r>
    </w:p>
    <w:p w14:paraId="1DB9A664" w14:textId="77777777" w:rsidR="00670AD7" w:rsidRDefault="00670AD7" w:rsidP="00670AD7">
      <w:pPr>
        <w:rPr>
          <w:b/>
          <w:bCs/>
          <w:u w:val="single"/>
        </w:rPr>
      </w:pPr>
      <w:r>
        <w:rPr>
          <w:b/>
          <w:bCs/>
          <w:u w:val="single"/>
        </w:rPr>
        <w:lastRenderedPageBreak/>
        <w:t xml:space="preserve">Index </w:t>
      </w:r>
    </w:p>
    <w:p w14:paraId="1A6B2448" w14:textId="4FDD1862" w:rsidR="00670AD7" w:rsidRPr="00F17E40" w:rsidRDefault="00670AD7" w:rsidP="00670AD7">
      <w:pPr>
        <w:pStyle w:val="ListParagraph"/>
        <w:numPr>
          <w:ilvl w:val="0"/>
          <w:numId w:val="24"/>
        </w:numPr>
        <w:rPr>
          <w:rFonts w:cstheme="minorHAnsi"/>
          <w:b/>
          <w:bCs/>
          <w:sz w:val="24"/>
          <w:szCs w:val="24"/>
        </w:rPr>
      </w:pPr>
      <w:r w:rsidRPr="00F17E40">
        <w:rPr>
          <w:rFonts w:cstheme="minorHAnsi"/>
          <w:b/>
          <w:bCs/>
          <w:sz w:val="24"/>
          <w:szCs w:val="24"/>
        </w:rPr>
        <w:t>Prevalence of the Problem in Health and Social Care</w:t>
      </w:r>
      <w:r w:rsidR="00F17E40">
        <w:rPr>
          <w:rFonts w:cstheme="minorHAnsi"/>
          <w:b/>
          <w:bCs/>
          <w:sz w:val="24"/>
          <w:szCs w:val="24"/>
        </w:rPr>
        <w:t>……………………………………………</w:t>
      </w:r>
      <w:r w:rsidR="00DD09AB">
        <w:rPr>
          <w:rFonts w:cstheme="minorHAnsi"/>
          <w:b/>
          <w:bCs/>
          <w:sz w:val="24"/>
          <w:szCs w:val="24"/>
        </w:rPr>
        <w:t>03</w:t>
      </w:r>
    </w:p>
    <w:p w14:paraId="0DAB3B5F" w14:textId="1E0B6741" w:rsidR="00670AD7" w:rsidRPr="00F17E40" w:rsidRDefault="00670AD7" w:rsidP="00670AD7">
      <w:pPr>
        <w:pStyle w:val="ListParagraph"/>
        <w:numPr>
          <w:ilvl w:val="0"/>
          <w:numId w:val="24"/>
        </w:numPr>
        <w:jc w:val="both"/>
        <w:rPr>
          <w:rFonts w:cstheme="minorHAnsi"/>
          <w:b/>
          <w:bCs/>
          <w:sz w:val="24"/>
          <w:szCs w:val="24"/>
        </w:rPr>
      </w:pPr>
      <w:r w:rsidRPr="00F17E40">
        <w:rPr>
          <w:rFonts w:cstheme="minorHAnsi"/>
          <w:b/>
          <w:bCs/>
          <w:sz w:val="24"/>
          <w:szCs w:val="24"/>
        </w:rPr>
        <w:t>Introduction and Literature-Based Background to the Study</w:t>
      </w:r>
      <w:r w:rsidR="00F17E40">
        <w:rPr>
          <w:rFonts w:cstheme="minorHAnsi"/>
          <w:b/>
          <w:bCs/>
          <w:sz w:val="24"/>
          <w:szCs w:val="24"/>
        </w:rPr>
        <w:t>……………………………….</w:t>
      </w:r>
      <w:r w:rsidR="00DD09AB">
        <w:rPr>
          <w:rFonts w:cstheme="minorHAnsi"/>
          <w:b/>
          <w:bCs/>
          <w:sz w:val="24"/>
          <w:szCs w:val="24"/>
        </w:rPr>
        <w:t>.03</w:t>
      </w:r>
    </w:p>
    <w:p w14:paraId="33084B21" w14:textId="44C2B178" w:rsidR="00F17E40" w:rsidRPr="00F17E40" w:rsidRDefault="00670AD7" w:rsidP="00F17E40">
      <w:pPr>
        <w:pStyle w:val="ListParagraph"/>
        <w:numPr>
          <w:ilvl w:val="0"/>
          <w:numId w:val="24"/>
        </w:numPr>
        <w:jc w:val="both"/>
        <w:rPr>
          <w:rFonts w:cstheme="minorHAnsi"/>
          <w:b/>
          <w:bCs/>
          <w:sz w:val="24"/>
          <w:szCs w:val="24"/>
        </w:rPr>
      </w:pPr>
      <w:r w:rsidRPr="00F17E40">
        <w:rPr>
          <w:rFonts w:cstheme="minorHAnsi"/>
          <w:b/>
          <w:bCs/>
          <w:sz w:val="24"/>
          <w:szCs w:val="24"/>
        </w:rPr>
        <w:t>Rationale for the Study</w:t>
      </w:r>
      <w:r w:rsidR="00F17E40">
        <w:rPr>
          <w:rFonts w:cstheme="minorHAnsi"/>
          <w:b/>
          <w:bCs/>
          <w:sz w:val="24"/>
          <w:szCs w:val="24"/>
        </w:rPr>
        <w:t>………………………………………………………………………………………</w:t>
      </w:r>
      <w:r w:rsidR="00DD09AB">
        <w:rPr>
          <w:rFonts w:cstheme="minorHAnsi"/>
          <w:b/>
          <w:bCs/>
          <w:sz w:val="24"/>
          <w:szCs w:val="24"/>
        </w:rPr>
        <w:t>..04</w:t>
      </w:r>
    </w:p>
    <w:p w14:paraId="7D40FAC1" w14:textId="7DC91648"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Research Aim</w:t>
      </w:r>
      <w:r>
        <w:rPr>
          <w:rFonts w:cstheme="minorHAnsi"/>
          <w:b/>
          <w:bCs/>
          <w:sz w:val="24"/>
          <w:szCs w:val="24"/>
        </w:rPr>
        <w:t>…………………………………………………………………………………………………</w:t>
      </w:r>
      <w:r w:rsidR="001A14DF">
        <w:rPr>
          <w:rFonts w:cstheme="minorHAnsi"/>
          <w:b/>
          <w:bCs/>
          <w:sz w:val="24"/>
          <w:szCs w:val="24"/>
        </w:rPr>
        <w:t>.</w:t>
      </w:r>
      <w:r>
        <w:rPr>
          <w:rFonts w:cstheme="minorHAnsi"/>
          <w:b/>
          <w:bCs/>
          <w:sz w:val="24"/>
          <w:szCs w:val="24"/>
        </w:rPr>
        <w:t>…</w:t>
      </w:r>
      <w:r w:rsidR="00DD09AB">
        <w:rPr>
          <w:rFonts w:cstheme="minorHAnsi"/>
          <w:b/>
          <w:bCs/>
          <w:sz w:val="24"/>
          <w:szCs w:val="24"/>
        </w:rPr>
        <w:t>…05</w:t>
      </w:r>
    </w:p>
    <w:p w14:paraId="084B42AD" w14:textId="1999A8AD"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Research Objectives</w:t>
      </w:r>
      <w:r>
        <w:rPr>
          <w:rFonts w:cstheme="minorHAnsi"/>
          <w:b/>
          <w:bCs/>
          <w:sz w:val="24"/>
          <w:szCs w:val="24"/>
        </w:rPr>
        <w:t>…………………………………………………………………………………………….</w:t>
      </w:r>
      <w:r w:rsidR="00DD09AB">
        <w:rPr>
          <w:rFonts w:cstheme="minorHAnsi"/>
          <w:b/>
          <w:bCs/>
          <w:sz w:val="24"/>
          <w:szCs w:val="24"/>
        </w:rPr>
        <w:t>05</w:t>
      </w:r>
    </w:p>
    <w:p w14:paraId="3D717CA7" w14:textId="628DBB7F"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Research Questions</w:t>
      </w:r>
      <w:r>
        <w:rPr>
          <w:rFonts w:cstheme="minorHAnsi"/>
          <w:b/>
          <w:bCs/>
          <w:sz w:val="24"/>
          <w:szCs w:val="24"/>
        </w:rPr>
        <w:t>…………………………………………………………………………………………….</w:t>
      </w:r>
      <w:r w:rsidR="00DD09AB">
        <w:rPr>
          <w:rFonts w:cstheme="minorHAnsi"/>
          <w:b/>
          <w:bCs/>
          <w:sz w:val="24"/>
          <w:szCs w:val="24"/>
        </w:rPr>
        <w:t>.05</w:t>
      </w:r>
    </w:p>
    <w:p w14:paraId="1C11A6BE" w14:textId="707B6DB7"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Research Methodology</w:t>
      </w:r>
      <w:r>
        <w:rPr>
          <w:rFonts w:cstheme="minorHAnsi"/>
          <w:b/>
          <w:bCs/>
          <w:sz w:val="24"/>
          <w:szCs w:val="24"/>
        </w:rPr>
        <w:t>……………………………………………………………………………………</w:t>
      </w:r>
      <w:r w:rsidR="00DD09AB">
        <w:rPr>
          <w:rFonts w:cstheme="minorHAnsi"/>
          <w:b/>
          <w:bCs/>
          <w:sz w:val="24"/>
          <w:szCs w:val="24"/>
        </w:rPr>
        <w:t>.</w:t>
      </w:r>
      <w:r>
        <w:rPr>
          <w:rFonts w:cstheme="minorHAnsi"/>
          <w:b/>
          <w:bCs/>
          <w:sz w:val="24"/>
          <w:szCs w:val="24"/>
        </w:rPr>
        <w:t>…</w:t>
      </w:r>
      <w:r w:rsidR="00DD09AB">
        <w:rPr>
          <w:rFonts w:cstheme="minorHAnsi"/>
          <w:b/>
          <w:bCs/>
          <w:sz w:val="24"/>
          <w:szCs w:val="24"/>
        </w:rPr>
        <w:t>.05</w:t>
      </w:r>
    </w:p>
    <w:p w14:paraId="2EA5CFEB" w14:textId="6C155CB5"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Research Design</w:t>
      </w:r>
      <w:r w:rsidR="00DD09AB">
        <w:rPr>
          <w:rFonts w:cstheme="minorHAnsi"/>
          <w:b/>
          <w:bCs/>
          <w:sz w:val="24"/>
          <w:szCs w:val="24"/>
        </w:rPr>
        <w:t>………………………………………………………………………………………………....06</w:t>
      </w:r>
    </w:p>
    <w:p w14:paraId="6CF078CD" w14:textId="36E8B4B0"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Recruitment, Sampling, and Study Participants</w:t>
      </w:r>
      <w:r w:rsidR="00DD09AB">
        <w:rPr>
          <w:rFonts w:cstheme="minorHAnsi"/>
          <w:b/>
          <w:bCs/>
          <w:sz w:val="24"/>
          <w:szCs w:val="24"/>
        </w:rPr>
        <w:t>……………………………………………</w:t>
      </w:r>
      <w:r w:rsidR="001A14DF">
        <w:rPr>
          <w:rFonts w:cstheme="minorHAnsi"/>
          <w:b/>
          <w:bCs/>
          <w:sz w:val="24"/>
          <w:szCs w:val="24"/>
        </w:rPr>
        <w:t>.</w:t>
      </w:r>
      <w:r w:rsidR="00DD09AB">
        <w:rPr>
          <w:rFonts w:cstheme="minorHAnsi"/>
          <w:b/>
          <w:bCs/>
          <w:sz w:val="24"/>
          <w:szCs w:val="24"/>
        </w:rPr>
        <w:t>……..06</w:t>
      </w:r>
    </w:p>
    <w:p w14:paraId="397C4623" w14:textId="1868947D"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Data Collection Methods and Procedure</w:t>
      </w:r>
      <w:r w:rsidR="00DD09AB">
        <w:rPr>
          <w:rFonts w:cstheme="minorHAnsi"/>
          <w:b/>
          <w:bCs/>
          <w:sz w:val="24"/>
          <w:szCs w:val="24"/>
        </w:rPr>
        <w:t>………………………………………………………</w:t>
      </w:r>
      <w:r w:rsidR="001A14DF">
        <w:rPr>
          <w:rFonts w:cstheme="minorHAnsi"/>
          <w:b/>
          <w:bCs/>
          <w:sz w:val="24"/>
          <w:szCs w:val="24"/>
        </w:rPr>
        <w:t>.</w:t>
      </w:r>
      <w:r w:rsidR="00DD09AB">
        <w:rPr>
          <w:rFonts w:cstheme="minorHAnsi"/>
          <w:b/>
          <w:bCs/>
          <w:sz w:val="24"/>
          <w:szCs w:val="24"/>
        </w:rPr>
        <w:t>……..07</w:t>
      </w:r>
    </w:p>
    <w:p w14:paraId="1CA5212F" w14:textId="7F153CFF"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Proposed Data Analysis Techniques</w:t>
      </w:r>
      <w:r w:rsidR="00DD09AB">
        <w:rPr>
          <w:rFonts w:cstheme="minorHAnsi"/>
          <w:b/>
          <w:bCs/>
          <w:sz w:val="24"/>
          <w:szCs w:val="24"/>
        </w:rPr>
        <w:t>………………………………………………………………</w:t>
      </w:r>
      <w:r w:rsidR="001A14DF">
        <w:rPr>
          <w:rFonts w:cstheme="minorHAnsi"/>
          <w:b/>
          <w:bCs/>
          <w:sz w:val="24"/>
          <w:szCs w:val="24"/>
        </w:rPr>
        <w:t>.</w:t>
      </w:r>
      <w:r w:rsidR="00DD09AB">
        <w:rPr>
          <w:rFonts w:cstheme="minorHAnsi"/>
          <w:b/>
          <w:bCs/>
          <w:sz w:val="24"/>
          <w:szCs w:val="24"/>
        </w:rPr>
        <w:t>…….07</w:t>
      </w:r>
    </w:p>
    <w:p w14:paraId="0557E0FD" w14:textId="6CD20EAD"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Ethical Considerations</w:t>
      </w:r>
      <w:r w:rsidR="00DD09AB">
        <w:rPr>
          <w:rFonts w:cstheme="minorHAnsi"/>
          <w:b/>
          <w:bCs/>
          <w:sz w:val="24"/>
          <w:szCs w:val="24"/>
        </w:rPr>
        <w:t>……………………………………………………………………………………</w:t>
      </w:r>
      <w:r w:rsidR="001A14DF">
        <w:rPr>
          <w:rFonts w:cstheme="minorHAnsi"/>
          <w:b/>
          <w:bCs/>
          <w:sz w:val="24"/>
          <w:szCs w:val="24"/>
        </w:rPr>
        <w:t>.</w:t>
      </w:r>
      <w:r w:rsidR="00DD09AB">
        <w:rPr>
          <w:rFonts w:cstheme="minorHAnsi"/>
          <w:b/>
          <w:bCs/>
          <w:sz w:val="24"/>
          <w:szCs w:val="24"/>
        </w:rPr>
        <w:t>…..08</w:t>
      </w:r>
    </w:p>
    <w:p w14:paraId="446B4B56" w14:textId="5189EF6B"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Implications of the Research</w:t>
      </w:r>
      <w:r w:rsidR="00DD09AB">
        <w:rPr>
          <w:rFonts w:cstheme="minorHAnsi"/>
          <w:b/>
          <w:bCs/>
          <w:sz w:val="24"/>
          <w:szCs w:val="24"/>
        </w:rPr>
        <w:t>…………………………………………………………………………</w:t>
      </w:r>
      <w:r w:rsidR="001A14DF">
        <w:rPr>
          <w:rFonts w:cstheme="minorHAnsi"/>
          <w:b/>
          <w:bCs/>
          <w:sz w:val="24"/>
          <w:szCs w:val="24"/>
        </w:rPr>
        <w:t>.</w:t>
      </w:r>
      <w:r w:rsidR="00DD09AB">
        <w:rPr>
          <w:rFonts w:cstheme="minorHAnsi"/>
          <w:b/>
          <w:bCs/>
          <w:sz w:val="24"/>
          <w:szCs w:val="24"/>
        </w:rPr>
        <w:t>……08</w:t>
      </w:r>
    </w:p>
    <w:p w14:paraId="2B1FDC45" w14:textId="33B2BD5B"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Plan of Work and Time Schedule (Gantt Chart)</w:t>
      </w:r>
      <w:r w:rsidR="00DD09AB">
        <w:rPr>
          <w:rFonts w:cstheme="minorHAnsi"/>
          <w:b/>
          <w:bCs/>
          <w:sz w:val="24"/>
          <w:szCs w:val="24"/>
        </w:rPr>
        <w:t>………………………………………………</w:t>
      </w:r>
      <w:r w:rsidR="001A14DF">
        <w:rPr>
          <w:rFonts w:cstheme="minorHAnsi"/>
          <w:b/>
          <w:bCs/>
          <w:sz w:val="24"/>
          <w:szCs w:val="24"/>
        </w:rPr>
        <w:t>.</w:t>
      </w:r>
      <w:r w:rsidR="00DD09AB">
        <w:rPr>
          <w:rFonts w:cstheme="minorHAnsi"/>
          <w:b/>
          <w:bCs/>
          <w:sz w:val="24"/>
          <w:szCs w:val="24"/>
        </w:rPr>
        <w:t>…..09</w:t>
      </w:r>
    </w:p>
    <w:p w14:paraId="57FDA196" w14:textId="6B170B98" w:rsidR="00F17E40" w:rsidRPr="00F17E40" w:rsidRDefault="00F17E40" w:rsidP="00F17E40">
      <w:pPr>
        <w:pStyle w:val="ListParagraph"/>
        <w:numPr>
          <w:ilvl w:val="0"/>
          <w:numId w:val="24"/>
        </w:numPr>
        <w:jc w:val="both"/>
        <w:rPr>
          <w:rFonts w:cstheme="minorHAnsi"/>
          <w:b/>
          <w:bCs/>
          <w:sz w:val="24"/>
          <w:szCs w:val="24"/>
        </w:rPr>
      </w:pPr>
      <w:r w:rsidRPr="00F17E40">
        <w:rPr>
          <w:rFonts w:cstheme="minorHAnsi"/>
          <w:b/>
          <w:bCs/>
          <w:sz w:val="24"/>
          <w:szCs w:val="24"/>
        </w:rPr>
        <w:t>Refence list</w:t>
      </w:r>
      <w:r w:rsidR="00DD09AB">
        <w:rPr>
          <w:rFonts w:cstheme="minorHAnsi"/>
          <w:b/>
          <w:bCs/>
          <w:sz w:val="24"/>
          <w:szCs w:val="24"/>
        </w:rPr>
        <w:t>…………………………………………………………………………………………………</w:t>
      </w:r>
      <w:r w:rsidR="001A14DF">
        <w:rPr>
          <w:rFonts w:cstheme="minorHAnsi"/>
          <w:b/>
          <w:bCs/>
          <w:sz w:val="24"/>
          <w:szCs w:val="24"/>
        </w:rPr>
        <w:t>.</w:t>
      </w:r>
      <w:r w:rsidR="00DD09AB">
        <w:rPr>
          <w:rFonts w:cstheme="minorHAnsi"/>
          <w:b/>
          <w:bCs/>
          <w:sz w:val="24"/>
          <w:szCs w:val="24"/>
        </w:rPr>
        <w:t>……..10</w:t>
      </w:r>
      <w:r w:rsidRPr="00F17E40">
        <w:rPr>
          <w:rFonts w:cstheme="minorHAnsi"/>
          <w:b/>
          <w:bCs/>
          <w:sz w:val="24"/>
          <w:szCs w:val="24"/>
        </w:rPr>
        <w:t xml:space="preserve"> </w:t>
      </w:r>
    </w:p>
    <w:p w14:paraId="39200679" w14:textId="77777777" w:rsidR="00F17E40" w:rsidRDefault="00F17E40" w:rsidP="00F17E40">
      <w:pPr>
        <w:pStyle w:val="ListParagraph"/>
        <w:jc w:val="both"/>
        <w:rPr>
          <w:b/>
          <w:bCs/>
          <w:sz w:val="24"/>
          <w:szCs w:val="24"/>
          <w:u w:val="single"/>
        </w:rPr>
      </w:pPr>
    </w:p>
    <w:p w14:paraId="7B4B372B" w14:textId="7DF8209E" w:rsidR="00670AD7" w:rsidRPr="00F17E40" w:rsidRDefault="00670AD7" w:rsidP="00F17E40">
      <w:pPr>
        <w:pStyle w:val="ListParagraph"/>
        <w:jc w:val="both"/>
        <w:rPr>
          <w:b/>
          <w:bCs/>
          <w:sz w:val="24"/>
          <w:szCs w:val="24"/>
          <w:u w:val="single"/>
        </w:rPr>
      </w:pPr>
      <w:r w:rsidRPr="00F17E40">
        <w:rPr>
          <w:b/>
          <w:bCs/>
          <w:u w:val="single"/>
        </w:rPr>
        <w:br w:type="page"/>
      </w:r>
    </w:p>
    <w:p w14:paraId="10C396E4" w14:textId="2685EFBF" w:rsidR="00866389" w:rsidRPr="008360EC" w:rsidRDefault="00866389" w:rsidP="008360EC">
      <w:pPr>
        <w:jc w:val="both"/>
        <w:rPr>
          <w:rFonts w:asciiTheme="majorHAnsi" w:hAnsiTheme="majorHAnsi" w:cstheme="majorHAnsi"/>
          <w:b/>
          <w:bCs/>
          <w:sz w:val="24"/>
          <w:szCs w:val="24"/>
          <w:u w:val="single"/>
        </w:rPr>
      </w:pPr>
      <w:r w:rsidRPr="008360EC">
        <w:rPr>
          <w:b/>
          <w:bCs/>
          <w:u w:val="single"/>
        </w:rPr>
        <w:lastRenderedPageBreak/>
        <w:t>Prevalence of the Problem in Health and Social Care</w:t>
      </w:r>
    </w:p>
    <w:p w14:paraId="3A805736" w14:textId="77777777" w:rsidR="00866389" w:rsidRPr="00866389" w:rsidRDefault="00866389" w:rsidP="008360EC">
      <w:pPr>
        <w:jc w:val="both"/>
      </w:pPr>
      <w:r w:rsidRPr="00866389">
        <w:t>Knee osteoarthritis (KOA) is one of the most common and disabling musculoskeletal conditions worldwide and represents a major public health challenge (Hunter and Bierma-Zeinstra, 2019). It affects an estimated 500–600 million people globally, with prevalence increasing sharply with age (Safiri et al., 2020). The knee is the most frequently affected joint, leading to substantial pain, reduced mobility, functional limitation, and loss of independence (Cross et al., 2014). In the United Kingdom, knee osteoarthritis is a leading cause of chronic pain and disability and contributes significantly to primary care consultations, orthopaedic referrals, joint replacement surgeries, and long-term use of analgesic and anti-inflammatory medications (NICE, 2022).</w:t>
      </w:r>
    </w:p>
    <w:p w14:paraId="689E76CD" w14:textId="77777777" w:rsidR="00866389" w:rsidRPr="00866389" w:rsidRDefault="00866389" w:rsidP="008360EC">
      <w:pPr>
        <w:jc w:val="both"/>
      </w:pPr>
      <w:r w:rsidRPr="00866389">
        <w:t>Beyond clinical impact, KOA places a considerable burden on health and social care systems. Individuals with knee osteoarthritis often experience reduced work capacity, sickness absence, early retirement, and increased reliance on welfare and social support (Palmer et al., 2012). The economic burden is substantial, encompassing direct healthcare costs such as medical treatment and surgery, as well as indirect costs related to productivity loss and long-term disability (Hunter et al., 2020).</w:t>
      </w:r>
    </w:p>
    <w:p w14:paraId="22407B8E" w14:textId="77777777" w:rsidR="00866389" w:rsidRPr="00866389" w:rsidRDefault="00866389" w:rsidP="008360EC">
      <w:pPr>
        <w:jc w:val="both"/>
      </w:pPr>
      <w:r w:rsidRPr="00866389">
        <w:t>Manual workers are disproportionately affected due to sustained exposure to occupational biomechanical stressors (Seidler et al., 2008). Occupations including construction, floor laying, plumbing, agriculture, cleaning, and warehouse work frequently involve kneeling, squatting, heavy lifting, and climbing (Jensen, 2008; Andersen et al., 2012). Occupational kneeling has been consistently identified as a key risk factor for knee osteoarthritis (McWilliams et al., 2011), as it places excessive compressive and shear forces on knee joints, accelerating cartilage degeneration (Thambyah, 2005; Wallace et al., 2017).</w:t>
      </w:r>
    </w:p>
    <w:p w14:paraId="1ED0AB56" w14:textId="77777777" w:rsidR="00866389" w:rsidRPr="00866389" w:rsidRDefault="00866389" w:rsidP="008360EC">
      <w:pPr>
        <w:jc w:val="both"/>
      </w:pPr>
      <w:r w:rsidRPr="00866389">
        <w:t>Structural and organisational factors such as job insecurity, productivity pressures, and limited access to ergonomic interventions further increase exposure to hazardous kneeling postures (EU-OSHA, 2020). Socioeconomic factors, including higher rates of obesity among manual workers, exacerbate mechanical loading and osteoarthritis risk, contributing to health inequalities between occupational groups (Blagojevic et al., 2010; Marmot et al., 2020).</w:t>
      </w:r>
    </w:p>
    <w:p w14:paraId="4649D749" w14:textId="77777777" w:rsidR="00866389" w:rsidRPr="00866389" w:rsidRDefault="00866389" w:rsidP="008360EC">
      <w:pPr>
        <w:jc w:val="both"/>
      </w:pPr>
      <w:r w:rsidRPr="00866389">
        <w:t>With ageing populations and extended working lives, the prevalence of work-related knee osteoarthritis is expected to rise unless effective preventive strategies are implemented (OECD, 2019). Addressing occupational risk factors such as kneeling is therefore essential for promoting healthy ageing at work and reducing musculoskeletal health inequalities (WHO, 2022).</w:t>
      </w:r>
    </w:p>
    <w:p w14:paraId="2E324310" w14:textId="77777777" w:rsidR="002640AD" w:rsidRPr="002640AD" w:rsidRDefault="00000000" w:rsidP="008360EC">
      <w:pPr>
        <w:jc w:val="both"/>
      </w:pPr>
      <w:r>
        <w:rPr>
          <w:noProof/>
        </w:rPr>
        <w:pict w14:anchorId="5A56E708">
          <v:rect id="_x0000_i1025" style="width:0;height:1.5pt" o:hralign="center" o:hrstd="t" o:hr="t" fillcolor="#a0a0a0" stroked="f"/>
        </w:pict>
      </w:r>
    </w:p>
    <w:p w14:paraId="69529D73" w14:textId="77777777" w:rsidR="00414B3B" w:rsidRPr="008360EC" w:rsidRDefault="00414B3B" w:rsidP="008360EC">
      <w:pPr>
        <w:jc w:val="both"/>
        <w:rPr>
          <w:b/>
          <w:bCs/>
          <w:sz w:val="24"/>
          <w:szCs w:val="24"/>
          <w:u w:val="single"/>
        </w:rPr>
      </w:pPr>
      <w:r w:rsidRPr="008360EC">
        <w:rPr>
          <w:b/>
          <w:bCs/>
          <w:sz w:val="24"/>
          <w:szCs w:val="24"/>
          <w:u w:val="single"/>
        </w:rPr>
        <w:t>Introduction and Literature-Based Background to the Study</w:t>
      </w:r>
    </w:p>
    <w:p w14:paraId="216F2C41" w14:textId="77777777" w:rsidR="00414B3B" w:rsidRPr="00414B3B" w:rsidRDefault="00414B3B" w:rsidP="008360EC">
      <w:pPr>
        <w:jc w:val="both"/>
      </w:pPr>
      <w:r w:rsidRPr="00414B3B">
        <w:t>Osteoarthritis is a chronic, progressive joint disorder characterised by degeneration of articular cartilage, changes to subchondral bone, synovial inflammation, and varying degrees of pain and stiffness (Goldring and Goldring, 2016). Knee osteoarthritis (KOA) is a multifactorial condition influenced by systemic and local mechanical factors (Loeser et al., 2012). Established individual-level risk factors include increasing age, obesity, genetic predisposition, sex, previous joint injury, and metabolic conditions (Felson et al., 2000; Blagojevic et al., 2010). Mechanical loading of the knee joint plays a central role in disease initiation and progression, particularly in occupational contexts involving prolonged and repetitive exposure (Felson, 2013).</w:t>
      </w:r>
    </w:p>
    <w:p w14:paraId="41018D89" w14:textId="77777777" w:rsidR="00414B3B" w:rsidRPr="00414B3B" w:rsidRDefault="00414B3B" w:rsidP="008360EC">
      <w:pPr>
        <w:jc w:val="both"/>
      </w:pPr>
      <w:r w:rsidRPr="00414B3B">
        <w:t xml:space="preserve">Occupational epidemiology has increasingly examined work-related biomechanical exposures as contributors to musculoskeletal disorders (Punnett and Wegman, 2004). Repetitive joint loading, awkward postures, and sustained static positions are well-established risk factors for joint </w:t>
      </w:r>
      <w:r w:rsidRPr="00414B3B">
        <w:lastRenderedPageBreak/>
        <w:t>degeneration (da Costa and Vieira, 2010). Kneeling is considered a high-risk occupational posture due to the substantial mechanical stress it imposes on knee structures (Seidler et al., 2008). Biomechanical evidence shows that kneeling increases patellofemoral contact pressure and alters joint alignment, accelerating cartilage degeneration and promoting inflammatory changes within the joint (Thambyah, 2005; Wallace et al., 2017; Hunter et al., 2020).</w:t>
      </w:r>
    </w:p>
    <w:p w14:paraId="739F8507" w14:textId="77777777" w:rsidR="00414B3B" w:rsidRPr="00414B3B" w:rsidRDefault="00414B3B" w:rsidP="008360EC">
      <w:pPr>
        <w:jc w:val="both"/>
      </w:pPr>
      <w:r w:rsidRPr="00414B3B">
        <w:t>Epidemiological studies consistently report higher prevalence and incidence of radiographic and symptomatic KOA among workers exposed to frequent kneeling, particularly in occupations such as floor laying, mining, and construction (McWilliams et al., 2011; Jensen et al., 2012; Palmer et al., 2012). Evidence of dose–response relationships further supports the role of cumulative mechanical loading in disease development (Seidler et al., 2008; Jensen, 2008).</w:t>
      </w:r>
    </w:p>
    <w:p w14:paraId="49BF4997" w14:textId="77777777" w:rsidR="00414B3B" w:rsidRPr="00414B3B" w:rsidRDefault="00414B3B" w:rsidP="008360EC">
      <w:pPr>
        <w:jc w:val="both"/>
      </w:pPr>
      <w:r w:rsidRPr="00414B3B">
        <w:t>However, inconsistencies remain within the literature, largely due to methodological limitations. Exposure misclassification, recall bias, heterogeneous outcome definitions, and inconsistent adjustment for confounding variables complicate comparisons across studies (Neogi and Zhang, 2013; Blagojevic et al., 2010; Punnett, 2014). Additionally, many studies fail to account for combined biomechanical exposures, despite evidence that multiple high-load tasks substantially increase osteoarthritis risk (Andersen et al., 2012; Seidler et al., 2008).</w:t>
      </w:r>
    </w:p>
    <w:p w14:paraId="4A76FCFF" w14:textId="77777777" w:rsidR="00414B3B" w:rsidRPr="00414B3B" w:rsidRDefault="00414B3B" w:rsidP="008360EC">
      <w:pPr>
        <w:jc w:val="both"/>
      </w:pPr>
      <w:r w:rsidRPr="00414B3B">
        <w:t>Evidence supporting preventive interventions such as knee pads, task rotation, and ergonomic tools remains limited, with many studies focusing on short-term symptom relief rather than long-term disease prevention (EU-OSHA, 2020; Verbeek et al., 2017; HSE, 2023). A comprehensive synthesis of epidemiological evidence is therefore required to inform occupational health policy and effective preventive strategies aimed at reducing the burden of knee osteoarthritis among manual workers (Punnett, 2014).</w:t>
      </w:r>
    </w:p>
    <w:p w14:paraId="0F2A0F29" w14:textId="2F3C68CA" w:rsidR="002640AD" w:rsidRPr="002640AD" w:rsidRDefault="002640AD" w:rsidP="008360EC">
      <w:pPr>
        <w:jc w:val="both"/>
      </w:pPr>
    </w:p>
    <w:p w14:paraId="5B94460D" w14:textId="77777777" w:rsidR="002640AD" w:rsidRPr="008360EC" w:rsidRDefault="002640AD" w:rsidP="008360EC">
      <w:pPr>
        <w:jc w:val="both"/>
        <w:rPr>
          <w:b/>
          <w:bCs/>
          <w:sz w:val="24"/>
          <w:szCs w:val="24"/>
          <w:u w:val="single"/>
        </w:rPr>
      </w:pPr>
      <w:r w:rsidRPr="008360EC">
        <w:rPr>
          <w:b/>
          <w:bCs/>
          <w:sz w:val="24"/>
          <w:szCs w:val="24"/>
          <w:u w:val="single"/>
        </w:rPr>
        <w:t>Rationale for the Study</w:t>
      </w:r>
    </w:p>
    <w:p w14:paraId="6250365D" w14:textId="77777777" w:rsidR="002640AD" w:rsidRPr="002640AD" w:rsidRDefault="002640AD" w:rsidP="008360EC">
      <w:pPr>
        <w:jc w:val="both"/>
      </w:pPr>
      <w:r w:rsidRPr="002640AD">
        <w:t>The rationale for this research proposal is grounded in the need to protect the musculoskeletal health of manual workers through evidence-based occupational health interventions. Knee osteoarthritis represents a major cause of work-related disability and loss of functional capacity, yet it is often preventable through appropriate exposure reduction and ergonomic design (Palmer et al., 2012; Hunter et al., 2020). Despite increasing recognition of occupational kneeling as a significant biomechanical risk factor, existing evidence has not been sufficiently synthesised to guide practical decision-making within occupational health and safety practice (Seidler et al., 2008).</w:t>
      </w:r>
    </w:p>
    <w:p w14:paraId="3A427F3A" w14:textId="77777777" w:rsidR="002640AD" w:rsidRPr="002640AD" w:rsidRDefault="002640AD" w:rsidP="008360EC">
      <w:pPr>
        <w:jc w:val="both"/>
      </w:pPr>
      <w:r w:rsidRPr="002640AD">
        <w:t>This study seeks to address this gap by systematically examining epidemiological evidence on the association between occupational kneeling and knee osteoarthritis. Particular emphasis will be placed on exposure duration, frequency, and intensity, as cumulative mechanical loading is thought to play a critical role in disease development (Felson, 2013). In addition, the study will explore interactions between kneeling and other biomechanical risk factors such as heavy lifting, squatting, crawling, and climbing, which commonly coexist in manual occupations (Andersen et al., 2012). By identifying effective workplace strategies and protective measures, the proposed research aims to contribute to the prevention of occupational knee osteoarthritis, reduce health inequalities, and support healthier, longer working lives among manual workers (WHO, 2022).</w:t>
      </w:r>
    </w:p>
    <w:p w14:paraId="2417AE10" w14:textId="77777777" w:rsidR="002640AD" w:rsidRPr="002640AD" w:rsidRDefault="00000000" w:rsidP="008360EC">
      <w:pPr>
        <w:jc w:val="both"/>
      </w:pPr>
      <w:r>
        <w:rPr>
          <w:noProof/>
        </w:rPr>
        <w:pict w14:anchorId="62797796">
          <v:rect id="_x0000_i1026" style="width:0;height:1.5pt" o:hralign="center" o:hrstd="t" o:hr="t" fillcolor="#a0a0a0" stroked="f"/>
        </w:pict>
      </w:r>
    </w:p>
    <w:p w14:paraId="268E564B" w14:textId="77777777" w:rsidR="008360EC" w:rsidRDefault="008360EC" w:rsidP="008360EC">
      <w:pPr>
        <w:jc w:val="both"/>
        <w:rPr>
          <w:b/>
          <w:bCs/>
        </w:rPr>
      </w:pPr>
    </w:p>
    <w:p w14:paraId="3B7D550F" w14:textId="1DECF561" w:rsidR="002640AD" w:rsidRPr="008360EC" w:rsidRDefault="002640AD" w:rsidP="008360EC">
      <w:pPr>
        <w:jc w:val="both"/>
        <w:rPr>
          <w:b/>
          <w:bCs/>
          <w:sz w:val="24"/>
          <w:szCs w:val="24"/>
        </w:rPr>
      </w:pPr>
      <w:r w:rsidRPr="008360EC">
        <w:rPr>
          <w:b/>
          <w:bCs/>
          <w:sz w:val="24"/>
          <w:szCs w:val="24"/>
        </w:rPr>
        <w:lastRenderedPageBreak/>
        <w:t>Research Aim, Objectives, and Research Questions</w:t>
      </w:r>
    </w:p>
    <w:p w14:paraId="5234F199" w14:textId="77777777" w:rsidR="002640AD" w:rsidRPr="008360EC" w:rsidRDefault="002640AD" w:rsidP="008360EC">
      <w:pPr>
        <w:jc w:val="both"/>
        <w:rPr>
          <w:b/>
          <w:bCs/>
          <w:u w:val="single"/>
        </w:rPr>
      </w:pPr>
      <w:r w:rsidRPr="008360EC">
        <w:rPr>
          <w:b/>
          <w:bCs/>
          <w:u w:val="single"/>
        </w:rPr>
        <w:t>Research Aim</w:t>
      </w:r>
    </w:p>
    <w:p w14:paraId="5425498E" w14:textId="77777777" w:rsidR="002640AD" w:rsidRPr="002640AD" w:rsidRDefault="002640AD" w:rsidP="008360EC">
      <w:pPr>
        <w:jc w:val="both"/>
      </w:pPr>
      <w:r w:rsidRPr="002640AD">
        <w:t>To critically examine epidemiological evidence on the association between occupational kneeling and the risk of developing knee osteoarthritis among manual workers.</w:t>
      </w:r>
    </w:p>
    <w:p w14:paraId="3583B7A9" w14:textId="77777777" w:rsidR="002640AD" w:rsidRPr="008360EC" w:rsidRDefault="002640AD" w:rsidP="008360EC">
      <w:pPr>
        <w:jc w:val="both"/>
        <w:rPr>
          <w:b/>
          <w:bCs/>
          <w:u w:val="single"/>
        </w:rPr>
      </w:pPr>
      <w:r w:rsidRPr="008360EC">
        <w:rPr>
          <w:b/>
          <w:bCs/>
          <w:u w:val="single"/>
        </w:rPr>
        <w:t>Research Objectives</w:t>
      </w:r>
    </w:p>
    <w:p w14:paraId="19299787" w14:textId="77777777" w:rsidR="002640AD" w:rsidRPr="002640AD" w:rsidRDefault="002640AD" w:rsidP="008360EC">
      <w:pPr>
        <w:numPr>
          <w:ilvl w:val="0"/>
          <w:numId w:val="13"/>
        </w:numPr>
        <w:jc w:val="both"/>
      </w:pPr>
      <w:r w:rsidRPr="002640AD">
        <w:t>To identify and synthesise epidemiological evidence linking occupational kneeling to knee osteoarthritis (McWilliams et al., 2011).</w:t>
      </w:r>
    </w:p>
    <w:p w14:paraId="6BA6D44E" w14:textId="77777777" w:rsidR="002640AD" w:rsidRPr="002640AD" w:rsidRDefault="002640AD" w:rsidP="008360EC">
      <w:pPr>
        <w:numPr>
          <w:ilvl w:val="0"/>
          <w:numId w:val="13"/>
        </w:numPr>
        <w:jc w:val="both"/>
      </w:pPr>
      <w:r w:rsidRPr="002640AD">
        <w:t>To explore how the duration, frequency, and intensity of occupational kneeling influence the risk of knee osteoarthritis (Seidler et al., 2008; Jensen, 2008).</w:t>
      </w:r>
    </w:p>
    <w:p w14:paraId="7A2BB25D" w14:textId="77777777" w:rsidR="002640AD" w:rsidRPr="002640AD" w:rsidRDefault="002640AD" w:rsidP="008360EC">
      <w:pPr>
        <w:numPr>
          <w:ilvl w:val="0"/>
          <w:numId w:val="13"/>
        </w:numPr>
        <w:jc w:val="both"/>
      </w:pPr>
      <w:r w:rsidRPr="002640AD">
        <w:t>To examine interactions between occupational kneeling and other biomechanical exposures, including heavy lifting, squatting, crawling, and climbing (Andersen et al., 2012).</w:t>
      </w:r>
    </w:p>
    <w:p w14:paraId="796687B4" w14:textId="77777777" w:rsidR="002640AD" w:rsidRPr="002640AD" w:rsidRDefault="002640AD" w:rsidP="008360EC">
      <w:pPr>
        <w:numPr>
          <w:ilvl w:val="0"/>
          <w:numId w:val="13"/>
        </w:numPr>
        <w:jc w:val="both"/>
      </w:pPr>
      <w:r w:rsidRPr="002640AD">
        <w:t>To identify evidence-based workplace strategies and protective measures that may mitigate the impact of occupational kneeling on knee joint health (EU-OSHA, 2020).</w:t>
      </w:r>
    </w:p>
    <w:p w14:paraId="6D70F036" w14:textId="77777777" w:rsidR="002640AD" w:rsidRPr="008360EC" w:rsidRDefault="002640AD" w:rsidP="008360EC">
      <w:pPr>
        <w:jc w:val="both"/>
        <w:rPr>
          <w:b/>
          <w:bCs/>
          <w:u w:val="single"/>
        </w:rPr>
      </w:pPr>
      <w:r w:rsidRPr="008360EC">
        <w:rPr>
          <w:b/>
          <w:bCs/>
          <w:u w:val="single"/>
        </w:rPr>
        <w:t>Research Questions</w:t>
      </w:r>
    </w:p>
    <w:p w14:paraId="20BC3025" w14:textId="77777777" w:rsidR="002640AD" w:rsidRPr="002640AD" w:rsidRDefault="002640AD" w:rsidP="008360EC">
      <w:pPr>
        <w:numPr>
          <w:ilvl w:val="0"/>
          <w:numId w:val="14"/>
        </w:numPr>
        <w:jc w:val="both"/>
      </w:pPr>
      <w:r w:rsidRPr="002640AD">
        <w:t>What is the epidemiological evidence linking occupational kneeling to knee osteoarthritis among manual workers (Palmer et al., 2012)?</w:t>
      </w:r>
    </w:p>
    <w:p w14:paraId="6E8FBDE6" w14:textId="77777777" w:rsidR="002640AD" w:rsidRPr="002640AD" w:rsidRDefault="002640AD" w:rsidP="008360EC">
      <w:pPr>
        <w:numPr>
          <w:ilvl w:val="0"/>
          <w:numId w:val="14"/>
        </w:numPr>
        <w:jc w:val="both"/>
      </w:pPr>
      <w:r w:rsidRPr="002640AD">
        <w:t>Is there a dose–response relationship between kneeling exposure and knee osteoarthritis risk (Seidler et al., 2008)?</w:t>
      </w:r>
    </w:p>
    <w:p w14:paraId="1B75252E" w14:textId="77777777" w:rsidR="002640AD" w:rsidRPr="002640AD" w:rsidRDefault="002640AD" w:rsidP="008360EC">
      <w:pPr>
        <w:numPr>
          <w:ilvl w:val="0"/>
          <w:numId w:val="14"/>
        </w:numPr>
        <w:jc w:val="both"/>
      </w:pPr>
      <w:r w:rsidRPr="002640AD">
        <w:t>How do combined biomechanical exposures modify the association between kneeling and knee osteoarthritis (Jensen et al., 2012)?</w:t>
      </w:r>
    </w:p>
    <w:p w14:paraId="78201CAA" w14:textId="77777777" w:rsidR="002640AD" w:rsidRPr="002640AD" w:rsidRDefault="002640AD" w:rsidP="008360EC">
      <w:pPr>
        <w:numPr>
          <w:ilvl w:val="0"/>
          <w:numId w:val="14"/>
        </w:numPr>
        <w:jc w:val="both"/>
      </w:pPr>
      <w:r w:rsidRPr="002640AD">
        <w:t>What workplace interventions are supported by evidence to reduce knee osteoarthritis risk among kneeling-exposed workers (Verbeek et al., 2017)?</w:t>
      </w:r>
    </w:p>
    <w:p w14:paraId="02F8A67D" w14:textId="77777777" w:rsidR="002640AD" w:rsidRPr="002640AD" w:rsidRDefault="00000000" w:rsidP="008360EC">
      <w:pPr>
        <w:jc w:val="both"/>
      </w:pPr>
      <w:r>
        <w:rPr>
          <w:noProof/>
        </w:rPr>
        <w:pict w14:anchorId="68ED9AB8">
          <v:rect id="_x0000_i1027" style="width:0;height:1.5pt" o:hralign="center" o:hrstd="t" o:hr="t" fillcolor="#a0a0a0" stroked="f"/>
        </w:pict>
      </w:r>
    </w:p>
    <w:p w14:paraId="1817BF49" w14:textId="77777777" w:rsidR="002640AD" w:rsidRPr="008360EC" w:rsidRDefault="002640AD" w:rsidP="008360EC">
      <w:pPr>
        <w:jc w:val="both"/>
        <w:rPr>
          <w:b/>
          <w:bCs/>
          <w:sz w:val="24"/>
          <w:szCs w:val="24"/>
          <w:u w:val="single"/>
        </w:rPr>
      </w:pPr>
      <w:r w:rsidRPr="008360EC">
        <w:rPr>
          <w:b/>
          <w:bCs/>
          <w:sz w:val="24"/>
          <w:szCs w:val="24"/>
          <w:u w:val="single"/>
        </w:rPr>
        <w:t>Research Methodology</w:t>
      </w:r>
    </w:p>
    <w:p w14:paraId="62121E00" w14:textId="77777777" w:rsidR="002640AD" w:rsidRPr="002640AD" w:rsidRDefault="002640AD" w:rsidP="008360EC">
      <w:pPr>
        <w:jc w:val="both"/>
      </w:pPr>
      <w:r w:rsidRPr="002640AD">
        <w:t>This study will employ a systematic literature review methodology to identify, appraise, and synthesise existing epidemiological evidence examining the association between occupational kneeling and knee osteoarthritis. A systematic review is particularly appropriate given the ethical and practical constraints of experimentally manipulating occupational exposures such as kneeling, which could place participants at risk of harm (Punnett and Wegman, 2004). This approach enables a comprehensive and structured assessment of the available evidence while minimising bias through transparent, replicable, and methodologically rigorous processes (Higgins et al., 2022).</w:t>
      </w:r>
    </w:p>
    <w:p w14:paraId="6C15C59B" w14:textId="77777777" w:rsidR="002640AD" w:rsidRPr="002640AD" w:rsidRDefault="002640AD" w:rsidP="008360EC">
      <w:pPr>
        <w:jc w:val="both"/>
      </w:pPr>
      <w:r w:rsidRPr="002640AD">
        <w:t>The review will be conducted in accordance with established guidance for systematic reviews in public health and occupational epidemiology (WHO, 2022). A predefined review protocol will be developed to guide the search strategy, inclusion and exclusion criteria, data extraction, and quality appraisal processes. Developing a protocol in advance helps to reduce the risk of selective reporting and enhances methodological transparency (Moher et al., 2009). The protocol will specify key review questions, eligibility criteria, and planned methods of synthesis.</w:t>
      </w:r>
    </w:p>
    <w:p w14:paraId="1A4AC2D2" w14:textId="77777777" w:rsidR="002640AD" w:rsidRPr="002640AD" w:rsidRDefault="002640AD" w:rsidP="008360EC">
      <w:pPr>
        <w:jc w:val="both"/>
      </w:pPr>
      <w:r w:rsidRPr="002640AD">
        <w:lastRenderedPageBreak/>
        <w:t>A systematic and reproducible search strategy will be applied across multiple electronic databases to ensure broad coverage of relevant literature, including PubMed, Scopus, and Web of Science (Verbeek et al., 2017). Search terms will be carefully selected to capture variations in terminology related to occupational kneeling, manual work, biomechanical exposure, and knee osteoarthritis. Reference lists of included studies will also be screened to identify additional relevant publications. Data extraction will be conducted using a standardised form to ensure consistency and accuracy, while quality appraisal will enable critical evaluation of methodological strengths and limitations within individual studies (Higgins et al., 2022).</w:t>
      </w:r>
    </w:p>
    <w:p w14:paraId="4120C157" w14:textId="77777777" w:rsidR="002640AD" w:rsidRPr="002640AD" w:rsidRDefault="00000000" w:rsidP="008360EC">
      <w:pPr>
        <w:jc w:val="both"/>
      </w:pPr>
      <w:r>
        <w:rPr>
          <w:noProof/>
        </w:rPr>
        <w:pict w14:anchorId="7E556DE4">
          <v:rect id="_x0000_i1028" style="width:0;height:1.5pt" o:hralign="center" o:hrstd="t" o:hr="t" fillcolor="#a0a0a0" stroked="f"/>
        </w:pict>
      </w:r>
    </w:p>
    <w:p w14:paraId="20A5F249" w14:textId="77777777" w:rsidR="002640AD" w:rsidRPr="008360EC" w:rsidRDefault="002640AD" w:rsidP="008360EC">
      <w:pPr>
        <w:jc w:val="both"/>
        <w:rPr>
          <w:b/>
          <w:bCs/>
          <w:sz w:val="24"/>
          <w:szCs w:val="24"/>
          <w:u w:val="single"/>
        </w:rPr>
      </w:pPr>
      <w:r w:rsidRPr="008360EC">
        <w:rPr>
          <w:b/>
          <w:bCs/>
          <w:sz w:val="24"/>
          <w:szCs w:val="24"/>
          <w:u w:val="single"/>
        </w:rPr>
        <w:t>Research Design</w:t>
      </w:r>
    </w:p>
    <w:p w14:paraId="1C05D094" w14:textId="37DEEA23" w:rsidR="00357F04" w:rsidRPr="00357F04" w:rsidRDefault="002640AD" w:rsidP="008360EC">
      <w:pPr>
        <w:jc w:val="both"/>
      </w:pPr>
      <w:r w:rsidRPr="002640AD">
        <w:t xml:space="preserve">The research design will involve a systematic review of observational epidemiological studies, including prospective cohort studies, case–control studies, and cross-sectional studies. </w:t>
      </w:r>
      <w:r w:rsidR="00357F04" w:rsidRPr="00357F04">
        <w:t>These study designs are most commonly used to investigate occupational risk factors and chronic disease outcomes such as knee osteoarthritis, as they allow examination of exposure–outcome relationships in real-world working populations (Checkoway et al., 2004). Cohort studies are particularly valuable for assessing temporal relationships between occupational kneeling exposure and the subsequent development of knee osteoarthritis, while case–control studies enable efficient investigation of relatively rare outcomes or conditions with long latency periods (Mann, 2003). Cross-sectional studies, although limited in their ability to establish causality, provide useful insights into prevalence patterns and exposure–outcome associations across different occupational groups (Sedgwick, 2014).</w:t>
      </w:r>
    </w:p>
    <w:p w14:paraId="261F80C1" w14:textId="77777777" w:rsidR="00357F04" w:rsidRPr="00357F04" w:rsidRDefault="00357F04" w:rsidP="008360EC">
      <w:pPr>
        <w:jc w:val="both"/>
      </w:pPr>
      <w:r w:rsidRPr="00357F04">
        <w:t>Randomised controlled trials are not expected to be available due to ethical considerations surrounding exposure to potentially harmful occupational postures such as prolonged kneeling (Coggon et al., 2015). Intentionally assigning workers to high-risk biomechanical exposures would be unethical and impractical within occupational health research settings. Consequently, observational study designs remain the most appropriate and ethically acceptable approach for examining the relationship between occupational kneeling and knee osteoarthritis risk (Pearce, 2012). However, where available, intervention studies evaluating preventive measures—such as the use of knee pads, ergonomic tools, task modification, or job rotation—may be included to provide complementary evidence regarding risk reduction and workplace protection strategies (Van der Beek et al., 2017).</w:t>
      </w:r>
    </w:p>
    <w:p w14:paraId="219B2E6D" w14:textId="77777777" w:rsidR="00357F04" w:rsidRPr="00357F04" w:rsidRDefault="00357F04" w:rsidP="008360EC">
      <w:pPr>
        <w:jc w:val="both"/>
      </w:pPr>
      <w:r w:rsidRPr="00357F04">
        <w:t>The inclusion of multiple observational study designs will allow triangulation of evidence and strengthen the overall conclusions of the review (Greenhalgh et al., 2018). Differences in study design, exposure assessment, and outcome measurement will be critically examined to identify sources of heterogeneity and methodological bias (Sanderson et al., 2007). This approach will facilitate a balanced interpretation of findings and support robust conclusions regarding occupational kneeling as a risk factor for knee osteoarthritis.</w:t>
      </w:r>
    </w:p>
    <w:p w14:paraId="5950DBEB" w14:textId="77777777" w:rsidR="00357F04" w:rsidRPr="00357F04" w:rsidRDefault="00000000" w:rsidP="008360EC">
      <w:pPr>
        <w:jc w:val="both"/>
      </w:pPr>
      <w:r>
        <w:rPr>
          <w:noProof/>
        </w:rPr>
        <w:pict w14:anchorId="45E7AAA4">
          <v:rect id="_x0000_i1029" style="width:0;height:1.5pt" o:hralign="center" o:hrstd="t" o:hr="t" fillcolor="#a0a0a0" stroked="f"/>
        </w:pict>
      </w:r>
    </w:p>
    <w:p w14:paraId="0E11BBC9" w14:textId="77777777" w:rsidR="00357F04" w:rsidRPr="008360EC" w:rsidRDefault="00357F04" w:rsidP="008360EC">
      <w:pPr>
        <w:jc w:val="both"/>
        <w:rPr>
          <w:b/>
          <w:bCs/>
          <w:sz w:val="24"/>
          <w:szCs w:val="24"/>
          <w:u w:val="single"/>
        </w:rPr>
      </w:pPr>
      <w:r w:rsidRPr="008360EC">
        <w:rPr>
          <w:b/>
          <w:bCs/>
          <w:sz w:val="24"/>
          <w:szCs w:val="24"/>
          <w:u w:val="single"/>
        </w:rPr>
        <w:t>Recruitment, Sampling, and Study Participants</w:t>
      </w:r>
    </w:p>
    <w:p w14:paraId="595DD9B2" w14:textId="77777777" w:rsidR="00357F04" w:rsidRPr="00357F04" w:rsidRDefault="00357F04" w:rsidP="008360EC">
      <w:pPr>
        <w:jc w:val="both"/>
      </w:pPr>
      <w:r w:rsidRPr="00357F04">
        <w:t>As this is a systematic review, no direct recruitment of participants will occur. Instead, the population of interest will be defined within the included studies, consistent with established systematic review methodology (Booth et al., 2016).</w:t>
      </w:r>
    </w:p>
    <w:p w14:paraId="00756D0A" w14:textId="77777777" w:rsidR="00357F04" w:rsidRPr="00357F04" w:rsidRDefault="00357F04" w:rsidP="008360EC">
      <w:pPr>
        <w:jc w:val="both"/>
        <w:rPr>
          <w:b/>
          <w:bCs/>
        </w:rPr>
      </w:pPr>
      <w:r w:rsidRPr="00357F04">
        <w:rPr>
          <w:b/>
          <w:bCs/>
        </w:rPr>
        <w:t>Target Population</w:t>
      </w:r>
    </w:p>
    <w:p w14:paraId="33E4D746" w14:textId="77777777" w:rsidR="00357F04" w:rsidRPr="00357F04" w:rsidRDefault="00357F04" w:rsidP="008360EC">
      <w:pPr>
        <w:numPr>
          <w:ilvl w:val="0"/>
          <w:numId w:val="15"/>
        </w:numPr>
        <w:jc w:val="both"/>
      </w:pPr>
      <w:r w:rsidRPr="00357F04">
        <w:t>Adult manual workers (aged 18 years and over)</w:t>
      </w:r>
    </w:p>
    <w:p w14:paraId="6D236C93" w14:textId="77777777" w:rsidR="00357F04" w:rsidRPr="00357F04" w:rsidRDefault="00357F04" w:rsidP="008360EC">
      <w:pPr>
        <w:numPr>
          <w:ilvl w:val="0"/>
          <w:numId w:val="15"/>
        </w:numPr>
        <w:jc w:val="both"/>
      </w:pPr>
      <w:r w:rsidRPr="00357F04">
        <w:lastRenderedPageBreak/>
        <w:t>Employed in occupations involving regular kneeling, such as construction work, floor laying, plumbing, mining, and agricultural work (D’Souza et al., 2020)</w:t>
      </w:r>
    </w:p>
    <w:p w14:paraId="03092813" w14:textId="77777777" w:rsidR="00357F04" w:rsidRPr="00357F04" w:rsidRDefault="00357F04" w:rsidP="008360EC">
      <w:pPr>
        <w:jc w:val="both"/>
        <w:rPr>
          <w:b/>
          <w:bCs/>
        </w:rPr>
      </w:pPr>
      <w:r w:rsidRPr="00357F04">
        <w:rPr>
          <w:b/>
          <w:bCs/>
        </w:rPr>
        <w:t>Inclusion Criteria</w:t>
      </w:r>
    </w:p>
    <w:p w14:paraId="1153028C" w14:textId="77777777" w:rsidR="00357F04" w:rsidRPr="00357F04" w:rsidRDefault="00357F04" w:rsidP="008360EC">
      <w:pPr>
        <w:numPr>
          <w:ilvl w:val="0"/>
          <w:numId w:val="20"/>
        </w:numPr>
        <w:jc w:val="both"/>
      </w:pPr>
      <w:r w:rsidRPr="00357F04">
        <w:t>Epidemiological studies involving manual workers</w:t>
      </w:r>
    </w:p>
    <w:p w14:paraId="38957DB1" w14:textId="77777777" w:rsidR="00357F04" w:rsidRPr="00357F04" w:rsidRDefault="00357F04" w:rsidP="008360EC">
      <w:pPr>
        <w:numPr>
          <w:ilvl w:val="0"/>
          <w:numId w:val="20"/>
        </w:numPr>
        <w:jc w:val="both"/>
      </w:pPr>
      <w:r w:rsidRPr="00357F04">
        <w:t>Studies assessing occupational kneeling exposure</w:t>
      </w:r>
    </w:p>
    <w:p w14:paraId="5A03CF0F" w14:textId="77777777" w:rsidR="00357F04" w:rsidRPr="00357F04" w:rsidRDefault="00357F04" w:rsidP="008360EC">
      <w:pPr>
        <w:numPr>
          <w:ilvl w:val="0"/>
          <w:numId w:val="20"/>
        </w:numPr>
        <w:jc w:val="both"/>
      </w:pPr>
      <w:r w:rsidRPr="00357F04">
        <w:t>Studies reporting knee osteoarthritis as an outcome</w:t>
      </w:r>
    </w:p>
    <w:p w14:paraId="5F2B5188" w14:textId="77777777" w:rsidR="00357F04" w:rsidRPr="00357F04" w:rsidRDefault="00357F04" w:rsidP="008360EC">
      <w:pPr>
        <w:numPr>
          <w:ilvl w:val="0"/>
          <w:numId w:val="20"/>
        </w:numPr>
        <w:jc w:val="both"/>
      </w:pPr>
      <w:r w:rsidRPr="00357F04">
        <w:t>Peer-reviewed articles published in English (Bramer et al., 2017)</w:t>
      </w:r>
    </w:p>
    <w:p w14:paraId="1BE3BB81" w14:textId="77777777" w:rsidR="00357F04" w:rsidRPr="00357F04" w:rsidRDefault="00357F04" w:rsidP="008360EC">
      <w:pPr>
        <w:jc w:val="both"/>
        <w:rPr>
          <w:b/>
          <w:bCs/>
        </w:rPr>
      </w:pPr>
      <w:r w:rsidRPr="00357F04">
        <w:rPr>
          <w:b/>
          <w:bCs/>
        </w:rPr>
        <w:t>Exclusion Criteria</w:t>
      </w:r>
    </w:p>
    <w:p w14:paraId="0A9D0953" w14:textId="77777777" w:rsidR="00357F04" w:rsidRPr="00357F04" w:rsidRDefault="00357F04" w:rsidP="008360EC">
      <w:pPr>
        <w:numPr>
          <w:ilvl w:val="0"/>
          <w:numId w:val="19"/>
        </w:numPr>
        <w:jc w:val="both"/>
      </w:pPr>
      <w:r w:rsidRPr="00357F04">
        <w:t>Studies focusing exclusively on non-occupational kneeling</w:t>
      </w:r>
    </w:p>
    <w:p w14:paraId="457B773D" w14:textId="77777777" w:rsidR="00357F04" w:rsidRPr="00357F04" w:rsidRDefault="00357F04" w:rsidP="008360EC">
      <w:pPr>
        <w:numPr>
          <w:ilvl w:val="0"/>
          <w:numId w:val="19"/>
        </w:numPr>
        <w:jc w:val="both"/>
      </w:pPr>
      <w:r w:rsidRPr="00357F04">
        <w:t>Case reports, editorials, and opinion pieces</w:t>
      </w:r>
    </w:p>
    <w:p w14:paraId="2C9A40F1" w14:textId="77777777" w:rsidR="00357F04" w:rsidRPr="00357F04" w:rsidRDefault="00357F04" w:rsidP="008360EC">
      <w:pPr>
        <w:numPr>
          <w:ilvl w:val="0"/>
          <w:numId w:val="19"/>
        </w:numPr>
        <w:jc w:val="both"/>
      </w:pPr>
      <w:r w:rsidRPr="00357F04">
        <w:t>Studies without clear exposure or outcome definitions (Liberati et al., 2009)</w:t>
      </w:r>
    </w:p>
    <w:p w14:paraId="34BA38F7" w14:textId="77777777" w:rsidR="00357F04" w:rsidRPr="00357F04" w:rsidRDefault="00000000" w:rsidP="008360EC">
      <w:pPr>
        <w:jc w:val="both"/>
      </w:pPr>
      <w:r>
        <w:rPr>
          <w:noProof/>
        </w:rPr>
        <w:pict w14:anchorId="638A2526">
          <v:rect id="_x0000_i1030" style="width:0;height:1.5pt" o:hralign="center" o:hrstd="t" o:hr="t" fillcolor="#a0a0a0" stroked="f"/>
        </w:pict>
      </w:r>
    </w:p>
    <w:p w14:paraId="67282648" w14:textId="77777777" w:rsidR="00357F04" w:rsidRPr="008360EC" w:rsidRDefault="00357F04" w:rsidP="008360EC">
      <w:pPr>
        <w:jc w:val="both"/>
        <w:rPr>
          <w:b/>
          <w:bCs/>
          <w:sz w:val="24"/>
          <w:szCs w:val="24"/>
          <w:u w:val="single"/>
        </w:rPr>
      </w:pPr>
      <w:r w:rsidRPr="008360EC">
        <w:rPr>
          <w:b/>
          <w:bCs/>
          <w:sz w:val="24"/>
          <w:szCs w:val="24"/>
          <w:u w:val="single"/>
        </w:rPr>
        <w:t>Data Collection Methods and Procedure</w:t>
      </w:r>
    </w:p>
    <w:p w14:paraId="0A518E19" w14:textId="77777777" w:rsidR="00357F04" w:rsidRPr="00357F04" w:rsidRDefault="00357F04" w:rsidP="008360EC">
      <w:pPr>
        <w:jc w:val="both"/>
      </w:pPr>
      <w:r w:rsidRPr="00357F04">
        <w:t>Data collection will involve a structured search of electronic databases such as PubMed, Scopus, CINAHL, and Web of Science to ensure comprehensive coverage of relevant occupational health literature (Bramer et al., 2017). Search terms will include combinations of keywords related to occupational kneeling, manual work, biomechanical exposure, and knee osteoarthritis, using Boolean operators to maximise sensitivity and specificity (Higgins and Green, 2011).</w:t>
      </w:r>
    </w:p>
    <w:p w14:paraId="75C504CF" w14:textId="77777777" w:rsidR="00357F04" w:rsidRPr="00357F04" w:rsidRDefault="00357F04" w:rsidP="008360EC">
      <w:pPr>
        <w:jc w:val="both"/>
      </w:pPr>
      <w:r w:rsidRPr="00357F04">
        <w:t>A two-stage screening process will be undertaken:</w:t>
      </w:r>
    </w:p>
    <w:p w14:paraId="22566E17" w14:textId="77777777" w:rsidR="00357F04" w:rsidRPr="00357F04" w:rsidRDefault="00357F04" w:rsidP="008360EC">
      <w:pPr>
        <w:numPr>
          <w:ilvl w:val="0"/>
          <w:numId w:val="18"/>
        </w:numPr>
        <w:jc w:val="both"/>
      </w:pPr>
      <w:r w:rsidRPr="00357F04">
        <w:t>Title and abstract screening</w:t>
      </w:r>
    </w:p>
    <w:p w14:paraId="68CA299E" w14:textId="77777777" w:rsidR="00357F04" w:rsidRPr="00357F04" w:rsidRDefault="00357F04" w:rsidP="008360EC">
      <w:pPr>
        <w:numPr>
          <w:ilvl w:val="0"/>
          <w:numId w:val="18"/>
        </w:numPr>
        <w:jc w:val="both"/>
      </w:pPr>
      <w:r w:rsidRPr="00357F04">
        <w:t>Full-text screening</w:t>
      </w:r>
    </w:p>
    <w:p w14:paraId="2EAB7442" w14:textId="77777777" w:rsidR="00357F04" w:rsidRPr="00357F04" w:rsidRDefault="00357F04" w:rsidP="008360EC">
      <w:pPr>
        <w:jc w:val="both"/>
      </w:pPr>
      <w:r w:rsidRPr="00357F04">
        <w:t>This approach reduces selection bias and ensures consistent application of eligibility criteria (Liberati et al., 2009). Data extraction will be conducted using a standardised data extraction form capturing study design, population characteristics, exposure assessment methods, outcome measures, key findings, and confounder adjustment (Sanderson et al., 2007).</w:t>
      </w:r>
    </w:p>
    <w:p w14:paraId="0297C400" w14:textId="77777777" w:rsidR="00357F04" w:rsidRPr="00357F04" w:rsidRDefault="00000000" w:rsidP="008360EC">
      <w:pPr>
        <w:jc w:val="both"/>
      </w:pPr>
      <w:r>
        <w:rPr>
          <w:noProof/>
        </w:rPr>
        <w:pict w14:anchorId="45C01F43">
          <v:rect id="_x0000_i1031" style="width:0;height:1.5pt" o:hralign="center" o:hrstd="t" o:hr="t" fillcolor="#a0a0a0" stroked="f"/>
        </w:pict>
      </w:r>
    </w:p>
    <w:p w14:paraId="1346D413" w14:textId="77777777" w:rsidR="00357F04" w:rsidRPr="008360EC" w:rsidRDefault="00357F04" w:rsidP="008360EC">
      <w:pPr>
        <w:jc w:val="both"/>
        <w:rPr>
          <w:b/>
          <w:bCs/>
          <w:sz w:val="24"/>
          <w:szCs w:val="24"/>
          <w:u w:val="single"/>
        </w:rPr>
      </w:pPr>
      <w:r w:rsidRPr="008360EC">
        <w:rPr>
          <w:b/>
          <w:bCs/>
          <w:sz w:val="24"/>
          <w:szCs w:val="24"/>
          <w:u w:val="single"/>
        </w:rPr>
        <w:t>Proposed Data Analysis Techniques</w:t>
      </w:r>
    </w:p>
    <w:p w14:paraId="1F42867E" w14:textId="77777777" w:rsidR="00357F04" w:rsidRPr="00357F04" w:rsidRDefault="00357F04" w:rsidP="008360EC">
      <w:pPr>
        <w:jc w:val="both"/>
      </w:pPr>
      <w:r w:rsidRPr="00357F04">
        <w:t>A narrative synthesis will be used to summarise findings due to anticipated heterogeneity in exposure measurement and outcome assessment across studies (Popay et al., 2006). Where feasible, results will be stratified according to duration and frequency of kneeling exposure, intensity of kneeling (e.g. hours per day), and combined biomechanical exposures (Ryan et al., 2019). Study quality will be assessed using a validated critical appraisal tool for observational studies, enabling evaluation of internal validity and risk of bias (Viswanathan et al., 2012). The strength, consistency, and plausibility of evidence will be evaluated to draw informed conclusions (Hill, 1965).</w:t>
      </w:r>
    </w:p>
    <w:p w14:paraId="562E52FC" w14:textId="77777777" w:rsidR="00357F04" w:rsidRPr="00357F04" w:rsidRDefault="00000000" w:rsidP="008360EC">
      <w:pPr>
        <w:jc w:val="both"/>
      </w:pPr>
      <w:r>
        <w:rPr>
          <w:noProof/>
        </w:rPr>
        <w:pict w14:anchorId="767C1BDD">
          <v:rect id="_x0000_i1032" style="width:0;height:1.5pt" o:hralign="center" o:hrstd="t" o:hr="t" fillcolor="#a0a0a0" stroked="f"/>
        </w:pict>
      </w:r>
    </w:p>
    <w:p w14:paraId="792C9695" w14:textId="77777777" w:rsidR="008360EC" w:rsidRDefault="008360EC" w:rsidP="008360EC">
      <w:pPr>
        <w:jc w:val="both"/>
        <w:rPr>
          <w:b/>
          <w:bCs/>
        </w:rPr>
      </w:pPr>
    </w:p>
    <w:p w14:paraId="4A3264C3" w14:textId="57EEA494" w:rsidR="00357F04" w:rsidRPr="008360EC" w:rsidRDefault="00357F04" w:rsidP="008360EC">
      <w:pPr>
        <w:jc w:val="both"/>
        <w:rPr>
          <w:b/>
          <w:bCs/>
          <w:sz w:val="24"/>
          <w:szCs w:val="24"/>
          <w:u w:val="single"/>
        </w:rPr>
      </w:pPr>
      <w:r w:rsidRPr="008360EC">
        <w:rPr>
          <w:b/>
          <w:bCs/>
          <w:sz w:val="24"/>
          <w:szCs w:val="24"/>
          <w:u w:val="single"/>
        </w:rPr>
        <w:lastRenderedPageBreak/>
        <w:t>Ethical Considerations</w:t>
      </w:r>
    </w:p>
    <w:p w14:paraId="0A50772B" w14:textId="77777777" w:rsidR="00357F04" w:rsidRPr="00357F04" w:rsidRDefault="00357F04" w:rsidP="008360EC">
      <w:pPr>
        <w:jc w:val="both"/>
      </w:pPr>
      <w:r w:rsidRPr="00357F04">
        <w:t>As this research involves secondary analysis of published data, formal ethical approval is not required. However, ethical principles of academic integrity, transparency, and responsible reporting will be strictly upheld throughout the research process (British Sociological Association, 2017). All sources will be accurately cited using Harvard referencing to ensure appropriate acknowledgement of original authors and to avoid plagiarism.</w:t>
      </w:r>
    </w:p>
    <w:p w14:paraId="4BF8566E" w14:textId="77777777" w:rsidR="00357F04" w:rsidRPr="00357F04" w:rsidRDefault="00357F04" w:rsidP="008360EC">
      <w:pPr>
        <w:jc w:val="both"/>
      </w:pPr>
      <w:r w:rsidRPr="00357F04">
        <w:t>Potential ethical issues include selective reporting and publication bias, which are recognised challenges in systematic reviews (Song et al., 2010). These risks will be addressed through comprehensive and transparent search strategies, clearly defined inclusion and exclusion criteria, and explicit documentation of the study selection process (Liberati et al., 2009). Critical appraisal of methodological quality will allow limitations and potential biases within individual studies to be identified and acknowledged rather than overlooked.</w:t>
      </w:r>
    </w:p>
    <w:p w14:paraId="1118A171" w14:textId="77777777" w:rsidR="00357F04" w:rsidRPr="00357F04" w:rsidRDefault="00357F04" w:rsidP="008360EC">
      <w:pPr>
        <w:jc w:val="both"/>
      </w:pPr>
      <w:r w:rsidRPr="00357F04">
        <w:t>In addition, ethical considerations relevant to occupational health research will be carefully considered. The review will recognise the ethical responsibility of employers and policymakers to protect workers from preventable harm arising from hazardous occupational exposures (ILO, 2021). Findings will be interpreted in a manner that avoids stigmatising manual workers or attributing responsibility for occupational disease to individuals rather than organisational and structural factors (Benach et al., 2014).</w:t>
      </w:r>
    </w:p>
    <w:p w14:paraId="78F6199B" w14:textId="77777777" w:rsidR="00357F04" w:rsidRPr="00357F04" w:rsidRDefault="00000000" w:rsidP="008360EC">
      <w:pPr>
        <w:jc w:val="both"/>
      </w:pPr>
      <w:r>
        <w:rPr>
          <w:noProof/>
        </w:rPr>
        <w:pict w14:anchorId="1245D4EA">
          <v:rect id="_x0000_i1033" style="width:0;height:1.5pt" o:hralign="center" o:hrstd="t" o:hr="t" fillcolor="#a0a0a0" stroked="f"/>
        </w:pict>
      </w:r>
    </w:p>
    <w:p w14:paraId="144139EF" w14:textId="77777777" w:rsidR="00357F04" w:rsidRPr="008360EC" w:rsidRDefault="00357F04" w:rsidP="008360EC">
      <w:pPr>
        <w:jc w:val="both"/>
        <w:rPr>
          <w:b/>
          <w:bCs/>
          <w:sz w:val="24"/>
          <w:szCs w:val="24"/>
          <w:u w:val="single"/>
        </w:rPr>
      </w:pPr>
      <w:r w:rsidRPr="008360EC">
        <w:rPr>
          <w:b/>
          <w:bCs/>
          <w:sz w:val="24"/>
          <w:szCs w:val="24"/>
          <w:u w:val="single"/>
        </w:rPr>
        <w:t>Implications of the Research</w:t>
      </w:r>
    </w:p>
    <w:p w14:paraId="25584B96" w14:textId="77777777" w:rsidR="00357F04" w:rsidRPr="00357F04" w:rsidRDefault="00357F04" w:rsidP="008360EC">
      <w:pPr>
        <w:jc w:val="both"/>
      </w:pPr>
      <w:r w:rsidRPr="00357F04">
        <w:t>The findings of this study are expected to have significant implications for occupational health practice, policy, and future research. Improved understanding of kneeling-related knee osteoarthritis risk can inform workplace risk assessments, ergonomic interventions, and the development of occupational exposure limits (NIOSH, 2020). The study may also identify gaps in existing evidence, guiding future primary research and long-term longitudinal studies aimed at preventing work-related musculoskeletal disorders (WHO, 2022).</w:t>
      </w:r>
    </w:p>
    <w:p w14:paraId="0BAD6B79" w14:textId="47587117" w:rsidR="000A5A01" w:rsidRPr="0030479F" w:rsidRDefault="00000000" w:rsidP="008360EC">
      <w:pPr>
        <w:jc w:val="both"/>
      </w:pPr>
      <w:r>
        <w:rPr>
          <w:noProof/>
        </w:rPr>
        <w:pict w14:anchorId="1F624D05">
          <v:rect id="_x0000_i1034" style="width:0;height:1.5pt" o:hralign="center" o:hrstd="t" o:hr="t" fillcolor="#a0a0a0" stroked="f"/>
        </w:pict>
      </w:r>
    </w:p>
    <w:p w14:paraId="28B569E6" w14:textId="77777777" w:rsidR="008360EC" w:rsidRDefault="008360EC" w:rsidP="008360EC">
      <w:pPr>
        <w:jc w:val="both"/>
        <w:rPr>
          <w:b/>
          <w:bCs/>
        </w:rPr>
      </w:pPr>
    </w:p>
    <w:p w14:paraId="3D5531B8" w14:textId="77777777" w:rsidR="008360EC" w:rsidRDefault="008360EC" w:rsidP="008360EC">
      <w:pPr>
        <w:jc w:val="both"/>
        <w:rPr>
          <w:b/>
          <w:bCs/>
        </w:rPr>
      </w:pPr>
    </w:p>
    <w:p w14:paraId="11C70497" w14:textId="77777777" w:rsidR="008360EC" w:rsidRDefault="008360EC" w:rsidP="008360EC">
      <w:pPr>
        <w:jc w:val="both"/>
        <w:rPr>
          <w:b/>
          <w:bCs/>
        </w:rPr>
      </w:pPr>
    </w:p>
    <w:p w14:paraId="159D0B0B" w14:textId="77777777" w:rsidR="008360EC" w:rsidRDefault="008360EC" w:rsidP="008360EC">
      <w:pPr>
        <w:jc w:val="both"/>
        <w:rPr>
          <w:b/>
          <w:bCs/>
        </w:rPr>
      </w:pPr>
    </w:p>
    <w:p w14:paraId="316D6F4F" w14:textId="77777777" w:rsidR="008360EC" w:rsidRDefault="008360EC" w:rsidP="008360EC">
      <w:pPr>
        <w:jc w:val="both"/>
        <w:rPr>
          <w:b/>
          <w:bCs/>
        </w:rPr>
      </w:pPr>
    </w:p>
    <w:p w14:paraId="05021A60" w14:textId="77777777" w:rsidR="008360EC" w:rsidRDefault="008360EC" w:rsidP="008360EC">
      <w:pPr>
        <w:jc w:val="both"/>
        <w:rPr>
          <w:b/>
          <w:bCs/>
        </w:rPr>
      </w:pPr>
    </w:p>
    <w:p w14:paraId="5858F589" w14:textId="77777777" w:rsidR="008360EC" w:rsidRDefault="008360EC" w:rsidP="008360EC">
      <w:pPr>
        <w:jc w:val="both"/>
        <w:rPr>
          <w:b/>
          <w:bCs/>
        </w:rPr>
      </w:pPr>
    </w:p>
    <w:p w14:paraId="3FAEB47E" w14:textId="77777777" w:rsidR="008360EC" w:rsidRDefault="008360EC" w:rsidP="008360EC">
      <w:pPr>
        <w:jc w:val="both"/>
        <w:rPr>
          <w:b/>
          <w:bCs/>
        </w:rPr>
      </w:pPr>
    </w:p>
    <w:p w14:paraId="71154BDF" w14:textId="77777777" w:rsidR="008360EC" w:rsidRDefault="008360EC" w:rsidP="008360EC">
      <w:pPr>
        <w:jc w:val="both"/>
        <w:rPr>
          <w:b/>
          <w:bCs/>
        </w:rPr>
      </w:pPr>
    </w:p>
    <w:p w14:paraId="528F5852" w14:textId="77777777" w:rsidR="008360EC" w:rsidRDefault="008360EC" w:rsidP="008360EC">
      <w:pPr>
        <w:jc w:val="both"/>
        <w:rPr>
          <w:b/>
          <w:bCs/>
        </w:rPr>
      </w:pPr>
    </w:p>
    <w:p w14:paraId="3A7863A8" w14:textId="77777777" w:rsidR="008360EC" w:rsidRDefault="008360EC" w:rsidP="008360EC">
      <w:pPr>
        <w:jc w:val="both"/>
        <w:rPr>
          <w:b/>
          <w:bCs/>
        </w:rPr>
      </w:pPr>
    </w:p>
    <w:p w14:paraId="1700AC91" w14:textId="2B0A0541" w:rsidR="000A5A01" w:rsidRDefault="000A5A01" w:rsidP="008360EC">
      <w:pPr>
        <w:jc w:val="both"/>
        <w:rPr>
          <w:b/>
          <w:bCs/>
        </w:rPr>
      </w:pPr>
      <w:r w:rsidRPr="0030479F">
        <w:rPr>
          <w:b/>
          <w:bCs/>
        </w:rPr>
        <w:lastRenderedPageBreak/>
        <w:t>Plan of Work and Time Schedule (Gantt Chart)</w:t>
      </w:r>
    </w:p>
    <w:p w14:paraId="39EDAC75" w14:textId="77777777" w:rsidR="008360EC" w:rsidRPr="00B9147C" w:rsidRDefault="008360EC" w:rsidP="008360EC">
      <w:pPr>
        <w:spacing w:line="360" w:lineRule="auto"/>
        <w:jc w:val="both"/>
        <w:rPr>
          <w:rFonts w:ascii="Arial" w:eastAsia="Aptos" w:hAnsi="Arial" w:cs="Arial"/>
          <w:sz w:val="24"/>
          <w:szCs w:val="24"/>
          <w:lang w:val="en-GB"/>
        </w:rPr>
      </w:pPr>
    </w:p>
    <w:tbl>
      <w:tblPr>
        <w:tblStyle w:val="TableGrid1"/>
        <w:tblW w:w="10659" w:type="dxa"/>
        <w:tblInd w:w="-856" w:type="dxa"/>
        <w:tblLayout w:type="fixed"/>
        <w:tblLook w:val="04A0" w:firstRow="1" w:lastRow="0" w:firstColumn="1" w:lastColumn="0" w:noHBand="0" w:noVBand="1"/>
      </w:tblPr>
      <w:tblGrid>
        <w:gridCol w:w="2228"/>
        <w:gridCol w:w="484"/>
        <w:gridCol w:w="484"/>
        <w:gridCol w:w="484"/>
        <w:gridCol w:w="484"/>
        <w:gridCol w:w="484"/>
        <w:gridCol w:w="484"/>
        <w:gridCol w:w="484"/>
        <w:gridCol w:w="484"/>
        <w:gridCol w:w="484"/>
        <w:gridCol w:w="559"/>
        <w:gridCol w:w="551"/>
        <w:gridCol w:w="559"/>
        <w:gridCol w:w="559"/>
        <w:gridCol w:w="559"/>
        <w:gridCol w:w="576"/>
        <w:gridCol w:w="712"/>
      </w:tblGrid>
      <w:tr w:rsidR="008360EC" w:rsidRPr="00B9147C" w14:paraId="1283267D" w14:textId="77777777" w:rsidTr="007F27A3">
        <w:trPr>
          <w:trHeight w:val="225"/>
        </w:trPr>
        <w:tc>
          <w:tcPr>
            <w:tcW w:w="2228" w:type="dxa"/>
            <w:hideMark/>
          </w:tcPr>
          <w:p w14:paraId="6DFDD739" w14:textId="77777777" w:rsidR="008360EC" w:rsidRPr="00B9147C" w:rsidRDefault="008360EC" w:rsidP="007F27A3">
            <w:pPr>
              <w:spacing w:line="360" w:lineRule="auto"/>
              <w:jc w:val="both"/>
              <w:rPr>
                <w:rFonts w:ascii="Arial" w:eastAsia="Aptos" w:hAnsi="Arial" w:cs="Arial"/>
                <w:b/>
                <w:bCs/>
                <w:sz w:val="18"/>
                <w:szCs w:val="18"/>
              </w:rPr>
            </w:pPr>
            <w:r w:rsidRPr="00B9147C">
              <w:rPr>
                <w:rFonts w:ascii="Arial" w:eastAsia="Aptos" w:hAnsi="Arial" w:cs="Arial"/>
                <w:b/>
                <w:bCs/>
                <w:sz w:val="18"/>
                <w:szCs w:val="18"/>
              </w:rPr>
              <w:t>Task / Activity</w:t>
            </w:r>
          </w:p>
        </w:tc>
        <w:tc>
          <w:tcPr>
            <w:tcW w:w="484" w:type="dxa"/>
            <w:hideMark/>
          </w:tcPr>
          <w:p w14:paraId="3E3693ED"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Wk1</w:t>
            </w:r>
          </w:p>
        </w:tc>
        <w:tc>
          <w:tcPr>
            <w:tcW w:w="484" w:type="dxa"/>
            <w:hideMark/>
          </w:tcPr>
          <w:p w14:paraId="4ED5CC6E"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Wk2</w:t>
            </w:r>
          </w:p>
        </w:tc>
        <w:tc>
          <w:tcPr>
            <w:tcW w:w="484" w:type="dxa"/>
            <w:hideMark/>
          </w:tcPr>
          <w:p w14:paraId="7B106FEC"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Wk3</w:t>
            </w:r>
          </w:p>
        </w:tc>
        <w:tc>
          <w:tcPr>
            <w:tcW w:w="484" w:type="dxa"/>
            <w:hideMark/>
          </w:tcPr>
          <w:p w14:paraId="40A2BA61"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Wk4</w:t>
            </w:r>
          </w:p>
        </w:tc>
        <w:tc>
          <w:tcPr>
            <w:tcW w:w="484" w:type="dxa"/>
            <w:hideMark/>
          </w:tcPr>
          <w:p w14:paraId="3DD4E8A4"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Wk5</w:t>
            </w:r>
          </w:p>
        </w:tc>
        <w:tc>
          <w:tcPr>
            <w:tcW w:w="484" w:type="dxa"/>
            <w:hideMark/>
          </w:tcPr>
          <w:p w14:paraId="2BEDA768"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Wk6</w:t>
            </w:r>
          </w:p>
        </w:tc>
        <w:tc>
          <w:tcPr>
            <w:tcW w:w="484" w:type="dxa"/>
            <w:hideMark/>
          </w:tcPr>
          <w:p w14:paraId="573C13BA"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Wk7</w:t>
            </w:r>
          </w:p>
        </w:tc>
        <w:tc>
          <w:tcPr>
            <w:tcW w:w="484" w:type="dxa"/>
            <w:hideMark/>
          </w:tcPr>
          <w:p w14:paraId="36CDA355"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Wk8</w:t>
            </w:r>
          </w:p>
        </w:tc>
        <w:tc>
          <w:tcPr>
            <w:tcW w:w="484" w:type="dxa"/>
            <w:hideMark/>
          </w:tcPr>
          <w:p w14:paraId="09FFC8C7"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Wk9</w:t>
            </w:r>
          </w:p>
        </w:tc>
        <w:tc>
          <w:tcPr>
            <w:tcW w:w="559" w:type="dxa"/>
            <w:hideMark/>
          </w:tcPr>
          <w:p w14:paraId="34C6260D"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Wk10</w:t>
            </w:r>
          </w:p>
        </w:tc>
        <w:tc>
          <w:tcPr>
            <w:tcW w:w="551" w:type="dxa"/>
            <w:hideMark/>
          </w:tcPr>
          <w:p w14:paraId="30AE9D8F"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Wk11</w:t>
            </w:r>
          </w:p>
        </w:tc>
        <w:tc>
          <w:tcPr>
            <w:tcW w:w="559" w:type="dxa"/>
            <w:hideMark/>
          </w:tcPr>
          <w:p w14:paraId="35DF52D0"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Wk12</w:t>
            </w:r>
          </w:p>
        </w:tc>
        <w:tc>
          <w:tcPr>
            <w:tcW w:w="559" w:type="dxa"/>
            <w:hideMark/>
          </w:tcPr>
          <w:p w14:paraId="5378C390"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Wk13</w:t>
            </w:r>
          </w:p>
        </w:tc>
        <w:tc>
          <w:tcPr>
            <w:tcW w:w="559" w:type="dxa"/>
            <w:hideMark/>
          </w:tcPr>
          <w:p w14:paraId="5AF34886"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Wk14</w:t>
            </w:r>
          </w:p>
        </w:tc>
        <w:tc>
          <w:tcPr>
            <w:tcW w:w="576" w:type="dxa"/>
            <w:hideMark/>
          </w:tcPr>
          <w:p w14:paraId="42321505"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Wk15</w:t>
            </w:r>
          </w:p>
        </w:tc>
        <w:tc>
          <w:tcPr>
            <w:tcW w:w="712" w:type="dxa"/>
            <w:hideMark/>
          </w:tcPr>
          <w:p w14:paraId="165D4094" w14:textId="77777777" w:rsidR="008360EC" w:rsidRPr="00B9147C" w:rsidRDefault="008360EC" w:rsidP="007F27A3">
            <w:pPr>
              <w:spacing w:line="360" w:lineRule="auto"/>
              <w:jc w:val="both"/>
              <w:rPr>
                <w:rFonts w:ascii="Arial" w:eastAsia="Aptos" w:hAnsi="Arial" w:cs="Arial"/>
                <w:b/>
                <w:bCs/>
                <w:sz w:val="14"/>
                <w:szCs w:val="14"/>
              </w:rPr>
            </w:pPr>
            <w:r w:rsidRPr="00B9147C">
              <w:rPr>
                <w:rFonts w:ascii="Arial" w:eastAsia="Aptos" w:hAnsi="Arial" w:cs="Arial"/>
                <w:b/>
                <w:bCs/>
                <w:sz w:val="14"/>
                <w:szCs w:val="14"/>
              </w:rPr>
              <w:t>Wk16</w:t>
            </w:r>
          </w:p>
        </w:tc>
      </w:tr>
      <w:tr w:rsidR="008360EC" w:rsidRPr="00B9147C" w14:paraId="7C896409" w14:textId="77777777" w:rsidTr="007F27A3">
        <w:trPr>
          <w:trHeight w:val="535"/>
        </w:trPr>
        <w:tc>
          <w:tcPr>
            <w:tcW w:w="2228" w:type="dxa"/>
            <w:hideMark/>
          </w:tcPr>
          <w:p w14:paraId="4C685024"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Submit the Ethics Form to UWTSD</w:t>
            </w:r>
          </w:p>
        </w:tc>
        <w:tc>
          <w:tcPr>
            <w:tcW w:w="484" w:type="dxa"/>
            <w:shd w:val="clear" w:color="auto" w:fill="833C0B" w:themeFill="accent2" w:themeFillShade="80"/>
          </w:tcPr>
          <w:p w14:paraId="58D760E6"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9AD4001"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67D4825"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F458EDA"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A86321C"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93D522F"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086B222"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A6CB31E"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7206DFA"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227CED5"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7C36B85D"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5A4BB2B5"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2513AB63"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EA2C270"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450A3BD9"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34A6C2BC"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2CBF7DC4" w14:textId="77777777" w:rsidTr="007F27A3">
        <w:trPr>
          <w:trHeight w:val="541"/>
        </w:trPr>
        <w:tc>
          <w:tcPr>
            <w:tcW w:w="2228" w:type="dxa"/>
            <w:hideMark/>
          </w:tcPr>
          <w:p w14:paraId="3DCFA0E2"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Search Strategy Development</w:t>
            </w:r>
          </w:p>
        </w:tc>
        <w:tc>
          <w:tcPr>
            <w:tcW w:w="484" w:type="dxa"/>
            <w:shd w:val="clear" w:color="auto" w:fill="833C0B" w:themeFill="accent2" w:themeFillShade="80"/>
          </w:tcPr>
          <w:p w14:paraId="615BE26E"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525252" w:themeFill="accent3" w:themeFillShade="80"/>
          </w:tcPr>
          <w:p w14:paraId="1D0A781F"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5AEEECA"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30B97B3"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EC7591D"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0B27206"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8CD0467"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C2ED46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B97A227"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43347C1F"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4F8A95D1"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12A243A0"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6091CA6"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569D101A"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627FA2C4"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55941391"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14A22359" w14:textId="77777777" w:rsidTr="007F27A3">
        <w:trPr>
          <w:trHeight w:val="692"/>
        </w:trPr>
        <w:tc>
          <w:tcPr>
            <w:tcW w:w="2228" w:type="dxa"/>
            <w:hideMark/>
          </w:tcPr>
          <w:p w14:paraId="494884BF"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Database Searches and Article Identification</w:t>
            </w:r>
          </w:p>
        </w:tc>
        <w:tc>
          <w:tcPr>
            <w:tcW w:w="484" w:type="dxa"/>
          </w:tcPr>
          <w:p w14:paraId="7E19643B"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2F272B43"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833C0B" w:themeFill="accent2" w:themeFillShade="80"/>
          </w:tcPr>
          <w:p w14:paraId="0CB37EB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D0FD524"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370B08D"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531EF55"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7B76F1C"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32E8034"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9F92E9F"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277E5A89"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35640C44"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5A376604"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1A519513"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46D0C9C7"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52D9A2E5"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024B0F99" w14:textId="77777777" w:rsidR="008360EC" w:rsidRPr="00B9147C" w:rsidRDefault="008360EC" w:rsidP="007F27A3">
            <w:pPr>
              <w:spacing w:line="360" w:lineRule="auto"/>
              <w:jc w:val="both"/>
              <w:rPr>
                <w:rFonts w:ascii="Arial" w:eastAsia="Aptos" w:hAnsi="Arial" w:cs="Arial"/>
                <w:sz w:val="16"/>
                <w:szCs w:val="16"/>
              </w:rPr>
            </w:pPr>
            <w:r>
              <w:rPr>
                <w:rFonts w:ascii="Arial" w:eastAsia="Aptos" w:hAnsi="Arial" w:cs="Arial"/>
                <w:sz w:val="16"/>
                <w:szCs w:val="16"/>
              </w:rPr>
              <w:t xml:space="preserve">   </w:t>
            </w:r>
          </w:p>
        </w:tc>
      </w:tr>
      <w:tr w:rsidR="008360EC" w:rsidRPr="00B9147C" w14:paraId="671BFACF" w14:textId="77777777" w:rsidTr="007F27A3">
        <w:trPr>
          <w:trHeight w:val="535"/>
        </w:trPr>
        <w:tc>
          <w:tcPr>
            <w:tcW w:w="2228" w:type="dxa"/>
            <w:hideMark/>
          </w:tcPr>
          <w:p w14:paraId="2B32BABE"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 xml:space="preserve">Screening </w:t>
            </w:r>
            <w:r>
              <w:rPr>
                <w:rFonts w:ascii="Arial" w:eastAsia="Aptos" w:hAnsi="Arial" w:cs="Arial"/>
                <w:b/>
                <w:bCs/>
                <w:sz w:val="18"/>
                <w:szCs w:val="18"/>
              </w:rPr>
              <w:t>-</w:t>
            </w:r>
            <w:r w:rsidRPr="00B9147C">
              <w:rPr>
                <w:rFonts w:ascii="Arial" w:eastAsia="Aptos" w:hAnsi="Arial" w:cs="Arial"/>
                <w:b/>
                <w:bCs/>
                <w:sz w:val="18"/>
                <w:szCs w:val="18"/>
              </w:rPr>
              <w:t>Titles and Abstracts</w:t>
            </w:r>
          </w:p>
        </w:tc>
        <w:tc>
          <w:tcPr>
            <w:tcW w:w="484" w:type="dxa"/>
          </w:tcPr>
          <w:p w14:paraId="5432D85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DA2B98E"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26B553A8"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833C0B" w:themeFill="accent2" w:themeFillShade="80"/>
          </w:tcPr>
          <w:p w14:paraId="15570A0F"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525252" w:themeFill="accent3" w:themeFillShade="80"/>
          </w:tcPr>
          <w:p w14:paraId="4729938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210C7C3B"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7069808"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303586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2624340"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4EBAC910"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6EC04A58"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61F10282"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5FA2ED5"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19E39A04"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4B985003" w14:textId="77777777" w:rsidR="008360EC" w:rsidRPr="00B9147C" w:rsidRDefault="008360EC" w:rsidP="007F27A3">
            <w:pPr>
              <w:spacing w:line="360" w:lineRule="auto"/>
              <w:jc w:val="both"/>
              <w:rPr>
                <w:rFonts w:ascii="Arial" w:eastAsia="Aptos" w:hAnsi="Arial" w:cs="Arial"/>
                <w:sz w:val="16"/>
                <w:szCs w:val="16"/>
              </w:rPr>
            </w:pPr>
            <w:r>
              <w:rPr>
                <w:rFonts w:ascii="Arial" w:eastAsia="Aptos" w:hAnsi="Arial" w:cs="Arial"/>
                <w:sz w:val="16"/>
                <w:szCs w:val="16"/>
              </w:rPr>
              <w:t xml:space="preserve"> </w:t>
            </w:r>
          </w:p>
        </w:tc>
        <w:tc>
          <w:tcPr>
            <w:tcW w:w="712" w:type="dxa"/>
            <w:hideMark/>
          </w:tcPr>
          <w:p w14:paraId="2D4264A6"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60DCF2E2" w14:textId="77777777" w:rsidTr="007F27A3">
        <w:trPr>
          <w:trHeight w:val="541"/>
        </w:trPr>
        <w:tc>
          <w:tcPr>
            <w:tcW w:w="2228" w:type="dxa"/>
            <w:hideMark/>
          </w:tcPr>
          <w:p w14:paraId="3771D47B"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 xml:space="preserve">Full-Text Screening </w:t>
            </w:r>
          </w:p>
        </w:tc>
        <w:tc>
          <w:tcPr>
            <w:tcW w:w="484" w:type="dxa"/>
          </w:tcPr>
          <w:p w14:paraId="24F14123"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65C9602"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8F3B0B4"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7CECB65"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C45911" w:themeFill="accent2" w:themeFillShade="BF"/>
          </w:tcPr>
          <w:p w14:paraId="535DD202"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833C0B" w:themeFill="accent2" w:themeFillShade="80"/>
          </w:tcPr>
          <w:p w14:paraId="514E7B5B"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525252" w:themeFill="accent3" w:themeFillShade="80"/>
          </w:tcPr>
          <w:p w14:paraId="4ADF29B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E508BF9"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FFFFFF" w:themeFill="background1"/>
          </w:tcPr>
          <w:p w14:paraId="2316D3A2"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3DC1B136"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4AB849C5"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1AF2ECA6"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46D6D39"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25042A81"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2BDF6803"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34A60A11"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47E3E602" w14:textId="77777777" w:rsidTr="007F27A3">
        <w:trPr>
          <w:trHeight w:val="692"/>
        </w:trPr>
        <w:tc>
          <w:tcPr>
            <w:tcW w:w="2228" w:type="dxa"/>
            <w:hideMark/>
          </w:tcPr>
          <w:p w14:paraId="175EB799"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Quality Appraisal of Included Studies</w:t>
            </w:r>
          </w:p>
        </w:tc>
        <w:tc>
          <w:tcPr>
            <w:tcW w:w="484" w:type="dxa"/>
          </w:tcPr>
          <w:p w14:paraId="27B626D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1FD2A8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85437E8"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1F19D18"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D246513"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C45911" w:themeFill="accent2" w:themeFillShade="BF"/>
          </w:tcPr>
          <w:p w14:paraId="7846956A"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833C0B" w:themeFill="accent2" w:themeFillShade="80"/>
          </w:tcPr>
          <w:p w14:paraId="46DF0C1A"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525252" w:themeFill="accent3" w:themeFillShade="80"/>
          </w:tcPr>
          <w:p w14:paraId="75E0206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2470866"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6A19FEE7"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0254D98F"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0C2AFD2C"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683F39A1"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5C92D29C"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07A68244"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19E02B25"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723EE78F" w14:textId="77777777" w:rsidTr="007F27A3">
        <w:trPr>
          <w:trHeight w:val="382"/>
        </w:trPr>
        <w:tc>
          <w:tcPr>
            <w:tcW w:w="2228" w:type="dxa"/>
            <w:hideMark/>
          </w:tcPr>
          <w:p w14:paraId="0CFBC414"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Data Extraction</w:t>
            </w:r>
          </w:p>
        </w:tc>
        <w:tc>
          <w:tcPr>
            <w:tcW w:w="484" w:type="dxa"/>
          </w:tcPr>
          <w:p w14:paraId="319DF594"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3E2FF17"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660E46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E273575"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13AB4E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439DA61"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A7B8F62"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833C0B" w:themeFill="accent2" w:themeFillShade="80"/>
          </w:tcPr>
          <w:p w14:paraId="01387BC5"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525252" w:themeFill="accent3" w:themeFillShade="80"/>
          </w:tcPr>
          <w:p w14:paraId="6EF0EDE2"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2BE2F595"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3CF42B86"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E3677B6"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0A9B7EA0"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0A557D32"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0CB09C11"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6E5FF4CA"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485E13FA" w14:textId="77777777" w:rsidTr="007F27A3">
        <w:trPr>
          <w:trHeight w:val="377"/>
        </w:trPr>
        <w:tc>
          <w:tcPr>
            <w:tcW w:w="2228" w:type="dxa"/>
            <w:hideMark/>
          </w:tcPr>
          <w:p w14:paraId="724654A7"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 xml:space="preserve">Data Analysis </w:t>
            </w:r>
          </w:p>
        </w:tc>
        <w:tc>
          <w:tcPr>
            <w:tcW w:w="484" w:type="dxa"/>
          </w:tcPr>
          <w:p w14:paraId="0F2A86AD"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D7D660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EBEEEF4"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DE208A3"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3725B1C"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51E31CA"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268EC72"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E43B7FD"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833C0B" w:themeFill="accent2" w:themeFillShade="80"/>
          </w:tcPr>
          <w:p w14:paraId="36F6584D"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23A65153"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3E8A9E57"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66E94A7E"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1EDBAA47"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6C202BD9"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293F1DAB"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7561EA15"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39A0D342" w14:textId="77777777" w:rsidTr="007F27A3">
        <w:trPr>
          <w:trHeight w:val="335"/>
        </w:trPr>
        <w:tc>
          <w:tcPr>
            <w:tcW w:w="2228" w:type="dxa"/>
            <w:hideMark/>
          </w:tcPr>
          <w:p w14:paraId="5C312A78"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Drafting Chapter</w:t>
            </w:r>
            <w:r>
              <w:rPr>
                <w:rFonts w:ascii="Arial" w:eastAsia="Aptos" w:hAnsi="Arial" w:cs="Arial"/>
                <w:b/>
                <w:bCs/>
                <w:sz w:val="18"/>
                <w:szCs w:val="18"/>
              </w:rPr>
              <w:t xml:space="preserve"> 1 and 2</w:t>
            </w:r>
            <w:r w:rsidRPr="00B9147C">
              <w:rPr>
                <w:rFonts w:ascii="Arial" w:eastAsia="Aptos" w:hAnsi="Arial" w:cs="Arial"/>
                <w:b/>
                <w:bCs/>
                <w:sz w:val="18"/>
                <w:szCs w:val="18"/>
              </w:rPr>
              <w:t xml:space="preserve"> </w:t>
            </w:r>
          </w:p>
        </w:tc>
        <w:tc>
          <w:tcPr>
            <w:tcW w:w="484" w:type="dxa"/>
          </w:tcPr>
          <w:p w14:paraId="653736D3"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23F38D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E733637"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4F3ADBA"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35C98ED"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2263AC91"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4E002CD"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0D8614C" w14:textId="77777777" w:rsidR="008360EC" w:rsidRPr="00B9147C" w:rsidRDefault="008360EC" w:rsidP="007F27A3">
            <w:pPr>
              <w:spacing w:line="360" w:lineRule="auto"/>
              <w:jc w:val="both"/>
              <w:rPr>
                <w:rFonts w:ascii="Arial" w:eastAsia="Aptos" w:hAnsi="Arial" w:cs="Arial"/>
                <w:sz w:val="16"/>
                <w:szCs w:val="16"/>
              </w:rPr>
            </w:pPr>
          </w:p>
        </w:tc>
        <w:tc>
          <w:tcPr>
            <w:tcW w:w="484" w:type="dxa"/>
            <w:shd w:val="clear" w:color="auto" w:fill="833C0B" w:themeFill="accent2" w:themeFillShade="80"/>
          </w:tcPr>
          <w:p w14:paraId="08194687" w14:textId="77777777" w:rsidR="008360EC" w:rsidRPr="00B9147C" w:rsidRDefault="008360EC" w:rsidP="007F27A3">
            <w:pPr>
              <w:spacing w:line="360" w:lineRule="auto"/>
              <w:jc w:val="both"/>
              <w:rPr>
                <w:rFonts w:ascii="Arial" w:eastAsia="Aptos" w:hAnsi="Arial" w:cs="Arial"/>
                <w:sz w:val="16"/>
                <w:szCs w:val="16"/>
              </w:rPr>
            </w:pPr>
          </w:p>
        </w:tc>
        <w:tc>
          <w:tcPr>
            <w:tcW w:w="559" w:type="dxa"/>
            <w:shd w:val="clear" w:color="auto" w:fill="525252" w:themeFill="accent3" w:themeFillShade="80"/>
          </w:tcPr>
          <w:p w14:paraId="4CB35913"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176CFD71"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4B439771"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B159726"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0654897D"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742B3D79"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39E24C95"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39128366" w14:textId="77777777" w:rsidTr="007F27A3">
        <w:trPr>
          <w:trHeight w:val="335"/>
        </w:trPr>
        <w:tc>
          <w:tcPr>
            <w:tcW w:w="2228" w:type="dxa"/>
          </w:tcPr>
          <w:p w14:paraId="69D570BA" w14:textId="77777777" w:rsidR="008360EC" w:rsidRPr="00B9147C" w:rsidRDefault="008360EC" w:rsidP="007F27A3">
            <w:pPr>
              <w:spacing w:line="360" w:lineRule="auto"/>
              <w:jc w:val="both"/>
              <w:rPr>
                <w:rFonts w:ascii="Arial" w:eastAsia="Aptos" w:hAnsi="Arial" w:cs="Arial"/>
                <w:b/>
                <w:bCs/>
                <w:sz w:val="18"/>
                <w:szCs w:val="18"/>
              </w:rPr>
            </w:pPr>
            <w:r>
              <w:rPr>
                <w:rFonts w:ascii="Arial" w:eastAsia="Aptos" w:hAnsi="Arial" w:cs="Arial"/>
                <w:b/>
                <w:bCs/>
                <w:sz w:val="18"/>
                <w:szCs w:val="18"/>
              </w:rPr>
              <w:t>Drafting Chapter 3 and 4</w:t>
            </w:r>
          </w:p>
        </w:tc>
        <w:tc>
          <w:tcPr>
            <w:tcW w:w="484" w:type="dxa"/>
          </w:tcPr>
          <w:p w14:paraId="3C52830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479C696"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EC44BED"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BA1780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C85549F"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20C0937"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2CA5852"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7AB3DB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F6BA651" w14:textId="77777777" w:rsidR="008360EC" w:rsidRPr="00B9147C" w:rsidRDefault="008360EC" w:rsidP="007F27A3">
            <w:pPr>
              <w:spacing w:line="360" w:lineRule="auto"/>
              <w:jc w:val="both"/>
              <w:rPr>
                <w:rFonts w:ascii="Arial" w:eastAsia="Aptos" w:hAnsi="Arial" w:cs="Arial"/>
                <w:sz w:val="16"/>
                <w:szCs w:val="16"/>
              </w:rPr>
            </w:pPr>
          </w:p>
        </w:tc>
        <w:tc>
          <w:tcPr>
            <w:tcW w:w="559" w:type="dxa"/>
            <w:shd w:val="clear" w:color="auto" w:fill="833C0B" w:themeFill="accent2" w:themeFillShade="80"/>
          </w:tcPr>
          <w:p w14:paraId="6FD84F88" w14:textId="77777777" w:rsidR="008360EC" w:rsidRPr="00B9147C" w:rsidRDefault="008360EC" w:rsidP="007F27A3">
            <w:pPr>
              <w:spacing w:line="360" w:lineRule="auto"/>
              <w:jc w:val="both"/>
              <w:rPr>
                <w:rFonts w:ascii="Arial" w:eastAsia="Aptos" w:hAnsi="Arial" w:cs="Arial"/>
                <w:sz w:val="16"/>
                <w:szCs w:val="16"/>
              </w:rPr>
            </w:pPr>
          </w:p>
        </w:tc>
        <w:tc>
          <w:tcPr>
            <w:tcW w:w="551" w:type="dxa"/>
            <w:shd w:val="clear" w:color="auto" w:fill="525252" w:themeFill="accent3" w:themeFillShade="80"/>
          </w:tcPr>
          <w:p w14:paraId="58701A01"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5FA26D1B"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5408F5B"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48C87B23"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4E28C8E7" w14:textId="77777777" w:rsidR="008360EC" w:rsidRPr="00B9147C" w:rsidRDefault="008360EC" w:rsidP="007F27A3">
            <w:pPr>
              <w:spacing w:line="360" w:lineRule="auto"/>
              <w:jc w:val="both"/>
              <w:rPr>
                <w:rFonts w:ascii="Arial" w:eastAsia="Aptos" w:hAnsi="Arial" w:cs="Arial"/>
                <w:sz w:val="16"/>
                <w:szCs w:val="16"/>
              </w:rPr>
            </w:pPr>
          </w:p>
        </w:tc>
        <w:tc>
          <w:tcPr>
            <w:tcW w:w="712" w:type="dxa"/>
          </w:tcPr>
          <w:p w14:paraId="0DB021EF"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7A403F21" w14:textId="77777777" w:rsidTr="007F27A3">
        <w:trPr>
          <w:trHeight w:val="335"/>
        </w:trPr>
        <w:tc>
          <w:tcPr>
            <w:tcW w:w="2228" w:type="dxa"/>
          </w:tcPr>
          <w:p w14:paraId="1647B507" w14:textId="77777777" w:rsidR="008360EC" w:rsidRPr="00B9147C" w:rsidRDefault="008360EC" w:rsidP="007F27A3">
            <w:pPr>
              <w:spacing w:line="360" w:lineRule="auto"/>
              <w:jc w:val="both"/>
              <w:rPr>
                <w:rFonts w:ascii="Arial" w:eastAsia="Aptos" w:hAnsi="Arial" w:cs="Arial"/>
                <w:b/>
                <w:bCs/>
                <w:sz w:val="18"/>
                <w:szCs w:val="18"/>
              </w:rPr>
            </w:pPr>
            <w:r>
              <w:rPr>
                <w:rFonts w:ascii="Arial" w:eastAsia="Aptos" w:hAnsi="Arial" w:cs="Arial"/>
                <w:b/>
                <w:bCs/>
                <w:sz w:val="18"/>
                <w:szCs w:val="18"/>
              </w:rPr>
              <w:t>Drafting Chapter 4 and 5</w:t>
            </w:r>
          </w:p>
        </w:tc>
        <w:tc>
          <w:tcPr>
            <w:tcW w:w="484" w:type="dxa"/>
          </w:tcPr>
          <w:p w14:paraId="57F88045"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35DAFC7"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C2D67E4"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24F786BF"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6F91D0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DDBBF54"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247EA48"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2BF3B42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F5340DE"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7EC526C" w14:textId="77777777" w:rsidR="008360EC" w:rsidRPr="00B9147C" w:rsidRDefault="008360EC" w:rsidP="007F27A3">
            <w:pPr>
              <w:spacing w:line="360" w:lineRule="auto"/>
              <w:jc w:val="both"/>
              <w:rPr>
                <w:rFonts w:ascii="Arial" w:eastAsia="Aptos" w:hAnsi="Arial" w:cs="Arial"/>
                <w:sz w:val="16"/>
                <w:szCs w:val="16"/>
              </w:rPr>
            </w:pPr>
          </w:p>
        </w:tc>
        <w:tc>
          <w:tcPr>
            <w:tcW w:w="551" w:type="dxa"/>
            <w:shd w:val="clear" w:color="auto" w:fill="FFFFFF" w:themeFill="background1"/>
          </w:tcPr>
          <w:p w14:paraId="4022E7E7" w14:textId="77777777" w:rsidR="008360EC" w:rsidRPr="00B9147C" w:rsidRDefault="008360EC" w:rsidP="007F27A3">
            <w:pPr>
              <w:spacing w:line="360" w:lineRule="auto"/>
              <w:jc w:val="both"/>
              <w:rPr>
                <w:rFonts w:ascii="Arial" w:eastAsia="Aptos" w:hAnsi="Arial" w:cs="Arial"/>
                <w:sz w:val="16"/>
                <w:szCs w:val="16"/>
              </w:rPr>
            </w:pPr>
          </w:p>
        </w:tc>
        <w:tc>
          <w:tcPr>
            <w:tcW w:w="559" w:type="dxa"/>
            <w:shd w:val="clear" w:color="auto" w:fill="833C0B" w:themeFill="accent2" w:themeFillShade="80"/>
          </w:tcPr>
          <w:p w14:paraId="16276DB3"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01A82B45"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2B90B53C"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698576FE" w14:textId="77777777" w:rsidR="008360EC" w:rsidRPr="00B9147C" w:rsidRDefault="008360EC" w:rsidP="007F27A3">
            <w:pPr>
              <w:spacing w:line="360" w:lineRule="auto"/>
              <w:jc w:val="both"/>
              <w:rPr>
                <w:rFonts w:ascii="Arial" w:eastAsia="Aptos" w:hAnsi="Arial" w:cs="Arial"/>
                <w:sz w:val="16"/>
                <w:szCs w:val="16"/>
              </w:rPr>
            </w:pPr>
          </w:p>
        </w:tc>
        <w:tc>
          <w:tcPr>
            <w:tcW w:w="712" w:type="dxa"/>
          </w:tcPr>
          <w:p w14:paraId="4032DC75"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3DB66C0D" w14:textId="77777777" w:rsidTr="007F27A3">
        <w:trPr>
          <w:trHeight w:val="535"/>
        </w:trPr>
        <w:tc>
          <w:tcPr>
            <w:tcW w:w="2228" w:type="dxa"/>
            <w:hideMark/>
          </w:tcPr>
          <w:p w14:paraId="0DC2D1E6"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Editing and Supervisor Feedback</w:t>
            </w:r>
          </w:p>
        </w:tc>
        <w:tc>
          <w:tcPr>
            <w:tcW w:w="484" w:type="dxa"/>
          </w:tcPr>
          <w:p w14:paraId="05FB103E"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BAACA08"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2154E87"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6725EAA"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CA6A6DB"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05BE637"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209BB0D6"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FDBC7F4"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7D9296AE"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7BAB9681"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00B9D877" w14:textId="77777777" w:rsidR="008360EC" w:rsidRPr="00B9147C" w:rsidRDefault="008360EC" w:rsidP="007F27A3">
            <w:pPr>
              <w:spacing w:line="360" w:lineRule="auto"/>
              <w:jc w:val="both"/>
              <w:rPr>
                <w:rFonts w:ascii="Arial" w:eastAsia="Aptos" w:hAnsi="Arial" w:cs="Arial"/>
                <w:sz w:val="16"/>
                <w:szCs w:val="16"/>
              </w:rPr>
            </w:pPr>
          </w:p>
        </w:tc>
        <w:tc>
          <w:tcPr>
            <w:tcW w:w="559" w:type="dxa"/>
            <w:shd w:val="clear" w:color="auto" w:fill="833C0B" w:themeFill="accent2" w:themeFillShade="80"/>
          </w:tcPr>
          <w:p w14:paraId="74B1FB9C" w14:textId="77777777" w:rsidR="008360EC" w:rsidRPr="00B9147C" w:rsidRDefault="008360EC" w:rsidP="007F27A3">
            <w:pPr>
              <w:spacing w:line="360" w:lineRule="auto"/>
              <w:jc w:val="both"/>
              <w:rPr>
                <w:rFonts w:ascii="Arial" w:eastAsia="Aptos" w:hAnsi="Arial" w:cs="Arial"/>
                <w:sz w:val="16"/>
                <w:szCs w:val="16"/>
              </w:rPr>
            </w:pPr>
          </w:p>
        </w:tc>
        <w:tc>
          <w:tcPr>
            <w:tcW w:w="559" w:type="dxa"/>
            <w:shd w:val="clear" w:color="auto" w:fill="525252" w:themeFill="accent3" w:themeFillShade="80"/>
          </w:tcPr>
          <w:p w14:paraId="6B0E7A38"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2573A6F7"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60D90581"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00B5136A"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61EC7B30" w14:textId="77777777" w:rsidTr="007F27A3">
        <w:trPr>
          <w:trHeight w:val="382"/>
        </w:trPr>
        <w:tc>
          <w:tcPr>
            <w:tcW w:w="2228" w:type="dxa"/>
            <w:hideMark/>
          </w:tcPr>
          <w:p w14:paraId="1A5BFE73"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Final Proofreading</w:t>
            </w:r>
          </w:p>
        </w:tc>
        <w:tc>
          <w:tcPr>
            <w:tcW w:w="484" w:type="dxa"/>
          </w:tcPr>
          <w:p w14:paraId="563D4AE8"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86F8AEA"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A30E45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0B3987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04ED1168"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5C18625"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C4403BB"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84FDFAE"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B44CB7C"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293F3382"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78A7C56F"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574E30E7"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6DB6F83D" w14:textId="77777777" w:rsidR="008360EC" w:rsidRPr="00B9147C" w:rsidRDefault="008360EC" w:rsidP="007F27A3">
            <w:pPr>
              <w:spacing w:line="360" w:lineRule="auto"/>
              <w:jc w:val="both"/>
              <w:rPr>
                <w:rFonts w:ascii="Arial" w:eastAsia="Aptos" w:hAnsi="Arial" w:cs="Arial"/>
                <w:sz w:val="16"/>
                <w:szCs w:val="16"/>
              </w:rPr>
            </w:pPr>
          </w:p>
        </w:tc>
        <w:tc>
          <w:tcPr>
            <w:tcW w:w="559" w:type="dxa"/>
            <w:shd w:val="clear" w:color="auto" w:fill="833C0B" w:themeFill="accent2" w:themeFillShade="80"/>
          </w:tcPr>
          <w:p w14:paraId="1F5E32B3" w14:textId="77777777" w:rsidR="008360EC" w:rsidRPr="00B9147C" w:rsidRDefault="008360EC" w:rsidP="007F27A3">
            <w:pPr>
              <w:spacing w:line="360" w:lineRule="auto"/>
              <w:jc w:val="both"/>
              <w:rPr>
                <w:rFonts w:ascii="Arial" w:eastAsia="Aptos" w:hAnsi="Arial" w:cs="Arial"/>
                <w:sz w:val="16"/>
                <w:szCs w:val="16"/>
              </w:rPr>
            </w:pPr>
          </w:p>
        </w:tc>
        <w:tc>
          <w:tcPr>
            <w:tcW w:w="576" w:type="dxa"/>
          </w:tcPr>
          <w:p w14:paraId="7BCBBE49" w14:textId="77777777" w:rsidR="008360EC" w:rsidRPr="00B9147C" w:rsidRDefault="008360EC" w:rsidP="007F27A3">
            <w:pPr>
              <w:spacing w:line="360" w:lineRule="auto"/>
              <w:jc w:val="both"/>
              <w:rPr>
                <w:rFonts w:ascii="Arial" w:eastAsia="Aptos" w:hAnsi="Arial" w:cs="Arial"/>
                <w:sz w:val="16"/>
                <w:szCs w:val="16"/>
              </w:rPr>
            </w:pPr>
          </w:p>
        </w:tc>
        <w:tc>
          <w:tcPr>
            <w:tcW w:w="712" w:type="dxa"/>
            <w:hideMark/>
          </w:tcPr>
          <w:p w14:paraId="524FFEBD" w14:textId="77777777" w:rsidR="008360EC" w:rsidRPr="00B9147C" w:rsidRDefault="008360EC" w:rsidP="007F27A3">
            <w:pPr>
              <w:spacing w:line="360" w:lineRule="auto"/>
              <w:jc w:val="both"/>
              <w:rPr>
                <w:rFonts w:ascii="Arial" w:eastAsia="Aptos" w:hAnsi="Arial" w:cs="Arial"/>
                <w:sz w:val="16"/>
                <w:szCs w:val="16"/>
              </w:rPr>
            </w:pPr>
          </w:p>
        </w:tc>
      </w:tr>
      <w:tr w:rsidR="008360EC" w:rsidRPr="00B9147C" w14:paraId="6D247784" w14:textId="77777777" w:rsidTr="007F27A3">
        <w:trPr>
          <w:trHeight w:val="377"/>
        </w:trPr>
        <w:tc>
          <w:tcPr>
            <w:tcW w:w="2228" w:type="dxa"/>
            <w:hideMark/>
          </w:tcPr>
          <w:p w14:paraId="483EDB2B" w14:textId="77777777" w:rsidR="008360EC" w:rsidRPr="00B9147C" w:rsidRDefault="008360EC" w:rsidP="007F27A3">
            <w:pPr>
              <w:spacing w:line="360" w:lineRule="auto"/>
              <w:jc w:val="both"/>
              <w:rPr>
                <w:rFonts w:ascii="Arial" w:eastAsia="Aptos" w:hAnsi="Arial" w:cs="Arial"/>
                <w:sz w:val="18"/>
                <w:szCs w:val="18"/>
              </w:rPr>
            </w:pPr>
            <w:r w:rsidRPr="00B9147C">
              <w:rPr>
                <w:rFonts w:ascii="Arial" w:eastAsia="Aptos" w:hAnsi="Arial" w:cs="Arial"/>
                <w:b/>
                <w:bCs/>
                <w:sz w:val="18"/>
                <w:szCs w:val="18"/>
              </w:rPr>
              <w:t>Final Submission</w:t>
            </w:r>
          </w:p>
        </w:tc>
        <w:tc>
          <w:tcPr>
            <w:tcW w:w="484" w:type="dxa"/>
          </w:tcPr>
          <w:p w14:paraId="2E6AEEB1"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753CF9F"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550E000"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4AAE46A7"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AD948AA"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1CC56CFD"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5CF2E779"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6DA6E452" w14:textId="77777777" w:rsidR="008360EC" w:rsidRPr="00B9147C" w:rsidRDefault="008360EC" w:rsidP="007F27A3">
            <w:pPr>
              <w:spacing w:line="360" w:lineRule="auto"/>
              <w:jc w:val="both"/>
              <w:rPr>
                <w:rFonts w:ascii="Arial" w:eastAsia="Aptos" w:hAnsi="Arial" w:cs="Arial"/>
                <w:sz w:val="16"/>
                <w:szCs w:val="16"/>
              </w:rPr>
            </w:pPr>
          </w:p>
        </w:tc>
        <w:tc>
          <w:tcPr>
            <w:tcW w:w="484" w:type="dxa"/>
          </w:tcPr>
          <w:p w14:paraId="3692160D"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1D64B8BB" w14:textId="77777777" w:rsidR="008360EC" w:rsidRPr="00B9147C" w:rsidRDefault="008360EC" w:rsidP="007F27A3">
            <w:pPr>
              <w:spacing w:line="360" w:lineRule="auto"/>
              <w:jc w:val="both"/>
              <w:rPr>
                <w:rFonts w:ascii="Arial" w:eastAsia="Aptos" w:hAnsi="Arial" w:cs="Arial"/>
                <w:sz w:val="16"/>
                <w:szCs w:val="16"/>
              </w:rPr>
            </w:pPr>
          </w:p>
        </w:tc>
        <w:tc>
          <w:tcPr>
            <w:tcW w:w="551" w:type="dxa"/>
          </w:tcPr>
          <w:p w14:paraId="3C0FA6C4"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3F7D75F5" w14:textId="77777777" w:rsidR="008360EC" w:rsidRPr="00B9147C" w:rsidRDefault="008360EC" w:rsidP="007F27A3">
            <w:pPr>
              <w:spacing w:line="360" w:lineRule="auto"/>
              <w:jc w:val="both"/>
              <w:rPr>
                <w:rFonts w:ascii="Arial" w:eastAsia="Aptos" w:hAnsi="Arial" w:cs="Arial"/>
                <w:sz w:val="16"/>
                <w:szCs w:val="16"/>
              </w:rPr>
            </w:pPr>
          </w:p>
        </w:tc>
        <w:tc>
          <w:tcPr>
            <w:tcW w:w="559" w:type="dxa"/>
          </w:tcPr>
          <w:p w14:paraId="4B232027" w14:textId="77777777" w:rsidR="008360EC" w:rsidRPr="00B9147C" w:rsidRDefault="008360EC" w:rsidP="007F27A3">
            <w:pPr>
              <w:spacing w:line="360" w:lineRule="auto"/>
              <w:jc w:val="both"/>
              <w:rPr>
                <w:rFonts w:ascii="Arial" w:eastAsia="Aptos" w:hAnsi="Arial" w:cs="Arial"/>
                <w:sz w:val="16"/>
                <w:szCs w:val="16"/>
              </w:rPr>
            </w:pPr>
          </w:p>
        </w:tc>
        <w:tc>
          <w:tcPr>
            <w:tcW w:w="559" w:type="dxa"/>
            <w:shd w:val="clear" w:color="auto" w:fill="833C0B" w:themeFill="accent2" w:themeFillShade="80"/>
          </w:tcPr>
          <w:p w14:paraId="1D956471" w14:textId="77777777" w:rsidR="008360EC" w:rsidRPr="00B9147C" w:rsidRDefault="008360EC" w:rsidP="007F27A3">
            <w:pPr>
              <w:spacing w:line="360" w:lineRule="auto"/>
              <w:jc w:val="both"/>
              <w:rPr>
                <w:rFonts w:ascii="Arial" w:eastAsia="Aptos" w:hAnsi="Arial" w:cs="Arial"/>
                <w:sz w:val="16"/>
                <w:szCs w:val="16"/>
              </w:rPr>
            </w:pPr>
          </w:p>
        </w:tc>
        <w:tc>
          <w:tcPr>
            <w:tcW w:w="576" w:type="dxa"/>
            <w:shd w:val="clear" w:color="auto" w:fill="525252" w:themeFill="accent3" w:themeFillShade="80"/>
          </w:tcPr>
          <w:p w14:paraId="073B0897" w14:textId="77777777" w:rsidR="008360EC" w:rsidRPr="00B9147C" w:rsidRDefault="008360EC" w:rsidP="007F27A3">
            <w:pPr>
              <w:spacing w:line="360" w:lineRule="auto"/>
              <w:jc w:val="both"/>
              <w:rPr>
                <w:rFonts w:ascii="Arial" w:eastAsia="Aptos" w:hAnsi="Arial" w:cs="Arial"/>
                <w:sz w:val="16"/>
                <w:szCs w:val="16"/>
              </w:rPr>
            </w:pPr>
          </w:p>
        </w:tc>
        <w:tc>
          <w:tcPr>
            <w:tcW w:w="712" w:type="dxa"/>
            <w:shd w:val="clear" w:color="auto" w:fill="525252" w:themeFill="accent3" w:themeFillShade="80"/>
            <w:hideMark/>
          </w:tcPr>
          <w:p w14:paraId="7EC52B8B" w14:textId="77777777" w:rsidR="008360EC" w:rsidRPr="00B9147C" w:rsidRDefault="008360EC" w:rsidP="007F27A3">
            <w:pPr>
              <w:spacing w:line="360" w:lineRule="auto"/>
              <w:jc w:val="both"/>
              <w:rPr>
                <w:rFonts w:ascii="Arial" w:eastAsia="Aptos" w:hAnsi="Arial" w:cs="Arial"/>
                <w:sz w:val="16"/>
                <w:szCs w:val="16"/>
              </w:rPr>
            </w:pPr>
          </w:p>
        </w:tc>
      </w:tr>
    </w:tbl>
    <w:p w14:paraId="66252447" w14:textId="77777777" w:rsidR="008360EC" w:rsidRPr="0030479F" w:rsidRDefault="008360EC" w:rsidP="008360EC">
      <w:pPr>
        <w:jc w:val="both"/>
        <w:rPr>
          <w:b/>
          <w:bCs/>
        </w:rPr>
      </w:pPr>
    </w:p>
    <w:p w14:paraId="617B8011" w14:textId="77777777" w:rsidR="008360EC" w:rsidRDefault="008360EC" w:rsidP="008360EC">
      <w:pPr>
        <w:jc w:val="both"/>
      </w:pPr>
    </w:p>
    <w:p w14:paraId="7476E8A0" w14:textId="77777777" w:rsidR="008360EC" w:rsidRDefault="008360EC" w:rsidP="008360EC">
      <w:pPr>
        <w:jc w:val="both"/>
      </w:pPr>
    </w:p>
    <w:p w14:paraId="459655B7" w14:textId="77777777" w:rsidR="008360EC" w:rsidRDefault="008360EC" w:rsidP="008360EC">
      <w:pPr>
        <w:jc w:val="both"/>
      </w:pPr>
    </w:p>
    <w:p w14:paraId="7F1BD89F" w14:textId="77777777" w:rsidR="008360EC" w:rsidRDefault="008360EC" w:rsidP="008360EC">
      <w:pPr>
        <w:jc w:val="both"/>
      </w:pPr>
    </w:p>
    <w:p w14:paraId="6F5095E5" w14:textId="77777777" w:rsidR="008360EC" w:rsidRDefault="008360EC" w:rsidP="008360EC">
      <w:pPr>
        <w:jc w:val="both"/>
      </w:pPr>
    </w:p>
    <w:p w14:paraId="0F818B10" w14:textId="77777777" w:rsidR="008360EC" w:rsidRDefault="008360EC" w:rsidP="008360EC">
      <w:pPr>
        <w:jc w:val="both"/>
      </w:pPr>
    </w:p>
    <w:p w14:paraId="314EDB30" w14:textId="77777777" w:rsidR="008360EC" w:rsidRDefault="008360EC" w:rsidP="008360EC">
      <w:pPr>
        <w:jc w:val="both"/>
      </w:pPr>
    </w:p>
    <w:p w14:paraId="3E442B58" w14:textId="77777777" w:rsidR="008360EC" w:rsidRDefault="008360EC" w:rsidP="008360EC">
      <w:pPr>
        <w:jc w:val="both"/>
      </w:pPr>
    </w:p>
    <w:p w14:paraId="5C46D667" w14:textId="77777777" w:rsidR="008360EC" w:rsidRDefault="008360EC" w:rsidP="008360EC">
      <w:pPr>
        <w:jc w:val="both"/>
      </w:pPr>
    </w:p>
    <w:p w14:paraId="09578FF6" w14:textId="2B830440" w:rsidR="008360EC" w:rsidRPr="008360EC" w:rsidRDefault="008360EC" w:rsidP="008360EC">
      <w:pPr>
        <w:jc w:val="both"/>
        <w:rPr>
          <w:rFonts w:asciiTheme="majorHAnsi" w:hAnsiTheme="majorHAnsi" w:cstheme="majorHAnsi"/>
          <w:b/>
          <w:bCs/>
          <w:sz w:val="28"/>
          <w:szCs w:val="28"/>
          <w:u w:val="single"/>
        </w:rPr>
      </w:pPr>
      <w:r w:rsidRPr="008360EC">
        <w:rPr>
          <w:rFonts w:asciiTheme="majorHAnsi" w:hAnsiTheme="majorHAnsi" w:cstheme="majorHAnsi"/>
          <w:b/>
          <w:bCs/>
          <w:sz w:val="28"/>
          <w:szCs w:val="28"/>
          <w:u w:val="single"/>
        </w:rPr>
        <w:lastRenderedPageBreak/>
        <w:t xml:space="preserve">Refence list </w:t>
      </w:r>
    </w:p>
    <w:p w14:paraId="192D89D8" w14:textId="599D79D4" w:rsidR="00414B3B" w:rsidRPr="008936A0" w:rsidRDefault="00414B3B" w:rsidP="008360EC">
      <w:pPr>
        <w:jc w:val="both"/>
      </w:pPr>
      <w:r w:rsidRPr="008936A0">
        <w:t xml:space="preserve">Benach, J., Vives, A., Tarafa, G., Delclos, C. and Muntaner, C. (2014) What should we know about precarious employment and health in 2020? Framing the agenda for the next decade of research. </w:t>
      </w:r>
      <w:r w:rsidRPr="008936A0">
        <w:rPr>
          <w:i/>
          <w:iCs/>
        </w:rPr>
        <w:t>International Journal of Epidemiology</w:t>
      </w:r>
      <w:r w:rsidRPr="008936A0">
        <w:t>, 43(1), pp. 232–238.</w:t>
      </w:r>
    </w:p>
    <w:p w14:paraId="030DDAEB" w14:textId="77777777" w:rsidR="00414B3B" w:rsidRPr="008936A0" w:rsidRDefault="00414B3B" w:rsidP="008360EC">
      <w:pPr>
        <w:jc w:val="both"/>
      </w:pPr>
      <w:r w:rsidRPr="008936A0">
        <w:t xml:space="preserve">Booth, A., Sutton, A. and Papaioannou, D. (2016) </w:t>
      </w:r>
      <w:r w:rsidRPr="008936A0">
        <w:rPr>
          <w:i/>
          <w:iCs/>
        </w:rPr>
        <w:t>Systematic approaches to a successful literature review</w:t>
      </w:r>
      <w:r w:rsidRPr="008936A0">
        <w:t>. 2nd edn. London: Sage.</w:t>
      </w:r>
    </w:p>
    <w:p w14:paraId="45942CBB" w14:textId="77777777" w:rsidR="00414B3B" w:rsidRPr="008936A0" w:rsidRDefault="00414B3B" w:rsidP="008360EC">
      <w:pPr>
        <w:jc w:val="both"/>
      </w:pPr>
      <w:r w:rsidRPr="008936A0">
        <w:t xml:space="preserve">Bramer, W.M., Giustini, D., de Jonge, G.B., Holland, L. and Bekhuis, T. (2017) De-duplication of database search results for systematic reviews in EndNote. </w:t>
      </w:r>
      <w:r w:rsidRPr="008936A0">
        <w:rPr>
          <w:i/>
          <w:iCs/>
        </w:rPr>
        <w:t>Journal of the Medical Library Association</w:t>
      </w:r>
      <w:r w:rsidRPr="008936A0">
        <w:t>, 105(1), pp. 84–87.</w:t>
      </w:r>
    </w:p>
    <w:p w14:paraId="6084E716" w14:textId="77777777" w:rsidR="00414B3B" w:rsidRPr="008936A0" w:rsidRDefault="00414B3B" w:rsidP="008360EC">
      <w:pPr>
        <w:jc w:val="both"/>
      </w:pPr>
      <w:r w:rsidRPr="008936A0">
        <w:t xml:space="preserve">British Sociological Association (2017) </w:t>
      </w:r>
      <w:r w:rsidRPr="008936A0">
        <w:rPr>
          <w:i/>
          <w:iCs/>
        </w:rPr>
        <w:t>Statement of ethical practice</w:t>
      </w:r>
      <w:r w:rsidRPr="008936A0">
        <w:t>. Durham: BSA.</w:t>
      </w:r>
    </w:p>
    <w:p w14:paraId="65A23013" w14:textId="77777777" w:rsidR="00414B3B" w:rsidRPr="008936A0" w:rsidRDefault="00414B3B" w:rsidP="008360EC">
      <w:pPr>
        <w:jc w:val="both"/>
      </w:pPr>
      <w:r w:rsidRPr="008936A0">
        <w:t xml:space="preserve">Burdorf, A., Rossignol, M., Fathallah, F.A., Snook, S.H. and Herrick, R.F. (2011) Challenges in assessing risk factors for musculoskeletal disorders. </w:t>
      </w:r>
      <w:r w:rsidRPr="008936A0">
        <w:rPr>
          <w:i/>
          <w:iCs/>
        </w:rPr>
        <w:t>Scandinavian Journal of Work, Environment &amp; Health</w:t>
      </w:r>
      <w:r w:rsidRPr="008936A0">
        <w:t>, 37(1), pp. 1–6.</w:t>
      </w:r>
    </w:p>
    <w:p w14:paraId="1A1B3720" w14:textId="77777777" w:rsidR="00414B3B" w:rsidRPr="008936A0" w:rsidRDefault="00414B3B" w:rsidP="008360EC">
      <w:pPr>
        <w:jc w:val="both"/>
      </w:pPr>
      <w:r w:rsidRPr="008936A0">
        <w:t xml:space="preserve">Checkoway, H., Pearce, N. and Kriebel, D. (2004) </w:t>
      </w:r>
      <w:r w:rsidRPr="008936A0">
        <w:rPr>
          <w:i/>
          <w:iCs/>
        </w:rPr>
        <w:t>Research methods in occupational epidemiology</w:t>
      </w:r>
      <w:r w:rsidRPr="008936A0">
        <w:t>. 2nd edn. Oxford: Oxford University Press.</w:t>
      </w:r>
    </w:p>
    <w:p w14:paraId="211E8185" w14:textId="77777777" w:rsidR="00414B3B" w:rsidRPr="008936A0" w:rsidRDefault="00414B3B" w:rsidP="008360EC">
      <w:pPr>
        <w:jc w:val="both"/>
      </w:pPr>
      <w:r w:rsidRPr="008936A0">
        <w:t xml:space="preserve">Coggon, D., Ntani, G., Palmer, K.T., Felli, V.E., Harari, R., Barrero, L.H., Felknor, S.A., Gimeno, D., Cattrell, A., Vargas-Prada, S. and Bonzini, M. (2015) Disabling musculoskeletal pain in working populations. </w:t>
      </w:r>
      <w:r w:rsidRPr="008936A0">
        <w:rPr>
          <w:i/>
          <w:iCs/>
        </w:rPr>
        <w:t>Occupational and Environmental Medicine</w:t>
      </w:r>
      <w:r w:rsidRPr="008936A0">
        <w:t>, 72(5), pp. 303–310.</w:t>
      </w:r>
    </w:p>
    <w:p w14:paraId="2A5B9C51" w14:textId="77777777" w:rsidR="00414B3B" w:rsidRPr="008936A0" w:rsidRDefault="00414B3B" w:rsidP="008360EC">
      <w:pPr>
        <w:jc w:val="both"/>
      </w:pPr>
      <w:r w:rsidRPr="008936A0">
        <w:t xml:space="preserve">D’Souza, J.C., Werner, R.A. and Keyserling, W.M. (2020) Occupational exposure and knee osteoarthritis. </w:t>
      </w:r>
      <w:r w:rsidRPr="008936A0">
        <w:rPr>
          <w:i/>
          <w:iCs/>
        </w:rPr>
        <w:t>American Journal of Industrial Medicine</w:t>
      </w:r>
      <w:r w:rsidRPr="008936A0">
        <w:t>, 63(6), pp. 498–508.</w:t>
      </w:r>
    </w:p>
    <w:p w14:paraId="17889077" w14:textId="77777777" w:rsidR="00414B3B" w:rsidRPr="008936A0" w:rsidRDefault="00414B3B" w:rsidP="008360EC">
      <w:pPr>
        <w:jc w:val="both"/>
      </w:pPr>
      <w:r w:rsidRPr="008936A0">
        <w:t xml:space="preserve">Felson, D.T. (2013) Osteoarthritis as a disease of mechanics. </w:t>
      </w:r>
      <w:r w:rsidRPr="008936A0">
        <w:rPr>
          <w:i/>
          <w:iCs/>
        </w:rPr>
        <w:t>Osteoarthritis and Cartilage</w:t>
      </w:r>
      <w:r w:rsidRPr="008936A0">
        <w:t>, 21(1), pp. 10–15.</w:t>
      </w:r>
    </w:p>
    <w:p w14:paraId="6D1AF22E" w14:textId="77777777" w:rsidR="00414B3B" w:rsidRPr="008936A0" w:rsidRDefault="00414B3B" w:rsidP="008360EC">
      <w:pPr>
        <w:jc w:val="both"/>
      </w:pPr>
      <w:r w:rsidRPr="008936A0">
        <w:t xml:space="preserve">Greenhalgh, T., Howick, J. and Maskrey, N. (2018) Evidence based medicine: a movement in crisis? </w:t>
      </w:r>
      <w:r w:rsidRPr="008936A0">
        <w:rPr>
          <w:i/>
          <w:iCs/>
        </w:rPr>
        <w:t>BMJ</w:t>
      </w:r>
      <w:r w:rsidRPr="008936A0">
        <w:t>, 348, g3725.</w:t>
      </w:r>
    </w:p>
    <w:p w14:paraId="3DC9BD75" w14:textId="77777777" w:rsidR="00414B3B" w:rsidRPr="008936A0" w:rsidRDefault="00414B3B" w:rsidP="008360EC">
      <w:pPr>
        <w:jc w:val="both"/>
      </w:pPr>
      <w:r w:rsidRPr="008936A0">
        <w:t xml:space="preserve">Higgins, J.P.T. and Green, S. (2011) </w:t>
      </w:r>
      <w:r w:rsidRPr="008936A0">
        <w:rPr>
          <w:i/>
          <w:iCs/>
        </w:rPr>
        <w:t>Cochrane handbook for systematic reviews of interventions</w:t>
      </w:r>
      <w:r w:rsidRPr="008936A0">
        <w:t>. Version 5.1.0. London: The Cochrane Collaboration.</w:t>
      </w:r>
    </w:p>
    <w:p w14:paraId="7F75F6F5" w14:textId="77777777" w:rsidR="00414B3B" w:rsidRPr="008936A0" w:rsidRDefault="00414B3B" w:rsidP="008360EC">
      <w:pPr>
        <w:jc w:val="both"/>
      </w:pPr>
      <w:r w:rsidRPr="008936A0">
        <w:t xml:space="preserve">Hill, A.B. (1965) The environment and disease: association or causation? </w:t>
      </w:r>
      <w:r w:rsidRPr="008936A0">
        <w:rPr>
          <w:i/>
          <w:iCs/>
        </w:rPr>
        <w:t>Proceedings of the Royal Society of Medicine</w:t>
      </w:r>
      <w:r w:rsidRPr="008936A0">
        <w:t>, 58(5), pp. 295–300.</w:t>
      </w:r>
    </w:p>
    <w:p w14:paraId="6B9023D1" w14:textId="77777777" w:rsidR="00414B3B" w:rsidRDefault="00414B3B" w:rsidP="008360EC">
      <w:pPr>
        <w:jc w:val="both"/>
      </w:pPr>
      <w:r w:rsidRPr="008936A0">
        <w:t xml:space="preserve">International Labour Organization (ILO) (2021) </w:t>
      </w:r>
      <w:r w:rsidRPr="008936A0">
        <w:rPr>
          <w:i/>
          <w:iCs/>
        </w:rPr>
        <w:t>Safety and health at the heart of the future of work</w:t>
      </w:r>
      <w:r w:rsidRPr="008936A0">
        <w:t>. Geneva: ILO.</w:t>
      </w:r>
    </w:p>
    <w:p w14:paraId="13BAEADC" w14:textId="77777777" w:rsidR="00414B3B" w:rsidRPr="008936A0" w:rsidRDefault="00414B3B" w:rsidP="008360EC">
      <w:pPr>
        <w:jc w:val="both"/>
      </w:pPr>
      <w:r w:rsidRPr="008936A0">
        <w:t xml:space="preserve">Klussmann, A., Gebhardt, H., Liebers, F. and Rieger, M.A. (2010) </w:t>
      </w:r>
      <w:r w:rsidRPr="008936A0">
        <w:rPr>
          <w:i/>
          <w:iCs/>
        </w:rPr>
        <w:t>Individual and occupational risk factors for knee osteoarthritis: results of a case–control study</w:t>
      </w:r>
      <w:r w:rsidRPr="008936A0">
        <w:t>. Occupational and Environmental Medicine, 67(5), pp. 325–332.</w:t>
      </w:r>
    </w:p>
    <w:p w14:paraId="04D0BCFD" w14:textId="77777777" w:rsidR="00414B3B" w:rsidRPr="008936A0" w:rsidRDefault="00414B3B" w:rsidP="008360EC">
      <w:pPr>
        <w:jc w:val="both"/>
      </w:pPr>
      <w:r w:rsidRPr="008936A0">
        <w:t xml:space="preserve">Liberati, A., Altman, D.G., Tetzlaff, J., Mulrow, C., Gøtzsche, P.C., Ioannidis, J.P.A., Clarke, M., Devereaux, P.J., Kleijnen, J. and Moher, D. (2009) The PRISMA statement for reporting systematic reviews and meta-analyses. </w:t>
      </w:r>
      <w:r w:rsidRPr="008936A0">
        <w:rPr>
          <w:i/>
          <w:iCs/>
        </w:rPr>
        <w:t>PLoS Medicine</w:t>
      </w:r>
      <w:r w:rsidRPr="008936A0">
        <w:t>, 6(7), e1000097.</w:t>
      </w:r>
    </w:p>
    <w:p w14:paraId="56EED8D3" w14:textId="77777777" w:rsidR="00414B3B" w:rsidRPr="008936A0" w:rsidRDefault="00414B3B" w:rsidP="008360EC">
      <w:pPr>
        <w:jc w:val="both"/>
      </w:pPr>
      <w:r w:rsidRPr="008936A0">
        <w:t xml:space="preserve">Mann, C.J. (2003) Observational research methods: research design II. </w:t>
      </w:r>
      <w:r w:rsidRPr="008936A0">
        <w:rPr>
          <w:i/>
          <w:iCs/>
        </w:rPr>
        <w:t>Emergency Medicine Journal</w:t>
      </w:r>
      <w:r w:rsidRPr="008936A0">
        <w:t>, 20(1), pp. 54–60.</w:t>
      </w:r>
    </w:p>
    <w:p w14:paraId="24010938" w14:textId="77777777" w:rsidR="00414B3B" w:rsidRPr="008936A0" w:rsidRDefault="00414B3B" w:rsidP="008360EC">
      <w:pPr>
        <w:jc w:val="both"/>
      </w:pPr>
      <w:r w:rsidRPr="008936A0">
        <w:lastRenderedPageBreak/>
        <w:t xml:space="preserve">NIOSH (2020) </w:t>
      </w:r>
      <w:r w:rsidRPr="008936A0">
        <w:rPr>
          <w:i/>
          <w:iCs/>
        </w:rPr>
        <w:t>Musculoskeletal health program</w:t>
      </w:r>
      <w:r w:rsidRPr="008936A0">
        <w:t>. Atlanta: National Institute for Occupational Safety and Health.</w:t>
      </w:r>
    </w:p>
    <w:p w14:paraId="56CB78C4" w14:textId="77777777" w:rsidR="00414B3B" w:rsidRPr="008936A0" w:rsidRDefault="00414B3B" w:rsidP="008360EC">
      <w:pPr>
        <w:jc w:val="both"/>
      </w:pPr>
      <w:r w:rsidRPr="008936A0">
        <w:t xml:space="preserve">Palmer, K.T. (2012) Occupational activities and osteoarthritis of the knee. </w:t>
      </w:r>
      <w:r w:rsidRPr="008936A0">
        <w:rPr>
          <w:i/>
          <w:iCs/>
        </w:rPr>
        <w:t>British Medical Bulletin</w:t>
      </w:r>
      <w:r w:rsidRPr="008936A0">
        <w:t>, 102(1), pp. 147–170.</w:t>
      </w:r>
    </w:p>
    <w:p w14:paraId="56E4E5B9" w14:textId="77777777" w:rsidR="00414B3B" w:rsidRPr="008936A0" w:rsidRDefault="00414B3B" w:rsidP="008360EC">
      <w:pPr>
        <w:jc w:val="both"/>
      </w:pPr>
      <w:r w:rsidRPr="008936A0">
        <w:t xml:space="preserve">Pearce, N. (2012) Classification of epidemiological study designs. </w:t>
      </w:r>
      <w:r w:rsidRPr="008936A0">
        <w:rPr>
          <w:i/>
          <w:iCs/>
        </w:rPr>
        <w:t>International Journal of Epidemiology</w:t>
      </w:r>
      <w:r w:rsidRPr="008936A0">
        <w:t>, 41(2), pp. 393–397.</w:t>
      </w:r>
    </w:p>
    <w:p w14:paraId="264DC0FA" w14:textId="77777777" w:rsidR="00414B3B" w:rsidRPr="008936A0" w:rsidRDefault="00414B3B" w:rsidP="008360EC">
      <w:pPr>
        <w:jc w:val="both"/>
      </w:pPr>
      <w:r w:rsidRPr="008936A0">
        <w:t xml:space="preserve">Petticrew, M. and Roberts, H. (2006) </w:t>
      </w:r>
      <w:r w:rsidRPr="008936A0">
        <w:rPr>
          <w:i/>
          <w:iCs/>
        </w:rPr>
        <w:t>Systematic reviews in the social sciences</w:t>
      </w:r>
      <w:r w:rsidRPr="008936A0">
        <w:t>. Oxford: Blackwell.</w:t>
      </w:r>
    </w:p>
    <w:p w14:paraId="0FF0F756" w14:textId="77777777" w:rsidR="00414B3B" w:rsidRPr="008936A0" w:rsidRDefault="00414B3B" w:rsidP="008360EC">
      <w:pPr>
        <w:jc w:val="both"/>
      </w:pPr>
      <w:r w:rsidRPr="008936A0">
        <w:t xml:space="preserve">Popay, J., Roberts, H., Sowden, A., Petticrew, M., Arai, L., Rodgers, M., Britten, N., Roen, K. and Duffy, S. (2006) </w:t>
      </w:r>
      <w:r w:rsidRPr="008936A0">
        <w:rPr>
          <w:i/>
          <w:iCs/>
        </w:rPr>
        <w:t>Guidance on the conduct of narrative synthesis in systematic reviews</w:t>
      </w:r>
      <w:r w:rsidRPr="008936A0">
        <w:t>. London: ESRC.</w:t>
      </w:r>
    </w:p>
    <w:p w14:paraId="2A4D60C8" w14:textId="77777777" w:rsidR="00414B3B" w:rsidRPr="008936A0" w:rsidRDefault="00414B3B" w:rsidP="008360EC">
      <w:pPr>
        <w:jc w:val="both"/>
      </w:pPr>
      <w:r w:rsidRPr="008936A0">
        <w:t xml:space="preserve">Punnett, L. and Wegman, D.H. (2004) Work-related musculoskeletal disorders: the epidemiologic evidence. </w:t>
      </w:r>
      <w:r w:rsidRPr="008936A0">
        <w:rPr>
          <w:i/>
          <w:iCs/>
        </w:rPr>
        <w:t>Journal of Electromyography and Kinesiology</w:t>
      </w:r>
      <w:r w:rsidRPr="008936A0">
        <w:t>, 14(1), pp. 13–23.</w:t>
      </w:r>
    </w:p>
    <w:p w14:paraId="75869785" w14:textId="77777777" w:rsidR="00414B3B" w:rsidRPr="008936A0" w:rsidRDefault="00414B3B" w:rsidP="008360EC">
      <w:pPr>
        <w:jc w:val="both"/>
      </w:pPr>
      <w:r w:rsidRPr="008936A0">
        <w:t xml:space="preserve">Ryan, C.G., Grant, P.M., Dall, P.M. and Granat, M.H. (2019) Combined biomechanical exposure and musculoskeletal risk. </w:t>
      </w:r>
      <w:r w:rsidRPr="008936A0">
        <w:rPr>
          <w:i/>
          <w:iCs/>
        </w:rPr>
        <w:t>Occupational Medicine</w:t>
      </w:r>
      <w:r w:rsidRPr="008936A0">
        <w:t>, 69(2), pp. 85–92.</w:t>
      </w:r>
    </w:p>
    <w:p w14:paraId="476FB25E" w14:textId="77777777" w:rsidR="00414B3B" w:rsidRPr="008936A0" w:rsidRDefault="00414B3B" w:rsidP="008360EC">
      <w:pPr>
        <w:jc w:val="both"/>
      </w:pPr>
      <w:r w:rsidRPr="008936A0">
        <w:t xml:space="preserve">Sanderson, S., Tatt, I.D. and Higgins, J.P.T. (2007) Tools for assessing quality and susceptibility to bias in observational studies. </w:t>
      </w:r>
      <w:r w:rsidRPr="008936A0">
        <w:rPr>
          <w:i/>
          <w:iCs/>
        </w:rPr>
        <w:t>International Journal of Epidemiology</w:t>
      </w:r>
      <w:r w:rsidRPr="008936A0">
        <w:t>, 36(3), pp. 666–676.</w:t>
      </w:r>
    </w:p>
    <w:p w14:paraId="231A8D1A" w14:textId="77777777" w:rsidR="00414B3B" w:rsidRPr="008936A0" w:rsidRDefault="00414B3B" w:rsidP="008360EC">
      <w:pPr>
        <w:jc w:val="both"/>
      </w:pPr>
      <w:r w:rsidRPr="008936A0">
        <w:t xml:space="preserve">Sedgwick, P. (2014) Cross sectional studies: advantages and disadvantages. </w:t>
      </w:r>
      <w:r w:rsidRPr="008936A0">
        <w:rPr>
          <w:i/>
          <w:iCs/>
        </w:rPr>
        <w:t>BMJ</w:t>
      </w:r>
      <w:r w:rsidRPr="008936A0">
        <w:t>, 348, g2276.</w:t>
      </w:r>
    </w:p>
    <w:p w14:paraId="4CA3E6D3" w14:textId="77777777" w:rsidR="00414B3B" w:rsidRPr="008936A0" w:rsidRDefault="00414B3B" w:rsidP="008360EC">
      <w:pPr>
        <w:jc w:val="both"/>
      </w:pPr>
      <w:r w:rsidRPr="008936A0">
        <w:t xml:space="preserve">Silverwood, V., Blagojevic-Bucknall, M., Jinks, C., Jordan, J.L., Protheroe, J. and Jordan, K.P. (2015) Current evidence on risk factors for knee osteoarthritis. </w:t>
      </w:r>
      <w:r w:rsidRPr="008936A0">
        <w:rPr>
          <w:i/>
          <w:iCs/>
        </w:rPr>
        <w:t>Osteoarthritis and Cartilage</w:t>
      </w:r>
      <w:r w:rsidRPr="008936A0">
        <w:t>, 23(4), pp. 507–515.</w:t>
      </w:r>
    </w:p>
    <w:p w14:paraId="46DB1853" w14:textId="77777777" w:rsidR="00414B3B" w:rsidRPr="008936A0" w:rsidRDefault="00414B3B" w:rsidP="008360EC">
      <w:pPr>
        <w:jc w:val="both"/>
      </w:pPr>
      <w:r w:rsidRPr="008936A0">
        <w:t xml:space="preserve">Song, F., Parekh, S., Hooper, L., Loke, Y.K., Ryder, J., Sutton, A.J., Hing, C., Kwok, C.S., Pang, C. and Harvey, I. (2010) Dissemination and publication of research findings. </w:t>
      </w:r>
      <w:r w:rsidRPr="008936A0">
        <w:rPr>
          <w:i/>
          <w:iCs/>
        </w:rPr>
        <w:t>Health Technology Assessment</w:t>
      </w:r>
      <w:r w:rsidRPr="008936A0">
        <w:t>, 14(8), pp. 1–193.</w:t>
      </w:r>
    </w:p>
    <w:p w14:paraId="5E4102AA" w14:textId="77777777" w:rsidR="00414B3B" w:rsidRPr="008936A0" w:rsidRDefault="00414B3B" w:rsidP="008360EC">
      <w:pPr>
        <w:jc w:val="both"/>
      </w:pPr>
      <w:r w:rsidRPr="008936A0">
        <w:t xml:space="preserve">Van der Beek, A.J., Dennerlein, J.T., Huysmans, M.A., Mathiassen, S.E., Burdorf, A., van Mechelen, W., van der Molen, H.F. and Frings-Dresen, M.H.W. (2017) A research framework for the development and implementation of interventions preventing work-related musculoskeletal disorders. </w:t>
      </w:r>
      <w:r w:rsidRPr="008936A0">
        <w:rPr>
          <w:i/>
          <w:iCs/>
        </w:rPr>
        <w:t>Scandinavian Journal of Work, Environment &amp; Health</w:t>
      </w:r>
      <w:r w:rsidRPr="008936A0">
        <w:t>, 43(6), pp. 526–539.</w:t>
      </w:r>
    </w:p>
    <w:p w14:paraId="7F101DC7" w14:textId="77777777" w:rsidR="00414B3B" w:rsidRPr="008936A0" w:rsidRDefault="00414B3B" w:rsidP="008360EC">
      <w:pPr>
        <w:jc w:val="both"/>
      </w:pPr>
      <w:r w:rsidRPr="008936A0">
        <w:t xml:space="preserve">Viswanathan, M., Ansari, M.T., Berkman, N.D., Chang, S., Hartling, L., McPheeters, M., Santaguida, P.L., Shamliyan, T., Singh, K., Tsertsvadze, A. and Treadwell, J.R. (2012) </w:t>
      </w:r>
      <w:r w:rsidRPr="008936A0">
        <w:rPr>
          <w:i/>
          <w:iCs/>
        </w:rPr>
        <w:t>Assessing the risk of bias of individual studies in systematic reviews</w:t>
      </w:r>
      <w:r w:rsidRPr="008936A0">
        <w:t>. Agency for Healthcare Research and Quality Methods Guide.</w:t>
      </w:r>
    </w:p>
    <w:p w14:paraId="28535C52" w14:textId="77777777" w:rsidR="00414B3B" w:rsidRPr="008936A0" w:rsidRDefault="00414B3B" w:rsidP="008360EC">
      <w:pPr>
        <w:jc w:val="both"/>
      </w:pPr>
      <w:r w:rsidRPr="008936A0">
        <w:t xml:space="preserve">WHO (2022) </w:t>
      </w:r>
      <w:r w:rsidRPr="008936A0">
        <w:rPr>
          <w:i/>
          <w:iCs/>
        </w:rPr>
        <w:t>WHO global report on health at work</w:t>
      </w:r>
      <w:r w:rsidRPr="008936A0">
        <w:t>. Geneva: World Health Organization.</w:t>
      </w:r>
    </w:p>
    <w:p w14:paraId="2109878A" w14:textId="77777777" w:rsidR="00414B3B" w:rsidRDefault="00414B3B" w:rsidP="008360EC">
      <w:pPr>
        <w:jc w:val="both"/>
      </w:pPr>
    </w:p>
    <w:p w14:paraId="05A17322" w14:textId="77777777" w:rsidR="00414B3B" w:rsidRDefault="00414B3B" w:rsidP="008360EC">
      <w:pPr>
        <w:jc w:val="both"/>
      </w:pPr>
    </w:p>
    <w:p w14:paraId="7B5566B6" w14:textId="77777777" w:rsidR="000A5A01" w:rsidRDefault="000A5A01" w:rsidP="008360EC">
      <w:pPr>
        <w:jc w:val="both"/>
      </w:pPr>
    </w:p>
    <w:sectPr w:rsidR="000A5A01" w:rsidSect="001A14DF">
      <w:head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0D523" w14:textId="77777777" w:rsidR="00C70A32" w:rsidRDefault="00C70A32" w:rsidP="002640AD">
      <w:pPr>
        <w:spacing w:after="0" w:line="240" w:lineRule="auto"/>
      </w:pPr>
      <w:r>
        <w:separator/>
      </w:r>
    </w:p>
  </w:endnote>
  <w:endnote w:type="continuationSeparator" w:id="0">
    <w:p w14:paraId="6C49D75D" w14:textId="77777777" w:rsidR="00C70A32" w:rsidRDefault="00C70A32" w:rsidP="00264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683D7" w14:textId="77777777" w:rsidR="00C70A32" w:rsidRDefault="00C70A32" w:rsidP="002640AD">
      <w:pPr>
        <w:spacing w:after="0" w:line="240" w:lineRule="auto"/>
      </w:pPr>
      <w:r>
        <w:separator/>
      </w:r>
    </w:p>
  </w:footnote>
  <w:footnote w:type="continuationSeparator" w:id="0">
    <w:p w14:paraId="65956101" w14:textId="77777777" w:rsidR="00C70A32" w:rsidRDefault="00C70A32" w:rsidP="002640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4921463"/>
      <w:docPartObj>
        <w:docPartGallery w:val="Page Numbers (Top of Page)"/>
        <w:docPartUnique/>
      </w:docPartObj>
    </w:sdtPr>
    <w:sdtEndPr>
      <w:rPr>
        <w:noProof/>
      </w:rPr>
    </w:sdtEndPr>
    <w:sdtContent>
      <w:p w14:paraId="7D883733" w14:textId="117E15A4" w:rsidR="002640AD" w:rsidRDefault="002640A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8EC62E5" w14:textId="77777777" w:rsidR="002640AD" w:rsidRDefault="002640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D5EF3"/>
    <w:multiLevelType w:val="hybridMultilevel"/>
    <w:tmpl w:val="D59439A2"/>
    <w:lvl w:ilvl="0" w:tplc="4009000F">
      <w:start w:val="1"/>
      <w:numFmt w:val="decimal"/>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1" w15:restartNumberingAfterBreak="0">
    <w:nsid w:val="0B090888"/>
    <w:multiLevelType w:val="multilevel"/>
    <w:tmpl w:val="F0C2F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47F5E"/>
    <w:multiLevelType w:val="multilevel"/>
    <w:tmpl w:val="17AA5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4328DD"/>
    <w:multiLevelType w:val="multilevel"/>
    <w:tmpl w:val="9F02B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F25FFB"/>
    <w:multiLevelType w:val="multilevel"/>
    <w:tmpl w:val="DC5C5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7C11BB"/>
    <w:multiLevelType w:val="multilevel"/>
    <w:tmpl w:val="CE02C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A0AA5"/>
    <w:multiLevelType w:val="multilevel"/>
    <w:tmpl w:val="1ED06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86B2C"/>
    <w:multiLevelType w:val="multilevel"/>
    <w:tmpl w:val="6F5C7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EE45FE"/>
    <w:multiLevelType w:val="multilevel"/>
    <w:tmpl w:val="E6EEC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B4BB4"/>
    <w:multiLevelType w:val="multilevel"/>
    <w:tmpl w:val="E6528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583BE3"/>
    <w:multiLevelType w:val="multilevel"/>
    <w:tmpl w:val="4D228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610F85"/>
    <w:multiLevelType w:val="hybridMultilevel"/>
    <w:tmpl w:val="44806AD6"/>
    <w:lvl w:ilvl="0" w:tplc="4009000F">
      <w:start w:val="1"/>
      <w:numFmt w:val="decimal"/>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12" w15:restartNumberingAfterBreak="0">
    <w:nsid w:val="3D855168"/>
    <w:multiLevelType w:val="hybridMultilevel"/>
    <w:tmpl w:val="CB96B968"/>
    <w:lvl w:ilvl="0" w:tplc="703A02E8">
      <w:start w:val="1"/>
      <w:numFmt w:val="decimal"/>
      <w:lvlText w:val="%1."/>
      <w:lvlJc w:val="left"/>
      <w:pPr>
        <w:ind w:left="644"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F9E53A5"/>
    <w:multiLevelType w:val="multilevel"/>
    <w:tmpl w:val="6040D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5F1267"/>
    <w:multiLevelType w:val="multilevel"/>
    <w:tmpl w:val="764E2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5A2C2D"/>
    <w:multiLevelType w:val="multilevel"/>
    <w:tmpl w:val="038A0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2C364A"/>
    <w:multiLevelType w:val="hybridMultilevel"/>
    <w:tmpl w:val="F4807754"/>
    <w:lvl w:ilvl="0" w:tplc="703A02E8">
      <w:start w:val="1"/>
      <w:numFmt w:val="decimal"/>
      <w:lvlText w:val="%1."/>
      <w:lvlJc w:val="lef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E5A2A7A"/>
    <w:multiLevelType w:val="multilevel"/>
    <w:tmpl w:val="78BA0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7C2BA4"/>
    <w:multiLevelType w:val="multilevel"/>
    <w:tmpl w:val="F942E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F23980"/>
    <w:multiLevelType w:val="multilevel"/>
    <w:tmpl w:val="30BCF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2348E4"/>
    <w:multiLevelType w:val="multilevel"/>
    <w:tmpl w:val="13065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4A0413"/>
    <w:multiLevelType w:val="multilevel"/>
    <w:tmpl w:val="1046C0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F57253"/>
    <w:multiLevelType w:val="multilevel"/>
    <w:tmpl w:val="6332F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EE024E"/>
    <w:multiLevelType w:val="multilevel"/>
    <w:tmpl w:val="4B10F5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321375">
    <w:abstractNumId w:val="22"/>
  </w:num>
  <w:num w:numId="2" w16cid:durableId="463618869">
    <w:abstractNumId w:val="7"/>
  </w:num>
  <w:num w:numId="3" w16cid:durableId="326173543">
    <w:abstractNumId w:val="10"/>
  </w:num>
  <w:num w:numId="4" w16cid:durableId="1522663594">
    <w:abstractNumId w:val="13"/>
  </w:num>
  <w:num w:numId="5" w16cid:durableId="192235492">
    <w:abstractNumId w:val="18"/>
  </w:num>
  <w:num w:numId="6" w16cid:durableId="1838157173">
    <w:abstractNumId w:val="5"/>
  </w:num>
  <w:num w:numId="7" w16cid:durableId="1013723680">
    <w:abstractNumId w:val="6"/>
  </w:num>
  <w:num w:numId="8" w16cid:durableId="771169217">
    <w:abstractNumId w:val="4"/>
  </w:num>
  <w:num w:numId="9" w16cid:durableId="969631057">
    <w:abstractNumId w:val="19"/>
  </w:num>
  <w:num w:numId="10" w16cid:durableId="1829519124">
    <w:abstractNumId w:val="17"/>
  </w:num>
  <w:num w:numId="11" w16cid:durableId="2006282775">
    <w:abstractNumId w:val="9"/>
  </w:num>
  <w:num w:numId="12" w16cid:durableId="2047296476">
    <w:abstractNumId w:val="20"/>
  </w:num>
  <w:num w:numId="13" w16cid:durableId="1759445838">
    <w:abstractNumId w:val="14"/>
  </w:num>
  <w:num w:numId="14" w16cid:durableId="1048258852">
    <w:abstractNumId w:val="15"/>
  </w:num>
  <w:num w:numId="15" w16cid:durableId="356932599">
    <w:abstractNumId w:val="8"/>
  </w:num>
  <w:num w:numId="16" w16cid:durableId="191457946">
    <w:abstractNumId w:val="1"/>
  </w:num>
  <w:num w:numId="17" w16cid:durableId="11732323">
    <w:abstractNumId w:val="3"/>
  </w:num>
  <w:num w:numId="18" w16cid:durableId="547453624">
    <w:abstractNumId w:val="2"/>
  </w:num>
  <w:num w:numId="19" w16cid:durableId="403570917">
    <w:abstractNumId w:val="21"/>
  </w:num>
  <w:num w:numId="20" w16cid:durableId="1556309271">
    <w:abstractNumId w:val="23"/>
  </w:num>
  <w:num w:numId="21" w16cid:durableId="65153951">
    <w:abstractNumId w:val="12"/>
  </w:num>
  <w:num w:numId="22" w16cid:durableId="302543884">
    <w:abstractNumId w:val="0"/>
  </w:num>
  <w:num w:numId="23" w16cid:durableId="862983354">
    <w:abstractNumId w:val="11"/>
  </w:num>
  <w:num w:numId="24" w16cid:durableId="5437552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A01"/>
    <w:rsid w:val="000A5A01"/>
    <w:rsid w:val="00146B2C"/>
    <w:rsid w:val="001A14DF"/>
    <w:rsid w:val="002640AD"/>
    <w:rsid w:val="00301147"/>
    <w:rsid w:val="00357F04"/>
    <w:rsid w:val="00414B3B"/>
    <w:rsid w:val="00670AD7"/>
    <w:rsid w:val="007E1A9C"/>
    <w:rsid w:val="008360EC"/>
    <w:rsid w:val="00866389"/>
    <w:rsid w:val="008936A0"/>
    <w:rsid w:val="00B13480"/>
    <w:rsid w:val="00C70A32"/>
    <w:rsid w:val="00D03F0E"/>
    <w:rsid w:val="00D41209"/>
    <w:rsid w:val="00DD09AB"/>
    <w:rsid w:val="00E061CE"/>
    <w:rsid w:val="00E2796B"/>
    <w:rsid w:val="00ED2F31"/>
    <w:rsid w:val="00F17E40"/>
    <w:rsid w:val="00FD027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2F71"/>
  <w15:chartTrackingRefBased/>
  <w15:docId w15:val="{A7B14F83-9AC4-420E-A143-9BADB5667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A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5A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A5A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5A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5A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5A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A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A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A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A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5A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A5A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5A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5A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5A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A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A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A01"/>
    <w:rPr>
      <w:rFonts w:eastAsiaTheme="majorEastAsia" w:cstheme="majorBidi"/>
      <w:color w:val="272727" w:themeColor="text1" w:themeTint="D8"/>
    </w:rPr>
  </w:style>
  <w:style w:type="paragraph" w:styleId="Title">
    <w:name w:val="Title"/>
    <w:basedOn w:val="Normal"/>
    <w:next w:val="Normal"/>
    <w:link w:val="TitleChar"/>
    <w:uiPriority w:val="10"/>
    <w:qFormat/>
    <w:rsid w:val="000A5A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A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A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A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A01"/>
    <w:pPr>
      <w:spacing w:before="160"/>
      <w:jc w:val="center"/>
    </w:pPr>
    <w:rPr>
      <w:i/>
      <w:iCs/>
      <w:color w:val="404040" w:themeColor="text1" w:themeTint="BF"/>
    </w:rPr>
  </w:style>
  <w:style w:type="character" w:customStyle="1" w:styleId="QuoteChar">
    <w:name w:val="Quote Char"/>
    <w:basedOn w:val="DefaultParagraphFont"/>
    <w:link w:val="Quote"/>
    <w:uiPriority w:val="29"/>
    <w:rsid w:val="000A5A01"/>
    <w:rPr>
      <w:i/>
      <w:iCs/>
      <w:color w:val="404040" w:themeColor="text1" w:themeTint="BF"/>
    </w:rPr>
  </w:style>
  <w:style w:type="paragraph" w:styleId="ListParagraph">
    <w:name w:val="List Paragraph"/>
    <w:basedOn w:val="Normal"/>
    <w:uiPriority w:val="34"/>
    <w:qFormat/>
    <w:rsid w:val="000A5A01"/>
    <w:pPr>
      <w:ind w:left="720"/>
      <w:contextualSpacing/>
    </w:pPr>
  </w:style>
  <w:style w:type="character" w:styleId="IntenseEmphasis">
    <w:name w:val="Intense Emphasis"/>
    <w:basedOn w:val="DefaultParagraphFont"/>
    <w:uiPriority w:val="21"/>
    <w:qFormat/>
    <w:rsid w:val="000A5A01"/>
    <w:rPr>
      <w:i/>
      <w:iCs/>
      <w:color w:val="2F5496" w:themeColor="accent1" w:themeShade="BF"/>
    </w:rPr>
  </w:style>
  <w:style w:type="paragraph" w:styleId="IntenseQuote">
    <w:name w:val="Intense Quote"/>
    <w:basedOn w:val="Normal"/>
    <w:next w:val="Normal"/>
    <w:link w:val="IntenseQuoteChar"/>
    <w:uiPriority w:val="30"/>
    <w:qFormat/>
    <w:rsid w:val="000A5A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5A01"/>
    <w:rPr>
      <w:i/>
      <w:iCs/>
      <w:color w:val="2F5496" w:themeColor="accent1" w:themeShade="BF"/>
    </w:rPr>
  </w:style>
  <w:style w:type="character" w:styleId="IntenseReference">
    <w:name w:val="Intense Reference"/>
    <w:basedOn w:val="DefaultParagraphFont"/>
    <w:uiPriority w:val="32"/>
    <w:qFormat/>
    <w:rsid w:val="000A5A01"/>
    <w:rPr>
      <w:b/>
      <w:bCs/>
      <w:smallCaps/>
      <w:color w:val="2F5496" w:themeColor="accent1" w:themeShade="BF"/>
      <w:spacing w:val="5"/>
    </w:rPr>
  </w:style>
  <w:style w:type="paragraph" w:styleId="Header">
    <w:name w:val="header"/>
    <w:basedOn w:val="Normal"/>
    <w:link w:val="HeaderChar"/>
    <w:uiPriority w:val="99"/>
    <w:unhideWhenUsed/>
    <w:rsid w:val="002640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0AD"/>
  </w:style>
  <w:style w:type="paragraph" w:styleId="Footer">
    <w:name w:val="footer"/>
    <w:basedOn w:val="Normal"/>
    <w:link w:val="FooterChar"/>
    <w:uiPriority w:val="99"/>
    <w:unhideWhenUsed/>
    <w:rsid w:val="002640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0AD"/>
  </w:style>
  <w:style w:type="paragraph" w:styleId="NormalWeb">
    <w:name w:val="Normal (Web)"/>
    <w:basedOn w:val="Normal"/>
    <w:uiPriority w:val="99"/>
    <w:semiHidden/>
    <w:unhideWhenUsed/>
    <w:rsid w:val="00357F04"/>
    <w:rPr>
      <w:rFonts w:ascii="Times New Roman" w:hAnsi="Times New Roman" w:cs="Times New Roman"/>
      <w:sz w:val="24"/>
      <w:szCs w:val="24"/>
    </w:rPr>
  </w:style>
  <w:style w:type="table" w:customStyle="1" w:styleId="TableGrid1">
    <w:name w:val="Table Grid1"/>
    <w:basedOn w:val="TableNormal"/>
    <w:next w:val="TableGrid"/>
    <w:uiPriority w:val="39"/>
    <w:rsid w:val="008360EC"/>
    <w:pPr>
      <w:spacing w:after="0" w:line="240" w:lineRule="auto"/>
    </w:pPr>
    <w:rPr>
      <w:sz w:val="24"/>
      <w:szCs w:val="24"/>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360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6">
    <w:name w:val="List Table 2 Accent 6"/>
    <w:basedOn w:val="TableNormal"/>
    <w:uiPriority w:val="47"/>
    <w:rsid w:val="00670AD7"/>
    <w:pPr>
      <w:spacing w:after="0" w:line="240" w:lineRule="auto"/>
    </w:pPr>
    <w:rPr>
      <w:kern w:val="0"/>
      <w:lang w:bidi="ar-SA"/>
      <w14:ligatures w14:val="none"/>
    </w:r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4D448C-0BFA-49F3-ADF3-3AF783697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3724</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Sanket Makwana</dc:creator>
  <cp:keywords/>
  <dc:description/>
  <cp:lastModifiedBy>Sanket Makwana</cp:lastModifiedBy>
  <cp:revision>3</cp:revision>
  <dcterms:created xsi:type="dcterms:W3CDTF">2025-12-15T17:11:00Z</dcterms:created>
  <dcterms:modified xsi:type="dcterms:W3CDTF">2025-12-15T18:00:00Z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b36f5868-dbc8-4e26-94e6-be509a2f7518</vt:lpwstr>
  </property>
</Properties>
</file>