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A94E0F" w14:textId="29CBDD39" w:rsidR="00CB292D" w:rsidRDefault="00756328" w:rsidP="00756328">
      <w:pPr>
        <w:jc w:val="right"/>
        <w:rPr>
          <w:b/>
          <w:bCs/>
          <w:color w:val="00B0F0"/>
          <w:sz w:val="32"/>
          <w:szCs w:val="32"/>
        </w:rPr>
      </w:pPr>
      <w:r w:rsidRPr="00756328">
        <w:rPr>
          <w:b/>
          <w:bCs/>
          <w:color w:val="00B0F0"/>
          <w:sz w:val="32"/>
          <w:szCs w:val="32"/>
        </w:rPr>
        <w:t>Professional Skills and Health and Safety in Construction</w:t>
      </w:r>
    </w:p>
    <w:p w14:paraId="1AA779E3" w14:textId="2AE08D5A" w:rsidR="00756328" w:rsidRDefault="00756328" w:rsidP="00756328">
      <w:pPr>
        <w:jc w:val="right"/>
        <w:rPr>
          <w:b/>
          <w:bCs/>
          <w:color w:val="00B0F0"/>
          <w:sz w:val="32"/>
          <w:szCs w:val="32"/>
        </w:rPr>
      </w:pPr>
      <w:r w:rsidRPr="00756328">
        <w:rPr>
          <w:b/>
          <w:bCs/>
          <w:color w:val="00B0F0"/>
          <w:sz w:val="32"/>
          <w:szCs w:val="32"/>
        </w:rPr>
        <w:t>Health and Safety Legislation</w:t>
      </w:r>
    </w:p>
    <w:p w14:paraId="021AC0BC" w14:textId="067BE65A" w:rsidR="00756328" w:rsidRDefault="00756328" w:rsidP="00756328">
      <w:pPr>
        <w:jc w:val="right"/>
        <w:rPr>
          <w:b/>
          <w:bCs/>
          <w:color w:val="00B0F0"/>
          <w:sz w:val="32"/>
          <w:szCs w:val="32"/>
        </w:rPr>
      </w:pPr>
      <w:r>
        <w:rPr>
          <w:b/>
          <w:bCs/>
          <w:color w:val="00B0F0"/>
          <w:sz w:val="32"/>
          <w:szCs w:val="32"/>
        </w:rPr>
        <w:t>Keaton Lewis Davies</w:t>
      </w:r>
    </w:p>
    <w:p w14:paraId="0D61EA3E" w14:textId="03E56857" w:rsidR="00FF57D2" w:rsidRDefault="00FF57D2" w:rsidP="00756328">
      <w:pPr>
        <w:jc w:val="right"/>
        <w:rPr>
          <w:b/>
          <w:bCs/>
          <w:color w:val="00B0F0"/>
          <w:sz w:val="32"/>
          <w:szCs w:val="32"/>
        </w:rPr>
      </w:pPr>
      <w:r>
        <w:rPr>
          <w:b/>
          <w:bCs/>
          <w:color w:val="00B0F0"/>
          <w:sz w:val="32"/>
          <w:szCs w:val="32"/>
        </w:rPr>
        <w:t>ACBB4003</w:t>
      </w:r>
    </w:p>
    <w:p w14:paraId="7EFAC49A" w14:textId="26C14420" w:rsidR="00756328" w:rsidRDefault="00756328" w:rsidP="00756328">
      <w:pPr>
        <w:jc w:val="right"/>
        <w:rPr>
          <w:b/>
          <w:bCs/>
          <w:color w:val="00B0F0"/>
          <w:sz w:val="32"/>
          <w:szCs w:val="32"/>
        </w:rPr>
      </w:pPr>
      <w:r>
        <w:rPr>
          <w:b/>
          <w:bCs/>
          <w:color w:val="00B0F0"/>
          <w:sz w:val="32"/>
          <w:szCs w:val="32"/>
        </w:rPr>
        <w:t>2320042</w:t>
      </w:r>
    </w:p>
    <w:p w14:paraId="630734CE" w14:textId="0CC1155B" w:rsidR="00756328" w:rsidRDefault="00756328" w:rsidP="00756328">
      <w:pPr>
        <w:jc w:val="right"/>
        <w:rPr>
          <w:b/>
          <w:bCs/>
          <w:color w:val="00B0F0"/>
          <w:sz w:val="32"/>
          <w:szCs w:val="32"/>
        </w:rPr>
      </w:pPr>
    </w:p>
    <w:p w14:paraId="56DA19B5" w14:textId="665CFEF3" w:rsidR="00756328" w:rsidRDefault="00756328" w:rsidP="00756328">
      <w:pPr>
        <w:rPr>
          <w:b/>
          <w:bCs/>
          <w:color w:val="00B0F0"/>
          <w:sz w:val="32"/>
          <w:szCs w:val="32"/>
        </w:rPr>
      </w:pPr>
      <w:r>
        <w:rPr>
          <w:b/>
          <w:bCs/>
          <w:noProof/>
          <w:color w:val="00B0F0"/>
          <w:sz w:val="32"/>
          <w:szCs w:val="32"/>
        </w:rPr>
        <w:drawing>
          <wp:anchor distT="0" distB="0" distL="114300" distR="114300" simplePos="0" relativeHeight="251658240" behindDoc="0" locked="0" layoutInCell="1" allowOverlap="1" wp14:anchorId="4C11F6F2" wp14:editId="75BC1C14">
            <wp:simplePos x="0" y="0"/>
            <wp:positionH relativeFrom="margin">
              <wp:align>right</wp:align>
            </wp:positionH>
            <wp:positionV relativeFrom="paragraph">
              <wp:posOffset>751205</wp:posOffset>
            </wp:positionV>
            <wp:extent cx="5724525" cy="3795395"/>
            <wp:effectExtent l="0" t="0" r="9525" b="0"/>
            <wp:wrapThrough wrapText="bothSides">
              <wp:wrapPolygon edited="0">
                <wp:start x="0" y="0"/>
                <wp:lineTo x="0" y="21466"/>
                <wp:lineTo x="21564" y="21466"/>
                <wp:lineTo x="21564" y="0"/>
                <wp:lineTo x="0" y="0"/>
              </wp:wrapPolygon>
            </wp:wrapThrough>
            <wp:docPr id="4629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3795395"/>
                    </a:xfrm>
                    <a:prstGeom prst="rect">
                      <a:avLst/>
                    </a:prstGeom>
                    <a:noFill/>
                  </pic:spPr>
                </pic:pic>
              </a:graphicData>
            </a:graphic>
            <wp14:sizeRelH relativeFrom="margin">
              <wp14:pctWidth>0</wp14:pctWidth>
            </wp14:sizeRelH>
            <wp14:sizeRelV relativeFrom="margin">
              <wp14:pctHeight>0</wp14:pctHeight>
            </wp14:sizeRelV>
          </wp:anchor>
        </w:drawing>
      </w:r>
    </w:p>
    <w:p w14:paraId="214629E0" w14:textId="77777777" w:rsidR="00756328" w:rsidRPr="00756328" w:rsidRDefault="00756328" w:rsidP="00756328">
      <w:pPr>
        <w:rPr>
          <w:sz w:val="32"/>
          <w:szCs w:val="32"/>
        </w:rPr>
      </w:pPr>
    </w:p>
    <w:p w14:paraId="0E5C9215" w14:textId="77777777" w:rsidR="00756328" w:rsidRPr="00756328" w:rsidRDefault="00756328" w:rsidP="00756328">
      <w:pPr>
        <w:spacing w:after="0" w:line="240" w:lineRule="auto"/>
        <w:jc w:val="center"/>
        <w:rPr>
          <w:rFonts w:ascii="Times New Roman" w:eastAsia="Times New Roman" w:hAnsi="Times New Roman" w:cs="Times New Roman"/>
          <w:kern w:val="0"/>
          <w:lang w:eastAsia="en-GB"/>
          <w14:ligatures w14:val="none"/>
        </w:rPr>
      </w:pPr>
      <w:r w:rsidRPr="00756328">
        <w:rPr>
          <w:rFonts w:ascii="Times New Roman" w:eastAsia="Times New Roman" w:hAnsi="Times New Roman" w:cs="Times New Roman"/>
          <w:kern w:val="0"/>
          <w:lang w:eastAsia="en-GB"/>
          <w14:ligatures w14:val="none"/>
        </w:rPr>
        <w:t>(Saeed, 2020)</w:t>
      </w:r>
    </w:p>
    <w:p w14:paraId="5EEAA549" w14:textId="0F300517" w:rsidR="00756328" w:rsidRPr="00756328" w:rsidRDefault="00756328" w:rsidP="00756328">
      <w:pPr>
        <w:tabs>
          <w:tab w:val="left" w:pos="6285"/>
        </w:tabs>
        <w:rPr>
          <w:sz w:val="32"/>
          <w:szCs w:val="32"/>
        </w:rPr>
      </w:pPr>
    </w:p>
    <w:p w14:paraId="593499AB" w14:textId="77777777" w:rsidR="00756328" w:rsidRPr="00756328" w:rsidRDefault="00756328" w:rsidP="00756328">
      <w:pPr>
        <w:rPr>
          <w:sz w:val="32"/>
          <w:szCs w:val="32"/>
        </w:rPr>
      </w:pPr>
    </w:p>
    <w:p w14:paraId="36626E05" w14:textId="77777777" w:rsidR="00756328" w:rsidRPr="00756328" w:rsidRDefault="00756328" w:rsidP="00756328">
      <w:pPr>
        <w:rPr>
          <w:sz w:val="32"/>
          <w:szCs w:val="32"/>
        </w:rPr>
      </w:pPr>
    </w:p>
    <w:p w14:paraId="63877A7F" w14:textId="77777777" w:rsidR="00756328" w:rsidRPr="00756328" w:rsidRDefault="00756328" w:rsidP="00756328">
      <w:pPr>
        <w:rPr>
          <w:sz w:val="32"/>
          <w:szCs w:val="32"/>
        </w:rPr>
      </w:pPr>
    </w:p>
    <w:p w14:paraId="6352BBD5" w14:textId="77777777" w:rsidR="00756328" w:rsidRPr="00756328" w:rsidRDefault="00756328" w:rsidP="00756328">
      <w:pPr>
        <w:rPr>
          <w:sz w:val="32"/>
          <w:szCs w:val="32"/>
        </w:rPr>
      </w:pPr>
    </w:p>
    <w:sdt>
      <w:sdtPr>
        <w:rPr>
          <w:rFonts w:asciiTheme="minorHAnsi" w:eastAsiaTheme="minorHAnsi" w:hAnsiTheme="minorHAnsi" w:cstheme="minorBidi"/>
          <w:color w:val="auto"/>
          <w:kern w:val="2"/>
          <w:sz w:val="24"/>
          <w:szCs w:val="24"/>
          <w:lang w:val="en-GB"/>
          <w14:ligatures w14:val="standardContextual"/>
        </w:rPr>
        <w:id w:val="-2121981538"/>
        <w:docPartObj>
          <w:docPartGallery w:val="Table of Contents"/>
          <w:docPartUnique/>
        </w:docPartObj>
      </w:sdtPr>
      <w:sdtEndPr>
        <w:rPr>
          <w:b/>
          <w:bCs/>
          <w:noProof/>
        </w:rPr>
      </w:sdtEndPr>
      <w:sdtContent>
        <w:p w14:paraId="321C222E" w14:textId="3F42035F" w:rsidR="00756328" w:rsidRDefault="00756328">
          <w:pPr>
            <w:pStyle w:val="TOCHeading"/>
          </w:pPr>
          <w:r>
            <w:t>Contents</w:t>
          </w:r>
        </w:p>
        <w:p w14:paraId="6871C271" w14:textId="7B13772A" w:rsidR="004D03F6" w:rsidRDefault="007563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6007051" w:history="1">
            <w:r w:rsidR="004D03F6" w:rsidRPr="00CA70E8">
              <w:rPr>
                <w:rStyle w:val="Hyperlink"/>
                <w:noProof/>
              </w:rPr>
              <w:t>Health and Safety legislation for the construction work involved re-roofing and installing external wall insulation on 12 houses in the same street.</w:t>
            </w:r>
            <w:r w:rsidR="004D03F6">
              <w:rPr>
                <w:noProof/>
                <w:webHidden/>
              </w:rPr>
              <w:tab/>
            </w:r>
            <w:r w:rsidR="004D03F6">
              <w:rPr>
                <w:noProof/>
                <w:webHidden/>
              </w:rPr>
              <w:fldChar w:fldCharType="begin"/>
            </w:r>
            <w:r w:rsidR="004D03F6">
              <w:rPr>
                <w:noProof/>
                <w:webHidden/>
              </w:rPr>
              <w:instrText xml:space="preserve"> PAGEREF _Toc166007051 \h </w:instrText>
            </w:r>
            <w:r w:rsidR="004D03F6">
              <w:rPr>
                <w:noProof/>
                <w:webHidden/>
              </w:rPr>
            </w:r>
            <w:r w:rsidR="004D03F6">
              <w:rPr>
                <w:noProof/>
                <w:webHidden/>
              </w:rPr>
              <w:fldChar w:fldCharType="separate"/>
            </w:r>
            <w:r w:rsidR="004D03F6">
              <w:rPr>
                <w:noProof/>
                <w:webHidden/>
              </w:rPr>
              <w:t>3</w:t>
            </w:r>
            <w:r w:rsidR="004D03F6">
              <w:rPr>
                <w:noProof/>
                <w:webHidden/>
              </w:rPr>
              <w:fldChar w:fldCharType="end"/>
            </w:r>
          </w:hyperlink>
        </w:p>
        <w:p w14:paraId="6F3D456F" w14:textId="50E9698D" w:rsidR="004D03F6" w:rsidRDefault="00000000">
          <w:pPr>
            <w:pStyle w:val="TOC1"/>
            <w:tabs>
              <w:tab w:val="right" w:leader="dot" w:pos="9016"/>
            </w:tabs>
            <w:rPr>
              <w:rFonts w:eastAsiaTheme="minorEastAsia"/>
              <w:noProof/>
              <w:lang w:eastAsia="en-GB"/>
            </w:rPr>
          </w:pPr>
          <w:hyperlink w:anchor="_Toc166007052" w:history="1">
            <w:r w:rsidR="004D03F6" w:rsidRPr="00CA70E8">
              <w:rPr>
                <w:rStyle w:val="Hyperlink"/>
                <w:noProof/>
              </w:rPr>
              <w:t>Introduction</w:t>
            </w:r>
            <w:r w:rsidR="004D03F6">
              <w:rPr>
                <w:noProof/>
                <w:webHidden/>
              </w:rPr>
              <w:tab/>
            </w:r>
            <w:r w:rsidR="004D03F6">
              <w:rPr>
                <w:noProof/>
                <w:webHidden/>
              </w:rPr>
              <w:fldChar w:fldCharType="begin"/>
            </w:r>
            <w:r w:rsidR="004D03F6">
              <w:rPr>
                <w:noProof/>
                <w:webHidden/>
              </w:rPr>
              <w:instrText xml:space="preserve"> PAGEREF _Toc166007052 \h </w:instrText>
            </w:r>
            <w:r w:rsidR="004D03F6">
              <w:rPr>
                <w:noProof/>
                <w:webHidden/>
              </w:rPr>
            </w:r>
            <w:r w:rsidR="004D03F6">
              <w:rPr>
                <w:noProof/>
                <w:webHidden/>
              </w:rPr>
              <w:fldChar w:fldCharType="separate"/>
            </w:r>
            <w:r w:rsidR="004D03F6">
              <w:rPr>
                <w:noProof/>
                <w:webHidden/>
              </w:rPr>
              <w:t>3</w:t>
            </w:r>
            <w:r w:rsidR="004D03F6">
              <w:rPr>
                <w:noProof/>
                <w:webHidden/>
              </w:rPr>
              <w:fldChar w:fldCharType="end"/>
            </w:r>
          </w:hyperlink>
        </w:p>
        <w:p w14:paraId="1C9DB21B" w14:textId="390961E7" w:rsidR="004D03F6" w:rsidRDefault="00000000">
          <w:pPr>
            <w:pStyle w:val="TOC1"/>
            <w:tabs>
              <w:tab w:val="right" w:leader="dot" w:pos="9016"/>
            </w:tabs>
            <w:rPr>
              <w:rFonts w:eastAsiaTheme="minorEastAsia"/>
              <w:noProof/>
              <w:lang w:eastAsia="en-GB"/>
            </w:rPr>
          </w:pPr>
          <w:hyperlink w:anchor="_Toc166007053" w:history="1">
            <w:r w:rsidR="004D03F6" w:rsidRPr="00CA70E8">
              <w:rPr>
                <w:rStyle w:val="Hyperlink"/>
                <w:noProof/>
              </w:rPr>
              <w:t>Health and Safety legislation</w:t>
            </w:r>
            <w:r w:rsidR="004D03F6">
              <w:rPr>
                <w:noProof/>
                <w:webHidden/>
              </w:rPr>
              <w:tab/>
            </w:r>
            <w:r w:rsidR="004D03F6">
              <w:rPr>
                <w:noProof/>
                <w:webHidden/>
              </w:rPr>
              <w:fldChar w:fldCharType="begin"/>
            </w:r>
            <w:r w:rsidR="004D03F6">
              <w:rPr>
                <w:noProof/>
                <w:webHidden/>
              </w:rPr>
              <w:instrText xml:space="preserve"> PAGEREF _Toc166007053 \h </w:instrText>
            </w:r>
            <w:r w:rsidR="004D03F6">
              <w:rPr>
                <w:noProof/>
                <w:webHidden/>
              </w:rPr>
            </w:r>
            <w:r w:rsidR="004D03F6">
              <w:rPr>
                <w:noProof/>
                <w:webHidden/>
              </w:rPr>
              <w:fldChar w:fldCharType="separate"/>
            </w:r>
            <w:r w:rsidR="004D03F6">
              <w:rPr>
                <w:noProof/>
                <w:webHidden/>
              </w:rPr>
              <w:t>3</w:t>
            </w:r>
            <w:r w:rsidR="004D03F6">
              <w:rPr>
                <w:noProof/>
                <w:webHidden/>
              </w:rPr>
              <w:fldChar w:fldCharType="end"/>
            </w:r>
          </w:hyperlink>
        </w:p>
        <w:p w14:paraId="68C6762B" w14:textId="00A2987D" w:rsidR="004D03F6" w:rsidRDefault="00000000">
          <w:pPr>
            <w:pStyle w:val="TOC1"/>
            <w:tabs>
              <w:tab w:val="right" w:leader="dot" w:pos="9016"/>
            </w:tabs>
            <w:rPr>
              <w:rFonts w:eastAsiaTheme="minorEastAsia"/>
              <w:noProof/>
              <w:lang w:eastAsia="en-GB"/>
            </w:rPr>
          </w:pPr>
          <w:hyperlink w:anchor="_Toc166007054" w:history="1">
            <w:r w:rsidR="004D03F6" w:rsidRPr="00CA70E8">
              <w:rPr>
                <w:rStyle w:val="Hyperlink"/>
                <w:noProof/>
              </w:rPr>
              <w:t>Control of Asbestos regulations 2012</w:t>
            </w:r>
            <w:r w:rsidR="004D03F6">
              <w:rPr>
                <w:noProof/>
                <w:webHidden/>
              </w:rPr>
              <w:tab/>
            </w:r>
            <w:r w:rsidR="004D03F6">
              <w:rPr>
                <w:noProof/>
                <w:webHidden/>
              </w:rPr>
              <w:fldChar w:fldCharType="begin"/>
            </w:r>
            <w:r w:rsidR="004D03F6">
              <w:rPr>
                <w:noProof/>
                <w:webHidden/>
              </w:rPr>
              <w:instrText xml:space="preserve"> PAGEREF _Toc166007054 \h </w:instrText>
            </w:r>
            <w:r w:rsidR="004D03F6">
              <w:rPr>
                <w:noProof/>
                <w:webHidden/>
              </w:rPr>
            </w:r>
            <w:r w:rsidR="004D03F6">
              <w:rPr>
                <w:noProof/>
                <w:webHidden/>
              </w:rPr>
              <w:fldChar w:fldCharType="separate"/>
            </w:r>
            <w:r w:rsidR="004D03F6">
              <w:rPr>
                <w:noProof/>
                <w:webHidden/>
              </w:rPr>
              <w:t>4</w:t>
            </w:r>
            <w:r w:rsidR="004D03F6">
              <w:rPr>
                <w:noProof/>
                <w:webHidden/>
              </w:rPr>
              <w:fldChar w:fldCharType="end"/>
            </w:r>
          </w:hyperlink>
        </w:p>
        <w:p w14:paraId="20B050F3" w14:textId="64C12512" w:rsidR="004D03F6" w:rsidRDefault="00000000">
          <w:pPr>
            <w:pStyle w:val="TOC1"/>
            <w:tabs>
              <w:tab w:val="right" w:leader="dot" w:pos="9016"/>
            </w:tabs>
            <w:rPr>
              <w:rFonts w:eastAsiaTheme="minorEastAsia"/>
              <w:noProof/>
              <w:lang w:eastAsia="en-GB"/>
            </w:rPr>
          </w:pPr>
          <w:hyperlink w:anchor="_Toc166007055" w:history="1">
            <w:r w:rsidR="004D03F6" w:rsidRPr="00CA70E8">
              <w:rPr>
                <w:rStyle w:val="Hyperlink"/>
                <w:noProof/>
                <w:shd w:val="clear" w:color="auto" w:fill="FFFFFF"/>
              </w:rPr>
              <w:t>CDM Regulations to Different Parties in Construction Projects</w:t>
            </w:r>
            <w:r w:rsidR="004D03F6">
              <w:rPr>
                <w:noProof/>
                <w:webHidden/>
              </w:rPr>
              <w:tab/>
            </w:r>
            <w:r w:rsidR="004D03F6">
              <w:rPr>
                <w:noProof/>
                <w:webHidden/>
              </w:rPr>
              <w:fldChar w:fldCharType="begin"/>
            </w:r>
            <w:r w:rsidR="004D03F6">
              <w:rPr>
                <w:noProof/>
                <w:webHidden/>
              </w:rPr>
              <w:instrText xml:space="preserve"> PAGEREF _Toc166007055 \h </w:instrText>
            </w:r>
            <w:r w:rsidR="004D03F6">
              <w:rPr>
                <w:noProof/>
                <w:webHidden/>
              </w:rPr>
            </w:r>
            <w:r w:rsidR="004D03F6">
              <w:rPr>
                <w:noProof/>
                <w:webHidden/>
              </w:rPr>
              <w:fldChar w:fldCharType="separate"/>
            </w:r>
            <w:r w:rsidR="004D03F6">
              <w:rPr>
                <w:noProof/>
                <w:webHidden/>
              </w:rPr>
              <w:t>5</w:t>
            </w:r>
            <w:r w:rsidR="004D03F6">
              <w:rPr>
                <w:noProof/>
                <w:webHidden/>
              </w:rPr>
              <w:fldChar w:fldCharType="end"/>
            </w:r>
          </w:hyperlink>
        </w:p>
        <w:p w14:paraId="271E4163" w14:textId="412C2EB9" w:rsidR="004D03F6" w:rsidRDefault="00000000">
          <w:pPr>
            <w:pStyle w:val="TOC1"/>
            <w:tabs>
              <w:tab w:val="right" w:leader="dot" w:pos="9016"/>
            </w:tabs>
            <w:rPr>
              <w:rFonts w:eastAsiaTheme="minorEastAsia"/>
              <w:noProof/>
              <w:lang w:eastAsia="en-GB"/>
            </w:rPr>
          </w:pPr>
          <w:hyperlink w:anchor="_Toc166007056" w:history="1">
            <w:r w:rsidR="004D03F6" w:rsidRPr="00CA70E8">
              <w:rPr>
                <w:rStyle w:val="Hyperlink"/>
                <w:noProof/>
              </w:rPr>
              <w:t>Risk Assessments (RAMS)</w:t>
            </w:r>
            <w:r w:rsidR="004D03F6">
              <w:rPr>
                <w:noProof/>
                <w:webHidden/>
              </w:rPr>
              <w:tab/>
            </w:r>
            <w:r w:rsidR="004D03F6">
              <w:rPr>
                <w:noProof/>
                <w:webHidden/>
              </w:rPr>
              <w:fldChar w:fldCharType="begin"/>
            </w:r>
            <w:r w:rsidR="004D03F6">
              <w:rPr>
                <w:noProof/>
                <w:webHidden/>
              </w:rPr>
              <w:instrText xml:space="preserve"> PAGEREF _Toc166007056 \h </w:instrText>
            </w:r>
            <w:r w:rsidR="004D03F6">
              <w:rPr>
                <w:noProof/>
                <w:webHidden/>
              </w:rPr>
            </w:r>
            <w:r w:rsidR="004D03F6">
              <w:rPr>
                <w:noProof/>
                <w:webHidden/>
              </w:rPr>
              <w:fldChar w:fldCharType="separate"/>
            </w:r>
            <w:r w:rsidR="004D03F6">
              <w:rPr>
                <w:noProof/>
                <w:webHidden/>
              </w:rPr>
              <w:t>6</w:t>
            </w:r>
            <w:r w:rsidR="004D03F6">
              <w:rPr>
                <w:noProof/>
                <w:webHidden/>
              </w:rPr>
              <w:fldChar w:fldCharType="end"/>
            </w:r>
          </w:hyperlink>
        </w:p>
        <w:p w14:paraId="4EBF34E7" w14:textId="5149E899" w:rsidR="004D03F6" w:rsidRDefault="00000000">
          <w:pPr>
            <w:pStyle w:val="TOC1"/>
            <w:tabs>
              <w:tab w:val="right" w:leader="dot" w:pos="9016"/>
            </w:tabs>
            <w:rPr>
              <w:rFonts w:eastAsiaTheme="minorEastAsia"/>
              <w:noProof/>
              <w:lang w:eastAsia="en-GB"/>
            </w:rPr>
          </w:pPr>
          <w:hyperlink w:anchor="_Toc166007057" w:history="1">
            <w:r w:rsidR="004D03F6" w:rsidRPr="00CA70E8">
              <w:rPr>
                <w:rStyle w:val="Hyperlink"/>
                <w:noProof/>
              </w:rPr>
              <w:t>Conclusion</w:t>
            </w:r>
            <w:r w:rsidR="004D03F6">
              <w:rPr>
                <w:noProof/>
                <w:webHidden/>
              </w:rPr>
              <w:tab/>
            </w:r>
            <w:r w:rsidR="004D03F6">
              <w:rPr>
                <w:noProof/>
                <w:webHidden/>
              </w:rPr>
              <w:fldChar w:fldCharType="begin"/>
            </w:r>
            <w:r w:rsidR="004D03F6">
              <w:rPr>
                <w:noProof/>
                <w:webHidden/>
              </w:rPr>
              <w:instrText xml:space="preserve"> PAGEREF _Toc166007057 \h </w:instrText>
            </w:r>
            <w:r w:rsidR="004D03F6">
              <w:rPr>
                <w:noProof/>
                <w:webHidden/>
              </w:rPr>
            </w:r>
            <w:r w:rsidR="004D03F6">
              <w:rPr>
                <w:noProof/>
                <w:webHidden/>
              </w:rPr>
              <w:fldChar w:fldCharType="separate"/>
            </w:r>
            <w:r w:rsidR="004D03F6">
              <w:rPr>
                <w:noProof/>
                <w:webHidden/>
              </w:rPr>
              <w:t>7</w:t>
            </w:r>
            <w:r w:rsidR="004D03F6">
              <w:rPr>
                <w:noProof/>
                <w:webHidden/>
              </w:rPr>
              <w:fldChar w:fldCharType="end"/>
            </w:r>
          </w:hyperlink>
        </w:p>
        <w:p w14:paraId="185D55C4" w14:textId="29B35A31" w:rsidR="004D03F6" w:rsidRDefault="00000000">
          <w:pPr>
            <w:pStyle w:val="TOC1"/>
            <w:tabs>
              <w:tab w:val="right" w:leader="dot" w:pos="9016"/>
            </w:tabs>
            <w:rPr>
              <w:rFonts w:eastAsiaTheme="minorEastAsia"/>
              <w:noProof/>
              <w:lang w:eastAsia="en-GB"/>
            </w:rPr>
          </w:pPr>
          <w:hyperlink w:anchor="_Toc166007058" w:history="1">
            <w:r w:rsidR="004D03F6" w:rsidRPr="00CA70E8">
              <w:rPr>
                <w:rStyle w:val="Hyperlink"/>
                <w:noProof/>
              </w:rPr>
              <w:t>Risk Assessment sheets</w:t>
            </w:r>
            <w:r w:rsidR="004D03F6">
              <w:rPr>
                <w:noProof/>
                <w:webHidden/>
              </w:rPr>
              <w:tab/>
            </w:r>
            <w:r w:rsidR="004D03F6">
              <w:rPr>
                <w:noProof/>
                <w:webHidden/>
              </w:rPr>
              <w:fldChar w:fldCharType="begin"/>
            </w:r>
            <w:r w:rsidR="004D03F6">
              <w:rPr>
                <w:noProof/>
                <w:webHidden/>
              </w:rPr>
              <w:instrText xml:space="preserve"> PAGEREF _Toc166007058 \h </w:instrText>
            </w:r>
            <w:r w:rsidR="004D03F6">
              <w:rPr>
                <w:noProof/>
                <w:webHidden/>
              </w:rPr>
            </w:r>
            <w:r w:rsidR="004D03F6">
              <w:rPr>
                <w:noProof/>
                <w:webHidden/>
              </w:rPr>
              <w:fldChar w:fldCharType="separate"/>
            </w:r>
            <w:r w:rsidR="004D03F6">
              <w:rPr>
                <w:noProof/>
                <w:webHidden/>
              </w:rPr>
              <w:t>8</w:t>
            </w:r>
            <w:r w:rsidR="004D03F6">
              <w:rPr>
                <w:noProof/>
                <w:webHidden/>
              </w:rPr>
              <w:fldChar w:fldCharType="end"/>
            </w:r>
          </w:hyperlink>
        </w:p>
        <w:p w14:paraId="4FAFFD7E" w14:textId="586F4327" w:rsidR="004D03F6" w:rsidRDefault="00000000">
          <w:pPr>
            <w:pStyle w:val="TOC1"/>
            <w:tabs>
              <w:tab w:val="right" w:leader="dot" w:pos="9016"/>
            </w:tabs>
            <w:rPr>
              <w:rFonts w:eastAsiaTheme="minorEastAsia"/>
              <w:noProof/>
              <w:lang w:eastAsia="en-GB"/>
            </w:rPr>
          </w:pPr>
          <w:hyperlink w:anchor="_Toc166007059" w:history="1">
            <w:r w:rsidR="004D03F6" w:rsidRPr="00CA70E8">
              <w:rPr>
                <w:rStyle w:val="Hyperlink"/>
                <w:noProof/>
              </w:rPr>
              <w:t>References</w:t>
            </w:r>
            <w:r w:rsidR="004D03F6">
              <w:rPr>
                <w:noProof/>
                <w:webHidden/>
              </w:rPr>
              <w:tab/>
            </w:r>
            <w:r w:rsidR="004D03F6">
              <w:rPr>
                <w:noProof/>
                <w:webHidden/>
              </w:rPr>
              <w:fldChar w:fldCharType="begin"/>
            </w:r>
            <w:r w:rsidR="004D03F6">
              <w:rPr>
                <w:noProof/>
                <w:webHidden/>
              </w:rPr>
              <w:instrText xml:space="preserve"> PAGEREF _Toc166007059 \h </w:instrText>
            </w:r>
            <w:r w:rsidR="004D03F6">
              <w:rPr>
                <w:noProof/>
                <w:webHidden/>
              </w:rPr>
            </w:r>
            <w:r w:rsidR="004D03F6">
              <w:rPr>
                <w:noProof/>
                <w:webHidden/>
              </w:rPr>
              <w:fldChar w:fldCharType="separate"/>
            </w:r>
            <w:r w:rsidR="004D03F6">
              <w:rPr>
                <w:noProof/>
                <w:webHidden/>
              </w:rPr>
              <w:t>18</w:t>
            </w:r>
            <w:r w:rsidR="004D03F6">
              <w:rPr>
                <w:noProof/>
                <w:webHidden/>
              </w:rPr>
              <w:fldChar w:fldCharType="end"/>
            </w:r>
          </w:hyperlink>
        </w:p>
        <w:p w14:paraId="7C581566" w14:textId="2D9CBAF1" w:rsidR="00756328" w:rsidRDefault="00756328">
          <w:r>
            <w:rPr>
              <w:b/>
              <w:bCs/>
              <w:noProof/>
            </w:rPr>
            <w:fldChar w:fldCharType="end"/>
          </w:r>
        </w:p>
      </w:sdtContent>
    </w:sdt>
    <w:p w14:paraId="38662E4E" w14:textId="77777777" w:rsidR="00756328" w:rsidRDefault="00756328" w:rsidP="00756328">
      <w:pPr>
        <w:rPr>
          <w:sz w:val="32"/>
          <w:szCs w:val="32"/>
        </w:rPr>
      </w:pPr>
    </w:p>
    <w:p w14:paraId="01FC8C65" w14:textId="77777777" w:rsidR="00756328" w:rsidRDefault="00756328" w:rsidP="00756328">
      <w:pPr>
        <w:rPr>
          <w:sz w:val="32"/>
          <w:szCs w:val="32"/>
        </w:rPr>
      </w:pPr>
    </w:p>
    <w:p w14:paraId="0AB70307" w14:textId="77777777" w:rsidR="00756328" w:rsidRDefault="00756328" w:rsidP="00756328">
      <w:pPr>
        <w:rPr>
          <w:sz w:val="32"/>
          <w:szCs w:val="32"/>
        </w:rPr>
      </w:pPr>
    </w:p>
    <w:p w14:paraId="3B5B24AC" w14:textId="77777777" w:rsidR="00756328" w:rsidRDefault="00756328" w:rsidP="00756328">
      <w:pPr>
        <w:rPr>
          <w:sz w:val="32"/>
          <w:szCs w:val="32"/>
        </w:rPr>
      </w:pPr>
    </w:p>
    <w:p w14:paraId="7474C0C7" w14:textId="77777777" w:rsidR="00756328" w:rsidRDefault="00756328" w:rsidP="00756328">
      <w:pPr>
        <w:rPr>
          <w:sz w:val="32"/>
          <w:szCs w:val="32"/>
        </w:rPr>
      </w:pPr>
    </w:p>
    <w:p w14:paraId="351CD121" w14:textId="77777777" w:rsidR="00756328" w:rsidRDefault="00756328" w:rsidP="00756328">
      <w:pPr>
        <w:rPr>
          <w:sz w:val="32"/>
          <w:szCs w:val="32"/>
        </w:rPr>
      </w:pPr>
    </w:p>
    <w:p w14:paraId="7E000B31" w14:textId="77777777" w:rsidR="00756328" w:rsidRDefault="00756328" w:rsidP="00756328">
      <w:pPr>
        <w:rPr>
          <w:sz w:val="32"/>
          <w:szCs w:val="32"/>
        </w:rPr>
      </w:pPr>
    </w:p>
    <w:p w14:paraId="2229ED38" w14:textId="77777777" w:rsidR="00756328" w:rsidRDefault="00756328" w:rsidP="00756328">
      <w:pPr>
        <w:rPr>
          <w:sz w:val="32"/>
          <w:szCs w:val="32"/>
        </w:rPr>
      </w:pPr>
    </w:p>
    <w:p w14:paraId="2E06CFBF" w14:textId="77777777" w:rsidR="00756328" w:rsidRDefault="00756328" w:rsidP="00756328">
      <w:pPr>
        <w:rPr>
          <w:sz w:val="32"/>
          <w:szCs w:val="32"/>
        </w:rPr>
      </w:pPr>
    </w:p>
    <w:p w14:paraId="396AFFB9" w14:textId="77777777" w:rsidR="00756328" w:rsidRDefault="00756328" w:rsidP="00756328">
      <w:pPr>
        <w:rPr>
          <w:sz w:val="32"/>
          <w:szCs w:val="32"/>
        </w:rPr>
      </w:pPr>
    </w:p>
    <w:p w14:paraId="4F540507" w14:textId="77777777" w:rsidR="00756328" w:rsidRDefault="00756328" w:rsidP="00756328">
      <w:pPr>
        <w:rPr>
          <w:sz w:val="32"/>
          <w:szCs w:val="32"/>
        </w:rPr>
      </w:pPr>
    </w:p>
    <w:p w14:paraId="0B315990" w14:textId="77777777" w:rsidR="00756328" w:rsidRDefault="00756328" w:rsidP="00756328">
      <w:pPr>
        <w:rPr>
          <w:sz w:val="32"/>
          <w:szCs w:val="32"/>
        </w:rPr>
      </w:pPr>
    </w:p>
    <w:p w14:paraId="3D61EBA4" w14:textId="77777777" w:rsidR="00756328" w:rsidRDefault="00756328" w:rsidP="00756328">
      <w:pPr>
        <w:rPr>
          <w:sz w:val="32"/>
          <w:szCs w:val="32"/>
        </w:rPr>
      </w:pPr>
    </w:p>
    <w:p w14:paraId="56CB3BF9" w14:textId="54D5FEF0" w:rsidR="00756328" w:rsidRPr="00F36C3A" w:rsidRDefault="00CF671D" w:rsidP="00CF671D">
      <w:pPr>
        <w:pStyle w:val="Heading1"/>
        <w:rPr>
          <w:sz w:val="32"/>
          <w:szCs w:val="32"/>
        </w:rPr>
      </w:pPr>
      <w:bookmarkStart w:id="0" w:name="_Toc166007051"/>
      <w:r w:rsidRPr="00F36C3A">
        <w:rPr>
          <w:sz w:val="32"/>
          <w:szCs w:val="32"/>
        </w:rPr>
        <w:lastRenderedPageBreak/>
        <w:t>Health and Safety legislation for the construction work involved re-roofing and installing external wall insulation on 12 houses in the same street.</w:t>
      </w:r>
      <w:bookmarkEnd w:id="0"/>
    </w:p>
    <w:p w14:paraId="048B2A5C" w14:textId="5307034A" w:rsidR="00CF671D" w:rsidRPr="00F36C3A" w:rsidRDefault="00F84E61" w:rsidP="00F36C3A">
      <w:pPr>
        <w:pStyle w:val="Heading1"/>
        <w:rPr>
          <w:sz w:val="32"/>
          <w:szCs w:val="32"/>
        </w:rPr>
      </w:pPr>
      <w:bookmarkStart w:id="1" w:name="_Toc166007052"/>
      <w:r w:rsidRPr="00F36C3A">
        <w:rPr>
          <w:sz w:val="32"/>
          <w:szCs w:val="32"/>
        </w:rPr>
        <w:t>Introduction</w:t>
      </w:r>
      <w:bookmarkEnd w:id="1"/>
    </w:p>
    <w:p w14:paraId="1B97B15B" w14:textId="0B6416C0" w:rsidR="00F84E61" w:rsidRDefault="00F84E61" w:rsidP="00CF671D">
      <w:r w:rsidRPr="00F84E61">
        <w:t>It is essential that I fully understand and abide by the relevant health and safety regulations that regulate construction projects in my capacity as the trainee health and safety officer for UWTSD construction. This paper examines key legislation and their effects in routine, as well as health and safety concerns related to external wall insulation and roof replacement in occupied homes. This report will also address the importance of Construction Design and Management Regulations (CDM) to different stakeholders and offer a risk assessment for the project's operations.</w:t>
      </w:r>
    </w:p>
    <w:p w14:paraId="6190B680" w14:textId="0D861FB6" w:rsidR="00F84E61" w:rsidRPr="00F36C3A" w:rsidRDefault="00F84E61" w:rsidP="00F36C3A">
      <w:pPr>
        <w:pStyle w:val="Heading1"/>
        <w:rPr>
          <w:sz w:val="32"/>
          <w:szCs w:val="32"/>
        </w:rPr>
      </w:pPr>
      <w:bookmarkStart w:id="2" w:name="_Toc166007053"/>
      <w:r w:rsidRPr="00F36C3A">
        <w:rPr>
          <w:sz w:val="32"/>
          <w:szCs w:val="32"/>
        </w:rPr>
        <w:t>Health and Safety legislation</w:t>
      </w:r>
      <w:bookmarkEnd w:id="2"/>
    </w:p>
    <w:p w14:paraId="2F205EBE" w14:textId="0225B9E0" w:rsidR="00F84E61" w:rsidRDefault="0005313F" w:rsidP="00CF671D">
      <w:r w:rsidRPr="0005313F">
        <w:t xml:space="preserve">Re-roofing and external wall insulation in occupied homes create </w:t>
      </w:r>
      <w:proofErr w:type="gramStart"/>
      <w:r w:rsidRPr="0005313F">
        <w:t>particular difficulties</w:t>
      </w:r>
      <w:proofErr w:type="gramEnd"/>
      <w:r w:rsidRPr="0005313F">
        <w:t xml:space="preserve"> which require close monitoring of Health and Safety regulations in order to protect both employees and residents. The Health and Safety at Work Act 1974 (HASAWA), which imposes a legal obligation on employers to ensure the health, safety, and welfare of their employees and others who may be impacted by their activities, is the main piece of legislation controlling health and safety in the construction industry (Health and Safety Executive, 1974). Employers are obligated by this legislation to carry out risk assessments, put control mechanisms in place, and give their staff members the necessary training, instruction, and information.</w:t>
      </w:r>
    </w:p>
    <w:p w14:paraId="3CDCA3D8" w14:textId="710719A4" w:rsidR="00231CA0" w:rsidRDefault="00231CA0" w:rsidP="00CF671D">
      <w:r w:rsidRPr="00231CA0">
        <w:t xml:space="preserve">Additionally, there are the Construction (Design and Management) Regulations 2015 (CDM 2015), especially when it comes to coordinating health and safety during the project planning and execution phases (Health and Safety Executive, 2015). </w:t>
      </w:r>
      <w:proofErr w:type="gramStart"/>
      <w:r w:rsidRPr="00231CA0">
        <w:t>In order to</w:t>
      </w:r>
      <w:proofErr w:type="gramEnd"/>
      <w:r w:rsidRPr="00231CA0">
        <w:t xml:space="preserve"> reduce the hazards connected with construction activity, these regulations place a strong emphasis on the necessity of efficient planning, administration, and communication. To minimise disruptions to residents and guarantee their safety over the project's length, precise planning and coordination are required.</w:t>
      </w:r>
    </w:p>
    <w:p w14:paraId="2A3E455C" w14:textId="3BDA4243" w:rsidR="00231CA0" w:rsidRDefault="00231CA0" w:rsidP="00CF671D">
      <w:r w:rsidRPr="00231CA0">
        <w:t>Furthermore, because hazardous products like roofing adhesives or insulation chemicals may be used, the Control of Substances Hazardous to Health Regulations 2002 (COSHH) are relevant (Health and Safety Executive, 2002). According to these standards, businesses must evaluate and manage the risks associated with hazardous materials, give workers the necessary training and personal protective equipment (PPE), and put precautions in place to avoid or reduce exposure.</w:t>
      </w:r>
    </w:p>
    <w:p w14:paraId="3BE034D3" w14:textId="77777777" w:rsidR="00231CA0" w:rsidRDefault="00231CA0" w:rsidP="00CF671D"/>
    <w:p w14:paraId="33D384BC" w14:textId="763DCCA1" w:rsidR="00231CA0" w:rsidRDefault="00231CA0" w:rsidP="00CF671D">
      <w:r w:rsidRPr="00231CA0">
        <w:lastRenderedPageBreak/>
        <w:t>Moreover, the Work at Height Regulations of 2005 have significant importance, given that the work associated with roofing repairs always requires working at height regulations (Health and Safety Executive, 2005). According to these standards, work at heights must be carefully planned, monitored, and completed by qualified workers with the necessary safety precautions in place.</w:t>
      </w:r>
    </w:p>
    <w:p w14:paraId="431BADD8" w14:textId="61CFCE80" w:rsidR="00CD6BE8" w:rsidRPr="00B97AF2" w:rsidRDefault="00CD6BE8" w:rsidP="00CF671D">
      <w:proofErr w:type="gramStart"/>
      <w:r w:rsidRPr="00CD6BE8">
        <w:t>A number of</w:t>
      </w:r>
      <w:proofErr w:type="gramEnd"/>
      <w:r w:rsidRPr="00CD6BE8">
        <w:t xml:space="preserve"> essential elements are needed for effective on-site health and safety management. Initially, </w:t>
      </w:r>
      <w:proofErr w:type="gramStart"/>
      <w:r w:rsidRPr="00CD6BE8">
        <w:t>in order to</w:t>
      </w:r>
      <w:proofErr w:type="gramEnd"/>
      <w:r w:rsidRPr="00CD6BE8">
        <w:t xml:space="preserve"> identify potential risks related to the job, including the possibility of falls, exposure to dangerous materials, and disturbances to residents, comprehensive risk assessments need to be carried out. Then, control measures that reduce these hazards should be put in place. These can include installing temporary barriers to protect residents, using safe working techniques, and providing appropriate personal protective equipment (PPE).</w:t>
      </w:r>
    </w:p>
    <w:p w14:paraId="2A962CD5" w14:textId="5D2A8420" w:rsidR="00CD6BE8" w:rsidRPr="00F36C3A" w:rsidRDefault="00231CA0" w:rsidP="00F36C3A">
      <w:pPr>
        <w:pStyle w:val="Heading1"/>
        <w:rPr>
          <w:sz w:val="32"/>
          <w:szCs w:val="32"/>
        </w:rPr>
      </w:pPr>
      <w:bookmarkStart w:id="3" w:name="_Toc166007054"/>
      <w:r w:rsidRPr="00F36C3A">
        <w:rPr>
          <w:sz w:val="32"/>
          <w:szCs w:val="32"/>
        </w:rPr>
        <w:t>Control of Asbestos regulations 2012</w:t>
      </w:r>
      <w:bookmarkEnd w:id="3"/>
    </w:p>
    <w:p w14:paraId="2378349B" w14:textId="0A747273" w:rsidR="00231CA0" w:rsidRDefault="00CD6BE8" w:rsidP="00CF671D">
      <w:r w:rsidRPr="00CD6BE8">
        <w:t>A naturally occurring mineral fibre with strong, insulating, and heat-resistant qualities is asbestos. Asbestos has been used historically in a variety of building materials, such as roofing, but when its fibres become airborne and are inhaled, they have substantial health hazards. These dangers include asbestosis, lung cancer, and mesothelioma.</w:t>
      </w:r>
    </w:p>
    <w:p w14:paraId="20E59159" w14:textId="35CCF6AE" w:rsidR="00CD6BE8" w:rsidRDefault="00CD6BE8" w:rsidP="00CF671D">
      <w:r>
        <w:t xml:space="preserve">Knowing this, whilst the renewal of 12 roofs on the dedicated site, an asbestos report must be carried out for each individual property </w:t>
      </w:r>
      <w:proofErr w:type="gramStart"/>
      <w:r>
        <w:t>in order to</w:t>
      </w:r>
      <w:proofErr w:type="gramEnd"/>
      <w:r>
        <w:t xml:space="preserve"> proceed with the works.</w:t>
      </w:r>
    </w:p>
    <w:p w14:paraId="57FD6E21" w14:textId="653D95D7" w:rsidR="00CD6BE8" w:rsidRDefault="00CD6BE8" w:rsidP="00CF671D">
      <w:r w:rsidRPr="00CD6BE8">
        <w:t>Detecting asbestos within roofing materials usually requires a visual check takes place first, then a laboratory test is performed to find asbestos in roofing materials. Since asbestos fibres are not always visible with the human eye, reliable testing techniques are needed to prove their existence. To avoid fibre release and possible exposure, roofing materials suspected of containing asbestos should be handled very carefully.</w:t>
      </w:r>
    </w:p>
    <w:p w14:paraId="4D7C4801" w14:textId="29CDBEEF" w:rsidR="00CD6BE8" w:rsidRPr="00CD6BE8" w:rsidRDefault="00CD6BE8" w:rsidP="00CF671D">
      <w:r w:rsidRPr="00CD6BE8">
        <w:t xml:space="preserve">The purpose of asbestos building regulations is to reduce the dangers that come with asbestos being present in building materials. Strict regulations control the handling, removal, and disposal of materials containing asbestos in many countries, including those covered by the Asbestos Regulations 2012. </w:t>
      </w:r>
      <w:proofErr w:type="gramStart"/>
      <w:r w:rsidRPr="00CD6BE8">
        <w:t>For the purpose of</w:t>
      </w:r>
      <w:proofErr w:type="gramEnd"/>
      <w:r w:rsidRPr="00CD6BE8">
        <w:t xml:space="preserve"> protecting workers and residents during renovation, demolition, or maintenance projects using asbestos-containing roofing materials, these regulations require the implementation of asbestos surveys, risk assessments, and management plans. Furthermore, </w:t>
      </w:r>
      <w:proofErr w:type="gramStart"/>
      <w:r w:rsidRPr="00CD6BE8">
        <w:t>in order to</w:t>
      </w:r>
      <w:proofErr w:type="gramEnd"/>
      <w:r w:rsidRPr="00CD6BE8">
        <w:t xml:space="preserve"> avoid fibre release and environmental contamination, licenced contractors are required to remove and dispose of asbestos in accordance with regulatory standards. These requirements may involve notifying the appropriate authorities and adhering to certain work methods.</w:t>
      </w:r>
    </w:p>
    <w:p w14:paraId="40878E7B" w14:textId="77777777" w:rsidR="00CF671D" w:rsidRDefault="00CF671D" w:rsidP="00CF671D"/>
    <w:p w14:paraId="4861A426" w14:textId="68ADA40F" w:rsidR="00CF671D" w:rsidRPr="00F36C3A" w:rsidRDefault="00CD6BE8" w:rsidP="00F36C3A">
      <w:pPr>
        <w:pStyle w:val="Heading1"/>
        <w:rPr>
          <w:sz w:val="32"/>
          <w:szCs w:val="32"/>
          <w:shd w:val="clear" w:color="auto" w:fill="FFFFFF"/>
        </w:rPr>
      </w:pPr>
      <w:bookmarkStart w:id="4" w:name="_Toc166007055"/>
      <w:r w:rsidRPr="00F36C3A">
        <w:rPr>
          <w:sz w:val="32"/>
          <w:szCs w:val="32"/>
          <w:shd w:val="clear" w:color="auto" w:fill="FFFFFF"/>
        </w:rPr>
        <w:lastRenderedPageBreak/>
        <w:t>CDM Regulations to Different Parties in Construction Projects</w:t>
      </w:r>
      <w:bookmarkEnd w:id="4"/>
    </w:p>
    <w:p w14:paraId="4282D25A" w14:textId="527A572F" w:rsidR="00CD6BE8" w:rsidRDefault="00020146" w:rsidP="00CF671D">
      <w:r w:rsidRPr="00020146">
        <w:t xml:space="preserve">The Construction (Design and Management) Regulations 2015 (CDM 2015) are fundamental in ensuring health and safety standards are upheld throughout all stages of a construction project. These standards include specific requirements for various stakeholders, such as clients, designers, </w:t>
      </w:r>
      <w:proofErr w:type="gramStart"/>
      <w:r w:rsidRPr="00020146">
        <w:t>principle</w:t>
      </w:r>
      <w:proofErr w:type="gramEnd"/>
      <w:r w:rsidRPr="00020146">
        <w:t xml:space="preserve"> designers, contractors, and employees, in addition to outlining general responsibilities (Health and Safety Executive, 2015).</w:t>
      </w:r>
    </w:p>
    <w:p w14:paraId="0364C220" w14:textId="32876879" w:rsidR="00020146" w:rsidRDefault="00020146" w:rsidP="00CF671D">
      <w:r w:rsidRPr="00020146">
        <w:rPr>
          <w:b/>
          <w:bCs/>
        </w:rPr>
        <w:t>Clients:</w:t>
      </w:r>
      <w:r w:rsidRPr="00020146">
        <w:t xml:space="preserve"> According to CDM 2015, clients are essential to maintaining health and safety over the course of a project. In accordance with the Health and Safety Executive (2015), they are in charge of selecting qualified individuals, such as the </w:t>
      </w:r>
      <w:proofErr w:type="gramStart"/>
      <w:r w:rsidRPr="00020146">
        <w:t>principle</w:t>
      </w:r>
      <w:proofErr w:type="gramEnd"/>
      <w:r w:rsidRPr="00020146">
        <w:t xml:space="preserve"> contractor and designer, and provide the information needed for the project to enable efficient risk assessment and management for health and safety.</w:t>
      </w:r>
    </w:p>
    <w:p w14:paraId="1C0D12C2" w14:textId="0FBFB138" w:rsidR="00020146" w:rsidRDefault="00020146" w:rsidP="00CF671D">
      <w:r w:rsidRPr="00020146">
        <w:rPr>
          <w:b/>
          <w:bCs/>
        </w:rPr>
        <w:t>Designers/Architect:</w:t>
      </w:r>
      <w:r w:rsidRPr="00020146">
        <w:t xml:space="preserve"> Pre-construction is an essential period for designers to influence health and safety results. </w:t>
      </w:r>
      <w:proofErr w:type="gramStart"/>
      <w:r w:rsidRPr="00020146">
        <w:t>In order to</w:t>
      </w:r>
      <w:proofErr w:type="gramEnd"/>
      <w:r w:rsidRPr="00020146">
        <w:t xml:space="preserve"> ensure that the structure can be built, operated, and maintained safely, designers must, as far as reasonably possible, remove or decrease hazards associated with their designs under CDM 2015 (Health and Safety Executive, 2015). </w:t>
      </w:r>
      <w:proofErr w:type="gramStart"/>
      <w:r w:rsidRPr="00020146">
        <w:t>In order to</w:t>
      </w:r>
      <w:proofErr w:type="gramEnd"/>
      <w:r w:rsidRPr="00020146">
        <w:t xml:space="preserve"> inform the building phase, they must also give the main designer the necessary d</w:t>
      </w:r>
      <w:r>
        <w:t>ata</w:t>
      </w:r>
      <w:r w:rsidRPr="00020146">
        <w:t>.</w:t>
      </w:r>
    </w:p>
    <w:p w14:paraId="1CADDD0C" w14:textId="07EA985B" w:rsidR="00020146" w:rsidRDefault="00020146" w:rsidP="00CF671D">
      <w:r w:rsidRPr="00020146">
        <w:rPr>
          <w:b/>
          <w:bCs/>
        </w:rPr>
        <w:t>Principal Designers/Architect:</w:t>
      </w:r>
      <w:r w:rsidRPr="00020146">
        <w:t xml:space="preserve"> Principal designers are selected by the client to manage health and safety throughout the pre-construction stage of projects involving several contractors. They </w:t>
      </w:r>
      <w:proofErr w:type="gramStart"/>
      <w:r w:rsidRPr="00020146">
        <w:t>have to</w:t>
      </w:r>
      <w:proofErr w:type="gramEnd"/>
      <w:r w:rsidRPr="00020146">
        <w:t xml:space="preserve"> make sure that health and safety information is created and distributed to the appropriate parties, identify, eliminate, or control hazards that are foreseeable, and communicate with the lead contractor during the project (Health and Safety Executive, 2015).</w:t>
      </w:r>
    </w:p>
    <w:p w14:paraId="5A69863D" w14:textId="61C2C41E" w:rsidR="00020146" w:rsidRDefault="00020146" w:rsidP="00CF671D">
      <w:r w:rsidRPr="00020146">
        <w:rPr>
          <w:b/>
          <w:bCs/>
        </w:rPr>
        <w:t>Principal Contractors:</w:t>
      </w:r>
      <w:r w:rsidRPr="00020146">
        <w:t xml:space="preserve"> When a project involves many contractors, is expected to take more than 30 days, or requires 500 person-days of labour, the customer appoints principal contractors (Health and Safety Executive, 2015). Planning, managing, overseeing, and coordinating health and safety during the building process is their main duty. To ensure a safe working environment, this entails making sure that enough welfare facilities are offered, putting site-specific health and safety procedures into action, and communicating with other contractors.</w:t>
      </w:r>
    </w:p>
    <w:p w14:paraId="1E83AE38" w14:textId="77777777" w:rsidR="00020146" w:rsidRDefault="00020146" w:rsidP="00CF671D"/>
    <w:p w14:paraId="5B894D90" w14:textId="77777777" w:rsidR="00F36C3A" w:rsidRDefault="00020146" w:rsidP="00CF671D">
      <w:r w:rsidRPr="00020146">
        <w:rPr>
          <w:b/>
          <w:bCs/>
        </w:rPr>
        <w:t>Contractors/Sub-Contractors:</w:t>
      </w:r>
      <w:r w:rsidR="00F36C3A" w:rsidRPr="00F36C3A">
        <w:t xml:space="preserve"> It is the responsibility of contractors, including subcontractors, to carry out the job in accordance with the regulations regarding health and safety. They have responsibilities to the primary contractor, adhere to the health and safety plan, and guarantee that their employees have the necessary skills and training to do their jobs in a safe manner (Health and Safety Executive, 2015).</w:t>
      </w:r>
    </w:p>
    <w:p w14:paraId="261BD943" w14:textId="2169D2BF" w:rsidR="00020146" w:rsidRDefault="00020146" w:rsidP="00CF671D">
      <w:r w:rsidRPr="00020146">
        <w:rPr>
          <w:b/>
          <w:bCs/>
        </w:rPr>
        <w:lastRenderedPageBreak/>
        <w:t>Employees:</w:t>
      </w:r>
      <w:r w:rsidR="00F36C3A">
        <w:rPr>
          <w:b/>
          <w:bCs/>
        </w:rPr>
        <w:t xml:space="preserve"> </w:t>
      </w:r>
      <w:r w:rsidR="00F36C3A" w:rsidRPr="00F36C3A">
        <w:t xml:space="preserve">In addition to anyone who could be impacted by their behaviour, employees have an obligation to take reasonable precautions for their own health and safety. When it comes to problems of health and safety, they </w:t>
      </w:r>
      <w:proofErr w:type="gramStart"/>
      <w:r w:rsidR="00F36C3A" w:rsidRPr="00F36C3A">
        <w:t>have to</w:t>
      </w:r>
      <w:proofErr w:type="gramEnd"/>
      <w:r w:rsidR="00F36C3A" w:rsidRPr="00F36C3A">
        <w:t xml:space="preserve"> work with their employer and adhere to instructions (Health and Safety Executive, 2015).</w:t>
      </w:r>
    </w:p>
    <w:p w14:paraId="20707E2D" w14:textId="5248BFBD" w:rsidR="00B97AF2" w:rsidRDefault="00B97AF2" w:rsidP="00B97AF2">
      <w:pPr>
        <w:pStyle w:val="Heading1"/>
        <w:rPr>
          <w:sz w:val="32"/>
          <w:szCs w:val="32"/>
        </w:rPr>
      </w:pPr>
      <w:bookmarkStart w:id="5" w:name="_Toc166007056"/>
      <w:r w:rsidRPr="00B97AF2">
        <w:rPr>
          <w:sz w:val="32"/>
          <w:szCs w:val="32"/>
        </w:rPr>
        <w:t>Risk Assessments (RAMS)</w:t>
      </w:r>
      <w:bookmarkEnd w:id="5"/>
    </w:p>
    <w:p w14:paraId="6581C165" w14:textId="42BFD83C" w:rsidR="00B97AF2" w:rsidRDefault="00B97AF2" w:rsidP="00B97AF2">
      <w:r w:rsidRPr="00B97AF2">
        <w:t>Risk assessment method statements (RAMS) are crucial in the construction industry as they serve as a comprehensive tool for identifying, assessing, and managing risks associated with construction activities.</w:t>
      </w:r>
      <w:r>
        <w:t xml:space="preserve"> </w:t>
      </w:r>
      <w:r w:rsidRPr="00B97AF2">
        <w:t>As stated by the Health and Safety Executive (2017), RAMS are essential papers that list the risks that may arise on a building site, assess the possible outcomes of those risks, and specify the control mechanisms that must be put in place to lessen or eliminate those risks.</w:t>
      </w:r>
    </w:p>
    <w:p w14:paraId="63420FF2" w14:textId="66B5F567" w:rsidR="00B97AF2" w:rsidRDefault="00B97AF2" w:rsidP="00B97AF2">
      <w:r w:rsidRPr="00B97AF2">
        <w:t>Assuring the health and safety of employees, residents, and members of the public is one of the main purposes of RAMS. Risk Assessment Method Statements contribute to the reduction of mishaps, injuries, and tragedies on construction sites by methodically evaluating risks and putting control mechanisms in place. This maintains the integrity and reputation of construction organisations in addition to the safety of those directly engaged in building operations.</w:t>
      </w:r>
    </w:p>
    <w:p w14:paraId="6FCBB6CC" w14:textId="36D57604" w:rsidR="00B97AF2" w:rsidRDefault="00B97AF2" w:rsidP="00B97AF2">
      <w:r w:rsidRPr="00B97AF2">
        <w:t>RAMS make it easier to adhere to the legal and regulatory standards associated with health and safety in the building industry. Employers are required by law to evaluate and manage workplace hazards, as outlined in the Health and Safety at Work Act of 1974 and the Construction (Design and Management) Regulations of 2015 (Health and Safety Executive, 1974; Health and Safety Executive, 2015). RAMS offer an organised method for fulfilling these responsibilities by recording the actions done to recognise risks, evaluate hazards, and put control measures in place.</w:t>
      </w:r>
    </w:p>
    <w:p w14:paraId="1E87F320" w14:textId="2AF277A8" w:rsidR="00B97AF2" w:rsidRDefault="00B97AF2" w:rsidP="00B97AF2">
      <w:r w:rsidRPr="00B97AF2">
        <w:t>RAMS additionally promotes the safe and orderly completion of construction-related tasks, which increases productivity and efficiency. RAMS reduce interruptions, delays, and unanticipated expenses related to mishaps or occurrences on-site by foreseeing possible risks and making plans appropriately.</w:t>
      </w:r>
    </w:p>
    <w:p w14:paraId="1EE94786" w14:textId="3285BCED" w:rsidR="00B97AF2" w:rsidRPr="00B97AF2" w:rsidRDefault="00B97AF2" w:rsidP="00B97AF2">
      <w:r w:rsidRPr="00B97AF2">
        <w:t>Conclusively, risk assessments play an essential role in the construction industry by safeguarding the well-being of workers and other stakeholders, simplifying adherence to legal requirements, and promoting efficiency and productivity on building sites. Their systematic approach to risk identification and management contributes to safer working conditions and lessens the inherent dangers connected to building operations.</w:t>
      </w:r>
    </w:p>
    <w:p w14:paraId="76D79EE8" w14:textId="77777777" w:rsidR="00CF671D" w:rsidRDefault="00CF671D" w:rsidP="00CF671D"/>
    <w:p w14:paraId="70C54859" w14:textId="77777777" w:rsidR="00CF671D" w:rsidRDefault="00CF671D" w:rsidP="00CF671D"/>
    <w:p w14:paraId="41F4E896" w14:textId="77777777" w:rsidR="00CF671D" w:rsidRDefault="00CF671D" w:rsidP="00CF671D"/>
    <w:p w14:paraId="684C3FC7" w14:textId="2CE25338" w:rsidR="00CF671D" w:rsidRDefault="009A6E5F" w:rsidP="009A6E5F">
      <w:pPr>
        <w:pStyle w:val="Heading1"/>
        <w:rPr>
          <w:sz w:val="32"/>
          <w:szCs w:val="32"/>
        </w:rPr>
      </w:pPr>
      <w:bookmarkStart w:id="6" w:name="_Toc166007057"/>
      <w:r>
        <w:rPr>
          <w:sz w:val="32"/>
          <w:szCs w:val="32"/>
        </w:rPr>
        <w:lastRenderedPageBreak/>
        <w:t>Conclusion</w:t>
      </w:r>
      <w:bookmarkEnd w:id="6"/>
    </w:p>
    <w:p w14:paraId="5B330B29" w14:textId="5E4D86CD" w:rsidR="009A6E5F" w:rsidRDefault="009A6E5F" w:rsidP="009A6E5F">
      <w:r w:rsidRPr="009A6E5F">
        <w:t>In conclusion, enforcing strict health and safety regulations on building sites is not just a legal requirement but also an essential necessity to safeguard the public's safety, the health of the employees, and the environment. There are several inherent dangers associated with construction sites, such as asbestos exposure, falls from high levels, and heavy machinery accidents. These hazards have the potential to cause terrible consequences, such as diseases, injuries, and even fatalities, if there are insufficient controls in place. A key component of proactive risk management is the framework provided by health and safety regulations, which make sure that risks are recognised, reduced, and managed through a range of comprehensive actions including risk assessments, training initiatives, and the distribution of personal protective equipment.</w:t>
      </w:r>
      <w:r>
        <w:t xml:space="preserve"> </w:t>
      </w:r>
      <w:r w:rsidRPr="009A6E5F">
        <w:t>Furthermore, strong regulations emphasise the common responsibilities of employers, contractors, and employees to maintain safe working conditions by encouraging a culture of accountability and responsibility. Regulations are important in protecting human life and advancing sustainable practices that respect social responsibility and moral leadership because they prioritise health and safety on construction sites.</w:t>
      </w:r>
    </w:p>
    <w:p w14:paraId="70836AA8" w14:textId="77777777" w:rsidR="009A6E5F" w:rsidRDefault="009A6E5F" w:rsidP="009A6E5F"/>
    <w:p w14:paraId="7F5F6407" w14:textId="77777777" w:rsidR="009A6E5F" w:rsidRDefault="009A6E5F" w:rsidP="009A6E5F"/>
    <w:p w14:paraId="106C09A3" w14:textId="77777777" w:rsidR="009A6E5F" w:rsidRDefault="009A6E5F" w:rsidP="009A6E5F"/>
    <w:p w14:paraId="5882ECFB" w14:textId="77777777" w:rsidR="009A6E5F" w:rsidRDefault="009A6E5F" w:rsidP="009A6E5F"/>
    <w:p w14:paraId="36E8C9C6" w14:textId="77777777" w:rsidR="009A6E5F" w:rsidRDefault="009A6E5F" w:rsidP="009A6E5F"/>
    <w:p w14:paraId="3685FBC5" w14:textId="77777777" w:rsidR="009A6E5F" w:rsidRDefault="009A6E5F" w:rsidP="009A6E5F"/>
    <w:p w14:paraId="4036334F" w14:textId="77777777" w:rsidR="009A6E5F" w:rsidRDefault="009A6E5F" w:rsidP="009A6E5F"/>
    <w:p w14:paraId="1940515E" w14:textId="77777777" w:rsidR="009A6E5F" w:rsidRDefault="009A6E5F" w:rsidP="009A6E5F"/>
    <w:p w14:paraId="2CDCDFF8" w14:textId="77777777" w:rsidR="009A6E5F" w:rsidRDefault="009A6E5F" w:rsidP="009A6E5F"/>
    <w:p w14:paraId="12D91C23" w14:textId="77777777" w:rsidR="009A6E5F" w:rsidRDefault="009A6E5F" w:rsidP="009A6E5F"/>
    <w:p w14:paraId="186DE406" w14:textId="77777777" w:rsidR="009A6E5F" w:rsidRDefault="009A6E5F" w:rsidP="009A6E5F"/>
    <w:p w14:paraId="5ECD5EAF" w14:textId="77777777" w:rsidR="009A6E5F" w:rsidRDefault="009A6E5F" w:rsidP="009A6E5F"/>
    <w:p w14:paraId="794EB4EE" w14:textId="77777777" w:rsidR="009A6E5F" w:rsidRDefault="009A6E5F" w:rsidP="009A6E5F"/>
    <w:p w14:paraId="5863BCA9" w14:textId="77777777" w:rsidR="009A6E5F" w:rsidRDefault="009A6E5F" w:rsidP="009A6E5F"/>
    <w:p w14:paraId="72ECF43A" w14:textId="77777777" w:rsidR="009A6E5F" w:rsidRDefault="009A6E5F" w:rsidP="009A6E5F"/>
    <w:p w14:paraId="61F8558D" w14:textId="77777777" w:rsidR="009A6E5F" w:rsidRDefault="009A6E5F" w:rsidP="009A6E5F"/>
    <w:p w14:paraId="33BD9170" w14:textId="51D2FAC4" w:rsidR="009A6E5F" w:rsidRDefault="009A6E5F" w:rsidP="009A6E5F">
      <w:pPr>
        <w:pStyle w:val="Heading1"/>
        <w:rPr>
          <w:sz w:val="32"/>
          <w:szCs w:val="32"/>
        </w:rPr>
      </w:pPr>
      <w:bookmarkStart w:id="7" w:name="_Toc166007058"/>
      <w:r>
        <w:rPr>
          <w:sz w:val="32"/>
          <w:szCs w:val="32"/>
        </w:rPr>
        <w:lastRenderedPageBreak/>
        <w:t>Risk Assessment sheets</w:t>
      </w:r>
      <w:bookmarkEnd w:id="7"/>
    </w:p>
    <w:p w14:paraId="48C0DC5A" w14:textId="6204DDD7" w:rsidR="009A6E5F" w:rsidRPr="009A6E5F" w:rsidRDefault="007D5125" w:rsidP="009A6E5F">
      <w:r w:rsidRPr="007D5125">
        <w:drawing>
          <wp:inline distT="0" distB="0" distL="0" distR="0" wp14:anchorId="6FBF6BA7" wp14:editId="7D1BDC92">
            <wp:extent cx="5182323" cy="8116433"/>
            <wp:effectExtent l="0" t="0" r="0" b="0"/>
            <wp:docPr id="797573301"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73301" name="Picture 1" descr="A close-up of a survey&#10;&#10;Description automatically generated"/>
                    <pic:cNvPicPr/>
                  </pic:nvPicPr>
                  <pic:blipFill>
                    <a:blip r:embed="rId6"/>
                    <a:stretch>
                      <a:fillRect/>
                    </a:stretch>
                  </pic:blipFill>
                  <pic:spPr>
                    <a:xfrm>
                      <a:off x="0" y="0"/>
                      <a:ext cx="5182323" cy="8116433"/>
                    </a:xfrm>
                    <a:prstGeom prst="rect">
                      <a:avLst/>
                    </a:prstGeom>
                  </pic:spPr>
                </pic:pic>
              </a:graphicData>
            </a:graphic>
          </wp:inline>
        </w:drawing>
      </w:r>
    </w:p>
    <w:p w14:paraId="02D06B1C" w14:textId="77777777" w:rsidR="00CF671D" w:rsidRDefault="00CF671D" w:rsidP="00CF671D"/>
    <w:p w14:paraId="592C8588" w14:textId="151B7687" w:rsidR="00CF671D" w:rsidRDefault="00963532" w:rsidP="00CF671D">
      <w:r w:rsidRPr="00963532">
        <w:lastRenderedPageBreak/>
        <w:drawing>
          <wp:inline distT="0" distB="0" distL="0" distR="0" wp14:anchorId="2E31DF62" wp14:editId="7EF8427B">
            <wp:extent cx="5496692" cy="7573432"/>
            <wp:effectExtent l="0" t="0" r="8890" b="8890"/>
            <wp:docPr id="125003280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32804" name="Picture 1" descr="A close-up of a document&#10;&#10;Description automatically generated"/>
                    <pic:cNvPicPr/>
                  </pic:nvPicPr>
                  <pic:blipFill>
                    <a:blip r:embed="rId7"/>
                    <a:stretch>
                      <a:fillRect/>
                    </a:stretch>
                  </pic:blipFill>
                  <pic:spPr>
                    <a:xfrm>
                      <a:off x="0" y="0"/>
                      <a:ext cx="5496692" cy="7573432"/>
                    </a:xfrm>
                    <a:prstGeom prst="rect">
                      <a:avLst/>
                    </a:prstGeom>
                  </pic:spPr>
                </pic:pic>
              </a:graphicData>
            </a:graphic>
          </wp:inline>
        </w:drawing>
      </w:r>
    </w:p>
    <w:p w14:paraId="06A7C9AB" w14:textId="77777777" w:rsidR="00CF671D" w:rsidRDefault="00CF671D" w:rsidP="00CF671D"/>
    <w:p w14:paraId="4C40D3EF" w14:textId="77777777" w:rsidR="00CF671D" w:rsidRDefault="00CF671D" w:rsidP="00CF671D"/>
    <w:p w14:paraId="5A7D5705" w14:textId="7D14F40D" w:rsidR="009A6E5F" w:rsidRPr="009A6E5F" w:rsidRDefault="009A6E5F" w:rsidP="00CF671D">
      <w:pPr>
        <w:rPr>
          <w:b/>
          <w:bCs/>
        </w:rPr>
      </w:pPr>
    </w:p>
    <w:p w14:paraId="5D01B553" w14:textId="77777777" w:rsidR="00CF671D" w:rsidRDefault="00CF671D" w:rsidP="00CF671D"/>
    <w:p w14:paraId="0A91E888" w14:textId="618D4AE3" w:rsidR="00CF671D" w:rsidRDefault="007D5125" w:rsidP="00CF671D">
      <w:r w:rsidRPr="007D5125">
        <w:lastRenderedPageBreak/>
        <w:drawing>
          <wp:inline distT="0" distB="0" distL="0" distR="0" wp14:anchorId="047EC22F" wp14:editId="39D7EFAE">
            <wp:extent cx="5506218" cy="7611537"/>
            <wp:effectExtent l="0" t="0" r="0" b="8890"/>
            <wp:docPr id="6622766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76610" name="Picture 1" descr="A close-up of a document&#10;&#10;Description automatically generated"/>
                    <pic:cNvPicPr/>
                  </pic:nvPicPr>
                  <pic:blipFill>
                    <a:blip r:embed="rId8"/>
                    <a:stretch>
                      <a:fillRect/>
                    </a:stretch>
                  </pic:blipFill>
                  <pic:spPr>
                    <a:xfrm>
                      <a:off x="0" y="0"/>
                      <a:ext cx="5506218" cy="7611537"/>
                    </a:xfrm>
                    <a:prstGeom prst="rect">
                      <a:avLst/>
                    </a:prstGeom>
                  </pic:spPr>
                </pic:pic>
              </a:graphicData>
            </a:graphic>
          </wp:inline>
        </w:drawing>
      </w:r>
    </w:p>
    <w:p w14:paraId="7D3E4D8B" w14:textId="77777777" w:rsidR="00CF671D" w:rsidRDefault="00CF671D" w:rsidP="00CF671D"/>
    <w:p w14:paraId="44AA1265" w14:textId="27E38684" w:rsidR="00CF671D" w:rsidRDefault="00CF671D" w:rsidP="00CF671D"/>
    <w:p w14:paraId="5700645B" w14:textId="77777777" w:rsidR="00E55464" w:rsidRDefault="00E55464" w:rsidP="00CF671D"/>
    <w:p w14:paraId="73F3FE85" w14:textId="4BCBE825" w:rsidR="00E55464" w:rsidRDefault="007D5125" w:rsidP="00CF671D">
      <w:r w:rsidRPr="007D5125">
        <w:lastRenderedPageBreak/>
        <w:drawing>
          <wp:inline distT="0" distB="0" distL="0" distR="0" wp14:anchorId="6895BFB6" wp14:editId="1CA98383">
            <wp:extent cx="5477639" cy="7563906"/>
            <wp:effectExtent l="0" t="0" r="8890" b="0"/>
            <wp:docPr id="1506426101" name="Picture 1" descr="A document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426101" name="Picture 1" descr="A document with a number of text&#10;&#10;Description automatically generated with medium confidence"/>
                    <pic:cNvPicPr/>
                  </pic:nvPicPr>
                  <pic:blipFill>
                    <a:blip r:embed="rId9"/>
                    <a:stretch>
                      <a:fillRect/>
                    </a:stretch>
                  </pic:blipFill>
                  <pic:spPr>
                    <a:xfrm>
                      <a:off x="0" y="0"/>
                      <a:ext cx="5477639" cy="7563906"/>
                    </a:xfrm>
                    <a:prstGeom prst="rect">
                      <a:avLst/>
                    </a:prstGeom>
                  </pic:spPr>
                </pic:pic>
              </a:graphicData>
            </a:graphic>
          </wp:inline>
        </w:drawing>
      </w:r>
    </w:p>
    <w:p w14:paraId="08D140A6" w14:textId="77777777" w:rsidR="00E55464" w:rsidRDefault="00E55464" w:rsidP="00CF671D"/>
    <w:p w14:paraId="36C95353" w14:textId="77777777" w:rsidR="00E55464" w:rsidRDefault="00E55464" w:rsidP="00CF671D"/>
    <w:p w14:paraId="7166BEA4" w14:textId="5EAC5017" w:rsidR="00E55464" w:rsidRDefault="00E55464" w:rsidP="00CF671D">
      <w:pPr>
        <w:rPr>
          <w:b/>
          <w:bCs/>
        </w:rPr>
      </w:pPr>
    </w:p>
    <w:p w14:paraId="0105010C" w14:textId="77777777" w:rsidR="00E55464" w:rsidRDefault="00E55464" w:rsidP="00CF671D">
      <w:pPr>
        <w:rPr>
          <w:b/>
          <w:bCs/>
        </w:rPr>
      </w:pPr>
    </w:p>
    <w:p w14:paraId="5B5397B8" w14:textId="03652DDD" w:rsidR="00E55464" w:rsidRDefault="007D5125" w:rsidP="00CF671D">
      <w:pPr>
        <w:rPr>
          <w:b/>
          <w:bCs/>
        </w:rPr>
      </w:pPr>
      <w:r w:rsidRPr="007D5125">
        <w:rPr>
          <w:b/>
          <w:bCs/>
        </w:rPr>
        <w:lastRenderedPageBreak/>
        <w:drawing>
          <wp:inline distT="0" distB="0" distL="0" distR="0" wp14:anchorId="5B9D1CBF" wp14:editId="75DABD6C">
            <wp:extent cx="5506218" cy="7678222"/>
            <wp:effectExtent l="0" t="0" r="0" b="0"/>
            <wp:docPr id="179082104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21041" name="Picture 1" descr="A close-up of a document&#10;&#10;Description automatically generated"/>
                    <pic:cNvPicPr/>
                  </pic:nvPicPr>
                  <pic:blipFill>
                    <a:blip r:embed="rId10"/>
                    <a:stretch>
                      <a:fillRect/>
                    </a:stretch>
                  </pic:blipFill>
                  <pic:spPr>
                    <a:xfrm>
                      <a:off x="0" y="0"/>
                      <a:ext cx="5506218" cy="7678222"/>
                    </a:xfrm>
                    <a:prstGeom prst="rect">
                      <a:avLst/>
                    </a:prstGeom>
                  </pic:spPr>
                </pic:pic>
              </a:graphicData>
            </a:graphic>
          </wp:inline>
        </w:drawing>
      </w:r>
    </w:p>
    <w:p w14:paraId="0E1A4951" w14:textId="77777777" w:rsidR="00E55464" w:rsidRDefault="00E55464" w:rsidP="00CF671D">
      <w:pPr>
        <w:rPr>
          <w:b/>
          <w:bCs/>
        </w:rPr>
      </w:pPr>
    </w:p>
    <w:p w14:paraId="15EBAE4C" w14:textId="13896FE7" w:rsidR="00E55464" w:rsidRDefault="00E55464" w:rsidP="00CF671D">
      <w:pPr>
        <w:rPr>
          <w:b/>
          <w:bCs/>
        </w:rPr>
      </w:pPr>
    </w:p>
    <w:p w14:paraId="57CB8428" w14:textId="77777777" w:rsidR="00E55464" w:rsidRDefault="00E55464" w:rsidP="00CF671D">
      <w:pPr>
        <w:rPr>
          <w:b/>
          <w:bCs/>
        </w:rPr>
      </w:pPr>
    </w:p>
    <w:p w14:paraId="7B60E75C" w14:textId="77777777" w:rsidR="00E55464" w:rsidRDefault="00E55464" w:rsidP="00CF671D">
      <w:pPr>
        <w:rPr>
          <w:b/>
          <w:bCs/>
        </w:rPr>
      </w:pPr>
    </w:p>
    <w:p w14:paraId="30842DCE" w14:textId="77777777" w:rsidR="00E55464" w:rsidRDefault="00E55464" w:rsidP="00CF671D">
      <w:pPr>
        <w:rPr>
          <w:b/>
          <w:bCs/>
        </w:rPr>
      </w:pPr>
    </w:p>
    <w:p w14:paraId="37788EA9" w14:textId="1A96B9D3" w:rsidR="00E55464" w:rsidRDefault="00E55464" w:rsidP="00CF671D">
      <w:pPr>
        <w:rPr>
          <w:b/>
          <w:bCs/>
        </w:rPr>
      </w:pPr>
    </w:p>
    <w:p w14:paraId="40CD46F2" w14:textId="77777777" w:rsidR="00E55464" w:rsidRDefault="00E55464" w:rsidP="00CF671D">
      <w:pPr>
        <w:rPr>
          <w:b/>
          <w:bCs/>
        </w:rPr>
      </w:pPr>
    </w:p>
    <w:p w14:paraId="0F099120" w14:textId="77777777" w:rsidR="00E55464" w:rsidRDefault="00E55464" w:rsidP="00CF671D">
      <w:pPr>
        <w:rPr>
          <w:b/>
          <w:bCs/>
        </w:rPr>
      </w:pPr>
    </w:p>
    <w:p w14:paraId="189BDEB0" w14:textId="77777777" w:rsidR="00E55464" w:rsidRDefault="00E55464" w:rsidP="00CF671D">
      <w:pPr>
        <w:rPr>
          <w:b/>
          <w:bCs/>
        </w:rPr>
      </w:pPr>
    </w:p>
    <w:p w14:paraId="4C7EE825" w14:textId="77777777" w:rsidR="00E55464" w:rsidRDefault="00E55464" w:rsidP="00CF671D">
      <w:pPr>
        <w:rPr>
          <w:b/>
          <w:bCs/>
        </w:rPr>
      </w:pPr>
    </w:p>
    <w:p w14:paraId="056E2C4C" w14:textId="2363A361" w:rsidR="00E55464" w:rsidRDefault="00E55464" w:rsidP="00CF671D">
      <w:pPr>
        <w:rPr>
          <w:b/>
          <w:bCs/>
        </w:rPr>
      </w:pPr>
    </w:p>
    <w:p w14:paraId="6339BD4E" w14:textId="77777777" w:rsidR="00E55464" w:rsidRDefault="00E55464" w:rsidP="00CF671D">
      <w:pPr>
        <w:rPr>
          <w:b/>
          <w:bCs/>
        </w:rPr>
      </w:pPr>
    </w:p>
    <w:p w14:paraId="656783AF" w14:textId="77777777" w:rsidR="00E55464" w:rsidRDefault="00E55464" w:rsidP="00CF671D">
      <w:pPr>
        <w:rPr>
          <w:b/>
          <w:bCs/>
        </w:rPr>
      </w:pPr>
    </w:p>
    <w:p w14:paraId="0E313E42" w14:textId="77777777" w:rsidR="00E55464" w:rsidRDefault="00E55464" w:rsidP="00CF671D">
      <w:pPr>
        <w:rPr>
          <w:b/>
          <w:bCs/>
        </w:rPr>
      </w:pPr>
    </w:p>
    <w:p w14:paraId="5FDD7463" w14:textId="407F7DE8" w:rsidR="00E55464" w:rsidRDefault="00E55464" w:rsidP="00CF671D">
      <w:pPr>
        <w:rPr>
          <w:b/>
          <w:bCs/>
        </w:rPr>
      </w:pPr>
    </w:p>
    <w:p w14:paraId="46969A69" w14:textId="77777777" w:rsidR="00E55464" w:rsidRDefault="00E55464" w:rsidP="00CF671D">
      <w:pPr>
        <w:rPr>
          <w:b/>
          <w:bCs/>
        </w:rPr>
      </w:pPr>
    </w:p>
    <w:p w14:paraId="340B4713" w14:textId="77777777" w:rsidR="00E55464" w:rsidRDefault="00E55464" w:rsidP="00CF671D">
      <w:pPr>
        <w:rPr>
          <w:b/>
          <w:bCs/>
        </w:rPr>
      </w:pPr>
    </w:p>
    <w:p w14:paraId="6BBA28C6" w14:textId="77777777" w:rsidR="00E55464" w:rsidRDefault="00E55464" w:rsidP="00CF671D">
      <w:pPr>
        <w:rPr>
          <w:b/>
          <w:bCs/>
        </w:rPr>
      </w:pPr>
    </w:p>
    <w:p w14:paraId="28E90F69" w14:textId="760DF390" w:rsidR="00E55464" w:rsidRPr="00E55464" w:rsidRDefault="00E55464" w:rsidP="00CF671D">
      <w:pPr>
        <w:rPr>
          <w:b/>
          <w:bCs/>
        </w:rPr>
      </w:pPr>
    </w:p>
    <w:p w14:paraId="00E513D6" w14:textId="77777777" w:rsidR="00CF671D" w:rsidRDefault="00CF671D" w:rsidP="00CF671D"/>
    <w:p w14:paraId="1CF8AEDC" w14:textId="77777777" w:rsidR="00CF671D" w:rsidRDefault="00CF671D" w:rsidP="00CF671D"/>
    <w:p w14:paraId="3B38A614" w14:textId="77777777" w:rsidR="00963532" w:rsidRDefault="00963532" w:rsidP="00CF671D"/>
    <w:p w14:paraId="2F4A6522" w14:textId="77777777" w:rsidR="00963532" w:rsidRDefault="00963532" w:rsidP="00CF671D"/>
    <w:p w14:paraId="01FB51F0" w14:textId="77777777" w:rsidR="00963532" w:rsidRDefault="00963532" w:rsidP="00CF671D"/>
    <w:p w14:paraId="3A416830" w14:textId="77777777" w:rsidR="00963532" w:rsidRDefault="00963532" w:rsidP="00CF671D"/>
    <w:p w14:paraId="07FC354D" w14:textId="77777777" w:rsidR="00963532" w:rsidRDefault="00963532" w:rsidP="00CF671D"/>
    <w:p w14:paraId="0CED6CCD" w14:textId="77777777" w:rsidR="00963532" w:rsidRDefault="00963532" w:rsidP="00CF671D"/>
    <w:p w14:paraId="6F43E3D8" w14:textId="77777777" w:rsidR="00963532" w:rsidRDefault="00963532" w:rsidP="00CF671D"/>
    <w:p w14:paraId="7C09E6F6" w14:textId="77777777" w:rsidR="00F36C3A" w:rsidRDefault="00F36C3A" w:rsidP="00756328"/>
    <w:p w14:paraId="3713B8CE" w14:textId="4B0BC437" w:rsidR="009A6E5F" w:rsidRPr="009A6E5F" w:rsidRDefault="009A6E5F" w:rsidP="009A6E5F">
      <w:pPr>
        <w:pStyle w:val="Heading1"/>
        <w:rPr>
          <w:sz w:val="32"/>
          <w:szCs w:val="32"/>
        </w:rPr>
      </w:pPr>
      <w:bookmarkStart w:id="8" w:name="_Toc166007059"/>
      <w:r>
        <w:rPr>
          <w:sz w:val="32"/>
          <w:szCs w:val="32"/>
        </w:rPr>
        <w:lastRenderedPageBreak/>
        <w:t>References</w:t>
      </w:r>
      <w:bookmarkEnd w:id="8"/>
    </w:p>
    <w:p w14:paraId="7B165F72" w14:textId="77777777" w:rsid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British Safety Council (2024). </w:t>
      </w:r>
      <w:r w:rsidRPr="00C77027">
        <w:rPr>
          <w:rFonts w:eastAsia="Times New Roman" w:cs="Times New Roman"/>
          <w:i/>
          <w:iCs/>
          <w:kern w:val="0"/>
          <w:lang w:eastAsia="en-GB"/>
          <w14:ligatures w14:val="none"/>
        </w:rPr>
        <w:t>Risk Assessment and Management: A Complete Guide | British Safety Council</w:t>
      </w:r>
      <w:r w:rsidRPr="00C77027">
        <w:rPr>
          <w:rFonts w:eastAsia="Times New Roman" w:cs="Times New Roman"/>
          <w:kern w:val="0"/>
          <w:lang w:eastAsia="en-GB"/>
          <w14:ligatures w14:val="none"/>
        </w:rPr>
        <w:t xml:space="preserve">. [online] British Safety Council. Available at: </w:t>
      </w:r>
      <w:hyperlink r:id="rId11" w:anchor=":~:text=Risk%20assessments%20are%20crucial%20to" w:history="1">
        <w:r w:rsidRPr="00C77027">
          <w:rPr>
            <w:rStyle w:val="Hyperlink"/>
            <w:rFonts w:eastAsia="Times New Roman" w:cs="Times New Roman"/>
            <w:kern w:val="0"/>
            <w:lang w:eastAsia="en-GB"/>
            <w14:ligatures w14:val="none"/>
          </w:rPr>
          <w:t>https://www.britsafe.org/training-and-learning/informational-resources/risk-assessments-what-they-are-why-they-re-important-and-how-to-complete-them#:~:text=Risk%20assessments%20are%20crucial%20to</w:t>
        </w:r>
      </w:hyperlink>
      <w:r w:rsidRPr="00C77027">
        <w:rPr>
          <w:rFonts w:eastAsia="Times New Roman" w:cs="Times New Roman"/>
          <w:kern w:val="0"/>
          <w:lang w:eastAsia="en-GB"/>
          <w14:ligatures w14:val="none"/>
        </w:rPr>
        <w:t xml:space="preserve"> </w:t>
      </w:r>
      <w:r>
        <w:rPr>
          <w:rFonts w:eastAsia="Times New Roman" w:cs="Times New Roman"/>
          <w:kern w:val="0"/>
          <w:lang w:eastAsia="en-GB"/>
          <w14:ligatures w14:val="none"/>
        </w:rPr>
        <w:t xml:space="preserve"> </w:t>
      </w:r>
    </w:p>
    <w:p w14:paraId="174A0778" w14:textId="4F514023"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Executive, H. and S. (2015). </w:t>
      </w:r>
      <w:r w:rsidRPr="00C77027">
        <w:rPr>
          <w:rFonts w:eastAsia="Times New Roman" w:cs="Times New Roman"/>
          <w:i/>
          <w:iCs/>
          <w:kern w:val="0"/>
          <w:lang w:eastAsia="en-GB"/>
          <w14:ligatures w14:val="none"/>
        </w:rPr>
        <w:t>Health and safety in the film, theatre and broadcasting industries - CDM roles and duties</w:t>
      </w:r>
      <w:r w:rsidRPr="00C77027">
        <w:rPr>
          <w:rFonts w:eastAsia="Times New Roman" w:cs="Times New Roman"/>
          <w:kern w:val="0"/>
          <w:lang w:eastAsia="en-GB"/>
          <w14:ligatures w14:val="none"/>
        </w:rPr>
        <w:t xml:space="preserve">. [online] www.hse.gov.uk. Available at: </w:t>
      </w:r>
      <w:hyperlink r:id="rId12" w:anchor=":~:text=The%20three%20main%20CDM%20roles" w:history="1">
        <w:r w:rsidRPr="00C77027">
          <w:rPr>
            <w:rStyle w:val="Hyperlink"/>
            <w:rFonts w:eastAsia="Times New Roman" w:cs="Times New Roman"/>
            <w:kern w:val="0"/>
            <w:lang w:eastAsia="en-GB"/>
            <w14:ligatures w14:val="none"/>
          </w:rPr>
          <w:t>https://www.hse.gov.uk/entertainment/cdm-2015/roles-and-duties.htm#:~:text=The%20three%20main%20CDM%20roles</w:t>
        </w:r>
      </w:hyperlink>
      <w:r w:rsidRPr="00C77027">
        <w:rPr>
          <w:rFonts w:eastAsia="Times New Roman" w:cs="Times New Roman"/>
          <w:kern w:val="0"/>
          <w:lang w:eastAsia="en-GB"/>
          <w14:ligatures w14:val="none"/>
        </w:rPr>
        <w:t xml:space="preserve"> </w:t>
      </w:r>
    </w:p>
    <w:p w14:paraId="0E0D32A8" w14:textId="056DF787"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GOV, U. (2024). </w:t>
      </w:r>
      <w:r w:rsidRPr="00C77027">
        <w:rPr>
          <w:rFonts w:eastAsia="Times New Roman" w:cs="Times New Roman"/>
          <w:i/>
          <w:iCs/>
          <w:kern w:val="0"/>
          <w:lang w:eastAsia="en-GB"/>
          <w14:ligatures w14:val="none"/>
        </w:rPr>
        <w:t>Asbestos: general information</w:t>
      </w:r>
      <w:r w:rsidRPr="00C77027">
        <w:rPr>
          <w:rFonts w:eastAsia="Times New Roman" w:cs="Times New Roman"/>
          <w:kern w:val="0"/>
          <w:lang w:eastAsia="en-GB"/>
          <w14:ligatures w14:val="none"/>
        </w:rPr>
        <w:t xml:space="preserve">. [online] GOV.UK. Available at: </w:t>
      </w:r>
      <w:hyperlink r:id="rId13" w:anchor=":~:text=Asbestos%20is%20a%20general%20name" w:history="1">
        <w:r w:rsidRPr="00C77027">
          <w:rPr>
            <w:rStyle w:val="Hyperlink"/>
            <w:rFonts w:eastAsia="Times New Roman" w:cs="Times New Roman"/>
            <w:kern w:val="0"/>
            <w:lang w:eastAsia="en-GB"/>
            <w14:ligatures w14:val="none"/>
          </w:rPr>
          <w:t>https://www.gov.uk/government/publications/asbestos-properties-incident-management-and-toxicology/asbestos-general-information#:~:text=Asbestos%20is%20a%20general%20name</w:t>
        </w:r>
      </w:hyperlink>
      <w:r w:rsidRPr="00C77027">
        <w:rPr>
          <w:rFonts w:eastAsia="Times New Roman" w:cs="Times New Roman"/>
          <w:kern w:val="0"/>
          <w:lang w:eastAsia="en-GB"/>
          <w14:ligatures w14:val="none"/>
        </w:rPr>
        <w:t xml:space="preserve"> </w:t>
      </w:r>
    </w:p>
    <w:p w14:paraId="2B5D0304" w14:textId="63629402"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GOV.UK (1974). </w:t>
      </w:r>
      <w:r w:rsidRPr="00C77027">
        <w:rPr>
          <w:rFonts w:eastAsia="Times New Roman" w:cs="Times New Roman"/>
          <w:i/>
          <w:iCs/>
          <w:kern w:val="0"/>
          <w:lang w:eastAsia="en-GB"/>
          <w14:ligatures w14:val="none"/>
        </w:rPr>
        <w:t>Health and Safety at Work etc. Act 1974</w:t>
      </w:r>
      <w:r w:rsidRPr="00C77027">
        <w:rPr>
          <w:rFonts w:eastAsia="Times New Roman" w:cs="Times New Roman"/>
          <w:kern w:val="0"/>
          <w:lang w:eastAsia="en-GB"/>
          <w14:ligatures w14:val="none"/>
        </w:rPr>
        <w:t xml:space="preserve">. [online] Legislation.gov.uk. Available at: </w:t>
      </w:r>
      <w:hyperlink r:id="rId14" w:history="1">
        <w:r w:rsidRPr="00C77027">
          <w:rPr>
            <w:rStyle w:val="Hyperlink"/>
            <w:rFonts w:eastAsia="Times New Roman" w:cs="Times New Roman"/>
            <w:kern w:val="0"/>
            <w:lang w:eastAsia="en-GB"/>
            <w14:ligatures w14:val="none"/>
          </w:rPr>
          <w:t>https://www.legislation.gov.uk/ukpga/1974/37/contents</w:t>
        </w:r>
      </w:hyperlink>
      <w:r w:rsidRPr="00C77027">
        <w:rPr>
          <w:rFonts w:eastAsia="Times New Roman" w:cs="Times New Roman"/>
          <w:kern w:val="0"/>
          <w:lang w:eastAsia="en-GB"/>
          <w14:ligatures w14:val="none"/>
        </w:rPr>
        <w:t xml:space="preserve"> </w:t>
      </w:r>
    </w:p>
    <w:p w14:paraId="2A497BD5" w14:textId="7FDC97BE"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GOV.UK (2011). </w:t>
      </w:r>
      <w:r w:rsidRPr="00C77027">
        <w:rPr>
          <w:rFonts w:eastAsia="Times New Roman" w:cs="Times New Roman"/>
          <w:i/>
          <w:iCs/>
          <w:kern w:val="0"/>
          <w:lang w:eastAsia="en-GB"/>
          <w14:ligatures w14:val="none"/>
        </w:rPr>
        <w:t>The Work at Height Regulations 2005</w:t>
      </w:r>
      <w:r w:rsidRPr="00C77027">
        <w:rPr>
          <w:rFonts w:eastAsia="Times New Roman" w:cs="Times New Roman"/>
          <w:kern w:val="0"/>
          <w:lang w:eastAsia="en-GB"/>
          <w14:ligatures w14:val="none"/>
        </w:rPr>
        <w:t xml:space="preserve">. [online] Legislation.gov.uk. Available at: </w:t>
      </w:r>
      <w:hyperlink r:id="rId15" w:history="1">
        <w:r w:rsidRPr="00C77027">
          <w:rPr>
            <w:rStyle w:val="Hyperlink"/>
            <w:rFonts w:eastAsia="Times New Roman" w:cs="Times New Roman"/>
            <w:kern w:val="0"/>
            <w:lang w:eastAsia="en-GB"/>
            <w14:ligatures w14:val="none"/>
          </w:rPr>
          <w:t>https://www.legislation.gov.uk/uksi/2005/735/contents/made</w:t>
        </w:r>
      </w:hyperlink>
      <w:r w:rsidRPr="00C77027">
        <w:rPr>
          <w:rFonts w:eastAsia="Times New Roman" w:cs="Times New Roman"/>
          <w:kern w:val="0"/>
          <w:lang w:eastAsia="en-GB"/>
          <w14:ligatures w14:val="none"/>
        </w:rPr>
        <w:t xml:space="preserve"> </w:t>
      </w:r>
    </w:p>
    <w:p w14:paraId="602069E0" w14:textId="7584242D"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Health and Safety Executive (2019). </w:t>
      </w:r>
      <w:r w:rsidRPr="00C77027">
        <w:rPr>
          <w:rFonts w:eastAsia="Times New Roman" w:cs="Times New Roman"/>
          <w:i/>
          <w:iCs/>
          <w:kern w:val="0"/>
          <w:lang w:eastAsia="en-GB"/>
          <w14:ligatures w14:val="none"/>
        </w:rPr>
        <w:t>COSHH Basics - COSHH</w:t>
      </w:r>
      <w:r w:rsidRPr="00C77027">
        <w:rPr>
          <w:rFonts w:eastAsia="Times New Roman" w:cs="Times New Roman"/>
          <w:kern w:val="0"/>
          <w:lang w:eastAsia="en-GB"/>
          <w14:ligatures w14:val="none"/>
        </w:rPr>
        <w:t xml:space="preserve">. [online] Health and Safety Executive. Available at: </w:t>
      </w:r>
      <w:hyperlink r:id="rId16" w:history="1">
        <w:r w:rsidRPr="00C77027">
          <w:rPr>
            <w:rStyle w:val="Hyperlink"/>
            <w:rFonts w:eastAsia="Times New Roman" w:cs="Times New Roman"/>
            <w:kern w:val="0"/>
            <w:lang w:eastAsia="en-GB"/>
            <w14:ligatures w14:val="none"/>
          </w:rPr>
          <w:t>https://www.hse.gov.uk/coshh/basics/index.htm</w:t>
        </w:r>
      </w:hyperlink>
      <w:r w:rsidRPr="00C77027">
        <w:rPr>
          <w:rFonts w:eastAsia="Times New Roman" w:cs="Times New Roman"/>
          <w:kern w:val="0"/>
          <w:lang w:eastAsia="en-GB"/>
          <w14:ligatures w14:val="none"/>
        </w:rPr>
        <w:t xml:space="preserve"> </w:t>
      </w:r>
    </w:p>
    <w:p w14:paraId="568AABDD" w14:textId="25AC19B5"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HSE (2015). </w:t>
      </w:r>
      <w:r w:rsidRPr="00C77027">
        <w:rPr>
          <w:rFonts w:eastAsia="Times New Roman" w:cs="Times New Roman"/>
          <w:i/>
          <w:iCs/>
          <w:kern w:val="0"/>
          <w:lang w:eastAsia="en-GB"/>
          <w14:ligatures w14:val="none"/>
        </w:rPr>
        <w:t>Construction - Construction Design and Management Regulations 2015</w:t>
      </w:r>
      <w:r w:rsidRPr="00C77027">
        <w:rPr>
          <w:rFonts w:eastAsia="Times New Roman" w:cs="Times New Roman"/>
          <w:kern w:val="0"/>
          <w:lang w:eastAsia="en-GB"/>
          <w14:ligatures w14:val="none"/>
        </w:rPr>
        <w:t xml:space="preserve">. [online] Hse.gov.uk. Available at: </w:t>
      </w:r>
      <w:hyperlink r:id="rId17" w:history="1">
        <w:r w:rsidRPr="00C77027">
          <w:rPr>
            <w:rStyle w:val="Hyperlink"/>
            <w:rFonts w:eastAsia="Times New Roman" w:cs="Times New Roman"/>
            <w:kern w:val="0"/>
            <w:lang w:eastAsia="en-GB"/>
            <w14:ligatures w14:val="none"/>
          </w:rPr>
          <w:t>https://www.hse.gov.uk/construction/cdm/2015/index.htm</w:t>
        </w:r>
      </w:hyperlink>
      <w:r w:rsidRPr="00C77027">
        <w:rPr>
          <w:rFonts w:eastAsia="Times New Roman" w:cs="Times New Roman"/>
          <w:kern w:val="0"/>
          <w:lang w:eastAsia="en-GB"/>
          <w14:ligatures w14:val="none"/>
        </w:rPr>
        <w:t xml:space="preserve"> </w:t>
      </w:r>
    </w:p>
    <w:p w14:paraId="20F00FEF" w14:textId="62BCD6A0"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t xml:space="preserve">Reuters, T. (2012). The Control of Asbestos Regulations 2012. </w:t>
      </w:r>
      <w:r w:rsidRPr="00C77027">
        <w:rPr>
          <w:rFonts w:eastAsia="Times New Roman" w:cs="Times New Roman"/>
          <w:i/>
          <w:iCs/>
          <w:kern w:val="0"/>
          <w:lang w:eastAsia="en-GB"/>
          <w14:ligatures w14:val="none"/>
        </w:rPr>
        <w:t>Thomas Reuters</w:t>
      </w:r>
      <w:r w:rsidRPr="00C77027">
        <w:rPr>
          <w:rFonts w:eastAsia="Times New Roman" w:cs="Times New Roman"/>
          <w:kern w:val="0"/>
          <w:lang w:eastAsia="en-GB"/>
          <w14:ligatures w14:val="none"/>
        </w:rPr>
        <w:t xml:space="preserve">, [online] 15(1), p.14. Available at: </w:t>
      </w:r>
      <w:hyperlink r:id="rId18" w:history="1">
        <w:r w:rsidRPr="00C77027">
          <w:rPr>
            <w:rStyle w:val="Hyperlink"/>
            <w:rFonts w:eastAsia="Times New Roman" w:cs="Times New Roman"/>
            <w:kern w:val="0"/>
            <w:lang w:eastAsia="en-GB"/>
            <w14:ligatures w14:val="none"/>
          </w:rPr>
          <w:t>https://assets.publishing.service.gov.uk/media/65fd6fa2a6c0f7001aef927f/CD1.F_Control_of_Asbestos_Regulations_2012__CAR_2012_.pdf</w:t>
        </w:r>
      </w:hyperlink>
      <w:r w:rsidRPr="00C77027">
        <w:rPr>
          <w:rFonts w:eastAsia="Times New Roman" w:cs="Times New Roman"/>
          <w:kern w:val="0"/>
          <w:lang w:eastAsia="en-GB"/>
          <w14:ligatures w14:val="none"/>
        </w:rPr>
        <w:t xml:space="preserve"> </w:t>
      </w:r>
    </w:p>
    <w:p w14:paraId="34A004B7" w14:textId="50821383" w:rsidR="00C77027" w:rsidRPr="00C77027" w:rsidRDefault="00C77027" w:rsidP="00C77027">
      <w:pPr>
        <w:spacing w:after="240" w:line="360" w:lineRule="auto"/>
        <w:rPr>
          <w:rFonts w:eastAsia="Times New Roman" w:cs="Times New Roman"/>
          <w:kern w:val="0"/>
          <w:lang w:eastAsia="en-GB"/>
          <w14:ligatures w14:val="none"/>
        </w:rPr>
      </w:pPr>
      <w:r w:rsidRPr="00C77027">
        <w:rPr>
          <w:rFonts w:eastAsia="Times New Roman" w:cs="Times New Roman"/>
          <w:kern w:val="0"/>
          <w:lang w:eastAsia="en-GB"/>
          <w14:ligatures w14:val="none"/>
        </w:rPr>
        <w:lastRenderedPageBreak/>
        <w:t xml:space="preserve">Saeed, A. (2020). </w:t>
      </w:r>
      <w:r w:rsidRPr="00C77027">
        <w:rPr>
          <w:rFonts w:eastAsia="Times New Roman" w:cs="Times New Roman"/>
          <w:i/>
          <w:iCs/>
          <w:kern w:val="0"/>
          <w:lang w:eastAsia="en-GB"/>
          <w14:ligatures w14:val="none"/>
        </w:rPr>
        <w:t>Why is health and safety important for all workplaces?</w:t>
      </w:r>
      <w:r w:rsidRPr="00C77027">
        <w:rPr>
          <w:rFonts w:eastAsia="Times New Roman" w:cs="Times New Roman"/>
          <w:kern w:val="0"/>
          <w:lang w:eastAsia="en-GB"/>
          <w14:ligatures w14:val="none"/>
        </w:rPr>
        <w:t xml:space="preserve"> [online] Human Focus. Available at: </w:t>
      </w:r>
      <w:hyperlink r:id="rId19" w:history="1">
        <w:r w:rsidRPr="00C77027">
          <w:rPr>
            <w:rStyle w:val="Hyperlink"/>
            <w:rFonts w:eastAsia="Times New Roman" w:cs="Times New Roman"/>
            <w:kern w:val="0"/>
            <w:lang w:eastAsia="en-GB"/>
            <w14:ligatures w14:val="none"/>
          </w:rPr>
          <w:t>https://humanfocus.co.uk/blog/why-is-health-and-safety-important-for-workplaces/</w:t>
        </w:r>
      </w:hyperlink>
      <w:r w:rsidRPr="00C77027">
        <w:rPr>
          <w:rFonts w:eastAsia="Times New Roman" w:cs="Times New Roman"/>
          <w:kern w:val="0"/>
          <w:lang w:eastAsia="en-GB"/>
          <w14:ligatures w14:val="none"/>
        </w:rPr>
        <w:t xml:space="preserve"> </w:t>
      </w:r>
    </w:p>
    <w:p w14:paraId="79E19F7E" w14:textId="78D473BE" w:rsidR="00C77027" w:rsidRPr="00C77027" w:rsidRDefault="00C77027" w:rsidP="00C77027">
      <w:pPr>
        <w:spacing w:after="240" w:line="360" w:lineRule="auto"/>
        <w:rPr>
          <w:rFonts w:ascii="Times New Roman" w:eastAsia="Times New Roman" w:hAnsi="Times New Roman" w:cs="Times New Roman"/>
          <w:kern w:val="0"/>
          <w:lang w:eastAsia="en-GB"/>
          <w14:ligatures w14:val="none"/>
        </w:rPr>
      </w:pPr>
      <w:r w:rsidRPr="00C77027">
        <w:rPr>
          <w:rFonts w:eastAsia="Times New Roman" w:cs="Times New Roman"/>
          <w:kern w:val="0"/>
          <w:lang w:eastAsia="en-GB"/>
          <w14:ligatures w14:val="none"/>
        </w:rPr>
        <w:t xml:space="preserve">UK, G. (2022). </w:t>
      </w:r>
      <w:r w:rsidRPr="00C77027">
        <w:rPr>
          <w:rFonts w:eastAsia="Times New Roman" w:cs="Times New Roman"/>
          <w:i/>
          <w:iCs/>
          <w:kern w:val="0"/>
          <w:lang w:eastAsia="en-GB"/>
          <w14:ligatures w14:val="none"/>
        </w:rPr>
        <w:t>The Health and Safety (Miscellaneous Amendments) Regulations 2002</w:t>
      </w:r>
      <w:r w:rsidRPr="00C77027">
        <w:rPr>
          <w:rFonts w:eastAsia="Times New Roman" w:cs="Times New Roman"/>
          <w:kern w:val="0"/>
          <w:lang w:eastAsia="en-GB"/>
          <w14:ligatures w14:val="none"/>
        </w:rPr>
        <w:t xml:space="preserve">. [online] Legislation.gov.uk. Available at: </w:t>
      </w:r>
      <w:hyperlink r:id="rId20" w:history="1">
        <w:r w:rsidRPr="00C77027">
          <w:rPr>
            <w:rStyle w:val="Hyperlink"/>
            <w:rFonts w:eastAsia="Times New Roman" w:cs="Times New Roman"/>
            <w:kern w:val="0"/>
            <w:lang w:eastAsia="en-GB"/>
            <w14:ligatures w14:val="none"/>
          </w:rPr>
          <w:t>https://www.legislation.gov.uk/uksi/2002/2174/contents/made</w:t>
        </w:r>
      </w:hyperlink>
      <w:r>
        <w:rPr>
          <w:rFonts w:ascii="Times New Roman" w:eastAsia="Times New Roman" w:hAnsi="Times New Roman" w:cs="Times New Roman"/>
          <w:kern w:val="0"/>
          <w:lang w:eastAsia="en-GB"/>
          <w14:ligatures w14:val="none"/>
        </w:rPr>
        <w:t xml:space="preserve"> </w:t>
      </w:r>
    </w:p>
    <w:p w14:paraId="1FD2653B" w14:textId="77777777" w:rsidR="00756328" w:rsidRPr="00756328" w:rsidRDefault="00756328" w:rsidP="00756328">
      <w:pPr>
        <w:rPr>
          <w:sz w:val="32"/>
          <w:szCs w:val="32"/>
        </w:rPr>
      </w:pPr>
    </w:p>
    <w:p w14:paraId="5BFA8E02" w14:textId="00808EDE" w:rsidR="00756328" w:rsidRPr="004D03F6" w:rsidRDefault="00756328" w:rsidP="004D03F6">
      <w:pPr>
        <w:spacing w:after="0" w:line="240" w:lineRule="auto"/>
        <w:rPr>
          <w:rFonts w:ascii="Times New Roman" w:eastAsia="Times New Roman" w:hAnsi="Times New Roman" w:cs="Times New Roman"/>
          <w:kern w:val="0"/>
          <w:lang w:eastAsia="en-GB"/>
          <w14:ligatures w14:val="none"/>
        </w:rPr>
      </w:pPr>
    </w:p>
    <w:p w14:paraId="08254C74" w14:textId="77777777" w:rsidR="00756328" w:rsidRPr="00756328" w:rsidRDefault="00756328" w:rsidP="00756328">
      <w:pPr>
        <w:rPr>
          <w:sz w:val="32"/>
          <w:szCs w:val="32"/>
        </w:rPr>
      </w:pPr>
    </w:p>
    <w:sectPr w:rsidR="00756328" w:rsidRPr="00756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28"/>
    <w:rsid w:val="00020146"/>
    <w:rsid w:val="0005313F"/>
    <w:rsid w:val="00231CA0"/>
    <w:rsid w:val="004D03F6"/>
    <w:rsid w:val="0068342A"/>
    <w:rsid w:val="00756328"/>
    <w:rsid w:val="007D5125"/>
    <w:rsid w:val="00963532"/>
    <w:rsid w:val="009A6E5F"/>
    <w:rsid w:val="00B97AF2"/>
    <w:rsid w:val="00C77027"/>
    <w:rsid w:val="00CB292D"/>
    <w:rsid w:val="00CD6BE8"/>
    <w:rsid w:val="00CF671D"/>
    <w:rsid w:val="00E55464"/>
    <w:rsid w:val="00F36C3A"/>
    <w:rsid w:val="00F84E61"/>
    <w:rsid w:val="00FF5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19CDB"/>
  <w15:chartTrackingRefBased/>
  <w15:docId w15:val="{742561A0-5581-4A13-B97C-9A2575266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6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6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6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6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328"/>
    <w:rPr>
      <w:rFonts w:eastAsiaTheme="majorEastAsia" w:cstheme="majorBidi"/>
      <w:color w:val="272727" w:themeColor="text1" w:themeTint="D8"/>
    </w:rPr>
  </w:style>
  <w:style w:type="paragraph" w:styleId="Title">
    <w:name w:val="Title"/>
    <w:basedOn w:val="Normal"/>
    <w:next w:val="Normal"/>
    <w:link w:val="TitleChar"/>
    <w:uiPriority w:val="10"/>
    <w:qFormat/>
    <w:rsid w:val="00756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328"/>
    <w:pPr>
      <w:spacing w:before="160"/>
      <w:jc w:val="center"/>
    </w:pPr>
    <w:rPr>
      <w:i/>
      <w:iCs/>
      <w:color w:val="404040" w:themeColor="text1" w:themeTint="BF"/>
    </w:rPr>
  </w:style>
  <w:style w:type="character" w:customStyle="1" w:styleId="QuoteChar">
    <w:name w:val="Quote Char"/>
    <w:basedOn w:val="DefaultParagraphFont"/>
    <w:link w:val="Quote"/>
    <w:uiPriority w:val="29"/>
    <w:rsid w:val="00756328"/>
    <w:rPr>
      <w:i/>
      <w:iCs/>
      <w:color w:val="404040" w:themeColor="text1" w:themeTint="BF"/>
    </w:rPr>
  </w:style>
  <w:style w:type="paragraph" w:styleId="ListParagraph">
    <w:name w:val="List Paragraph"/>
    <w:basedOn w:val="Normal"/>
    <w:uiPriority w:val="34"/>
    <w:qFormat/>
    <w:rsid w:val="00756328"/>
    <w:pPr>
      <w:ind w:left="720"/>
      <w:contextualSpacing/>
    </w:pPr>
  </w:style>
  <w:style w:type="character" w:styleId="IntenseEmphasis">
    <w:name w:val="Intense Emphasis"/>
    <w:basedOn w:val="DefaultParagraphFont"/>
    <w:uiPriority w:val="21"/>
    <w:qFormat/>
    <w:rsid w:val="00756328"/>
    <w:rPr>
      <w:i/>
      <w:iCs/>
      <w:color w:val="0F4761" w:themeColor="accent1" w:themeShade="BF"/>
    </w:rPr>
  </w:style>
  <w:style w:type="paragraph" w:styleId="IntenseQuote">
    <w:name w:val="Intense Quote"/>
    <w:basedOn w:val="Normal"/>
    <w:next w:val="Normal"/>
    <w:link w:val="IntenseQuoteChar"/>
    <w:uiPriority w:val="30"/>
    <w:qFormat/>
    <w:rsid w:val="00756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328"/>
    <w:rPr>
      <w:i/>
      <w:iCs/>
      <w:color w:val="0F4761" w:themeColor="accent1" w:themeShade="BF"/>
    </w:rPr>
  </w:style>
  <w:style w:type="character" w:styleId="IntenseReference">
    <w:name w:val="Intense Reference"/>
    <w:basedOn w:val="DefaultParagraphFont"/>
    <w:uiPriority w:val="32"/>
    <w:qFormat/>
    <w:rsid w:val="00756328"/>
    <w:rPr>
      <w:b/>
      <w:bCs/>
      <w:smallCaps/>
      <w:color w:val="0F4761" w:themeColor="accent1" w:themeShade="BF"/>
      <w:spacing w:val="5"/>
    </w:rPr>
  </w:style>
  <w:style w:type="paragraph" w:styleId="TOCHeading">
    <w:name w:val="TOC Heading"/>
    <w:basedOn w:val="Heading1"/>
    <w:next w:val="Normal"/>
    <w:uiPriority w:val="39"/>
    <w:unhideWhenUsed/>
    <w:qFormat/>
    <w:rsid w:val="00756328"/>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756328"/>
    <w:rPr>
      <w:color w:val="467886" w:themeColor="hyperlink"/>
      <w:u w:val="single"/>
    </w:rPr>
  </w:style>
  <w:style w:type="character" w:styleId="UnresolvedMention">
    <w:name w:val="Unresolved Mention"/>
    <w:basedOn w:val="DefaultParagraphFont"/>
    <w:uiPriority w:val="99"/>
    <w:semiHidden/>
    <w:unhideWhenUsed/>
    <w:rsid w:val="00756328"/>
    <w:rPr>
      <w:color w:val="605E5C"/>
      <w:shd w:val="clear" w:color="auto" w:fill="E1DFDD"/>
    </w:rPr>
  </w:style>
  <w:style w:type="paragraph" w:styleId="TOC1">
    <w:name w:val="toc 1"/>
    <w:basedOn w:val="Normal"/>
    <w:next w:val="Normal"/>
    <w:autoRedefine/>
    <w:uiPriority w:val="39"/>
    <w:unhideWhenUsed/>
    <w:rsid w:val="00756328"/>
    <w:pPr>
      <w:spacing w:after="100"/>
    </w:pPr>
  </w:style>
  <w:style w:type="paragraph" w:styleId="TOC2">
    <w:name w:val="toc 2"/>
    <w:basedOn w:val="Normal"/>
    <w:next w:val="Normal"/>
    <w:autoRedefine/>
    <w:uiPriority w:val="39"/>
    <w:unhideWhenUsed/>
    <w:rsid w:val="00F36C3A"/>
    <w:pPr>
      <w:spacing w:after="100"/>
      <w:ind w:left="240"/>
    </w:pPr>
  </w:style>
  <w:style w:type="paragraph" w:styleId="TOC3">
    <w:name w:val="toc 3"/>
    <w:basedOn w:val="Normal"/>
    <w:next w:val="Normal"/>
    <w:autoRedefine/>
    <w:uiPriority w:val="39"/>
    <w:unhideWhenUsed/>
    <w:rsid w:val="00F36C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5082225">
      <w:bodyDiv w:val="1"/>
      <w:marLeft w:val="0"/>
      <w:marRight w:val="0"/>
      <w:marTop w:val="0"/>
      <w:marBottom w:val="0"/>
      <w:divBdr>
        <w:top w:val="none" w:sz="0" w:space="0" w:color="auto"/>
        <w:left w:val="none" w:sz="0" w:space="0" w:color="auto"/>
        <w:bottom w:val="none" w:sz="0" w:space="0" w:color="auto"/>
        <w:right w:val="none" w:sz="0" w:space="0" w:color="auto"/>
      </w:divBdr>
    </w:div>
    <w:div w:id="899632358">
      <w:bodyDiv w:val="1"/>
      <w:marLeft w:val="0"/>
      <w:marRight w:val="0"/>
      <w:marTop w:val="0"/>
      <w:marBottom w:val="0"/>
      <w:divBdr>
        <w:top w:val="none" w:sz="0" w:space="0" w:color="auto"/>
        <w:left w:val="none" w:sz="0" w:space="0" w:color="auto"/>
        <w:bottom w:val="none" w:sz="0" w:space="0" w:color="auto"/>
        <w:right w:val="none" w:sz="0" w:space="0" w:color="auto"/>
      </w:divBdr>
    </w:div>
    <w:div w:id="1274824634">
      <w:bodyDiv w:val="1"/>
      <w:marLeft w:val="0"/>
      <w:marRight w:val="0"/>
      <w:marTop w:val="0"/>
      <w:marBottom w:val="0"/>
      <w:divBdr>
        <w:top w:val="none" w:sz="0" w:space="0" w:color="auto"/>
        <w:left w:val="none" w:sz="0" w:space="0" w:color="auto"/>
        <w:bottom w:val="none" w:sz="0" w:space="0" w:color="auto"/>
        <w:right w:val="none" w:sz="0" w:space="0" w:color="auto"/>
      </w:divBdr>
      <w:divsChild>
        <w:div w:id="1590918662">
          <w:marLeft w:val="0"/>
          <w:marRight w:val="0"/>
          <w:marTop w:val="0"/>
          <w:marBottom w:val="0"/>
          <w:divBdr>
            <w:top w:val="none" w:sz="0" w:space="0" w:color="auto"/>
            <w:left w:val="none" w:sz="0" w:space="0" w:color="auto"/>
            <w:bottom w:val="none" w:sz="0" w:space="0" w:color="auto"/>
            <w:right w:val="none" w:sz="0" w:space="0" w:color="auto"/>
          </w:divBdr>
        </w:div>
      </w:divsChild>
    </w:div>
    <w:div w:id="2104253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ov.uk/government/publications/asbestos-properties-incident-management-and-toxicology/asbestos-general-information" TargetMode="External"/><Relationship Id="rId18" Type="http://schemas.openxmlformats.org/officeDocument/2006/relationships/hyperlink" Target="https://assets.publishing.service.gov.uk/media/65fd6fa2a6c0f7001aef927f/CD1.F_Control_of_Asbestos_Regulations_2012__CAR_2012_.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hse.gov.uk/entertainment/cdm-2015/roles-and-duties.htm" TargetMode="External"/><Relationship Id="rId17" Type="http://schemas.openxmlformats.org/officeDocument/2006/relationships/hyperlink" Target="https://www.hse.gov.uk/construction/cdm/2015/index.htm" TargetMode="External"/><Relationship Id="rId2" Type="http://schemas.openxmlformats.org/officeDocument/2006/relationships/styles" Target="styles.xml"/><Relationship Id="rId16" Type="http://schemas.openxmlformats.org/officeDocument/2006/relationships/hyperlink" Target="https://www.hse.gov.uk/coshh/basics/index.htm" TargetMode="External"/><Relationship Id="rId20" Type="http://schemas.openxmlformats.org/officeDocument/2006/relationships/hyperlink" Target="https://www.legislation.gov.uk/uksi/2002/2174/contents/mad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ritsafe.org/training-and-learning/informational-resources/risk-assessments-what-they-are-why-they-re-important-and-how-to-complete-them" TargetMode="External"/><Relationship Id="rId5" Type="http://schemas.openxmlformats.org/officeDocument/2006/relationships/image" Target="media/image1.png"/><Relationship Id="rId15" Type="http://schemas.openxmlformats.org/officeDocument/2006/relationships/hyperlink" Target="https://www.legislation.gov.uk/uksi/2005/735/contents/made" TargetMode="External"/><Relationship Id="rId10" Type="http://schemas.openxmlformats.org/officeDocument/2006/relationships/image" Target="media/image6.png"/><Relationship Id="rId19" Type="http://schemas.openxmlformats.org/officeDocument/2006/relationships/hyperlink" Target="https://humanfocus.co.uk/blog/why-is-health-and-safety-important-for-workplac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legislation.gov.uk/ukpga/1974/37/cont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1A901-DE3A-4A28-BC47-E4A0F2A4E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2454</Words>
  <Characters>13989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dc:creator>
  <cp:keywords/>
  <dc:description/>
  <cp:lastModifiedBy>Keaton Davies</cp:lastModifiedBy>
  <cp:revision>2</cp:revision>
  <dcterms:created xsi:type="dcterms:W3CDTF">2024-06-10T07:33:00Z</dcterms:created>
  <dcterms:modified xsi:type="dcterms:W3CDTF">2024-06-10T07:33:00Z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6fbb4816c8621e632aee9fb9dd455e64c92785912463e165c2d3c5de51f8283d</vt:lpwstr>
  </property>
</Properties>
</file>