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Override PartName="/word/media/image1.jpeg" ContentType="image/jpeg"/>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hd w:val="clear" w:color="auto" w:fill="ffffff"/>
        <w:spacing w:after="0" w:line="240" w:lineRule="auto"/>
        <w:jc w:val="both"/>
        <w:outlineLvl w:val="0"/>
        <w:rPr>
          <w:rFonts w:ascii="Arial" w:cs="Arial" w:hAnsi="Arial" w:eastAsia="Arial"/>
          <w:b w:val="1"/>
          <w:bCs w:val="1"/>
          <w:outline w:val="0"/>
          <w:color w:val="000000"/>
          <w:kern w:val="36"/>
          <w:u w:color="000000"/>
          <w14:textFill>
            <w14:solidFill>
              <w14:srgbClr w14:val="000000"/>
            </w14:solidFill>
          </w14:textFill>
        </w:rPr>
      </w:pPr>
      <w:r>
        <w:rPr>
          <w:rFonts w:ascii="Arial" w:hAnsi="Arial"/>
          <w:b w:val="1"/>
          <w:bCs w:val="1"/>
          <w:outline w:val="0"/>
          <w:color w:val="000000"/>
          <w:kern w:val="36"/>
          <w:u w:color="000000"/>
          <w:rtl w:val="0"/>
          <w:lang w:val="en-US"/>
          <w14:textFill>
            <w14:solidFill>
              <w14:srgbClr w14:val="000000"/>
            </w14:solidFill>
          </w14:textFill>
        </w:rPr>
        <w:t>Injury to feelings awards</w:t>
      </w:r>
    </w:p>
    <w:p>
      <w:pPr>
        <w:pStyle w:val="Body"/>
        <w:shd w:val="clear" w:color="auto" w:fill="ffffff"/>
        <w:spacing w:after="0" w:line="240" w:lineRule="auto"/>
        <w:jc w:val="both"/>
        <w:outlineLvl w:val="0"/>
        <w:rPr>
          <w:rFonts w:ascii="Arial" w:cs="Arial" w:hAnsi="Arial" w:eastAsia="Arial"/>
          <w:outline w:val="0"/>
          <w:color w:val="000000"/>
          <w:kern w:val="36"/>
          <w:u w:color="000000"/>
          <w14:textFill>
            <w14:solidFill>
              <w14:srgbClr w14:val="000000"/>
            </w14:solidFill>
          </w14:textFill>
        </w:rPr>
      </w:pPr>
    </w:p>
    <w:tbl>
      <w:tblPr>
        <w:tblW w:w="823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250"/>
        <w:gridCol w:w="6986"/>
      </w:tblGrid>
      <w:tr>
        <w:tblPrEx>
          <w:shd w:val="clear" w:color="auto" w:fill="cdd4e9"/>
        </w:tblPrEx>
        <w:trPr>
          <w:trHeight w:val="250" w:hRule="atLeast"/>
        </w:trPr>
        <w:tc>
          <w:tcPr>
            <w:tcW w:type="dxa" w:w="1250"/>
            <w:tcBorders>
              <w:top w:val="nil"/>
              <w:left w:val="nil"/>
              <w:bottom w:val="single" w:color="cccccc" w:sz="6" w:space="0" w:shadow="0" w:frame="0"/>
              <w:right w:val="single" w:color="cccccc" w:sz="6" w:space="0" w:shadow="0" w:frame="0"/>
            </w:tcBorders>
            <w:shd w:val="clear" w:color="auto" w:fill="auto"/>
            <w:tcMar>
              <w:top w:type="dxa" w:w="80"/>
              <w:left w:type="dxa" w:w="80"/>
              <w:bottom w:type="dxa" w:w="80"/>
              <w:right w:type="dxa" w:w="80"/>
            </w:tcMar>
            <w:vAlign w:val="top"/>
          </w:tcPr>
          <w:p>
            <w:pPr>
              <w:pStyle w:val="Body"/>
              <w:tabs>
                <w:tab w:val="left" w:pos="916"/>
                <w:tab w:val="left" w:pos="1832"/>
                <w:tab w:val="left" w:pos="2748"/>
                <w:tab w:val="left" w:pos="3664"/>
                <w:tab w:val="left" w:pos="4580"/>
                <w:tab w:val="left" w:pos="5496"/>
                <w:tab w:val="left" w:pos="6412"/>
                <w:tab w:val="left" w:pos="7328"/>
                <w:tab w:val="left" w:pos="8244"/>
                <w:tab w:val="left" w:pos="8520"/>
                <w:tab w:val="left" w:pos="8520"/>
                <w:tab w:val="left" w:pos="8520"/>
                <w:tab w:val="left" w:pos="8520"/>
                <w:tab w:val="left" w:pos="8520"/>
                <w:tab w:val="left" w:pos="8520"/>
                <w:tab w:val="left" w:pos="8520"/>
              </w:tabs>
              <w:spacing w:after="24" w:line="240" w:lineRule="auto"/>
              <w:jc w:val="both"/>
            </w:pPr>
            <w:r>
              <w:rPr>
                <w:rFonts w:ascii="Arial" w:hAnsi="Arial"/>
                <w:b w:val="1"/>
                <w:bCs w:val="1"/>
                <w:shd w:val="nil" w:color="auto" w:fill="auto"/>
                <w:rtl w:val="0"/>
                <w:lang w:val="en-US"/>
              </w:rPr>
              <w:t>Case</w:t>
            </w:r>
          </w:p>
        </w:tc>
        <w:tc>
          <w:tcPr>
            <w:tcW w:type="dxa" w:w="6986"/>
            <w:tcBorders>
              <w:top w:val="nil"/>
              <w:left w:val="single" w:color="cccccc" w:sz="6" w:space="0" w:shadow="0" w:frame="0"/>
              <w:bottom w:val="single" w:color="cccccc" w:sz="6" w:space="0" w:shadow="0" w:frame="0"/>
              <w:right w:val="single" w:color="cccccc" w:sz="6" w:space="0" w:shadow="0" w:frame="0"/>
            </w:tcBorders>
            <w:shd w:val="clear" w:color="auto" w:fill="auto"/>
            <w:tcMar>
              <w:top w:type="dxa" w:w="80"/>
              <w:left w:type="dxa" w:w="80"/>
              <w:bottom w:type="dxa" w:w="80"/>
              <w:right w:type="dxa" w:w="80"/>
            </w:tcMar>
            <w:vAlign w:val="top"/>
          </w:tcPr>
          <w:p>
            <w:pPr>
              <w:pStyle w:val="Body"/>
              <w:tabs>
                <w:tab w:val="left" w:pos="916"/>
                <w:tab w:val="left" w:pos="1832"/>
                <w:tab w:val="left" w:pos="2748"/>
                <w:tab w:val="left" w:pos="3664"/>
                <w:tab w:val="left" w:pos="4580"/>
                <w:tab w:val="left" w:pos="5496"/>
                <w:tab w:val="left" w:pos="6412"/>
                <w:tab w:val="left" w:pos="7328"/>
                <w:tab w:val="left" w:pos="8244"/>
                <w:tab w:val="left" w:pos="8520"/>
                <w:tab w:val="left" w:pos="8520"/>
                <w:tab w:val="left" w:pos="8520"/>
                <w:tab w:val="left" w:pos="8520"/>
                <w:tab w:val="left" w:pos="8520"/>
                <w:tab w:val="left" w:pos="8520"/>
                <w:tab w:val="left" w:pos="8520"/>
              </w:tabs>
              <w:spacing w:after="24" w:line="240" w:lineRule="auto"/>
              <w:jc w:val="both"/>
            </w:pPr>
            <w:r>
              <w:rPr>
                <w:rFonts w:ascii="Arial" w:hAnsi="Arial"/>
                <w:b w:val="1"/>
                <w:bCs w:val="1"/>
                <w:shd w:val="nil" w:color="auto" w:fill="auto"/>
                <w:rtl w:val="0"/>
                <w:lang w:val="en-US"/>
              </w:rPr>
              <w:t>Borg-Neal v Lloyds Banking Group Plc ET/2202667/22</w:t>
            </w:r>
          </w:p>
        </w:tc>
      </w:tr>
      <w:tr>
        <w:tblPrEx>
          <w:shd w:val="clear" w:color="auto" w:fill="cdd4e9"/>
        </w:tblPrEx>
        <w:trPr>
          <w:trHeight w:val="4088" w:hRule="atLeast"/>
        </w:trPr>
        <w:tc>
          <w:tcPr>
            <w:tcW w:type="dxa" w:w="1250"/>
            <w:tcBorders>
              <w:top w:val="single" w:color="cccccc" w:sz="6" w:space="0" w:shadow="0" w:frame="0"/>
              <w:left w:val="nil"/>
              <w:bottom w:val="single" w:color="cccccc" w:sz="6" w:space="0" w:shadow="0" w:frame="0"/>
              <w:right w:val="single" w:color="cccccc" w:sz="6" w:space="0" w:shadow="0" w:frame="0"/>
            </w:tcBorders>
            <w:shd w:val="clear" w:color="auto" w:fill="auto"/>
            <w:tcMar>
              <w:top w:type="dxa" w:w="80"/>
              <w:left w:type="dxa" w:w="80"/>
              <w:bottom w:type="dxa" w:w="80"/>
              <w:right w:type="dxa" w:w="80"/>
            </w:tcMar>
            <w:vAlign w:val="top"/>
          </w:tcPr>
          <w:p>
            <w:pPr>
              <w:pStyle w:val="Body"/>
              <w:tabs>
                <w:tab w:val="left" w:pos="916"/>
                <w:tab w:val="left" w:pos="1832"/>
                <w:tab w:val="left" w:pos="2748"/>
                <w:tab w:val="left" w:pos="3664"/>
                <w:tab w:val="left" w:pos="4580"/>
                <w:tab w:val="left" w:pos="5496"/>
                <w:tab w:val="left" w:pos="6412"/>
                <w:tab w:val="left" w:pos="7328"/>
                <w:tab w:val="left" w:pos="8244"/>
                <w:tab w:val="left" w:pos="8520"/>
                <w:tab w:val="left" w:pos="8520"/>
                <w:tab w:val="left" w:pos="8520"/>
                <w:tab w:val="left" w:pos="8520"/>
                <w:tab w:val="left" w:pos="8520"/>
                <w:tab w:val="left" w:pos="8520"/>
                <w:tab w:val="left" w:pos="8520"/>
              </w:tabs>
              <w:spacing w:after="24" w:line="240" w:lineRule="auto"/>
              <w:jc w:val="both"/>
            </w:pPr>
            <w:r>
              <w:rPr>
                <w:rFonts w:ascii="Arial" w:hAnsi="Arial"/>
                <w:shd w:val="nil" w:color="auto" w:fill="auto"/>
                <w:rtl w:val="0"/>
                <w:lang w:val="en-US"/>
              </w:rPr>
              <w:t>Summary</w:t>
            </w:r>
          </w:p>
        </w:tc>
        <w:tc>
          <w:tcPr>
            <w:tcW w:type="dxa" w:w="6986"/>
            <w:tcBorders>
              <w:top w:val="single" w:color="cccccc" w:sz="6" w:space="0" w:shadow="0" w:frame="0"/>
              <w:left w:val="single" w:color="cccccc" w:sz="6" w:space="0" w:shadow="0" w:frame="0"/>
              <w:bottom w:val="single" w:color="cccccc" w:sz="6" w:space="0" w:shadow="0" w:frame="0"/>
              <w:right w:val="single" w:color="cccccc" w:sz="6" w:space="0" w:shadow="0" w:frame="0"/>
            </w:tcBorders>
            <w:shd w:val="clear" w:color="auto" w:fill="auto"/>
            <w:tcMar>
              <w:top w:type="dxa" w:w="80"/>
              <w:left w:type="dxa" w:w="80"/>
              <w:bottom w:type="dxa" w:w="80"/>
              <w:right w:type="dxa" w:w="80"/>
            </w:tcMar>
            <w:vAlign w:val="top"/>
          </w:tcPr>
          <w:p>
            <w:pPr>
              <w:pStyle w:val="Body"/>
              <w:tabs>
                <w:tab w:val="left" w:pos="916"/>
                <w:tab w:val="left" w:pos="1832"/>
                <w:tab w:val="left" w:pos="2748"/>
                <w:tab w:val="left" w:pos="3664"/>
                <w:tab w:val="left" w:pos="4580"/>
                <w:tab w:val="left" w:pos="5496"/>
                <w:tab w:val="left" w:pos="6412"/>
                <w:tab w:val="left" w:pos="7328"/>
                <w:tab w:val="left" w:pos="8244"/>
                <w:tab w:val="left" w:pos="8520"/>
                <w:tab w:val="left" w:pos="8520"/>
                <w:tab w:val="left" w:pos="8520"/>
                <w:tab w:val="left" w:pos="8520"/>
                <w:tab w:val="left" w:pos="8520"/>
                <w:tab w:val="left" w:pos="8520"/>
                <w:tab w:val="left" w:pos="8520"/>
              </w:tabs>
              <w:spacing w:after="24" w:line="240" w:lineRule="auto"/>
              <w:jc w:val="both"/>
            </w:pPr>
            <w:r>
              <w:rPr>
                <w:rFonts w:ascii="Arial" w:hAnsi="Arial"/>
                <w:shd w:val="nil" w:color="auto" w:fill="auto"/>
                <w:rtl w:val="0"/>
                <w:lang w:val="en-US"/>
              </w:rPr>
              <w:t>Mr Borg-Neal was a long-standing employee at the respondent. During a racial awareness training session in which employees had been encouraged to speak freely, he asked a question in which he used the N-word in full to illustrate an example about the use of unacceptable language. The employer accepted that Mr Borg-Neal's question was valid, that he meant no malice, that he had immediately apologised and that he had not repeated the word. However, it considered that he should have known better than to use the word in a professional environment. It also took into account that the trainer had taken 4-5 days off work as a result of the incident. The respondent therefore dismissed Mr Borg-Neal for these reasons. The employment tribunal upheld Mr Borg-Neal's claim for unfair dismissal. In addition, it found that Mr Borg-Neal had been discriminated against for reasons arising out of his disability (dyslexia). The tribunal accepted that this condition hampered Mr Borg-Neal's ability to express himself and had contributed to him using the offensive word in full, without finding a way around it.</w:t>
            </w:r>
          </w:p>
        </w:tc>
      </w:tr>
      <w:tr>
        <w:tblPrEx>
          <w:shd w:val="clear" w:color="auto" w:fill="cdd4e9"/>
        </w:tblPrEx>
        <w:trPr>
          <w:trHeight w:val="752" w:hRule="atLeast"/>
        </w:trPr>
        <w:tc>
          <w:tcPr>
            <w:tcW w:type="dxa" w:w="1250"/>
            <w:tcBorders>
              <w:top w:val="single" w:color="cccccc" w:sz="6" w:space="0" w:shadow="0" w:frame="0"/>
              <w:left w:val="nil"/>
              <w:bottom w:val="single" w:color="cccccc" w:sz="6" w:space="0" w:shadow="0" w:frame="0"/>
              <w:right w:val="single" w:color="cccccc" w:sz="6" w:space="0" w:shadow="0" w:frame="0"/>
            </w:tcBorders>
            <w:shd w:val="clear" w:color="auto" w:fill="auto"/>
            <w:tcMar>
              <w:top w:type="dxa" w:w="80"/>
              <w:left w:type="dxa" w:w="80"/>
              <w:bottom w:type="dxa" w:w="80"/>
              <w:right w:type="dxa" w:w="80"/>
            </w:tcMar>
            <w:vAlign w:val="top"/>
          </w:tcPr>
          <w:p>
            <w:pPr>
              <w:pStyle w:val="Body"/>
              <w:tabs>
                <w:tab w:val="left" w:pos="916"/>
                <w:tab w:val="left" w:pos="1832"/>
                <w:tab w:val="left" w:pos="2748"/>
                <w:tab w:val="left" w:pos="3664"/>
                <w:tab w:val="left" w:pos="4580"/>
                <w:tab w:val="left" w:pos="5496"/>
                <w:tab w:val="left" w:pos="6412"/>
                <w:tab w:val="left" w:pos="7328"/>
                <w:tab w:val="left" w:pos="8244"/>
                <w:tab w:val="left" w:pos="8520"/>
                <w:tab w:val="left" w:pos="8520"/>
                <w:tab w:val="left" w:pos="8520"/>
                <w:tab w:val="left" w:pos="8520"/>
                <w:tab w:val="left" w:pos="8520"/>
                <w:tab w:val="left" w:pos="8520"/>
                <w:tab w:val="left" w:pos="8520"/>
              </w:tabs>
              <w:spacing w:after="24" w:line="240" w:lineRule="auto"/>
              <w:jc w:val="both"/>
            </w:pPr>
            <w:r>
              <w:rPr>
                <w:rFonts w:ascii="Arial" w:hAnsi="Arial"/>
                <w:b w:val="1"/>
                <w:bCs w:val="1"/>
                <w:shd w:val="nil" w:color="auto" w:fill="auto"/>
                <w:rtl w:val="0"/>
                <w:lang w:val="en-US"/>
              </w:rPr>
              <w:t>Top, middle or lower</w:t>
            </w:r>
          </w:p>
        </w:tc>
        <w:tc>
          <w:tcPr>
            <w:tcW w:type="dxa" w:w="6986"/>
            <w:tcBorders>
              <w:top w:val="single" w:color="cccccc" w:sz="6" w:space="0" w:shadow="0" w:frame="0"/>
              <w:left w:val="single" w:color="cccccc" w:sz="6" w:space="0" w:shadow="0" w:frame="0"/>
              <w:bottom w:val="single" w:color="cccccc" w:sz="6" w:space="0" w:shadow="0" w:frame="0"/>
              <w:right w:val="single" w:color="cccccc" w:sz="6" w:space="0" w:shadow="0" w:frame="0"/>
            </w:tcBorders>
            <w:shd w:val="clear" w:color="auto" w:fill="auto"/>
            <w:tcMar>
              <w:top w:type="dxa" w:w="80"/>
              <w:left w:type="dxa" w:w="80"/>
              <w:bottom w:type="dxa" w:w="80"/>
              <w:right w:type="dxa" w:w="80"/>
            </w:tcMar>
            <w:vAlign w:val="top"/>
          </w:tcPr>
          <w:p>
            <w:pPr>
              <w:pStyle w:val="Body"/>
              <w:tabs>
                <w:tab w:val="left" w:pos="916"/>
                <w:tab w:val="left" w:pos="1832"/>
                <w:tab w:val="left" w:pos="2748"/>
                <w:tab w:val="left" w:pos="3664"/>
                <w:tab w:val="left" w:pos="4580"/>
                <w:tab w:val="left" w:pos="5496"/>
                <w:tab w:val="left" w:pos="6412"/>
                <w:tab w:val="left" w:pos="7328"/>
                <w:tab w:val="left" w:pos="8244"/>
                <w:tab w:val="left" w:pos="8520"/>
                <w:tab w:val="left" w:pos="8520"/>
                <w:tab w:val="left" w:pos="8520"/>
                <w:tab w:val="left" w:pos="8520"/>
                <w:tab w:val="left" w:pos="8520"/>
                <w:tab w:val="left" w:pos="8520"/>
                <w:tab w:val="left" w:pos="8520"/>
              </w:tabs>
              <w:spacing w:after="24" w:line="240" w:lineRule="auto"/>
              <w:jc w:val="both"/>
              <w:rPr>
                <w:rFonts w:ascii="Arial" w:cs="Arial" w:hAnsi="Arial" w:eastAsia="Arial"/>
                <w:shd w:val="nil" w:color="auto" w:fill="auto"/>
              </w:rPr>
            </w:pPr>
            <w:r>
              <w:rPr>
                <w:rFonts w:ascii="Arial" w:hAnsi="Arial"/>
                <w:shd w:val="nil" w:color="auto" w:fill="auto"/>
                <w:rtl w:val="0"/>
                <w:lang w:val="en-US"/>
              </w:rPr>
              <w:t>Middle band</w:t>
            </w:r>
          </w:p>
          <w:p>
            <w:pPr>
              <w:pStyle w:val="Body"/>
              <w:tabs>
                <w:tab w:val="left" w:pos="916"/>
                <w:tab w:val="left" w:pos="1832"/>
                <w:tab w:val="left" w:pos="2748"/>
                <w:tab w:val="left" w:pos="3664"/>
                <w:tab w:val="left" w:pos="4580"/>
                <w:tab w:val="left" w:pos="5496"/>
                <w:tab w:val="left" w:pos="6412"/>
                <w:tab w:val="left" w:pos="7328"/>
                <w:tab w:val="left" w:pos="8244"/>
                <w:tab w:val="left" w:pos="8520"/>
                <w:tab w:val="left" w:pos="8520"/>
                <w:tab w:val="left" w:pos="8520"/>
                <w:tab w:val="left" w:pos="8520"/>
                <w:tab w:val="left" w:pos="8520"/>
                <w:tab w:val="left" w:pos="8520"/>
                <w:tab w:val="left" w:pos="8520"/>
              </w:tabs>
              <w:bidi w:val="0"/>
              <w:spacing w:after="24" w:line="240" w:lineRule="auto"/>
              <w:ind w:left="0" w:right="0" w:firstLine="0"/>
              <w:jc w:val="both"/>
              <w:rPr>
                <w:rtl w:val="0"/>
              </w:rPr>
            </w:pPr>
            <w:r>
              <w:rPr>
                <w:rFonts w:ascii="Arial" w:hAnsi="Arial"/>
                <w:shd w:val="nil" w:color="auto" w:fill="auto"/>
                <w:rtl w:val="0"/>
                <w:lang w:val="en-US"/>
              </w:rPr>
              <w:t xml:space="preserve">Mr Borg-Neal was awarded </w:t>
            </w:r>
            <w:r>
              <w:rPr>
                <w:rFonts w:ascii="Arial" w:hAnsi="Arial" w:hint="default"/>
                <w:shd w:val="nil" w:color="auto" w:fill="auto"/>
                <w:rtl w:val="0"/>
                <w:lang w:val="en-US"/>
              </w:rPr>
              <w:t>£</w:t>
            </w:r>
            <w:r>
              <w:rPr>
                <w:rFonts w:ascii="Arial" w:hAnsi="Arial"/>
                <w:shd w:val="nil" w:color="auto" w:fill="auto"/>
                <w:rtl w:val="0"/>
                <w:lang w:val="en-US"/>
              </w:rPr>
              <w:t xml:space="preserve">15,000 for injury to feelings, </w:t>
            </w:r>
            <w:r>
              <w:rPr>
                <w:rFonts w:ascii="Arial" w:hAnsi="Arial" w:hint="default"/>
                <w:shd w:val="nil" w:color="auto" w:fill="auto"/>
                <w:rtl w:val="0"/>
                <w:lang w:val="en-US"/>
              </w:rPr>
              <w:t>£</w:t>
            </w:r>
            <w:r>
              <w:rPr>
                <w:rFonts w:ascii="Arial" w:hAnsi="Arial"/>
                <w:shd w:val="nil" w:color="auto" w:fill="auto"/>
                <w:rtl w:val="0"/>
                <w:lang w:val="en-US"/>
              </w:rPr>
              <w:t xml:space="preserve">3,000 in aggravated damages and </w:t>
            </w:r>
            <w:r>
              <w:rPr>
                <w:rFonts w:ascii="Arial" w:hAnsi="Arial" w:hint="default"/>
                <w:shd w:val="nil" w:color="auto" w:fill="auto"/>
                <w:rtl w:val="0"/>
                <w:lang w:val="en-US"/>
              </w:rPr>
              <w:t>£</w:t>
            </w:r>
            <w:r>
              <w:rPr>
                <w:rFonts w:ascii="Arial" w:hAnsi="Arial"/>
                <w:shd w:val="nil" w:color="auto" w:fill="auto"/>
                <w:rtl w:val="0"/>
                <w:lang w:val="en-US"/>
              </w:rPr>
              <w:t>23,000 for personal injury.</w:t>
            </w:r>
          </w:p>
        </w:tc>
      </w:tr>
      <w:tr>
        <w:tblPrEx>
          <w:shd w:val="clear" w:color="auto" w:fill="cdd4e9"/>
        </w:tblPrEx>
        <w:trPr>
          <w:trHeight w:val="248" w:hRule="atLeast"/>
        </w:trPr>
        <w:tc>
          <w:tcPr>
            <w:tcW w:type="dxa" w:w="1250"/>
            <w:tcBorders>
              <w:top w:val="single" w:color="cccccc" w:sz="6" w:space="0" w:shadow="0" w:frame="0"/>
              <w:left w:val="nil"/>
              <w:bottom w:val="single" w:color="cccccc" w:sz="6" w:space="0" w:shadow="0" w:frame="0"/>
              <w:right w:val="single" w:color="cccccc" w:sz="6" w:space="0" w:shadow="0" w:frame="0"/>
            </w:tcBorders>
            <w:shd w:val="clear" w:color="auto" w:fill="auto"/>
            <w:tcMar>
              <w:top w:type="dxa" w:w="80"/>
              <w:left w:type="dxa" w:w="80"/>
              <w:bottom w:type="dxa" w:w="80"/>
              <w:right w:type="dxa" w:w="80"/>
            </w:tcMar>
            <w:vAlign w:val="top"/>
          </w:tcPr>
          <w:p>
            <w:pPr>
              <w:pStyle w:val="Body"/>
              <w:tabs>
                <w:tab w:val="left" w:pos="916"/>
                <w:tab w:val="left" w:pos="1832"/>
                <w:tab w:val="left" w:pos="2748"/>
                <w:tab w:val="left" w:pos="3664"/>
                <w:tab w:val="left" w:pos="4580"/>
                <w:tab w:val="left" w:pos="5496"/>
                <w:tab w:val="left" w:pos="6412"/>
                <w:tab w:val="left" w:pos="7328"/>
                <w:tab w:val="left" w:pos="8244"/>
                <w:tab w:val="left" w:pos="8520"/>
                <w:tab w:val="left" w:pos="8520"/>
                <w:tab w:val="left" w:pos="8520"/>
                <w:tab w:val="left" w:pos="8520"/>
                <w:tab w:val="left" w:pos="8520"/>
                <w:tab w:val="left" w:pos="8520"/>
                <w:tab w:val="left" w:pos="8520"/>
              </w:tabs>
              <w:spacing w:after="24" w:line="240" w:lineRule="auto"/>
              <w:jc w:val="both"/>
            </w:pPr>
            <w:r>
              <w:rPr>
                <w:rFonts w:ascii="Arial" w:hAnsi="Arial"/>
                <w:b w:val="1"/>
                <w:bCs w:val="1"/>
                <w:shd w:val="nil" w:color="auto" w:fill="auto"/>
                <w:rtl w:val="0"/>
                <w:lang w:val="en-US"/>
              </w:rPr>
              <w:t>Case</w:t>
            </w:r>
          </w:p>
        </w:tc>
        <w:tc>
          <w:tcPr>
            <w:tcW w:type="dxa" w:w="6986"/>
            <w:tcBorders>
              <w:top w:val="single" w:color="cccccc" w:sz="6" w:space="0" w:shadow="0" w:frame="0"/>
              <w:left w:val="single" w:color="cccccc" w:sz="6" w:space="0" w:shadow="0" w:frame="0"/>
              <w:bottom w:val="single" w:color="cccccc" w:sz="6" w:space="0" w:shadow="0" w:frame="0"/>
              <w:right w:val="single" w:color="cccccc" w:sz="6" w:space="0" w:shadow="0" w:frame="0"/>
            </w:tcBorders>
            <w:shd w:val="clear" w:color="auto" w:fill="auto"/>
            <w:tcMar>
              <w:top w:type="dxa" w:w="80"/>
              <w:left w:type="dxa" w:w="80"/>
              <w:bottom w:type="dxa" w:w="80"/>
              <w:right w:type="dxa" w:w="80"/>
            </w:tcMar>
            <w:vAlign w:val="top"/>
          </w:tcPr>
          <w:p>
            <w:pPr>
              <w:pStyle w:val="Body"/>
              <w:tabs>
                <w:tab w:val="left" w:pos="916"/>
                <w:tab w:val="left" w:pos="1832"/>
                <w:tab w:val="left" w:pos="2748"/>
                <w:tab w:val="left" w:pos="3664"/>
                <w:tab w:val="left" w:pos="4580"/>
                <w:tab w:val="left" w:pos="5496"/>
                <w:tab w:val="left" w:pos="6412"/>
                <w:tab w:val="left" w:pos="7328"/>
                <w:tab w:val="left" w:pos="8244"/>
                <w:tab w:val="left" w:pos="8520"/>
                <w:tab w:val="left" w:pos="8520"/>
                <w:tab w:val="left" w:pos="8520"/>
                <w:tab w:val="left" w:pos="8520"/>
                <w:tab w:val="left" w:pos="8520"/>
                <w:tab w:val="left" w:pos="8520"/>
                <w:tab w:val="left" w:pos="8520"/>
              </w:tabs>
              <w:spacing w:after="24" w:line="240" w:lineRule="auto"/>
              <w:jc w:val="both"/>
            </w:pPr>
            <w:r>
              <w:rPr>
                <w:rFonts w:ascii="Arial" w:hAnsi="Arial"/>
                <w:b w:val="1"/>
                <w:bCs w:val="1"/>
                <w:shd w:val="nil" w:color="auto" w:fill="auto"/>
                <w:rtl w:val="0"/>
                <w:lang w:val="en-US"/>
              </w:rPr>
              <w:t>Eddie Stobart Ltd v Graham [2025] EAT 14</w:t>
            </w:r>
          </w:p>
        </w:tc>
      </w:tr>
      <w:tr>
        <w:tblPrEx>
          <w:shd w:val="clear" w:color="auto" w:fill="cdd4e9"/>
        </w:tblPrEx>
        <w:trPr>
          <w:trHeight w:val="4352" w:hRule="atLeast"/>
        </w:trPr>
        <w:tc>
          <w:tcPr>
            <w:tcW w:type="dxa" w:w="1250"/>
            <w:tcBorders>
              <w:top w:val="single" w:color="cccccc" w:sz="6" w:space="0" w:shadow="0" w:frame="0"/>
              <w:left w:val="nil"/>
              <w:bottom w:val="single" w:color="cccccc" w:sz="6" w:space="0" w:shadow="0" w:frame="0"/>
              <w:right w:val="single" w:color="cccccc" w:sz="6" w:space="0" w:shadow="0" w:frame="0"/>
            </w:tcBorders>
            <w:shd w:val="clear" w:color="auto" w:fill="auto"/>
            <w:tcMar>
              <w:top w:type="dxa" w:w="80"/>
              <w:left w:type="dxa" w:w="80"/>
              <w:bottom w:type="dxa" w:w="80"/>
              <w:right w:type="dxa" w:w="80"/>
            </w:tcMar>
            <w:vAlign w:val="top"/>
          </w:tcPr>
          <w:p>
            <w:pPr>
              <w:pStyle w:val="Body"/>
              <w:tabs>
                <w:tab w:val="left" w:pos="916"/>
                <w:tab w:val="left" w:pos="1832"/>
                <w:tab w:val="left" w:pos="2748"/>
                <w:tab w:val="left" w:pos="3664"/>
                <w:tab w:val="left" w:pos="4580"/>
                <w:tab w:val="left" w:pos="5496"/>
                <w:tab w:val="left" w:pos="6412"/>
                <w:tab w:val="left" w:pos="7328"/>
                <w:tab w:val="left" w:pos="8244"/>
                <w:tab w:val="left" w:pos="8520"/>
                <w:tab w:val="left" w:pos="8520"/>
                <w:tab w:val="left" w:pos="8520"/>
                <w:tab w:val="left" w:pos="8520"/>
                <w:tab w:val="left" w:pos="8520"/>
                <w:tab w:val="left" w:pos="8520"/>
                <w:tab w:val="left" w:pos="8520"/>
              </w:tabs>
              <w:spacing w:after="24" w:line="240" w:lineRule="auto"/>
              <w:jc w:val="both"/>
            </w:pPr>
            <w:r>
              <w:rPr>
                <w:rFonts w:ascii="Arial" w:hAnsi="Arial"/>
                <w:b w:val="0"/>
                <w:bCs w:val="0"/>
                <w:shd w:val="nil" w:color="auto" w:fill="auto"/>
                <w:rtl w:val="0"/>
                <w:lang w:val="en-US"/>
              </w:rPr>
              <w:t>Summary</w:t>
            </w:r>
          </w:p>
        </w:tc>
        <w:tc>
          <w:tcPr>
            <w:tcW w:type="dxa" w:w="6986"/>
            <w:tcBorders>
              <w:top w:val="single" w:color="cccccc" w:sz="6" w:space="0" w:shadow="0" w:frame="0"/>
              <w:left w:val="single" w:color="cccccc" w:sz="6" w:space="0" w:shadow="0" w:frame="0"/>
              <w:bottom w:val="single" w:color="cccccc" w:sz="6" w:space="0" w:shadow="0" w:frame="0"/>
              <w:right w:val="single" w:color="cccccc" w:sz="6" w:space="0" w:shadow="0" w:frame="0"/>
            </w:tcBorders>
            <w:shd w:val="clear" w:color="auto" w:fill="auto"/>
            <w:tcMar>
              <w:top w:type="dxa" w:w="80"/>
              <w:left w:type="dxa" w:w="80"/>
              <w:bottom w:type="dxa" w:w="80"/>
              <w:right w:type="dxa" w:w="80"/>
            </w:tcMar>
            <w:vAlign w:val="top"/>
          </w:tcPr>
          <w:p>
            <w:pPr>
              <w:pStyle w:val="Body"/>
              <w:tabs>
                <w:tab w:val="left" w:pos="916"/>
                <w:tab w:val="left" w:pos="1832"/>
                <w:tab w:val="left" w:pos="2748"/>
                <w:tab w:val="left" w:pos="3664"/>
                <w:tab w:val="left" w:pos="4580"/>
                <w:tab w:val="left" w:pos="5496"/>
                <w:tab w:val="left" w:pos="6412"/>
                <w:tab w:val="left" w:pos="7328"/>
                <w:tab w:val="left" w:pos="8244"/>
                <w:tab w:val="left" w:pos="8520"/>
                <w:tab w:val="left" w:pos="8520"/>
                <w:tab w:val="left" w:pos="8520"/>
                <w:tab w:val="left" w:pos="8520"/>
                <w:tab w:val="left" w:pos="8520"/>
                <w:tab w:val="left" w:pos="8520"/>
                <w:tab w:val="left" w:pos="8520"/>
              </w:tabs>
              <w:spacing w:after="24" w:line="240" w:lineRule="auto"/>
              <w:jc w:val="both"/>
              <w:rPr>
                <w:rFonts w:ascii="Arial" w:cs="Arial" w:hAnsi="Arial" w:eastAsia="Arial"/>
                <w:shd w:val="nil" w:color="auto" w:fill="auto"/>
              </w:rPr>
            </w:pPr>
            <w:r>
              <w:rPr>
                <w:rFonts w:ascii="Arial" w:hAnsi="Arial"/>
                <w:shd w:val="nil" w:color="auto" w:fill="auto"/>
                <w:rtl w:val="0"/>
                <w:lang w:val="en-US"/>
              </w:rPr>
              <w:t>Ms Graham, a planner for Eddie Stobart Ltd, announced her pregnancy in October 2021. In March 2022, the company began a redundancy process. Ms Graham believed she had a preferential right to a transport shift manager (TSM) vacancy under regulation 10 of the Maternity and Parental Leave etc Regulations 1999. The employer disagreed, deeming the role unsuitable. Ms Graham attended a competitive interview for the TSM position but was unsuccessful.</w:t>
            </w:r>
          </w:p>
          <w:p>
            <w:pPr>
              <w:pStyle w:val="Body"/>
              <w:tabs>
                <w:tab w:val="left" w:pos="916"/>
                <w:tab w:val="left" w:pos="1832"/>
                <w:tab w:val="left" w:pos="2748"/>
                <w:tab w:val="left" w:pos="3664"/>
                <w:tab w:val="left" w:pos="4580"/>
                <w:tab w:val="left" w:pos="5496"/>
                <w:tab w:val="left" w:pos="6412"/>
                <w:tab w:val="left" w:pos="7328"/>
                <w:tab w:val="left" w:pos="8244"/>
                <w:tab w:val="left" w:pos="8520"/>
                <w:tab w:val="left" w:pos="8520"/>
                <w:tab w:val="left" w:pos="8520"/>
                <w:tab w:val="left" w:pos="8520"/>
                <w:tab w:val="left" w:pos="8520"/>
                <w:tab w:val="left" w:pos="8520"/>
                <w:tab w:val="left" w:pos="8520"/>
              </w:tabs>
              <w:bidi w:val="0"/>
              <w:spacing w:after="24" w:line="240" w:lineRule="auto"/>
              <w:ind w:left="0" w:right="0" w:firstLine="0"/>
              <w:jc w:val="both"/>
              <w:rPr>
                <w:rtl w:val="0"/>
              </w:rPr>
            </w:pPr>
            <w:r>
              <w:rPr>
                <w:rFonts w:ascii="Arial" w:hAnsi="Arial"/>
                <w:shd w:val="nil" w:color="auto" w:fill="auto"/>
                <w:rtl w:val="0"/>
                <w:lang w:val="en-US"/>
              </w:rPr>
              <w:t>Her grievance about the redundancy process was blocked by the employer's firewall and went unread. Despite mentioning this at a consultation meeting and being advised to resend it, the grievance remained unaddressed. She was subsequently notified of her redundancy. Ms Graham filed employment tribunal claims for unfair dismissal, unlawful detriment, pregnancy and maternity discrimination, and victimisation. The tribunal rejected most claims, agreeing the TSM role was unsuitable. However, it found the employer's failure to address her grievance constituted unlawful detriment and discrimination.</w:t>
            </w:r>
          </w:p>
        </w:tc>
      </w:tr>
      <w:tr>
        <w:tblPrEx>
          <w:shd w:val="clear" w:color="auto" w:fill="cdd4e9"/>
        </w:tblPrEx>
        <w:trPr>
          <w:trHeight w:val="2528" w:hRule="atLeast"/>
        </w:trPr>
        <w:tc>
          <w:tcPr>
            <w:tcW w:type="dxa" w:w="1250"/>
            <w:tcBorders>
              <w:top w:val="single" w:color="cccccc" w:sz="6" w:space="0" w:shadow="0" w:frame="0"/>
              <w:left w:val="nil"/>
              <w:bottom w:val="single" w:color="cccccc" w:sz="6" w:space="0" w:shadow="0" w:frame="0"/>
              <w:right w:val="single" w:color="cccccc" w:sz="6" w:space="0" w:shadow="0" w:frame="0"/>
            </w:tcBorders>
            <w:shd w:val="clear" w:color="auto" w:fill="auto"/>
            <w:tcMar>
              <w:top w:type="dxa" w:w="80"/>
              <w:left w:type="dxa" w:w="80"/>
              <w:bottom w:type="dxa" w:w="80"/>
              <w:right w:type="dxa" w:w="80"/>
            </w:tcMar>
            <w:vAlign w:val="top"/>
          </w:tcPr>
          <w:p>
            <w:pPr>
              <w:pStyle w:val="Body"/>
              <w:tabs>
                <w:tab w:val="left" w:pos="916"/>
                <w:tab w:val="left" w:pos="1832"/>
                <w:tab w:val="left" w:pos="2748"/>
                <w:tab w:val="left" w:pos="3664"/>
                <w:tab w:val="left" w:pos="4580"/>
                <w:tab w:val="left" w:pos="5496"/>
                <w:tab w:val="left" w:pos="6412"/>
                <w:tab w:val="left" w:pos="7328"/>
                <w:tab w:val="left" w:pos="8244"/>
                <w:tab w:val="left" w:pos="8520"/>
                <w:tab w:val="left" w:pos="8520"/>
                <w:tab w:val="left" w:pos="8520"/>
                <w:tab w:val="left" w:pos="8520"/>
                <w:tab w:val="left" w:pos="8520"/>
                <w:tab w:val="left" w:pos="8520"/>
                <w:tab w:val="left" w:pos="8520"/>
              </w:tabs>
              <w:spacing w:after="24" w:line="240" w:lineRule="auto"/>
              <w:jc w:val="both"/>
            </w:pPr>
            <w:r>
              <w:rPr>
                <w:rFonts w:ascii="Arial" w:hAnsi="Arial"/>
                <w:b w:val="1"/>
                <w:bCs w:val="1"/>
                <w:shd w:val="nil" w:color="auto" w:fill="auto"/>
                <w:rtl w:val="0"/>
                <w:lang w:val="en-US"/>
              </w:rPr>
              <w:t>Top, middle or lower</w:t>
            </w:r>
          </w:p>
        </w:tc>
        <w:tc>
          <w:tcPr>
            <w:tcW w:type="dxa" w:w="6986"/>
            <w:tcBorders>
              <w:top w:val="single" w:color="cccccc" w:sz="6" w:space="0" w:shadow="0" w:frame="0"/>
              <w:left w:val="single" w:color="cccccc" w:sz="6" w:space="0" w:shadow="0" w:frame="0"/>
              <w:bottom w:val="single" w:color="cccccc" w:sz="6" w:space="0" w:shadow="0" w:frame="0"/>
              <w:right w:val="single" w:color="cccccc" w:sz="6" w:space="0" w:shadow="0" w:frame="0"/>
            </w:tcBorders>
            <w:shd w:val="clear" w:color="auto" w:fill="auto"/>
            <w:tcMar>
              <w:top w:type="dxa" w:w="80"/>
              <w:left w:type="dxa" w:w="80"/>
              <w:bottom w:type="dxa" w:w="80"/>
              <w:right w:type="dxa" w:w="80"/>
            </w:tcMar>
            <w:vAlign w:val="top"/>
          </w:tcPr>
          <w:p>
            <w:pPr>
              <w:pStyle w:val="Body"/>
              <w:tabs>
                <w:tab w:val="left" w:pos="916"/>
                <w:tab w:val="left" w:pos="1832"/>
                <w:tab w:val="left" w:pos="2748"/>
                <w:tab w:val="left" w:pos="3664"/>
                <w:tab w:val="left" w:pos="4580"/>
                <w:tab w:val="left" w:pos="5496"/>
                <w:tab w:val="left" w:pos="6412"/>
                <w:tab w:val="left" w:pos="7328"/>
                <w:tab w:val="left" w:pos="8244"/>
                <w:tab w:val="left" w:pos="8520"/>
                <w:tab w:val="left" w:pos="8520"/>
                <w:tab w:val="left" w:pos="8520"/>
                <w:tab w:val="left" w:pos="8520"/>
                <w:tab w:val="left" w:pos="8520"/>
                <w:tab w:val="left" w:pos="8520"/>
                <w:tab w:val="left" w:pos="8520"/>
              </w:tabs>
              <w:spacing w:after="24" w:line="240" w:lineRule="auto"/>
              <w:jc w:val="both"/>
              <w:rPr>
                <w:rFonts w:ascii="Arial" w:cs="Arial" w:hAnsi="Arial" w:eastAsia="Arial"/>
                <w:shd w:val="nil" w:color="auto" w:fill="auto"/>
              </w:rPr>
            </w:pPr>
            <w:r>
              <w:rPr>
                <w:rFonts w:ascii="Arial" w:hAnsi="Arial"/>
                <w:shd w:val="nil" w:color="auto" w:fill="auto"/>
                <w:rtl w:val="0"/>
                <w:lang w:val="en-US"/>
              </w:rPr>
              <w:t>Lower band</w:t>
            </w:r>
          </w:p>
          <w:p>
            <w:pPr>
              <w:pStyle w:val="Body"/>
              <w:tabs>
                <w:tab w:val="left" w:pos="916"/>
                <w:tab w:val="left" w:pos="1832"/>
                <w:tab w:val="left" w:pos="2748"/>
                <w:tab w:val="left" w:pos="3664"/>
                <w:tab w:val="left" w:pos="4580"/>
                <w:tab w:val="left" w:pos="5496"/>
                <w:tab w:val="left" w:pos="6412"/>
                <w:tab w:val="left" w:pos="7328"/>
                <w:tab w:val="left" w:pos="8244"/>
                <w:tab w:val="left" w:pos="8520"/>
                <w:tab w:val="left" w:pos="8520"/>
                <w:tab w:val="left" w:pos="8520"/>
                <w:tab w:val="left" w:pos="8520"/>
                <w:tab w:val="left" w:pos="8520"/>
                <w:tab w:val="left" w:pos="8520"/>
                <w:tab w:val="left" w:pos="8520"/>
              </w:tabs>
              <w:bidi w:val="0"/>
              <w:spacing w:after="24" w:line="240" w:lineRule="auto"/>
              <w:ind w:left="0" w:right="0" w:firstLine="0"/>
              <w:jc w:val="both"/>
              <w:rPr>
                <w:rFonts w:ascii="Arial" w:cs="Arial" w:hAnsi="Arial" w:eastAsia="Arial"/>
                <w:shd w:val="nil" w:color="auto" w:fill="auto"/>
                <w:rtl w:val="0"/>
              </w:rPr>
            </w:pPr>
            <w:r>
              <w:rPr>
                <w:rFonts w:ascii="Arial" w:hAnsi="Arial"/>
                <w:shd w:val="nil" w:color="auto" w:fill="auto"/>
                <w:rtl w:val="0"/>
                <w:lang w:val="en-US"/>
              </w:rPr>
              <w:t xml:space="preserve">ET awarded </w:t>
            </w:r>
            <w:r>
              <w:rPr>
                <w:rFonts w:ascii="Arial" w:hAnsi="Arial" w:hint="default"/>
                <w:shd w:val="nil" w:color="auto" w:fill="auto"/>
                <w:rtl w:val="0"/>
                <w:lang w:val="en-US"/>
              </w:rPr>
              <w:t>£</w:t>
            </w:r>
            <w:r>
              <w:rPr>
                <w:rFonts w:ascii="Arial" w:hAnsi="Arial"/>
                <w:shd w:val="nil" w:color="auto" w:fill="auto"/>
                <w:rtl w:val="0"/>
                <w:lang w:val="en-US"/>
              </w:rPr>
              <w:t xml:space="preserve">10,000 for injury to feelings. </w:t>
            </w:r>
          </w:p>
          <w:p>
            <w:pPr>
              <w:pStyle w:val="Body"/>
              <w:tabs>
                <w:tab w:val="left" w:pos="916"/>
                <w:tab w:val="left" w:pos="1832"/>
                <w:tab w:val="left" w:pos="2748"/>
                <w:tab w:val="left" w:pos="3664"/>
                <w:tab w:val="left" w:pos="4580"/>
                <w:tab w:val="left" w:pos="5496"/>
                <w:tab w:val="left" w:pos="6412"/>
                <w:tab w:val="left" w:pos="7328"/>
                <w:tab w:val="left" w:pos="8244"/>
                <w:tab w:val="left" w:pos="8520"/>
                <w:tab w:val="left" w:pos="8520"/>
                <w:tab w:val="left" w:pos="8520"/>
                <w:tab w:val="left" w:pos="8520"/>
                <w:tab w:val="left" w:pos="8520"/>
                <w:tab w:val="left" w:pos="8520"/>
                <w:tab w:val="left" w:pos="8520"/>
              </w:tabs>
              <w:spacing w:after="24" w:line="240" w:lineRule="auto"/>
              <w:jc w:val="both"/>
              <w:rPr>
                <w:rFonts w:ascii="Arial" w:cs="Arial" w:hAnsi="Arial" w:eastAsia="Arial"/>
                <w:shd w:val="nil" w:color="auto" w:fill="auto"/>
                <w:lang w:val="en-US"/>
              </w:rPr>
            </w:pPr>
          </w:p>
          <w:p>
            <w:pPr>
              <w:pStyle w:val="Body"/>
              <w:tabs>
                <w:tab w:val="left" w:pos="916"/>
                <w:tab w:val="left" w:pos="1832"/>
                <w:tab w:val="left" w:pos="2748"/>
                <w:tab w:val="left" w:pos="3664"/>
                <w:tab w:val="left" w:pos="4580"/>
                <w:tab w:val="left" w:pos="5496"/>
                <w:tab w:val="left" w:pos="6412"/>
                <w:tab w:val="left" w:pos="7328"/>
                <w:tab w:val="left" w:pos="8244"/>
                <w:tab w:val="left" w:pos="8520"/>
                <w:tab w:val="left" w:pos="8520"/>
                <w:tab w:val="left" w:pos="8520"/>
                <w:tab w:val="left" w:pos="8520"/>
                <w:tab w:val="left" w:pos="8520"/>
                <w:tab w:val="left" w:pos="8520"/>
                <w:tab w:val="left" w:pos="8520"/>
              </w:tabs>
              <w:bidi w:val="0"/>
              <w:spacing w:after="24" w:line="240" w:lineRule="auto"/>
              <w:ind w:left="0" w:right="0" w:firstLine="0"/>
              <w:jc w:val="both"/>
              <w:rPr>
                <w:rFonts w:ascii="Arial" w:cs="Arial" w:hAnsi="Arial" w:eastAsia="Arial"/>
                <w:shd w:val="nil" w:color="auto" w:fill="auto"/>
                <w:rtl w:val="0"/>
              </w:rPr>
            </w:pPr>
            <w:r>
              <w:rPr>
                <w:rFonts w:ascii="Arial" w:hAnsi="Arial"/>
                <w:shd w:val="nil" w:color="auto" w:fill="auto"/>
                <w:rtl w:val="0"/>
                <w:lang w:val="en-US"/>
              </w:rPr>
              <w:t>The employer appealed, arguing the award was excessive and lacked sufficient reasoning. The Employment Appeal Tribunal (EAT) upheld the appeal, and provided guidance on injury to feelings awards.</w:t>
            </w:r>
          </w:p>
          <w:p>
            <w:pPr>
              <w:pStyle w:val="Body"/>
              <w:tabs>
                <w:tab w:val="left" w:pos="916"/>
                <w:tab w:val="left" w:pos="1832"/>
                <w:tab w:val="left" w:pos="2748"/>
                <w:tab w:val="left" w:pos="3664"/>
                <w:tab w:val="left" w:pos="4580"/>
                <w:tab w:val="left" w:pos="5496"/>
                <w:tab w:val="left" w:pos="6412"/>
                <w:tab w:val="left" w:pos="7328"/>
                <w:tab w:val="left" w:pos="8244"/>
                <w:tab w:val="left" w:pos="8520"/>
                <w:tab w:val="left" w:pos="8520"/>
                <w:tab w:val="left" w:pos="8520"/>
                <w:tab w:val="left" w:pos="8520"/>
                <w:tab w:val="left" w:pos="8520"/>
                <w:tab w:val="left" w:pos="8520"/>
                <w:tab w:val="left" w:pos="8520"/>
              </w:tabs>
              <w:spacing w:after="24" w:line="240" w:lineRule="auto"/>
              <w:jc w:val="both"/>
              <w:rPr>
                <w:rFonts w:ascii="Arial" w:cs="Arial" w:hAnsi="Arial" w:eastAsia="Arial"/>
                <w:shd w:val="nil" w:color="auto" w:fill="auto"/>
                <w:lang w:val="en-US"/>
              </w:rPr>
            </w:pPr>
          </w:p>
          <w:p>
            <w:pPr>
              <w:pStyle w:val="Body"/>
              <w:tabs>
                <w:tab w:val="left" w:pos="916"/>
                <w:tab w:val="left" w:pos="1832"/>
                <w:tab w:val="left" w:pos="2748"/>
                <w:tab w:val="left" w:pos="3664"/>
                <w:tab w:val="left" w:pos="4580"/>
                <w:tab w:val="left" w:pos="5496"/>
                <w:tab w:val="left" w:pos="6412"/>
                <w:tab w:val="left" w:pos="7328"/>
                <w:tab w:val="left" w:pos="8244"/>
                <w:tab w:val="left" w:pos="8520"/>
                <w:tab w:val="left" w:pos="8520"/>
                <w:tab w:val="left" w:pos="8520"/>
                <w:tab w:val="left" w:pos="8520"/>
                <w:tab w:val="left" w:pos="8520"/>
                <w:tab w:val="left" w:pos="8520"/>
                <w:tab w:val="left" w:pos="8520"/>
              </w:tabs>
              <w:bidi w:val="0"/>
              <w:spacing w:after="24" w:line="240" w:lineRule="auto"/>
              <w:ind w:left="0" w:right="0" w:firstLine="0"/>
              <w:jc w:val="both"/>
              <w:rPr>
                <w:rtl w:val="0"/>
              </w:rPr>
            </w:pPr>
            <w:r>
              <w:rPr>
                <w:rFonts w:ascii="Arial" w:hAnsi="Arial"/>
                <w:shd w:val="nil" w:color="auto" w:fill="auto"/>
                <w:rtl w:val="0"/>
                <w:lang w:val="en-US"/>
              </w:rPr>
              <w:t>The EAT overturned a tribunal</w:t>
            </w:r>
            <w:r>
              <w:rPr>
                <w:rFonts w:ascii="Arial" w:hAnsi="Arial" w:hint="default"/>
                <w:shd w:val="nil" w:color="auto" w:fill="auto"/>
                <w:rtl w:val="0"/>
                <w:lang w:val="en-US"/>
              </w:rPr>
              <w:t>’</w:t>
            </w:r>
            <w:r>
              <w:rPr>
                <w:rFonts w:ascii="Arial" w:hAnsi="Arial"/>
                <w:shd w:val="nil" w:color="auto" w:fill="auto"/>
                <w:rtl w:val="0"/>
                <w:lang w:val="en-US"/>
              </w:rPr>
              <w:t xml:space="preserve">s decision, finding that it had awarded a manifestly excessive injury to feelings award of </w:t>
            </w:r>
            <w:r>
              <w:rPr>
                <w:rFonts w:ascii="Arial" w:hAnsi="Arial" w:hint="default"/>
                <w:shd w:val="nil" w:color="auto" w:fill="auto"/>
                <w:rtl w:val="0"/>
                <w:lang w:val="en-US"/>
              </w:rPr>
              <w:t>£</w:t>
            </w:r>
            <w:r>
              <w:rPr>
                <w:rFonts w:ascii="Arial" w:hAnsi="Arial"/>
                <w:shd w:val="nil" w:color="auto" w:fill="auto"/>
                <w:rtl w:val="0"/>
                <w:lang w:val="en-US"/>
              </w:rPr>
              <w:t xml:space="preserve">10,000 and substituted an award of </w:t>
            </w:r>
            <w:r>
              <w:rPr>
                <w:rFonts w:ascii="Arial" w:hAnsi="Arial" w:hint="default"/>
                <w:shd w:val="nil" w:color="auto" w:fill="auto"/>
                <w:rtl w:val="0"/>
                <w:lang w:val="en-US"/>
              </w:rPr>
              <w:t>£</w:t>
            </w:r>
            <w:r>
              <w:rPr>
                <w:rFonts w:ascii="Arial" w:hAnsi="Arial"/>
                <w:shd w:val="nil" w:color="auto" w:fill="auto"/>
                <w:rtl w:val="0"/>
                <w:lang w:val="en-US"/>
              </w:rPr>
              <w:t>2,000.</w:t>
            </w:r>
          </w:p>
        </w:tc>
      </w:tr>
      <w:tr>
        <w:tblPrEx>
          <w:shd w:val="clear" w:color="auto" w:fill="cdd4e9"/>
        </w:tblPrEx>
        <w:trPr>
          <w:trHeight w:val="488" w:hRule="atLeast"/>
        </w:trPr>
        <w:tc>
          <w:tcPr>
            <w:tcW w:type="dxa" w:w="1250"/>
            <w:tcBorders>
              <w:top w:val="single" w:color="cccccc" w:sz="6" w:space="0" w:shadow="0" w:frame="0"/>
              <w:left w:val="nil"/>
              <w:bottom w:val="single" w:color="cccccc" w:sz="6" w:space="0" w:shadow="0" w:frame="0"/>
              <w:right w:val="single" w:color="cccccc" w:sz="6" w:space="0" w:shadow="0" w:frame="0"/>
            </w:tcBorders>
            <w:shd w:val="clear" w:color="auto" w:fill="auto"/>
            <w:tcMar>
              <w:top w:type="dxa" w:w="80"/>
              <w:left w:type="dxa" w:w="80"/>
              <w:bottom w:type="dxa" w:w="80"/>
              <w:right w:type="dxa" w:w="80"/>
            </w:tcMar>
            <w:vAlign w:val="top"/>
          </w:tcPr>
          <w:p>
            <w:pPr>
              <w:pStyle w:val="Body"/>
              <w:tabs>
                <w:tab w:val="left" w:pos="916"/>
                <w:tab w:val="left" w:pos="1832"/>
                <w:tab w:val="left" w:pos="2748"/>
                <w:tab w:val="left" w:pos="3664"/>
                <w:tab w:val="left" w:pos="4580"/>
                <w:tab w:val="left" w:pos="5496"/>
                <w:tab w:val="left" w:pos="6412"/>
                <w:tab w:val="left" w:pos="7328"/>
                <w:tab w:val="left" w:pos="8244"/>
                <w:tab w:val="left" w:pos="8520"/>
                <w:tab w:val="left" w:pos="8520"/>
                <w:tab w:val="left" w:pos="8520"/>
                <w:tab w:val="left" w:pos="8520"/>
                <w:tab w:val="left" w:pos="8520"/>
                <w:tab w:val="left" w:pos="8520"/>
                <w:tab w:val="left" w:pos="8520"/>
              </w:tabs>
              <w:spacing w:after="24" w:line="240" w:lineRule="auto"/>
              <w:jc w:val="both"/>
            </w:pPr>
            <w:r>
              <w:rPr>
                <w:rFonts w:ascii="Arial" w:hAnsi="Arial"/>
                <w:b w:val="1"/>
                <w:bCs w:val="1"/>
                <w:shd w:val="nil" w:color="auto" w:fill="auto"/>
                <w:rtl w:val="0"/>
                <w:lang w:val="en-US"/>
              </w:rPr>
              <w:t>Case:</w:t>
            </w:r>
          </w:p>
        </w:tc>
        <w:tc>
          <w:tcPr>
            <w:tcW w:type="dxa" w:w="6986"/>
            <w:tcBorders>
              <w:top w:val="single" w:color="cccccc" w:sz="6" w:space="0" w:shadow="0" w:frame="0"/>
              <w:left w:val="single" w:color="cccccc" w:sz="6" w:space="0" w:shadow="0" w:frame="0"/>
              <w:bottom w:val="single" w:color="cccccc" w:sz="6" w:space="0" w:shadow="0" w:frame="0"/>
              <w:right w:val="single" w:color="cccccc" w:sz="6" w:space="0" w:shadow="0" w:frame="0"/>
            </w:tcBorders>
            <w:shd w:val="clear" w:color="auto" w:fill="auto"/>
            <w:tcMar>
              <w:top w:type="dxa" w:w="80"/>
              <w:left w:type="dxa" w:w="80"/>
              <w:bottom w:type="dxa" w:w="80"/>
              <w:right w:type="dxa" w:w="80"/>
            </w:tcMar>
            <w:vAlign w:val="top"/>
          </w:tcPr>
          <w:p>
            <w:pPr>
              <w:pStyle w:val="Body"/>
              <w:tabs>
                <w:tab w:val="left" w:pos="916"/>
                <w:tab w:val="left" w:pos="1832"/>
                <w:tab w:val="left" w:pos="2748"/>
                <w:tab w:val="left" w:pos="3664"/>
                <w:tab w:val="left" w:pos="4580"/>
                <w:tab w:val="left" w:pos="5496"/>
                <w:tab w:val="left" w:pos="6412"/>
                <w:tab w:val="left" w:pos="7328"/>
                <w:tab w:val="left" w:pos="8244"/>
                <w:tab w:val="left" w:pos="8520"/>
                <w:tab w:val="left" w:pos="8520"/>
                <w:tab w:val="left" w:pos="8520"/>
                <w:tab w:val="left" w:pos="8520"/>
                <w:tab w:val="left" w:pos="8520"/>
                <w:tab w:val="left" w:pos="8520"/>
                <w:tab w:val="left" w:pos="8520"/>
              </w:tabs>
              <w:spacing w:after="24" w:line="240" w:lineRule="auto"/>
              <w:jc w:val="both"/>
            </w:pPr>
            <w:r>
              <w:rPr>
                <w:rFonts w:ascii="Arial" w:hAnsi="Arial"/>
                <w:b w:val="1"/>
                <w:bCs w:val="1"/>
                <w:shd w:val="nil" w:color="auto" w:fill="auto"/>
                <w:rtl w:val="0"/>
                <w:lang w:val="en-US"/>
              </w:rPr>
              <w:t>Acheson v Avon Fire and Rescue Service ET/1400826/2022 and ET/1402825/2022</w:t>
            </w:r>
          </w:p>
        </w:tc>
      </w:tr>
      <w:tr>
        <w:tblPrEx>
          <w:shd w:val="clear" w:color="auto" w:fill="cdd4e9"/>
        </w:tblPrEx>
        <w:trPr>
          <w:trHeight w:val="4088" w:hRule="atLeast"/>
        </w:trPr>
        <w:tc>
          <w:tcPr>
            <w:tcW w:type="dxa" w:w="1250"/>
            <w:tcBorders>
              <w:top w:val="single" w:color="cccccc" w:sz="6" w:space="0" w:shadow="0" w:frame="0"/>
              <w:left w:val="nil"/>
              <w:bottom w:val="single" w:color="cccccc" w:sz="6" w:space="0" w:shadow="0" w:frame="0"/>
              <w:right w:val="single" w:color="cccccc" w:sz="6" w:space="0" w:shadow="0" w:frame="0"/>
            </w:tcBorders>
            <w:shd w:val="clear" w:color="auto" w:fill="auto"/>
            <w:tcMar>
              <w:top w:type="dxa" w:w="80"/>
              <w:left w:type="dxa" w:w="80"/>
              <w:bottom w:type="dxa" w:w="80"/>
              <w:right w:type="dxa" w:w="80"/>
            </w:tcMar>
            <w:vAlign w:val="top"/>
          </w:tcPr>
          <w:p>
            <w:pPr>
              <w:pStyle w:val="Body"/>
              <w:tabs>
                <w:tab w:val="left" w:pos="916"/>
                <w:tab w:val="left" w:pos="1832"/>
                <w:tab w:val="left" w:pos="2748"/>
                <w:tab w:val="left" w:pos="3664"/>
                <w:tab w:val="left" w:pos="4580"/>
                <w:tab w:val="left" w:pos="5496"/>
                <w:tab w:val="left" w:pos="6412"/>
                <w:tab w:val="left" w:pos="7328"/>
                <w:tab w:val="left" w:pos="8244"/>
                <w:tab w:val="left" w:pos="8520"/>
                <w:tab w:val="left" w:pos="8520"/>
                <w:tab w:val="left" w:pos="8520"/>
                <w:tab w:val="left" w:pos="8520"/>
                <w:tab w:val="left" w:pos="8520"/>
                <w:tab w:val="left" w:pos="8520"/>
                <w:tab w:val="left" w:pos="8520"/>
              </w:tabs>
              <w:spacing w:after="24" w:line="240" w:lineRule="auto"/>
              <w:jc w:val="both"/>
            </w:pPr>
            <w:r>
              <w:rPr>
                <w:rFonts w:ascii="Arial" w:hAnsi="Arial"/>
                <w:shd w:val="nil" w:color="auto" w:fill="auto"/>
                <w:rtl w:val="0"/>
                <w:lang w:val="en-US"/>
              </w:rPr>
              <w:t>Summary</w:t>
            </w:r>
          </w:p>
        </w:tc>
        <w:tc>
          <w:tcPr>
            <w:tcW w:type="dxa" w:w="6986"/>
            <w:tcBorders>
              <w:top w:val="single" w:color="cccccc" w:sz="6" w:space="0" w:shadow="0" w:frame="0"/>
              <w:left w:val="single" w:color="cccccc" w:sz="6" w:space="0" w:shadow="0" w:frame="0"/>
              <w:bottom w:val="single" w:color="cccccc" w:sz="6" w:space="0" w:shadow="0" w:frame="0"/>
              <w:right w:val="single" w:color="cccccc" w:sz="6" w:space="0" w:shadow="0" w:frame="0"/>
            </w:tcBorders>
            <w:shd w:val="clear" w:color="auto" w:fill="auto"/>
            <w:tcMar>
              <w:top w:type="dxa" w:w="80"/>
              <w:left w:type="dxa" w:w="80"/>
              <w:bottom w:type="dxa" w:w="80"/>
              <w:right w:type="dxa" w:w="80"/>
            </w:tcMar>
            <w:vAlign w:val="top"/>
          </w:tcPr>
          <w:p>
            <w:pPr>
              <w:pStyle w:val="Body"/>
              <w:tabs>
                <w:tab w:val="left" w:pos="916"/>
                <w:tab w:val="left" w:pos="1832"/>
                <w:tab w:val="left" w:pos="2748"/>
                <w:tab w:val="left" w:pos="3664"/>
                <w:tab w:val="left" w:pos="4580"/>
                <w:tab w:val="left" w:pos="5496"/>
                <w:tab w:val="left" w:pos="6412"/>
                <w:tab w:val="left" w:pos="7328"/>
                <w:tab w:val="left" w:pos="8244"/>
                <w:tab w:val="left" w:pos="8520"/>
                <w:tab w:val="left" w:pos="8520"/>
                <w:tab w:val="left" w:pos="8520"/>
                <w:tab w:val="left" w:pos="8520"/>
                <w:tab w:val="left" w:pos="8520"/>
                <w:tab w:val="left" w:pos="8520"/>
                <w:tab w:val="left" w:pos="8520"/>
              </w:tabs>
              <w:spacing w:after="24" w:line="240" w:lineRule="auto"/>
              <w:jc w:val="both"/>
            </w:pPr>
            <w:r>
              <w:rPr>
                <w:rFonts w:ascii="Arial" w:hAnsi="Arial"/>
                <w:shd w:val="nil" w:color="auto" w:fill="auto"/>
                <w:rtl w:val="0"/>
                <w:lang w:val="en-US"/>
              </w:rPr>
              <w:t xml:space="preserve">Ms Acheson worked as a firefighter with Avon Fire and Rescue Service. She resigned after a campaign of discrimination by Dean Davies, a Crew Manager, but also suffered discrimination as a result of a misogynistic culture. She was successful in claims of constructive dismissal, direct discrimination, harassment and victimisation. The tribunal found that the acts of discrimination included: belittling her; ignoring what she said but praising a male firefighter who repeated it; male colleagues openly and frequently making sexist comments; sexist banter (sometimes started by managers); asking, about a new female recruit, "is she fit?"; Mr Davies telling colleagues he and Ms Acheson had watched porn together; suggesting a female colleague's place was in the kitchen rather than the gym; and various other acts of discrimination and victimisation. The tribunal found that Ms Acheson had intended to remain in the Fire Service for the rest of her career and that she viewed her work not as a job, but as a vocation. The discrimination had had a significant impact on her mental health and she had suffered PTSD as a result. </w:t>
            </w:r>
          </w:p>
        </w:tc>
      </w:tr>
      <w:tr>
        <w:tblPrEx>
          <w:shd w:val="clear" w:color="auto" w:fill="cdd4e9"/>
        </w:tblPrEx>
        <w:trPr>
          <w:trHeight w:val="1496" w:hRule="atLeast"/>
        </w:trPr>
        <w:tc>
          <w:tcPr>
            <w:tcW w:type="dxa" w:w="1250"/>
            <w:tcBorders>
              <w:top w:val="single" w:color="cccccc" w:sz="6" w:space="0" w:shadow="0" w:frame="0"/>
              <w:left w:val="nil"/>
              <w:bottom w:val="single" w:color="cccccc" w:sz="6" w:space="0" w:shadow="0" w:frame="0"/>
              <w:right w:val="single" w:color="cccccc" w:sz="6" w:space="0" w:shadow="0" w:frame="0"/>
            </w:tcBorders>
            <w:shd w:val="clear" w:color="auto" w:fill="auto"/>
            <w:tcMar>
              <w:top w:type="dxa" w:w="80"/>
              <w:left w:type="dxa" w:w="80"/>
              <w:bottom w:type="dxa" w:w="80"/>
              <w:right w:type="dxa" w:w="80"/>
            </w:tcMar>
            <w:vAlign w:val="top"/>
          </w:tcPr>
          <w:p>
            <w:pPr>
              <w:pStyle w:val="Body"/>
              <w:tabs>
                <w:tab w:val="left" w:pos="916"/>
                <w:tab w:val="left" w:pos="1832"/>
                <w:tab w:val="left" w:pos="2748"/>
                <w:tab w:val="left" w:pos="3664"/>
                <w:tab w:val="left" w:pos="4580"/>
                <w:tab w:val="left" w:pos="5496"/>
                <w:tab w:val="left" w:pos="6412"/>
                <w:tab w:val="left" w:pos="7328"/>
                <w:tab w:val="left" w:pos="8244"/>
                <w:tab w:val="left" w:pos="8520"/>
                <w:tab w:val="left" w:pos="8520"/>
                <w:tab w:val="left" w:pos="8520"/>
                <w:tab w:val="left" w:pos="8520"/>
                <w:tab w:val="left" w:pos="8520"/>
                <w:tab w:val="left" w:pos="8520"/>
                <w:tab w:val="left" w:pos="8520"/>
              </w:tabs>
              <w:spacing w:after="24" w:line="240" w:lineRule="auto"/>
              <w:jc w:val="both"/>
            </w:pPr>
            <w:r>
              <w:rPr>
                <w:rFonts w:ascii="Arial" w:hAnsi="Arial"/>
                <w:b w:val="1"/>
                <w:bCs w:val="1"/>
                <w:shd w:val="nil" w:color="auto" w:fill="auto"/>
                <w:rtl w:val="0"/>
                <w:lang w:val="en-US"/>
              </w:rPr>
              <w:t>Top, middle or lower</w:t>
            </w:r>
          </w:p>
        </w:tc>
        <w:tc>
          <w:tcPr>
            <w:tcW w:type="dxa" w:w="6986"/>
            <w:tcBorders>
              <w:top w:val="single" w:color="cccccc" w:sz="6" w:space="0" w:shadow="0" w:frame="0"/>
              <w:left w:val="single" w:color="cccccc" w:sz="6" w:space="0" w:shadow="0" w:frame="0"/>
              <w:bottom w:val="single" w:color="cccccc" w:sz="6" w:space="0" w:shadow="0" w:frame="0"/>
              <w:right w:val="single" w:color="cccccc" w:sz="6" w:space="0" w:shadow="0" w:frame="0"/>
            </w:tcBorders>
            <w:shd w:val="clear" w:color="auto" w:fill="auto"/>
            <w:tcMar>
              <w:top w:type="dxa" w:w="80"/>
              <w:left w:type="dxa" w:w="80"/>
              <w:bottom w:type="dxa" w:w="80"/>
              <w:right w:type="dxa" w:w="80"/>
            </w:tcMar>
            <w:vAlign w:val="top"/>
          </w:tcPr>
          <w:p>
            <w:pPr>
              <w:pStyle w:val="Body"/>
              <w:tabs>
                <w:tab w:val="left" w:pos="916"/>
                <w:tab w:val="left" w:pos="1832"/>
                <w:tab w:val="left" w:pos="2748"/>
                <w:tab w:val="left" w:pos="3664"/>
                <w:tab w:val="left" w:pos="4580"/>
                <w:tab w:val="left" w:pos="5496"/>
                <w:tab w:val="left" w:pos="6412"/>
                <w:tab w:val="left" w:pos="7328"/>
                <w:tab w:val="left" w:pos="8244"/>
                <w:tab w:val="left" w:pos="8520"/>
                <w:tab w:val="left" w:pos="8520"/>
                <w:tab w:val="left" w:pos="8520"/>
                <w:tab w:val="left" w:pos="8520"/>
                <w:tab w:val="left" w:pos="8520"/>
                <w:tab w:val="left" w:pos="8520"/>
                <w:tab w:val="left" w:pos="8520"/>
              </w:tabs>
              <w:spacing w:after="24" w:line="240" w:lineRule="auto"/>
              <w:jc w:val="both"/>
              <w:rPr>
                <w:rFonts w:ascii="Arial" w:cs="Arial" w:hAnsi="Arial" w:eastAsia="Arial"/>
                <w:shd w:val="nil" w:color="auto" w:fill="auto"/>
              </w:rPr>
            </w:pPr>
            <w:r>
              <w:rPr>
                <w:rFonts w:ascii="Arial" w:hAnsi="Arial"/>
                <w:shd w:val="nil" w:color="auto" w:fill="auto"/>
                <w:rtl w:val="0"/>
                <w:lang w:val="en-US"/>
              </w:rPr>
              <w:t>Top band</w:t>
            </w:r>
          </w:p>
          <w:p>
            <w:pPr>
              <w:pStyle w:val="Body"/>
              <w:tabs>
                <w:tab w:val="left" w:pos="916"/>
                <w:tab w:val="left" w:pos="1832"/>
                <w:tab w:val="left" w:pos="2748"/>
                <w:tab w:val="left" w:pos="3664"/>
                <w:tab w:val="left" w:pos="4580"/>
                <w:tab w:val="left" w:pos="5496"/>
                <w:tab w:val="left" w:pos="6412"/>
                <w:tab w:val="left" w:pos="7328"/>
                <w:tab w:val="left" w:pos="8244"/>
                <w:tab w:val="left" w:pos="8520"/>
                <w:tab w:val="left" w:pos="8520"/>
                <w:tab w:val="left" w:pos="8520"/>
                <w:tab w:val="left" w:pos="8520"/>
                <w:tab w:val="left" w:pos="8520"/>
                <w:tab w:val="left" w:pos="8520"/>
                <w:tab w:val="left" w:pos="8520"/>
              </w:tabs>
              <w:bidi w:val="0"/>
              <w:spacing w:after="24" w:line="240" w:lineRule="auto"/>
              <w:ind w:left="0" w:right="0" w:firstLine="0"/>
              <w:jc w:val="both"/>
              <w:rPr>
                <w:rFonts w:ascii="Arial" w:cs="Arial" w:hAnsi="Arial" w:eastAsia="Arial"/>
                <w:shd w:val="nil" w:color="auto" w:fill="auto"/>
                <w:rtl w:val="0"/>
              </w:rPr>
            </w:pPr>
            <w:r>
              <w:rPr>
                <w:rFonts w:ascii="Arial" w:hAnsi="Arial"/>
                <w:shd w:val="nil" w:color="auto" w:fill="auto"/>
                <w:rtl w:val="0"/>
                <w:lang w:val="en-US"/>
              </w:rPr>
              <w:t>It concluded an award in the upper band would be appropriate.</w:t>
            </w:r>
          </w:p>
          <w:p>
            <w:pPr>
              <w:pStyle w:val="Body"/>
              <w:tabs>
                <w:tab w:val="left" w:pos="916"/>
                <w:tab w:val="left" w:pos="1832"/>
                <w:tab w:val="left" w:pos="2748"/>
                <w:tab w:val="left" w:pos="3664"/>
                <w:tab w:val="left" w:pos="4580"/>
                <w:tab w:val="left" w:pos="5496"/>
                <w:tab w:val="left" w:pos="6412"/>
                <w:tab w:val="left" w:pos="7328"/>
                <w:tab w:val="left" w:pos="8244"/>
                <w:tab w:val="left" w:pos="8520"/>
                <w:tab w:val="left" w:pos="8520"/>
                <w:tab w:val="left" w:pos="8520"/>
                <w:tab w:val="left" w:pos="8520"/>
                <w:tab w:val="left" w:pos="8520"/>
                <w:tab w:val="left" w:pos="8520"/>
                <w:tab w:val="left" w:pos="8520"/>
              </w:tabs>
              <w:bidi w:val="0"/>
              <w:spacing w:after="24" w:line="240" w:lineRule="auto"/>
              <w:ind w:left="0" w:right="0" w:firstLine="0"/>
              <w:jc w:val="both"/>
              <w:rPr>
                <w:rtl w:val="0"/>
              </w:rPr>
            </w:pPr>
            <w:r>
              <w:rPr>
                <w:rFonts w:ascii="Arial" w:hAnsi="Arial"/>
                <w:shd w:val="nil" w:color="auto" w:fill="auto"/>
                <w:rtl w:val="0"/>
                <w:lang w:val="en-US"/>
              </w:rPr>
              <w:t xml:space="preserve">The tribunal provisionally awarded an injury to feelings award of </w:t>
            </w:r>
            <w:r>
              <w:rPr>
                <w:rFonts w:ascii="Arial" w:hAnsi="Arial" w:hint="default"/>
                <w:shd w:val="nil" w:color="auto" w:fill="auto"/>
                <w:rtl w:val="0"/>
                <w:lang w:val="en-US"/>
              </w:rPr>
              <w:t>£</w:t>
            </w:r>
            <w:r>
              <w:rPr>
                <w:rFonts w:ascii="Arial" w:hAnsi="Arial"/>
                <w:shd w:val="nil" w:color="auto" w:fill="auto"/>
                <w:rtl w:val="0"/>
                <w:lang w:val="en-US"/>
              </w:rPr>
              <w:t xml:space="preserve">35,000. However, noted that this would need to be revised if the claimant pursued her separate claim for personal injury, to avoid double recovery. She was awarded </w:t>
            </w:r>
            <w:r>
              <w:rPr>
                <w:rFonts w:ascii="Arial" w:hAnsi="Arial" w:hint="default"/>
                <w:shd w:val="nil" w:color="auto" w:fill="auto"/>
                <w:rtl w:val="0"/>
                <w:lang w:val="en-US"/>
              </w:rPr>
              <w:t>£</w:t>
            </w:r>
            <w:r>
              <w:rPr>
                <w:rFonts w:ascii="Arial" w:hAnsi="Arial"/>
                <w:shd w:val="nil" w:color="auto" w:fill="auto"/>
                <w:rtl w:val="0"/>
                <w:lang w:val="en-US"/>
              </w:rPr>
              <w:t>17,001.52 for financial loss.</w:t>
            </w:r>
          </w:p>
        </w:tc>
      </w:tr>
    </w:tbl>
    <w:p>
      <w:pPr>
        <w:pStyle w:val="Body"/>
        <w:widowControl w:val="0"/>
        <w:spacing w:after="0" w:line="240" w:lineRule="auto"/>
        <w:jc w:val="both"/>
        <w:outlineLvl w:val="0"/>
      </w:pPr>
      <w:r>
        <w:rPr>
          <w:rFonts w:ascii="Arial" w:cs="Arial" w:hAnsi="Arial" w:eastAsia="Arial"/>
          <w:outline w:val="0"/>
          <w:color w:val="000000"/>
          <w:kern w:val="36"/>
          <w:u w:color="000000"/>
          <w14:textFill>
            <w14:solidFill>
              <w14:srgbClr w14:val="000000"/>
            </w14:solidFill>
          </w14:textFill>
        </w:rPr>
      </w:r>
    </w:p>
    <w:sectPr>
      <w:headerReference w:type="default" r:id="rId4"/>
      <w:footerReference w:type="default" r:id="rId5"/>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000"/>
        <w:tab w:val="clear" w:pos="9026"/>
      </w:tabs>
    </w:pPr>
    <w:r>
      <w:drawing xmlns:a="http://schemas.openxmlformats.org/drawingml/2006/main">
        <wp:anchor distT="152400" distB="152400" distL="152400" distR="152400" simplePos="0" relativeHeight="251658240" behindDoc="1" locked="0" layoutInCell="1" allowOverlap="1">
          <wp:simplePos x="0" y="0"/>
          <wp:positionH relativeFrom="page">
            <wp:posOffset>6257925</wp:posOffset>
          </wp:positionH>
          <wp:positionV relativeFrom="page">
            <wp:posOffset>323850</wp:posOffset>
          </wp:positionV>
          <wp:extent cx="1066800" cy="609600"/>
          <wp:effectExtent l="0" t="0" r="0" b="0"/>
          <wp:wrapNone/>
          <wp:docPr id="1073741825" name="officeArt object" descr="Morgan La Roche logo"/>
          <wp:cNvGraphicFramePr/>
          <a:graphic xmlns:a="http://schemas.openxmlformats.org/drawingml/2006/main">
            <a:graphicData uri="http://schemas.openxmlformats.org/drawingml/2006/picture">
              <pic:pic xmlns:pic="http://schemas.openxmlformats.org/drawingml/2006/picture">
                <pic:nvPicPr>
                  <pic:cNvPr id="1073741825" name="Morgan La Roche logo" descr="Morgan La Roche logo"/>
                  <pic:cNvPicPr>
                    <a:picLocks noChangeAspect="1"/>
                  </pic:cNvPicPr>
                </pic:nvPicPr>
                <pic:blipFill>
                  <a:blip r:embed="rId1">
                    <a:extLst/>
                  </a:blip>
                  <a:stretch>
                    <a:fillRect/>
                  </a:stretch>
                </pic:blipFill>
                <pic:spPr>
                  <a:xfrm>
                    <a:off x="0" y="0"/>
                    <a:ext cx="1066800" cy="609600"/>
                  </a:xfrm>
                  <a:prstGeom prst="rect">
                    <a:avLst/>
                  </a:prstGeom>
                  <a:ln w="12700" cap="flat">
                    <a:noFill/>
                    <a:miter lim="400000"/>
                  </a:ln>
                  <a:effectLst/>
                </pic:spPr>
              </pic:pic>
            </a:graphicData>
          </a:graphic>
        </wp:anchor>
      </w:drawing>
    </w: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_rels/header1.xml.rels><?xml version="1.0" encoding="UTF-8"?>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