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AC6B7" w14:textId="77777777" w:rsidR="00F90105" w:rsidRDefault="00D02A77" w:rsidP="00D02A77">
      <w:pPr>
        <w:jc w:val="center"/>
        <w:rPr>
          <w:sz w:val="24"/>
          <w:szCs w:val="24"/>
          <w:u w:val="single"/>
        </w:rPr>
      </w:pPr>
      <w:r>
        <w:rPr>
          <w:sz w:val="24"/>
          <w:szCs w:val="24"/>
          <w:u w:val="single"/>
        </w:rPr>
        <w:t xml:space="preserve">Critical Commentary of Seneca’s Epistles </w:t>
      </w:r>
      <w:r w:rsidRPr="00D02A77">
        <w:rPr>
          <w:sz w:val="24"/>
          <w:szCs w:val="24"/>
          <w:u w:val="single"/>
        </w:rPr>
        <w:t>53.5-7</w:t>
      </w:r>
    </w:p>
    <w:p w14:paraId="3D560B8F" w14:textId="7CA99DBD" w:rsidR="00D02A77" w:rsidRDefault="00D02A77" w:rsidP="00D02A77">
      <w:pPr>
        <w:rPr>
          <w:i/>
          <w:iCs/>
        </w:rPr>
      </w:pPr>
      <w:r w:rsidRPr="00D02A77">
        <w:rPr>
          <w:i/>
          <w:iCs/>
        </w:rPr>
        <w:t>When I finally calmed my stomach (for you know that one does not escape seasickness by escaping from the sea) and refreshed my body with a rubdown, I began to reflect how completely we forget or ignore our failings, even those that affect the body, which are continually reminding us of their existence, – not to mention those which are more serious in proportion as they are more hidden.. A slight ague deceives us; but when it has increased and a genuine fever has begun to burn, it forces even a hardy man, who can endure much suffering, to admit that he is ill. There is pain in the foot, and a tingling sensation in the joints; but we still hide the complaint and announce that we have sprained a joint, or else are tired from over-exercise. Then the ailment, uncertain at first, must be given a name; and when it begins to swell the ankles also, and has made both our feet "right" feet, we are bound to confess that we have the gout. The opposite holds true of diseases of the soul; the worse one is, the less one perceives it</w:t>
      </w:r>
    </w:p>
    <w:p w14:paraId="290645D1" w14:textId="545DFF82" w:rsidR="00D02A77" w:rsidRDefault="00D02A77" w:rsidP="00D02A77">
      <w:r>
        <w:t xml:space="preserve">This passage comes from </w:t>
      </w:r>
      <w:r w:rsidR="000824E9">
        <w:t xml:space="preserve">Seneca’s </w:t>
      </w:r>
      <w:r w:rsidR="000824E9">
        <w:rPr>
          <w:i/>
          <w:iCs/>
        </w:rPr>
        <w:t xml:space="preserve">Epistulae Morales ad Lucilium </w:t>
      </w:r>
      <w:r w:rsidR="000824E9">
        <w:t>(Moral Letters to Lucilius)</w:t>
      </w:r>
      <w:r w:rsidR="00320622">
        <w:rPr>
          <w:rStyle w:val="FootnoteReference"/>
        </w:rPr>
        <w:footnoteReference w:id="1"/>
      </w:r>
      <w:r w:rsidR="000824E9">
        <w:t>, these were letters that Seneca the Younger had written, who was a Roman Stoic Philosopher, playwriter and statesman</w:t>
      </w:r>
      <w:r w:rsidR="008D11C2">
        <w:rPr>
          <w:rStyle w:val="FootnoteReference"/>
        </w:rPr>
        <w:footnoteReference w:id="2"/>
      </w:r>
      <w:r w:rsidR="000824E9">
        <w:t>. They were addressed to Lucilius, who at the time was the procurator of Sicily and is only known through the writings of Seneca</w:t>
      </w:r>
      <w:r w:rsidR="00E12D12">
        <w:rPr>
          <w:rStyle w:val="FootnoteReference"/>
        </w:rPr>
        <w:footnoteReference w:id="3"/>
      </w:r>
      <w:r w:rsidR="007C2B29">
        <w:t>, however Seneca writes in a style that suggests he intended these letters for a broad audience</w:t>
      </w:r>
      <w:r w:rsidR="008D11C2">
        <w:rPr>
          <w:rStyle w:val="FootnoteReference"/>
        </w:rPr>
        <w:footnoteReference w:id="4"/>
      </w:r>
      <w:r w:rsidR="007C2B29">
        <w:t>. As Seneca was a stoic philosopher many of his letters have a traditional stoic theme such as a focus on virtue as the ultimate goal and distain of death and mortality.</w:t>
      </w:r>
    </w:p>
    <w:p w14:paraId="64895D0B" w14:textId="3520069F" w:rsidR="007C2B29" w:rsidRDefault="007C2B29" w:rsidP="00D02A77">
      <w:r>
        <w:t>This particular passage</w:t>
      </w:r>
      <w:r w:rsidR="00740575">
        <w:t xml:space="preserve"> is generally about how we perceive illnesses both of body and of the mind, or as Seneca says, the soul. The letter</w:t>
      </w:r>
      <w:r>
        <w:t xml:space="preserve"> </w:t>
      </w:r>
      <w:r w:rsidR="00740575">
        <w:t xml:space="preserve">starts with an observation on seasickness, </w:t>
      </w:r>
      <w:r w:rsidR="006219D2">
        <w:t xml:space="preserve">and </w:t>
      </w:r>
      <w:r w:rsidR="00740575">
        <w:t xml:space="preserve">how you </w:t>
      </w:r>
      <w:r w:rsidR="0048403B">
        <w:t>cannot</w:t>
      </w:r>
      <w:r w:rsidR="00740575">
        <w:t xml:space="preserve"> stop seasickness by simply going onto land; Seneca then moves on to a more broad observation on </w:t>
      </w:r>
      <w:r w:rsidR="00B518A3">
        <w:t xml:space="preserve">how </w:t>
      </w:r>
      <w:r w:rsidR="00740575">
        <w:t>humans as a collective,</w:t>
      </w:r>
      <w:r w:rsidR="00C92A89">
        <w:t xml:space="preserve"> when </w:t>
      </w:r>
      <w:r w:rsidR="0048403B">
        <w:t>experiencing</w:t>
      </w:r>
      <w:r w:rsidR="00740575">
        <w:t xml:space="preserve"> a physical injury or sickness</w:t>
      </w:r>
      <w:r w:rsidR="00B518A3">
        <w:t>,</w:t>
      </w:r>
      <w:r w:rsidR="00740575">
        <w:t xml:space="preserve"> are quick to get treatment and admit </w:t>
      </w:r>
      <w:r w:rsidR="00B518A3">
        <w:t>we</w:t>
      </w:r>
      <w:r w:rsidR="00740575">
        <w:t xml:space="preserve"> are </w:t>
      </w:r>
      <w:r w:rsidR="00B518A3">
        <w:t>sick</w:t>
      </w:r>
      <w:r w:rsidR="00740575">
        <w:t xml:space="preserve">, however when we have </w:t>
      </w:r>
      <w:r w:rsidR="00B518A3">
        <w:t xml:space="preserve">a developing mental illness or </w:t>
      </w:r>
      <w:r w:rsidR="00740575">
        <w:t>as</w:t>
      </w:r>
      <w:r w:rsidR="00B518A3">
        <w:t xml:space="preserve"> Seneca</w:t>
      </w:r>
      <w:r w:rsidR="00740575">
        <w:t xml:space="preserve"> </w:t>
      </w:r>
      <w:r w:rsidR="00B518A3">
        <w:t>describes</w:t>
      </w:r>
      <w:r w:rsidR="00740575">
        <w:t xml:space="preserve"> it</w:t>
      </w:r>
      <w:r w:rsidR="00B518A3">
        <w:t>, a</w:t>
      </w:r>
      <w:r w:rsidR="00740575">
        <w:t xml:space="preserve"> “diseases of the soul”</w:t>
      </w:r>
      <w:r w:rsidR="00B518A3">
        <w:t>,</w:t>
      </w:r>
      <w:r w:rsidR="00740575">
        <w:t xml:space="preserve"> the </w:t>
      </w:r>
      <w:r w:rsidR="00B518A3">
        <w:t>more prevalent an issue the illness becomes,</w:t>
      </w:r>
      <w:r w:rsidR="00740575">
        <w:t xml:space="preserve"> the less likely </w:t>
      </w:r>
      <w:r w:rsidR="002F2EBA">
        <w:t>you</w:t>
      </w:r>
      <w:r w:rsidR="00740575">
        <w:t xml:space="preserve"> are to </w:t>
      </w:r>
      <w:r w:rsidR="00B518A3">
        <w:t>seek attention for it</w:t>
      </w:r>
      <w:r w:rsidR="00740575">
        <w:t xml:space="preserve"> </w:t>
      </w:r>
      <w:r w:rsidR="00B518A3">
        <w:t xml:space="preserve">or even to </w:t>
      </w:r>
      <w:r w:rsidR="00740575">
        <w:t xml:space="preserve">admit you are ill. </w:t>
      </w:r>
      <w:r w:rsidR="00E12D12">
        <w:rPr>
          <w:rStyle w:val="FootnoteReference"/>
        </w:rPr>
        <w:footnoteReference w:id="5"/>
      </w:r>
    </w:p>
    <w:p w14:paraId="7BCAE481" w14:textId="25152E66" w:rsidR="00BB02D7" w:rsidRDefault="00BB02D7" w:rsidP="00D02A77">
      <w:r>
        <w:t>Seneca, sometimes referred to as Seneca the younger was born in 4 BC in Corduba in Hispania</w:t>
      </w:r>
      <w:r w:rsidR="00E12D12">
        <w:rPr>
          <w:rStyle w:val="FootnoteReference"/>
        </w:rPr>
        <w:footnoteReference w:id="6"/>
      </w:r>
      <w:r>
        <w:t>, however he was raised in Rome</w:t>
      </w:r>
      <w:r w:rsidR="00BE7463">
        <w:t xml:space="preserve"> where he</w:t>
      </w:r>
      <w:r w:rsidR="00BE7463">
        <w:t xml:space="preserve"> was trained in rhetoric and philosophy</w:t>
      </w:r>
      <w:r w:rsidR="006219D2">
        <w:t xml:space="preserve"> from his tutors Attalus, Sotion, and Papirius </w:t>
      </w:r>
      <w:r w:rsidR="00810384">
        <w:t>F</w:t>
      </w:r>
      <w:r w:rsidR="006219D2">
        <w:t>abianus</w:t>
      </w:r>
      <w:r w:rsidR="00E12D12">
        <w:rPr>
          <w:rStyle w:val="FootnoteReference"/>
        </w:rPr>
        <w:footnoteReference w:id="7"/>
      </w:r>
      <w:r w:rsidR="006219D2">
        <w:t>.</w:t>
      </w:r>
      <w:r>
        <w:t xml:space="preserve"> </w:t>
      </w:r>
      <w:r w:rsidR="006219D2">
        <w:t>He was b</w:t>
      </w:r>
      <w:r>
        <w:t xml:space="preserve">orn to </w:t>
      </w:r>
      <w:r w:rsidR="00181EC8">
        <w:t>a</w:t>
      </w:r>
      <w:r>
        <w:t xml:space="preserve"> wealthy Equestrian family; his father was Seneca the elder was a writer</w:t>
      </w:r>
      <w:r w:rsidR="00BE7463">
        <w:t>,</w:t>
      </w:r>
      <w:r>
        <w:t xml:space="preserve"> his older brother Lucius Junius Gallio Annaeanus was a senator</w:t>
      </w:r>
      <w:r w:rsidR="00BE7463">
        <w:t xml:space="preserve"> and his nephew was the famous poet Lucan</w:t>
      </w:r>
      <w:r w:rsidR="00BE50B3">
        <w:rPr>
          <w:rStyle w:val="FootnoteReference"/>
        </w:rPr>
        <w:footnoteReference w:id="8"/>
      </w:r>
      <w:r w:rsidR="00BE7463">
        <w:t xml:space="preserve">. </w:t>
      </w:r>
      <w:r w:rsidR="00023E95">
        <w:t>he was exiled from Rome to Corsica in 41 AD by Emperor Claudius, however he returned in 49 AD to tutor the future Emperor Nero</w:t>
      </w:r>
      <w:r w:rsidR="00BE50B3">
        <w:rPr>
          <w:rStyle w:val="FootnoteReference"/>
        </w:rPr>
        <w:footnoteReference w:id="9"/>
      </w:r>
      <w:r w:rsidR="00023E95">
        <w:t>. Upon his ascension to being Emperor</w:t>
      </w:r>
      <w:r w:rsidR="0029072A">
        <w:t xml:space="preserve"> Nero made Seneca one of his advisors</w:t>
      </w:r>
      <w:r w:rsidR="00BE50B3">
        <w:rPr>
          <w:rStyle w:val="FootnoteReference"/>
        </w:rPr>
        <w:footnoteReference w:id="10"/>
      </w:r>
      <w:r w:rsidR="0029072A">
        <w:t xml:space="preserve">, him and praetorian prefect Sextus Afranius Burrus governed the Empire well for the first five years of Nero’s reign. However due to his alleged involvement in the Pisonian conspiracy to assassinate Emperor Nero he was ordered to commit </w:t>
      </w:r>
      <w:r w:rsidR="0029072A">
        <w:lastRenderedPageBreak/>
        <w:t>suicide, which he accepted in a stoic manner</w:t>
      </w:r>
      <w:r w:rsidR="00BE50B3">
        <w:rPr>
          <w:rStyle w:val="FootnoteReference"/>
        </w:rPr>
        <w:footnoteReference w:id="11"/>
      </w:r>
      <w:r w:rsidR="0029072A">
        <w:t xml:space="preserve">. This suicide has become the subject of many famous paintings, such as The Death of Seneca by </w:t>
      </w:r>
      <w:r w:rsidR="0029072A" w:rsidRPr="0029072A">
        <w:t>Jacques-Louis David</w:t>
      </w:r>
      <w:r w:rsidR="0029072A">
        <w:t xml:space="preserve"> in 1773.</w:t>
      </w:r>
      <w:r w:rsidR="000164FF">
        <w:t xml:space="preserve"> In his life Seneca </w:t>
      </w:r>
      <w:r w:rsidR="005D1920">
        <w:t>produced many works, from his tragic pla</w:t>
      </w:r>
      <w:r w:rsidR="00EF6F71">
        <w:t>y</w:t>
      </w:r>
      <w:r w:rsidR="005D1920">
        <w:t xml:space="preserve">s such as Medea, Phaedra and Thyestes; he also wrote twelve </w:t>
      </w:r>
      <w:r w:rsidR="00181EC8">
        <w:t>essays</w:t>
      </w:r>
      <w:r w:rsidR="005D1920">
        <w:t xml:space="preserve"> and one hundred twenty-four letters, the Epistles</w:t>
      </w:r>
      <w:r w:rsidR="00BE50B3">
        <w:rPr>
          <w:rStyle w:val="FootnoteReference"/>
        </w:rPr>
        <w:footnoteReference w:id="12"/>
      </w:r>
      <w:r w:rsidR="005D1920">
        <w:t>.</w:t>
      </w:r>
    </w:p>
    <w:p w14:paraId="20A117DD" w14:textId="77777777" w:rsidR="00511C3A" w:rsidRDefault="00181EC8" w:rsidP="00D02A77">
      <w:r>
        <w:t xml:space="preserve">This source </w:t>
      </w:r>
      <w:r w:rsidR="00EF6F71">
        <w:t>tells us a surprising amount about medical knowledge of the time, the source describes</w:t>
      </w:r>
      <w:r w:rsidR="00C92A89">
        <w:t xml:space="preserve"> both</w:t>
      </w:r>
      <w:r w:rsidR="00EF6F71">
        <w:t xml:space="preserve"> the </w:t>
      </w:r>
      <w:r w:rsidR="00C92A89">
        <w:t xml:space="preserve">medical </w:t>
      </w:r>
      <w:r w:rsidR="00EF6F71">
        <w:t xml:space="preserve">process of </w:t>
      </w:r>
      <w:r w:rsidR="00C92A89">
        <w:t xml:space="preserve">developing </w:t>
      </w:r>
      <w:r w:rsidR="00EF6F71">
        <w:t xml:space="preserve">gout </w:t>
      </w:r>
      <w:r w:rsidR="008038D4">
        <w:t xml:space="preserve">and </w:t>
      </w:r>
      <w:r w:rsidR="00467D20">
        <w:t>also</w:t>
      </w:r>
      <w:r w:rsidR="00C92A89">
        <w:t xml:space="preserve"> the social aspect of having gout </w:t>
      </w:r>
      <w:r w:rsidR="001D7FB5">
        <w:t>and because of</w:t>
      </w:r>
      <w:r w:rsidR="00C92A89">
        <w:t xml:space="preserve"> the</w:t>
      </w:r>
      <w:r w:rsidR="001D7FB5">
        <w:t xml:space="preserve"> shame and embarrassment it caused the</w:t>
      </w:r>
      <w:r w:rsidR="00C92A89">
        <w:t xml:space="preserve"> lengths people would go to hide the ailment through lying and avoidance.</w:t>
      </w:r>
      <w:r w:rsidR="001D7FB5">
        <w:t xml:space="preserve"> </w:t>
      </w:r>
      <w:r w:rsidR="00350107">
        <w:t>The passage also seems to acknowledge mental health issues as a serious issue</w:t>
      </w:r>
      <w:r w:rsidR="00997680">
        <w:t>, something our</w:t>
      </w:r>
      <w:r w:rsidR="00350107">
        <w:t xml:space="preserve"> own modern society previously had</w:t>
      </w:r>
      <w:r w:rsidR="00997680">
        <w:t xml:space="preserve"> not done</w:t>
      </w:r>
      <w:r w:rsidR="00350107">
        <w:t xml:space="preserve"> in the past</w:t>
      </w:r>
      <w:r w:rsidR="00997680">
        <w:t xml:space="preserve"> as much</w:t>
      </w:r>
      <w:r w:rsidR="00350107">
        <w:t xml:space="preserve"> before the turn of the 21</w:t>
      </w:r>
      <w:r w:rsidR="00350107" w:rsidRPr="00350107">
        <w:rPr>
          <w:vertAlign w:val="superscript"/>
        </w:rPr>
        <w:t>st</w:t>
      </w:r>
      <w:r w:rsidR="00350107">
        <w:t xml:space="preserve"> century</w:t>
      </w:r>
      <w:r w:rsidR="00997680">
        <w:t>, where mental health problems are acknowledged as a serious issue on par with physical ailments</w:t>
      </w:r>
      <w:r w:rsidR="00350107">
        <w:t>.</w:t>
      </w:r>
      <w:r w:rsidR="00F36A88">
        <w:t xml:space="preserve"> Another interpretation can be that t</w:t>
      </w:r>
      <w:r w:rsidR="00350107">
        <w:t>he passage hints toward Seneca viewing mental or invisible illnesses</w:t>
      </w:r>
      <w:r w:rsidR="00F36A88">
        <w:t xml:space="preserve"> as</w:t>
      </w:r>
      <w:r w:rsidR="00350107">
        <w:t xml:space="preserve"> being worse than physical ones</w:t>
      </w:r>
      <w:r w:rsidR="00F36A88">
        <w:t xml:space="preserve"> as they are harder to detect and can often cause more trouble for society at large, especially if the Emperor himself is mentally unwell.</w:t>
      </w:r>
    </w:p>
    <w:p w14:paraId="5D6339C5" w14:textId="2C068141" w:rsidR="0048403B" w:rsidRPr="0048403B" w:rsidRDefault="00F36A88" w:rsidP="00D02A77">
      <w:pPr>
        <w:rPr>
          <w:b/>
          <w:bCs/>
          <w:color w:val="FF0000"/>
        </w:rPr>
      </w:pPr>
      <w:r>
        <w:t xml:space="preserve"> </w:t>
      </w:r>
      <w:r w:rsidR="004219AB">
        <w:t>This leads on to the next interpretation</w:t>
      </w:r>
      <w:r w:rsidR="00C07422">
        <w:t xml:space="preserve"> that Seneca was talking about Emperor Nero</w:t>
      </w:r>
      <w:r w:rsidR="00810384">
        <w:t>, the Emperor was famously unstable</w:t>
      </w:r>
      <w:r w:rsidR="004219AB">
        <w:t>; he</w:t>
      </w:r>
      <w:r w:rsidR="00810384">
        <w:t xml:space="preserve"> </w:t>
      </w:r>
      <w:r w:rsidR="004219AB">
        <w:t>had his own mother, Agrippina assassinated</w:t>
      </w:r>
      <w:r w:rsidR="00BE50B3">
        <w:rPr>
          <w:rStyle w:val="FootnoteReference"/>
        </w:rPr>
        <w:footnoteReference w:id="13"/>
      </w:r>
      <w:r w:rsidR="004219AB">
        <w:t xml:space="preserve"> which was one of the most major sacrileges one could commit. He also kicked his pregnant wife to death, killing both wife and child.</w:t>
      </w:r>
      <w:r w:rsidR="00215D7C">
        <w:rPr>
          <w:rStyle w:val="FootnoteReference"/>
        </w:rPr>
        <w:footnoteReference w:id="14"/>
      </w:r>
      <w:r w:rsidR="00C53AC7">
        <w:t xml:space="preserve"> He was also rumoured to have started the Great Fire of Rome</w:t>
      </w:r>
      <w:r w:rsidR="00215D7C">
        <w:rPr>
          <w:rStyle w:val="FootnoteReference"/>
        </w:rPr>
        <w:footnoteReference w:id="15"/>
      </w:r>
      <w:r w:rsidR="00C53AC7">
        <w:t>, although I think this unlikely as he was not in Rome at the time according to Tacitus</w:t>
      </w:r>
      <w:r w:rsidR="00215D7C">
        <w:rPr>
          <w:rStyle w:val="FootnoteReference"/>
        </w:rPr>
        <w:footnoteReference w:id="16"/>
      </w:r>
      <w:r w:rsidR="00970AC0">
        <w:t>;</w:t>
      </w:r>
      <w:r w:rsidR="00C53AC7">
        <w:t xml:space="preserve"> his palace </w:t>
      </w:r>
      <w:r w:rsidR="00B57087">
        <w:t xml:space="preserve">the </w:t>
      </w:r>
      <w:r w:rsidR="00B57087" w:rsidRPr="00B57087">
        <w:rPr>
          <w:i/>
          <w:iCs/>
        </w:rPr>
        <w:t>Domus Transitoria</w:t>
      </w:r>
      <w:r w:rsidR="00B57087" w:rsidRPr="00B57087">
        <w:t xml:space="preserve"> </w:t>
      </w:r>
      <w:r w:rsidR="00C53AC7">
        <w:t>also burned down.</w:t>
      </w:r>
      <w:r w:rsidR="00B57087">
        <w:t xml:space="preserve"> A large fire was also inevitable in a large, mainly unplanned wooden building city like Rome.</w:t>
      </w:r>
      <w:r w:rsidR="00C53AC7">
        <w:t xml:space="preserve"> But nonetheless he profited from the disaster by building</w:t>
      </w:r>
      <w:r w:rsidR="004219AB">
        <w:t xml:space="preserve"> </w:t>
      </w:r>
      <w:r w:rsidR="00B57087">
        <w:t>an even bigger palace</w:t>
      </w:r>
      <w:r w:rsidR="00970AC0">
        <w:rPr>
          <w:rStyle w:val="FootnoteReference"/>
        </w:rPr>
        <w:footnoteReference w:id="17"/>
      </w:r>
      <w:r w:rsidR="00B57087">
        <w:t xml:space="preserve">, the </w:t>
      </w:r>
      <w:r w:rsidR="00B57087">
        <w:rPr>
          <w:i/>
          <w:iCs/>
        </w:rPr>
        <w:t>Domus Aurea</w:t>
      </w:r>
      <w:r w:rsidR="00B57087">
        <w:t xml:space="preserve"> or Golden house and building many Greek style buildings in the destroyed parts of the city, leading many historians to believe he was responsible</w:t>
      </w:r>
      <w:r w:rsidR="00970AC0">
        <w:rPr>
          <w:rStyle w:val="FootnoteReference"/>
        </w:rPr>
        <w:footnoteReference w:id="18"/>
      </w:r>
      <w:r w:rsidR="00C53AC7">
        <w:t xml:space="preserve">. </w:t>
      </w:r>
      <w:r w:rsidR="009B3AA5">
        <w:t>Seneca was suspected to be involved in the Pisonian conspiracy, a conspiracy to assassinate Nero and replace him with</w:t>
      </w:r>
      <w:r w:rsidR="009B3AA5" w:rsidRPr="009B3AA5">
        <w:t xml:space="preserve"> </w:t>
      </w:r>
      <w:r w:rsidR="009B3AA5" w:rsidRPr="009B3AA5">
        <w:t>Gaius Calpurnius Piso</w:t>
      </w:r>
      <w:r w:rsidR="00970AC0">
        <w:rPr>
          <w:rStyle w:val="FootnoteReference"/>
        </w:rPr>
        <w:footnoteReference w:id="19"/>
      </w:r>
      <w:r w:rsidR="009B3AA5">
        <w:t xml:space="preserve">, if Seneca did take part in the conspiracy then it is not out of the question that in his writings he </w:t>
      </w:r>
      <w:r w:rsidR="00511C3A">
        <w:t>could have included vailed insults or political statements about Nero and his madness. The line “</w:t>
      </w:r>
      <w:r w:rsidR="00511C3A" w:rsidRPr="00511C3A">
        <w:rPr>
          <w:i/>
          <w:iCs/>
        </w:rPr>
        <w:t>The opposite holds true of diseases of the soul; the worse one is, the less one perceives it</w:t>
      </w:r>
      <w:r w:rsidR="00511C3A">
        <w:rPr>
          <w:i/>
          <w:iCs/>
        </w:rPr>
        <w:t xml:space="preserve">” </w:t>
      </w:r>
      <w:r w:rsidR="00511C3A">
        <w:t>in my opinion fits Nero’s historical character well, because of the atrocities he committed he could very well have had what at the time could be called a disease of the soul due to the great sacrilege of killing his mother. Nero like others with severe mental</w:t>
      </w:r>
      <w:r w:rsidR="00C53AC7">
        <w:t xml:space="preserve"> health issues was likely unaware of the extent of his i</w:t>
      </w:r>
      <w:r w:rsidR="00B57087">
        <w:t>n</w:t>
      </w:r>
      <w:r w:rsidR="00C53AC7">
        <w:t>sanity</w:t>
      </w:r>
      <w:r w:rsidR="00B57087">
        <w:t xml:space="preserve"> and Seneca would have known this as he was a close advisor to Nero. </w:t>
      </w:r>
    </w:p>
    <w:p w14:paraId="6903F3A4" w14:textId="76EED7D3" w:rsidR="002F2EBA" w:rsidRDefault="00B57087" w:rsidP="00D02A77">
      <w:r>
        <w:t>Disguising your opinions through writing and art has been a common way of voicing dissent throughout history and I think this could be another example of this, although it can be interpreted as a progressive</w:t>
      </w:r>
      <w:r w:rsidR="00F55FF1">
        <w:t xml:space="preserve"> and forward thinking approach to mental health by at least acknowledging the severity and existence of it.</w:t>
      </w:r>
    </w:p>
    <w:p w14:paraId="43DAA480" w14:textId="35E59D3D" w:rsidR="0048403B" w:rsidRDefault="0048403B" w:rsidP="00D02A77"/>
    <w:p w14:paraId="44CE05BA" w14:textId="0FE52977" w:rsidR="0048403B" w:rsidRPr="00D330B7" w:rsidRDefault="0048403B" w:rsidP="00D02A77">
      <w:pPr>
        <w:rPr>
          <w:u w:val="single"/>
        </w:rPr>
      </w:pPr>
      <w:r w:rsidRPr="00D330B7">
        <w:rPr>
          <w:u w:val="single"/>
        </w:rPr>
        <w:t>Bibliography</w:t>
      </w:r>
    </w:p>
    <w:p w14:paraId="65746CF4" w14:textId="30A5D829" w:rsidR="00D330B7" w:rsidRDefault="00D330B7" w:rsidP="00D02A77">
      <w:pPr>
        <w:rPr>
          <w:u w:val="single"/>
        </w:rPr>
      </w:pPr>
      <w:r w:rsidRPr="00D330B7">
        <w:rPr>
          <w:u w:val="single"/>
        </w:rPr>
        <w:lastRenderedPageBreak/>
        <w:t>Ancient Sources</w:t>
      </w:r>
    </w:p>
    <w:p w14:paraId="671D18B0" w14:textId="294BDEAE" w:rsidR="00215D7C" w:rsidRDefault="00215D7C" w:rsidP="00D02A77">
      <w:r>
        <w:t xml:space="preserve">Tacitus, The Annals of Tacitus, volume V: 1937. </w:t>
      </w:r>
      <w:r w:rsidRPr="00215D7C">
        <w:t>Cambridge MA,  Harvard University Press.</w:t>
      </w:r>
    </w:p>
    <w:p w14:paraId="656262BA" w14:textId="3AE10F84" w:rsidR="00D330B7" w:rsidRPr="00D330B7" w:rsidRDefault="00D330B7" w:rsidP="00D02A77">
      <w:r w:rsidRPr="00D330B7">
        <w:t>Seneca</w:t>
      </w:r>
      <w:r w:rsidR="008C05DD">
        <w:t>,</w:t>
      </w:r>
      <w:r w:rsidRPr="00D330B7">
        <w:t xml:space="preserve"> Epistles, Volume I: Epistles</w:t>
      </w:r>
      <w:r w:rsidR="008C05DD">
        <w:t xml:space="preserve"> </w:t>
      </w:r>
      <w:r w:rsidR="008C05DD" w:rsidRPr="008C05DD">
        <w:t>53.5-7</w:t>
      </w:r>
      <w:r w:rsidRPr="00D330B7">
        <w:t>.</w:t>
      </w:r>
      <w:r w:rsidR="008C05DD" w:rsidRPr="008C05DD">
        <w:t xml:space="preserve"> </w:t>
      </w:r>
      <w:r w:rsidR="008C05DD" w:rsidRPr="008C05DD">
        <w:t>R</w:t>
      </w:r>
      <w:r w:rsidR="008C05DD">
        <w:t>.</w:t>
      </w:r>
      <w:r w:rsidR="008C05DD" w:rsidRPr="008C05DD">
        <w:t xml:space="preserve"> M. Gummere</w:t>
      </w:r>
      <w:r w:rsidR="008C05DD">
        <w:t xml:space="preserve"> (trans.). 1917. Cambridge MA, </w:t>
      </w:r>
      <w:r w:rsidRPr="00D330B7">
        <w:t xml:space="preserve"> Harvard University Press.</w:t>
      </w:r>
    </w:p>
    <w:p w14:paraId="42C9A49B" w14:textId="4F40F477" w:rsidR="00D330B7" w:rsidRPr="00D330B7" w:rsidRDefault="00D330B7" w:rsidP="00D02A77">
      <w:pPr>
        <w:rPr>
          <w:u w:val="single"/>
        </w:rPr>
      </w:pPr>
      <w:r w:rsidRPr="00D330B7">
        <w:rPr>
          <w:u w:val="single"/>
        </w:rPr>
        <w:t>Modern Scholarship</w:t>
      </w:r>
    </w:p>
    <w:p w14:paraId="09EF4B21" w14:textId="334E343B" w:rsidR="00D330B7" w:rsidRDefault="00D330B7" w:rsidP="00D02A77">
      <w:r w:rsidRPr="00D330B7">
        <w:t>Roberts, J. (2007). The Oxford Dictionary of the Classical World, Oxford, Oxford University Press</w:t>
      </w:r>
      <w:r w:rsidR="00E12D12">
        <w:t>.</w:t>
      </w:r>
    </w:p>
    <w:p w14:paraId="4011CF7D" w14:textId="31E9BAFD" w:rsidR="008C05DD" w:rsidRDefault="008D11C2" w:rsidP="00D02A77">
      <w:r w:rsidRPr="008D11C2">
        <w:t>Graver, Margaret; Long, A. A. (2015), "Introduction", Seneca. Letters on Ethics: To Lucilius,</w:t>
      </w:r>
      <w:r w:rsidR="00E12D12">
        <w:t xml:space="preserve"> Chicago,</w:t>
      </w:r>
      <w:r w:rsidRPr="008D11C2">
        <w:t xml:space="preserve"> University of Chicago Press</w:t>
      </w:r>
      <w:r w:rsidR="00E12D12">
        <w:t>.</w:t>
      </w:r>
    </w:p>
    <w:p w14:paraId="6EB74ACF" w14:textId="7E8BE41D" w:rsidR="00BE50B3" w:rsidRDefault="00BE50B3" w:rsidP="00D02A77">
      <w:r w:rsidRPr="00BE50B3">
        <w:t xml:space="preserve">Reynolds, L. D.; Griffin, M. T.; Fantham, E. (2012), </w:t>
      </w:r>
      <w:r>
        <w:t>“</w:t>
      </w:r>
      <w:r w:rsidRPr="00BE50B3">
        <w:t>Annaeus Seneca (2), Lucius</w:t>
      </w:r>
      <w:r>
        <w:t>”</w:t>
      </w:r>
      <w:r w:rsidRPr="00BE50B3">
        <w:t>, in Hornblower, S.; Spawforth, A.; Eidinow, E. (eds.), The Oxford Classical Dictionary,</w:t>
      </w:r>
      <w:r>
        <w:t xml:space="preserve"> Oxford,</w:t>
      </w:r>
      <w:r w:rsidRPr="00BE50B3">
        <w:t xml:space="preserve"> Oxford University Press</w:t>
      </w:r>
      <w:r>
        <w:t>.</w:t>
      </w:r>
    </w:p>
    <w:p w14:paraId="4A776AD2" w14:textId="2E6BF467" w:rsidR="00BE50B3" w:rsidRDefault="00BE50B3" w:rsidP="00D02A77">
      <w:r w:rsidRPr="00BE50B3">
        <w:t>Braund, Susanna (2015), "Seneca Multiplex, The Cambridge Companion to Seneca,</w:t>
      </w:r>
      <w:r>
        <w:t xml:space="preserve"> Cambridge,</w:t>
      </w:r>
      <w:r w:rsidRPr="00BE50B3">
        <w:t xml:space="preserve"> Cambridge University Press</w:t>
      </w:r>
      <w:r>
        <w:t>.</w:t>
      </w:r>
    </w:p>
    <w:p w14:paraId="6B3174D3" w14:textId="18A3CA52" w:rsidR="008C05DD" w:rsidRPr="000824E9" w:rsidRDefault="00970AC0" w:rsidP="008C05DD">
      <w:r w:rsidRPr="00970AC0">
        <w:t>Freeman, Charles (2014). Egypt, Greece, and Rome : civilizations of the ancient Mediterranean. Oxford</w:t>
      </w:r>
      <w:r>
        <w:t>, Oxford University Press.</w:t>
      </w:r>
    </w:p>
    <w:sectPr w:rsidR="008C05DD" w:rsidRPr="000824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61700" w14:textId="77777777" w:rsidR="00320622" w:rsidRDefault="00320622" w:rsidP="00320622">
      <w:pPr>
        <w:spacing w:after="0" w:line="240" w:lineRule="auto"/>
      </w:pPr>
      <w:r>
        <w:separator/>
      </w:r>
    </w:p>
  </w:endnote>
  <w:endnote w:type="continuationSeparator" w:id="0">
    <w:p w14:paraId="75F31CF0" w14:textId="77777777" w:rsidR="00320622" w:rsidRDefault="00320622" w:rsidP="00320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756CA" w14:textId="77777777" w:rsidR="00320622" w:rsidRDefault="00320622" w:rsidP="00320622">
      <w:pPr>
        <w:spacing w:after="0" w:line="240" w:lineRule="auto"/>
      </w:pPr>
      <w:r>
        <w:separator/>
      </w:r>
    </w:p>
  </w:footnote>
  <w:footnote w:type="continuationSeparator" w:id="0">
    <w:p w14:paraId="5EDF646A" w14:textId="77777777" w:rsidR="00320622" w:rsidRDefault="00320622" w:rsidP="00320622">
      <w:pPr>
        <w:spacing w:after="0" w:line="240" w:lineRule="auto"/>
      </w:pPr>
      <w:r>
        <w:continuationSeparator/>
      </w:r>
    </w:p>
  </w:footnote>
  <w:footnote w:id="1">
    <w:p w14:paraId="5A5DE503" w14:textId="2A98E5DA" w:rsidR="00320622" w:rsidRDefault="00320622">
      <w:pPr>
        <w:pStyle w:val="FootnoteText"/>
      </w:pPr>
      <w:r>
        <w:rPr>
          <w:rStyle w:val="FootnoteReference"/>
        </w:rPr>
        <w:footnoteRef/>
      </w:r>
      <w:r>
        <w:t xml:space="preserve"> </w:t>
      </w:r>
      <w:bookmarkStart w:id="0" w:name="_Hlk42201012"/>
      <w:r>
        <w:t xml:space="preserve">Sen. Ep. </w:t>
      </w:r>
      <w:r w:rsidRPr="00320622">
        <w:t>53.5-7</w:t>
      </w:r>
      <w:bookmarkEnd w:id="0"/>
    </w:p>
  </w:footnote>
  <w:footnote w:id="2">
    <w:p w14:paraId="1E31949B" w14:textId="0FC99339" w:rsidR="008D11C2" w:rsidRDefault="008D11C2">
      <w:pPr>
        <w:pStyle w:val="FootnoteText"/>
      </w:pPr>
      <w:r>
        <w:rPr>
          <w:rStyle w:val="FootnoteReference"/>
        </w:rPr>
        <w:footnoteRef/>
      </w:r>
      <w:r>
        <w:t xml:space="preserve"> </w:t>
      </w:r>
      <w:bookmarkStart w:id="1" w:name="_Hlk42200853"/>
      <w:r>
        <w:t>Roberts, 2007, p.695</w:t>
      </w:r>
      <w:bookmarkEnd w:id="1"/>
    </w:p>
  </w:footnote>
  <w:footnote w:id="3">
    <w:p w14:paraId="0F44C12B" w14:textId="415D0A73" w:rsidR="00E12D12" w:rsidRDefault="00E12D12">
      <w:pPr>
        <w:pStyle w:val="FootnoteText"/>
      </w:pPr>
      <w:r>
        <w:rPr>
          <w:rStyle w:val="FootnoteReference"/>
        </w:rPr>
        <w:footnoteRef/>
      </w:r>
      <w:r>
        <w:t xml:space="preserve"> </w:t>
      </w:r>
      <w:bookmarkStart w:id="2" w:name="_Hlk42201234"/>
      <w:r w:rsidRPr="00E12D12">
        <w:t>Roberts, 2007, p.69</w:t>
      </w:r>
      <w:r>
        <w:t>6</w:t>
      </w:r>
      <w:bookmarkEnd w:id="2"/>
    </w:p>
  </w:footnote>
  <w:footnote w:id="4">
    <w:p w14:paraId="3C796396" w14:textId="3718FCA5" w:rsidR="008D11C2" w:rsidRDefault="008D11C2" w:rsidP="008D11C2">
      <w:pPr>
        <w:pStyle w:val="FootnoteText"/>
      </w:pPr>
      <w:r>
        <w:rPr>
          <w:rStyle w:val="FootnoteReference"/>
        </w:rPr>
        <w:footnoteRef/>
      </w:r>
      <w:r>
        <w:t xml:space="preserve"> </w:t>
      </w:r>
      <w:r w:rsidRPr="008D11C2">
        <w:t>Graver &amp; Long 2015, p. 4</w:t>
      </w:r>
    </w:p>
  </w:footnote>
  <w:footnote w:id="5">
    <w:p w14:paraId="28AAD4B6" w14:textId="534FF6A4" w:rsidR="00E12D12" w:rsidRDefault="00E12D12">
      <w:pPr>
        <w:pStyle w:val="FootnoteText"/>
      </w:pPr>
      <w:r>
        <w:rPr>
          <w:rStyle w:val="FootnoteReference"/>
        </w:rPr>
        <w:footnoteRef/>
      </w:r>
      <w:r>
        <w:t xml:space="preserve"> </w:t>
      </w:r>
      <w:r w:rsidRPr="00E12D12">
        <w:t>Sen. Ep. 53.5-7</w:t>
      </w:r>
    </w:p>
  </w:footnote>
  <w:footnote w:id="6">
    <w:p w14:paraId="03914ACE" w14:textId="488C3DFC" w:rsidR="00E12D12" w:rsidRDefault="00E12D12">
      <w:pPr>
        <w:pStyle w:val="FootnoteText"/>
      </w:pPr>
      <w:r>
        <w:rPr>
          <w:rStyle w:val="FootnoteReference"/>
        </w:rPr>
        <w:footnoteRef/>
      </w:r>
      <w:r>
        <w:t xml:space="preserve"> </w:t>
      </w:r>
      <w:r w:rsidRPr="00E12D12">
        <w:t>Roberts, 2007, p.695</w:t>
      </w:r>
    </w:p>
  </w:footnote>
  <w:footnote w:id="7">
    <w:p w14:paraId="023C5247" w14:textId="2F1774D4" w:rsidR="00E12D12" w:rsidRDefault="00E12D12">
      <w:pPr>
        <w:pStyle w:val="FootnoteText"/>
      </w:pPr>
      <w:r>
        <w:rPr>
          <w:rStyle w:val="FootnoteReference"/>
        </w:rPr>
        <w:footnoteRef/>
      </w:r>
      <w:r>
        <w:t xml:space="preserve"> </w:t>
      </w:r>
      <w:r w:rsidR="00BE50B3" w:rsidRPr="00BE50B3">
        <w:t>Reynolds, Griffin &amp; Fantham 2012, p. 92</w:t>
      </w:r>
    </w:p>
  </w:footnote>
  <w:footnote w:id="8">
    <w:p w14:paraId="111B7427" w14:textId="4A0B22DA" w:rsidR="00BE50B3" w:rsidRDefault="00BE50B3">
      <w:pPr>
        <w:pStyle w:val="FootnoteText"/>
      </w:pPr>
      <w:r>
        <w:rPr>
          <w:rStyle w:val="FootnoteReference"/>
        </w:rPr>
        <w:footnoteRef/>
      </w:r>
      <w:r>
        <w:t xml:space="preserve"> </w:t>
      </w:r>
      <w:r w:rsidRPr="00BE50B3">
        <w:t>Roberts, 2007, p.696</w:t>
      </w:r>
    </w:p>
  </w:footnote>
  <w:footnote w:id="9">
    <w:p w14:paraId="0B0BB9E3" w14:textId="40E19524" w:rsidR="00BE50B3" w:rsidRDefault="00BE50B3">
      <w:pPr>
        <w:pStyle w:val="FootnoteText"/>
      </w:pPr>
      <w:r>
        <w:rPr>
          <w:rStyle w:val="FootnoteReference"/>
        </w:rPr>
        <w:footnoteRef/>
      </w:r>
      <w:r>
        <w:t xml:space="preserve"> </w:t>
      </w:r>
      <w:r w:rsidRPr="00BE50B3">
        <w:t>Braund 2015, p. 23</w:t>
      </w:r>
    </w:p>
  </w:footnote>
  <w:footnote w:id="10">
    <w:p w14:paraId="408B1909" w14:textId="6E4D91AC" w:rsidR="00BE50B3" w:rsidRDefault="00BE50B3">
      <w:pPr>
        <w:pStyle w:val="FootnoteText"/>
      </w:pPr>
      <w:r>
        <w:rPr>
          <w:rStyle w:val="FootnoteReference"/>
        </w:rPr>
        <w:footnoteRef/>
      </w:r>
      <w:r>
        <w:t xml:space="preserve"> </w:t>
      </w:r>
      <w:r w:rsidRPr="00BE50B3">
        <w:t>Roberts, 2007, p.69</w:t>
      </w:r>
      <w:r>
        <w:t>7</w:t>
      </w:r>
    </w:p>
  </w:footnote>
  <w:footnote w:id="11">
    <w:p w14:paraId="44649D6A" w14:textId="6A785301" w:rsidR="00BE50B3" w:rsidRDefault="00BE50B3">
      <w:pPr>
        <w:pStyle w:val="FootnoteText"/>
      </w:pPr>
      <w:r>
        <w:rPr>
          <w:rStyle w:val="FootnoteReference"/>
        </w:rPr>
        <w:footnoteRef/>
      </w:r>
      <w:r>
        <w:t xml:space="preserve"> </w:t>
      </w:r>
      <w:bookmarkStart w:id="3" w:name="_Hlk42202782"/>
      <w:r w:rsidRPr="00BE50B3">
        <w:t>Roberts, 2007, p.69</w:t>
      </w:r>
      <w:r>
        <w:t>7</w:t>
      </w:r>
      <w:bookmarkEnd w:id="3"/>
    </w:p>
  </w:footnote>
  <w:footnote w:id="12">
    <w:p w14:paraId="38A1BB26" w14:textId="5684025D" w:rsidR="00BE50B3" w:rsidRDefault="00BE50B3">
      <w:pPr>
        <w:pStyle w:val="FootnoteText"/>
      </w:pPr>
      <w:r>
        <w:rPr>
          <w:rStyle w:val="FootnoteReference"/>
        </w:rPr>
        <w:footnoteRef/>
      </w:r>
      <w:r>
        <w:t xml:space="preserve"> </w:t>
      </w:r>
      <w:r w:rsidRPr="00BE50B3">
        <w:t>Roberts, 2007, p.696</w:t>
      </w:r>
    </w:p>
  </w:footnote>
  <w:footnote w:id="13">
    <w:p w14:paraId="50C0ECAE" w14:textId="15402D9C" w:rsidR="00BE50B3" w:rsidRDefault="00BE50B3">
      <w:pPr>
        <w:pStyle w:val="FootnoteText"/>
      </w:pPr>
      <w:r>
        <w:rPr>
          <w:rStyle w:val="FootnoteReference"/>
        </w:rPr>
        <w:footnoteRef/>
      </w:r>
      <w:r>
        <w:t xml:space="preserve"> </w:t>
      </w:r>
      <w:r w:rsidRPr="00BE50B3">
        <w:t>Roberts, 2007, p.</w:t>
      </w:r>
      <w:r>
        <w:t>500</w:t>
      </w:r>
    </w:p>
  </w:footnote>
  <w:footnote w:id="14">
    <w:p w14:paraId="143D8DD8" w14:textId="2C19CB5C" w:rsidR="00215D7C" w:rsidRDefault="00215D7C">
      <w:pPr>
        <w:pStyle w:val="FootnoteText"/>
      </w:pPr>
      <w:r>
        <w:rPr>
          <w:rStyle w:val="FootnoteReference"/>
        </w:rPr>
        <w:footnoteRef/>
      </w:r>
      <w:r>
        <w:t xml:space="preserve"> </w:t>
      </w:r>
      <w:r w:rsidRPr="00215D7C">
        <w:t>Roberts, 2007, p.</w:t>
      </w:r>
      <w:r>
        <w:t>500</w:t>
      </w:r>
    </w:p>
  </w:footnote>
  <w:footnote w:id="15">
    <w:p w14:paraId="03AEA8B6" w14:textId="43AE07DB" w:rsidR="00215D7C" w:rsidRDefault="00215D7C">
      <w:pPr>
        <w:pStyle w:val="FootnoteText"/>
      </w:pPr>
      <w:r>
        <w:rPr>
          <w:rStyle w:val="FootnoteReference"/>
        </w:rPr>
        <w:footnoteRef/>
      </w:r>
      <w:r>
        <w:t xml:space="preserve"> </w:t>
      </w:r>
      <w:r w:rsidRPr="00215D7C">
        <w:t>Roberts, 2007, p.</w:t>
      </w:r>
      <w:r>
        <w:t>501</w:t>
      </w:r>
    </w:p>
  </w:footnote>
  <w:footnote w:id="16">
    <w:p w14:paraId="1A28B5A0" w14:textId="4E741762" w:rsidR="00215D7C" w:rsidRDefault="00215D7C">
      <w:pPr>
        <w:pStyle w:val="FootnoteText"/>
      </w:pPr>
      <w:bookmarkStart w:id="4" w:name="_Hlk42202431"/>
      <w:r>
        <w:rPr>
          <w:rStyle w:val="FootnoteReference"/>
        </w:rPr>
        <w:footnoteRef/>
      </w:r>
      <w:r>
        <w:t xml:space="preserve"> Tac. Ann.</w:t>
      </w:r>
      <w:bookmarkEnd w:id="4"/>
      <w:r>
        <w:t xml:space="preserve"> 3</w:t>
      </w:r>
      <w:r w:rsidR="00970AC0">
        <w:t>9.13</w:t>
      </w:r>
    </w:p>
  </w:footnote>
  <w:footnote w:id="17">
    <w:p w14:paraId="02C08747" w14:textId="7F7A9302" w:rsidR="00970AC0" w:rsidRDefault="00970AC0">
      <w:pPr>
        <w:pStyle w:val="FootnoteText"/>
      </w:pPr>
      <w:r>
        <w:rPr>
          <w:rStyle w:val="FootnoteReference"/>
        </w:rPr>
        <w:footnoteRef/>
      </w:r>
      <w:r>
        <w:t xml:space="preserve"> </w:t>
      </w:r>
      <w:r w:rsidRPr="00970AC0">
        <w:t xml:space="preserve">  Tac. Ann.</w:t>
      </w:r>
      <w:r>
        <w:t xml:space="preserve"> 42.22</w:t>
      </w:r>
    </w:p>
  </w:footnote>
  <w:footnote w:id="18">
    <w:p w14:paraId="546CF6A2" w14:textId="74E5B966" w:rsidR="00970AC0" w:rsidRDefault="00970AC0">
      <w:pPr>
        <w:pStyle w:val="FootnoteText"/>
      </w:pPr>
      <w:r>
        <w:rPr>
          <w:rStyle w:val="FootnoteReference"/>
        </w:rPr>
        <w:footnoteRef/>
      </w:r>
      <w:r>
        <w:t xml:space="preserve"> Freeman, 2014</w:t>
      </w:r>
    </w:p>
  </w:footnote>
  <w:footnote w:id="19">
    <w:p w14:paraId="1099768E" w14:textId="6676D18C" w:rsidR="00970AC0" w:rsidRDefault="00970AC0">
      <w:pPr>
        <w:pStyle w:val="FootnoteText"/>
      </w:pPr>
      <w:r>
        <w:rPr>
          <w:rStyle w:val="FootnoteReference"/>
        </w:rPr>
        <w:footnoteRef/>
      </w:r>
      <w:r>
        <w:t xml:space="preserve"> </w:t>
      </w:r>
      <w:r w:rsidRPr="00970AC0">
        <w:t>Roberts, 2007, p.69</w:t>
      </w:r>
      <w:r>
        <w:t>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A77"/>
    <w:rsid w:val="000164FF"/>
    <w:rsid w:val="00023E95"/>
    <w:rsid w:val="000824E9"/>
    <w:rsid w:val="00181EC8"/>
    <w:rsid w:val="001D7FB5"/>
    <w:rsid w:val="00215D7C"/>
    <w:rsid w:val="0029072A"/>
    <w:rsid w:val="002F2EBA"/>
    <w:rsid w:val="00320622"/>
    <w:rsid w:val="00350107"/>
    <w:rsid w:val="004219AB"/>
    <w:rsid w:val="00467D20"/>
    <w:rsid w:val="0048403B"/>
    <w:rsid w:val="00511C3A"/>
    <w:rsid w:val="005D1920"/>
    <w:rsid w:val="006219D2"/>
    <w:rsid w:val="00740575"/>
    <w:rsid w:val="007C2B29"/>
    <w:rsid w:val="008038D4"/>
    <w:rsid w:val="00810384"/>
    <w:rsid w:val="008616B8"/>
    <w:rsid w:val="008C05DD"/>
    <w:rsid w:val="008D11C2"/>
    <w:rsid w:val="00970AC0"/>
    <w:rsid w:val="00997680"/>
    <w:rsid w:val="009B3AA5"/>
    <w:rsid w:val="00B518A3"/>
    <w:rsid w:val="00B57087"/>
    <w:rsid w:val="00BB02D7"/>
    <w:rsid w:val="00BE50B3"/>
    <w:rsid w:val="00BE7463"/>
    <w:rsid w:val="00C07422"/>
    <w:rsid w:val="00C53AC7"/>
    <w:rsid w:val="00C92A89"/>
    <w:rsid w:val="00D02A77"/>
    <w:rsid w:val="00D330B7"/>
    <w:rsid w:val="00E12D12"/>
    <w:rsid w:val="00EF6F71"/>
    <w:rsid w:val="00F36A88"/>
    <w:rsid w:val="00F55FF1"/>
    <w:rsid w:val="00F90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944A"/>
  <w15:chartTrackingRefBased/>
  <w15:docId w15:val="{B93C9B67-504A-43CF-A06C-807A58F9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7087"/>
    <w:rPr>
      <w:color w:val="0000FF"/>
      <w:u w:val="single"/>
    </w:rPr>
  </w:style>
  <w:style w:type="paragraph" w:styleId="FootnoteText">
    <w:name w:val="footnote text"/>
    <w:basedOn w:val="Normal"/>
    <w:link w:val="FootnoteTextChar"/>
    <w:uiPriority w:val="99"/>
    <w:semiHidden/>
    <w:unhideWhenUsed/>
    <w:rsid w:val="003206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0622"/>
    <w:rPr>
      <w:sz w:val="20"/>
      <w:szCs w:val="20"/>
    </w:rPr>
  </w:style>
  <w:style w:type="character" w:styleId="FootnoteReference">
    <w:name w:val="footnote reference"/>
    <w:basedOn w:val="DefaultParagraphFont"/>
    <w:uiPriority w:val="99"/>
    <w:semiHidden/>
    <w:unhideWhenUsed/>
    <w:rsid w:val="003206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DBFDA-FAC9-4AEB-8CCB-CA222983D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20156</TotalTime>
  <Pages>3</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2</cp:revision>
  <dcterms:created xsi:type="dcterms:W3CDTF">2020-05-14T23:42:00Z</dcterms:created>
  <dcterms:modified xsi:type="dcterms:W3CDTF">2020-06-04T21:39:00Z</dcterms:modified>
</cp:coreProperties>
</file>