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37242072"/>
        <w:docPartObj>
          <w:docPartGallery w:val="Cover Pages"/>
          <w:docPartUnique/>
        </w:docPartObj>
      </w:sdtPr>
      <w:sdtContent>
        <w:p w14:paraId="17B28F8F" w14:textId="5231207E" w:rsidR="0080561C" w:rsidRDefault="0080561C"/>
        <w:p w14:paraId="687CCDFF" w14:textId="4675BE8A" w:rsidR="0080561C" w:rsidRDefault="006025AE">
          <w:r>
            <w:rPr>
              <w:noProof/>
            </w:rPr>
            <mc:AlternateContent>
              <mc:Choice Requires="wps">
                <w:drawing>
                  <wp:anchor distT="0" distB="0" distL="114300" distR="114300" simplePos="0" relativeHeight="251662336" behindDoc="0" locked="0" layoutInCell="1" allowOverlap="1" wp14:anchorId="09AAAE32" wp14:editId="656E1D5E">
                    <wp:simplePos x="0" y="0"/>
                    <wp:positionH relativeFrom="page">
                      <wp:posOffset>2846070</wp:posOffset>
                    </wp:positionH>
                    <wp:positionV relativeFrom="margin">
                      <wp:posOffset>6853555</wp:posOffset>
                    </wp:positionV>
                    <wp:extent cx="4239260" cy="2009140"/>
                    <wp:effectExtent l="0" t="0" r="0" b="10160"/>
                    <wp:wrapSquare wrapText="bothSides"/>
                    <wp:docPr id="128" name="Text Box 128"/>
                    <wp:cNvGraphicFramePr/>
                    <a:graphic xmlns:a="http://schemas.openxmlformats.org/drawingml/2006/main">
                      <a:graphicData uri="http://schemas.microsoft.com/office/word/2010/wordprocessingShape">
                        <wps:wsp>
                          <wps:cNvSpPr txBox="1"/>
                          <wps:spPr>
                            <a:xfrm>
                              <a:off x="0" y="0"/>
                              <a:ext cx="4239260" cy="2009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0B5CF" w14:textId="6B8982CD" w:rsidR="0080561C" w:rsidRDefault="006025AE">
                                <w:pPr>
                                  <w:pStyle w:val="NoSpacing"/>
                                  <w:rPr>
                                    <w:color w:val="7F7F7F" w:themeColor="text1" w:themeTint="80"/>
                                    <w:sz w:val="18"/>
                                    <w:szCs w:val="18"/>
                                  </w:rPr>
                                </w:pPr>
                                <w:r>
                                  <w:rPr>
                                    <w:noProof/>
                                    <w:color w:val="7F7F7F" w:themeColor="text1" w:themeTint="80"/>
                                    <w:sz w:val="18"/>
                                    <w:szCs w:val="18"/>
                                    <w14:ligatures w14:val="standardContextual"/>
                                  </w:rPr>
                                  <w:drawing>
                                    <wp:inline distT="0" distB="0" distL="0" distR="0" wp14:anchorId="156BEAF6" wp14:editId="1D85CF4C">
                                      <wp:extent cx="2560320" cy="1549975"/>
                                      <wp:effectExtent l="0" t="0" r="0" b="0"/>
                                      <wp:docPr id="28355181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551811" name="Picture 1"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27228" cy="1651018"/>
                                              </a:xfrm>
                                              <a:prstGeom prst="rect">
                                                <a:avLst/>
                                              </a:prstGeom>
                                            </pic:spPr>
                                          </pic:pic>
                                        </a:graphicData>
                                      </a:graphic>
                                    </wp:inline>
                                  </w:drawing>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AAAE32" id="_x0000_t202" coordsize="21600,21600" o:spt="202" path="m,l,21600r21600,l21600,xe">
                    <v:stroke joinstyle="miter"/>
                    <v:path gradientshapeok="t" o:connecttype="rect"/>
                  </v:shapetype>
                  <v:shape id="Text Box 128" o:spid="_x0000_s1026" type="#_x0000_t202" style="position:absolute;margin-left:224.1pt;margin-top:539.65pt;width:333.8pt;height:158.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" filled="f" stroked="f" strokeweight=".5pt">
                    <v:textbox inset="1in,0,86.4pt,0">
                      <w:txbxContent>
                        <w:p w14:paraId="3130B5CF" w14:textId="6B8982CD" w:rsidR="0080561C" w:rsidRDefault="006025AE">
                          <w:pPr>
                            <w:pStyle w:val="NoSpacing"/>
                            <w:rPr>
                              <w:color w:val="7F7F7F" w:themeColor="text1" w:themeTint="80"/>
                              <w:sz w:val="18"/>
                              <w:szCs w:val="18"/>
                            </w:rPr>
                          </w:pPr>
                          <w:r>
                            <w:rPr>
                              <w:noProof/>
                              <w:color w:val="7F7F7F" w:themeColor="text1" w:themeTint="80"/>
                              <w:sz w:val="18"/>
                              <w:szCs w:val="18"/>
                              <w14:ligatures w14:val="standardContextual"/>
                            </w:rPr>
                            <w:drawing>
                              <wp:inline distT="0" distB="0" distL="0" distR="0" wp14:anchorId="156BEAF6" wp14:editId="1D85CF4C">
                                <wp:extent cx="2560320" cy="1549975"/>
                                <wp:effectExtent l="0" t="0" r="0" b="0"/>
                                <wp:docPr id="28355181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551811" name="Picture 1"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27228" cy="1651018"/>
                                        </a:xfrm>
                                        <a:prstGeom prst="rect">
                                          <a:avLst/>
                                        </a:prstGeom>
                                      </pic:spPr>
                                    </pic:pic>
                                  </a:graphicData>
                                </a:graphic>
                              </wp:inline>
                            </w:drawing>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A00A9DB" wp14:editId="6B23C89A">
                    <wp:simplePos x="0" y="0"/>
                    <wp:positionH relativeFrom="page">
                      <wp:posOffset>471268</wp:posOffset>
                    </wp:positionH>
                    <wp:positionV relativeFrom="margin">
                      <wp:align>bottom</wp:align>
                    </wp:positionV>
                    <wp:extent cx="3172264" cy="1244990"/>
                    <wp:effectExtent l="0" t="0" r="0" b="12700"/>
                    <wp:wrapSquare wrapText="bothSides"/>
                    <wp:docPr id="129" name="Text Box 129"/>
                    <wp:cNvGraphicFramePr/>
                    <a:graphic xmlns:a="http://schemas.openxmlformats.org/drawingml/2006/main">
                      <a:graphicData uri="http://schemas.microsoft.com/office/word/2010/wordprocessingShape">
                        <wps:wsp>
                          <wps:cNvSpPr txBox="1"/>
                          <wps:spPr>
                            <a:xfrm>
                              <a:off x="0" y="0"/>
                              <a:ext cx="3172264" cy="1244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CADE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D6D4C01" w14:textId="67D78601" w:rsidR="0080561C" w:rsidRDefault="006025AE">
                                    <w:pPr>
                                      <w:pStyle w:val="NoSpacing"/>
                                      <w:spacing w:before="40" w:after="40"/>
                                      <w:rPr>
                                        <w:caps/>
                                        <w:color w:val="1CADE4" w:themeColor="accent1"/>
                                        <w:sz w:val="28"/>
                                        <w:szCs w:val="28"/>
                                      </w:rPr>
                                    </w:pPr>
                                    <w:r>
                                      <w:rPr>
                                        <w:caps/>
                                        <w:color w:val="1CADE4" w:themeColor="accent1"/>
                                        <w:sz w:val="28"/>
                                        <w:szCs w:val="28"/>
                                      </w:rPr>
                                      <w:t>Student:</w:t>
                                    </w:r>
                                  </w:p>
                                </w:sdtContent>
                              </w:sdt>
                              <w:sdt>
                                <w:sdtPr>
                                  <w:rPr>
                                    <w:i/>
                                    <w:iCs/>
                                    <w:caps/>
                                    <w:color w:val="0D5672" w:themeColor="accent1" w:themeShade="8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5098C3F" w14:textId="03262F47" w:rsidR="0080561C" w:rsidRPr="006025AE" w:rsidRDefault="0080561C">
                                    <w:pPr>
                                      <w:pStyle w:val="NoSpacing"/>
                                      <w:spacing w:before="40" w:after="40"/>
                                      <w:rPr>
                                        <w:i/>
                                        <w:iCs/>
                                        <w:caps/>
                                        <w:color w:val="0D5672" w:themeColor="accent1" w:themeShade="80"/>
                                        <w:sz w:val="24"/>
                                        <w:szCs w:val="24"/>
                                      </w:rPr>
                                    </w:pPr>
                                    <w:r w:rsidRPr="006025AE">
                                      <w:rPr>
                                        <w:i/>
                                        <w:iCs/>
                                        <w:caps/>
                                        <w:color w:val="0D5672" w:themeColor="accent1" w:themeShade="80"/>
                                        <w:sz w:val="24"/>
                                        <w:szCs w:val="24"/>
                                      </w:rPr>
                                      <w:t>Gabriela Malinova</w:t>
                                    </w:r>
                                    <w:r w:rsidR="006025AE" w:rsidRPr="006025AE">
                                      <w:rPr>
                                        <w:i/>
                                        <w:iCs/>
                                        <w:caps/>
                                        <w:color w:val="0D5672" w:themeColor="accent1" w:themeShade="80"/>
                                        <w:sz w:val="24"/>
                                        <w:szCs w:val="24"/>
                                      </w:rPr>
                                      <w:t xml:space="preserve"> (2210803)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0A9DB" id="Text Box 129" o:spid="_x0000_s1027" type="#_x0000_t202" style="position:absolute;margin-left:37.1pt;margin-top:0;width:249.8pt;height:98.05pt;z-index:251661312;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" filled="f" stroked="f" strokeweight=".5pt">
                    <v:textbox inset="1in,0,86.4pt,0">
                      <w:txbxContent>
                        <w:sdt>
                          <w:sdtPr>
                            <w:rPr>
                              <w:caps/>
                              <w:color w:val="1CADE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D6D4C01" w14:textId="67D78601" w:rsidR="0080561C" w:rsidRDefault="006025AE">
                              <w:pPr>
                                <w:pStyle w:val="NoSpacing"/>
                                <w:spacing w:before="40" w:after="40"/>
                                <w:rPr>
                                  <w:caps/>
                                  <w:color w:val="1CADE4" w:themeColor="accent1"/>
                                  <w:sz w:val="28"/>
                                  <w:szCs w:val="28"/>
                                </w:rPr>
                              </w:pPr>
                              <w:r>
                                <w:rPr>
                                  <w:caps/>
                                  <w:color w:val="1CADE4" w:themeColor="accent1"/>
                                  <w:sz w:val="28"/>
                                  <w:szCs w:val="28"/>
                                </w:rPr>
                                <w:t>Student:</w:t>
                              </w:r>
                            </w:p>
                          </w:sdtContent>
                        </w:sdt>
                        <w:sdt>
                          <w:sdtPr>
                            <w:rPr>
                              <w:i/>
                              <w:iCs/>
                              <w:caps/>
                              <w:color w:val="0D5672" w:themeColor="accent1" w:themeShade="8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5098C3F" w14:textId="03262F47" w:rsidR="0080561C" w:rsidRPr="006025AE" w:rsidRDefault="0080561C">
                              <w:pPr>
                                <w:pStyle w:val="NoSpacing"/>
                                <w:spacing w:before="40" w:after="40"/>
                                <w:rPr>
                                  <w:i/>
                                  <w:iCs/>
                                  <w:caps/>
                                  <w:color w:val="0D5672" w:themeColor="accent1" w:themeShade="80"/>
                                  <w:sz w:val="24"/>
                                  <w:szCs w:val="24"/>
                                </w:rPr>
                              </w:pPr>
                              <w:r w:rsidRPr="006025AE">
                                <w:rPr>
                                  <w:i/>
                                  <w:iCs/>
                                  <w:caps/>
                                  <w:color w:val="0D5672" w:themeColor="accent1" w:themeShade="80"/>
                                  <w:sz w:val="24"/>
                                  <w:szCs w:val="24"/>
                                </w:rPr>
                                <w:t>Gabriela Malinova</w:t>
                              </w:r>
                              <w:r w:rsidR="006025AE" w:rsidRPr="006025AE">
                                <w:rPr>
                                  <w:i/>
                                  <w:iCs/>
                                  <w:caps/>
                                  <w:color w:val="0D5672" w:themeColor="accent1" w:themeShade="80"/>
                                  <w:sz w:val="24"/>
                                  <w:szCs w:val="24"/>
                                </w:rPr>
                                <w:t xml:space="preserve"> (2210803)</w:t>
                              </w:r>
                            </w:p>
                          </w:sdtContent>
                        </w:sdt>
                      </w:txbxContent>
                    </v:textbox>
                    <w10:wrap type="square" anchorx="page" anchory="margin"/>
                  </v:shape>
                </w:pict>
              </mc:Fallback>
            </mc:AlternateContent>
          </w:r>
          <w:sdt>
            <w:sdtPr>
              <w:rPr>
                <w:b/>
                <w:bCs/>
                <w:color w:val="264356" w:themeColor="text2" w:themeShade="BF"/>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0561C" w:rsidRPr="006025AE">
                <w:rPr>
                  <w:b/>
                  <w:bCs/>
                  <w:color w:val="264356" w:themeColor="text2" w:themeShade="BF"/>
                  <w:sz w:val="72"/>
                  <w:szCs w:val="72"/>
                </w:rPr>
                <w:t>Assessment 1</w:t>
              </w:r>
            </w:sdtContent>
          </w:sdt>
          <w:r w:rsidR="0080561C" w:rsidRPr="006025AE">
            <w:rPr>
              <w:noProof/>
              <w:color w:val="264356" w:themeColor="text2" w:themeShade="BF"/>
            </w:rPr>
            <w:t xml:space="preserve"> </w:t>
          </w:r>
          <w:r w:rsidR="0080561C">
            <w:rPr>
              <w:noProof/>
            </w:rPr>
            <mc:AlternateContent>
              <mc:Choice Requires="wpg">
                <w:drawing>
                  <wp:anchor distT="0" distB="0" distL="114300" distR="114300" simplePos="0" relativeHeight="251659264" behindDoc="1" locked="0" layoutInCell="1" allowOverlap="1" wp14:anchorId="276DA86D" wp14:editId="6F78504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C42EF6" w14:textId="77777777" w:rsidR="0080561C" w:rsidRPr="006025AE" w:rsidRDefault="0080561C" w:rsidP="0080561C">
                                  <w:pPr>
                                    <w:rPr>
                                      <w:color w:val="9FC0D5" w:themeColor="text2" w:themeTint="66"/>
                                      <w:sz w:val="52"/>
                                      <w:szCs w:val="52"/>
                                    </w:rPr>
                                  </w:pPr>
                                  <w:r w:rsidRPr="0080561C">
                                    <w:rPr>
                                      <w:color w:val="9FC0D5" w:themeColor="text2" w:themeTint="66"/>
                                      <w:sz w:val="52"/>
                                      <w:szCs w:val="52"/>
                                    </w:rPr>
                                    <w:t xml:space="preserve">BA Business Management </w:t>
                                  </w:r>
                                  <w:r w:rsidRPr="006025AE">
                                    <w:rPr>
                                      <w:color w:val="9FC0D5" w:themeColor="text2" w:themeTint="66"/>
                                      <w:sz w:val="52"/>
                                      <w:szCs w:val="52"/>
                                      <w:lang w:val="bg-BG"/>
                                    </w:rPr>
                                    <w:t>(</w:t>
                                  </w:r>
                                  <w:r w:rsidRPr="006025AE">
                                    <w:rPr>
                                      <w:color w:val="9FC0D5" w:themeColor="text2" w:themeTint="66"/>
                                      <w:sz w:val="52"/>
                                      <w:szCs w:val="52"/>
                                    </w:rPr>
                                    <w:t>BABM)</w:t>
                                  </w:r>
                                </w:p>
                                <w:p w14:paraId="6B5C4FA3" w14:textId="62C0474E" w:rsidR="0080561C" w:rsidRPr="0080561C" w:rsidRDefault="0080561C" w:rsidP="0080561C">
                                  <w:pPr>
                                    <w:rPr>
                                      <w:color w:val="9FC0D5" w:themeColor="text2" w:themeTint="66"/>
                                      <w:sz w:val="52"/>
                                      <w:szCs w:val="52"/>
                                    </w:rPr>
                                  </w:pPr>
                                  <w:r w:rsidRPr="0080561C">
                                    <w:rPr>
                                      <w:color w:val="9FC0D5" w:themeColor="text2" w:themeTint="66"/>
                                      <w:sz w:val="52"/>
                                      <w:szCs w:val="52"/>
                                    </w:rPr>
                                    <w:t xml:space="preserve">Module: </w:t>
                                  </w:r>
                                  <w:r w:rsidRPr="006025AE">
                                    <w:rPr>
                                      <w:color w:val="9FC0D5" w:themeColor="text2" w:themeTint="66"/>
                                      <w:sz w:val="52"/>
                                      <w:szCs w:val="52"/>
                                    </w:rPr>
                                    <w:t>Project Management</w:t>
                                  </w:r>
                                </w:p>
                                <w:p w14:paraId="53026C0C" w14:textId="037E9294" w:rsidR="0080561C" w:rsidRPr="0080561C" w:rsidRDefault="0080561C" w:rsidP="0080561C">
                                  <w:pPr>
                                    <w:rPr>
                                      <w:color w:val="9FC0D5" w:themeColor="text2" w:themeTint="66"/>
                                      <w:sz w:val="52"/>
                                      <w:szCs w:val="52"/>
                                      <w:lang w:val="bg-BG"/>
                                    </w:rPr>
                                  </w:pPr>
                                  <w:r w:rsidRPr="0080561C">
                                    <w:rPr>
                                      <w:color w:val="9FC0D5" w:themeColor="text2" w:themeTint="66"/>
                                      <w:sz w:val="52"/>
                                      <w:szCs w:val="52"/>
                                    </w:rPr>
                                    <w:t>Module code: LCBB500</w:t>
                                  </w:r>
                                  <w:r w:rsidR="006025AE" w:rsidRPr="006025AE">
                                    <w:rPr>
                                      <w:color w:val="9FC0D5" w:themeColor="text2" w:themeTint="66"/>
                                      <w:sz w:val="52"/>
                                      <w:szCs w:val="52"/>
                                    </w:rPr>
                                    <w:t>5</w:t>
                                  </w:r>
                                </w:p>
                                <w:p w14:paraId="1EF7DDDB" w14:textId="496FAE74" w:rsidR="0080561C" w:rsidRPr="0080561C" w:rsidRDefault="0080561C" w:rsidP="0080561C">
                                  <w:pPr>
                                    <w:rPr>
                                      <w:color w:val="9FC0D5" w:themeColor="text2" w:themeTint="66"/>
                                      <w:sz w:val="52"/>
                                      <w:szCs w:val="52"/>
                                    </w:rPr>
                                  </w:pPr>
                                  <w:r w:rsidRPr="0080561C">
                                    <w:rPr>
                                      <w:color w:val="9FC0D5" w:themeColor="text2" w:themeTint="66"/>
                                      <w:sz w:val="52"/>
                                      <w:szCs w:val="52"/>
                                    </w:rPr>
                                    <w:t xml:space="preserve">Lecturer: </w:t>
                                  </w:r>
                                  <w:r w:rsidR="006025AE" w:rsidRPr="006025AE">
                                    <w:rPr>
                                      <w:color w:val="9FC0D5" w:themeColor="text2" w:themeTint="66"/>
                                      <w:sz w:val="52"/>
                                      <w:szCs w:val="52"/>
                                    </w:rPr>
                                    <w:t>Dr Molly Jack</w:t>
                                  </w:r>
                                </w:p>
                                <w:p w14:paraId="2606D7B4" w14:textId="77777777" w:rsidR="0080561C" w:rsidRPr="0080561C" w:rsidRDefault="0080561C" w:rsidP="0080561C">
                                  <w:pPr>
                                    <w:rPr>
                                      <w:color w:val="FFFFFF" w:themeColor="background1"/>
                                      <w:sz w:val="16"/>
                                      <w:szCs w:val="16"/>
                                    </w:rPr>
                                  </w:pPr>
                                </w:p>
                                <w:p w14:paraId="59B79C23" w14:textId="26E52513" w:rsidR="0080561C" w:rsidRPr="0080561C" w:rsidRDefault="0080561C" w:rsidP="0080561C">
                                  <w:pPr>
                                    <w:rPr>
                                      <w:color w:val="FFFFFF" w:themeColor="background1"/>
                                      <w:sz w:val="16"/>
                                      <w:szCs w:val="16"/>
                                      <w:lang w:val="bg-BG"/>
                                    </w:rPr>
                                  </w:pPr>
                                </w:p>
                                <w:p w14:paraId="5DC3B7BA" w14:textId="77777777" w:rsidR="0080561C" w:rsidRDefault="0080561C"/>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76DA86D" id="Group 126"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3a6784 [2994]" stroked="f">
                      <v:fill color2="#203848 [2018]" rotate="t" colors="0 #4f7491;.5 #37627f;1 #224a63"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1C42EF6" w14:textId="77777777" w:rsidR="0080561C" w:rsidRPr="006025AE" w:rsidRDefault="0080561C" w:rsidP="0080561C">
                            <w:pPr>
                              <w:rPr>
                                <w:color w:val="9FC0D5" w:themeColor="text2" w:themeTint="66"/>
                                <w:sz w:val="52"/>
                                <w:szCs w:val="52"/>
                              </w:rPr>
                            </w:pPr>
                            <w:r w:rsidRPr="0080561C">
                              <w:rPr>
                                <w:color w:val="9FC0D5" w:themeColor="text2" w:themeTint="66"/>
                                <w:sz w:val="52"/>
                                <w:szCs w:val="52"/>
                              </w:rPr>
                              <w:t xml:space="preserve">BA Business Management </w:t>
                            </w:r>
                            <w:r w:rsidRPr="006025AE">
                              <w:rPr>
                                <w:color w:val="9FC0D5" w:themeColor="text2" w:themeTint="66"/>
                                <w:sz w:val="52"/>
                                <w:szCs w:val="52"/>
                                <w:lang w:val="bg-BG"/>
                              </w:rPr>
                              <w:t>(</w:t>
                            </w:r>
                            <w:r w:rsidRPr="006025AE">
                              <w:rPr>
                                <w:color w:val="9FC0D5" w:themeColor="text2" w:themeTint="66"/>
                                <w:sz w:val="52"/>
                                <w:szCs w:val="52"/>
                              </w:rPr>
                              <w:t>BABM)</w:t>
                            </w:r>
                          </w:p>
                          <w:p w14:paraId="6B5C4FA3" w14:textId="62C0474E" w:rsidR="0080561C" w:rsidRPr="0080561C" w:rsidRDefault="0080561C" w:rsidP="0080561C">
                            <w:pPr>
                              <w:rPr>
                                <w:color w:val="9FC0D5" w:themeColor="text2" w:themeTint="66"/>
                                <w:sz w:val="52"/>
                                <w:szCs w:val="52"/>
                              </w:rPr>
                            </w:pPr>
                            <w:r w:rsidRPr="0080561C">
                              <w:rPr>
                                <w:color w:val="9FC0D5" w:themeColor="text2" w:themeTint="66"/>
                                <w:sz w:val="52"/>
                                <w:szCs w:val="52"/>
                              </w:rPr>
                              <w:t xml:space="preserve">Module: </w:t>
                            </w:r>
                            <w:r w:rsidRPr="006025AE">
                              <w:rPr>
                                <w:color w:val="9FC0D5" w:themeColor="text2" w:themeTint="66"/>
                                <w:sz w:val="52"/>
                                <w:szCs w:val="52"/>
                              </w:rPr>
                              <w:t>Project Management</w:t>
                            </w:r>
                          </w:p>
                          <w:p w14:paraId="53026C0C" w14:textId="037E9294" w:rsidR="0080561C" w:rsidRPr="0080561C" w:rsidRDefault="0080561C" w:rsidP="0080561C">
                            <w:pPr>
                              <w:rPr>
                                <w:color w:val="9FC0D5" w:themeColor="text2" w:themeTint="66"/>
                                <w:sz w:val="52"/>
                                <w:szCs w:val="52"/>
                                <w:lang w:val="bg-BG"/>
                              </w:rPr>
                            </w:pPr>
                            <w:r w:rsidRPr="0080561C">
                              <w:rPr>
                                <w:color w:val="9FC0D5" w:themeColor="text2" w:themeTint="66"/>
                                <w:sz w:val="52"/>
                                <w:szCs w:val="52"/>
                              </w:rPr>
                              <w:t>Module code: LCBB500</w:t>
                            </w:r>
                            <w:r w:rsidR="006025AE" w:rsidRPr="006025AE">
                              <w:rPr>
                                <w:color w:val="9FC0D5" w:themeColor="text2" w:themeTint="66"/>
                                <w:sz w:val="52"/>
                                <w:szCs w:val="52"/>
                              </w:rPr>
                              <w:t>5</w:t>
                            </w:r>
                          </w:p>
                          <w:p w14:paraId="1EF7DDDB" w14:textId="496FAE74" w:rsidR="0080561C" w:rsidRPr="0080561C" w:rsidRDefault="0080561C" w:rsidP="0080561C">
                            <w:pPr>
                              <w:rPr>
                                <w:color w:val="9FC0D5" w:themeColor="text2" w:themeTint="66"/>
                                <w:sz w:val="52"/>
                                <w:szCs w:val="52"/>
                              </w:rPr>
                            </w:pPr>
                            <w:r w:rsidRPr="0080561C">
                              <w:rPr>
                                <w:color w:val="9FC0D5" w:themeColor="text2" w:themeTint="66"/>
                                <w:sz w:val="52"/>
                                <w:szCs w:val="52"/>
                              </w:rPr>
                              <w:t xml:space="preserve">Lecturer: </w:t>
                            </w:r>
                            <w:r w:rsidR="006025AE" w:rsidRPr="006025AE">
                              <w:rPr>
                                <w:color w:val="9FC0D5" w:themeColor="text2" w:themeTint="66"/>
                                <w:sz w:val="52"/>
                                <w:szCs w:val="52"/>
                              </w:rPr>
                              <w:t>Dr Molly Jack</w:t>
                            </w:r>
                          </w:p>
                          <w:p w14:paraId="2606D7B4" w14:textId="77777777" w:rsidR="0080561C" w:rsidRPr="0080561C" w:rsidRDefault="0080561C" w:rsidP="0080561C">
                            <w:pPr>
                              <w:rPr>
                                <w:color w:val="FFFFFF" w:themeColor="background1"/>
                                <w:sz w:val="16"/>
                                <w:szCs w:val="16"/>
                              </w:rPr>
                            </w:pPr>
                          </w:p>
                          <w:p w14:paraId="59B79C23" w14:textId="26E52513" w:rsidR="0080561C" w:rsidRPr="0080561C" w:rsidRDefault="0080561C" w:rsidP="0080561C">
                            <w:pPr>
                              <w:rPr>
                                <w:color w:val="FFFFFF" w:themeColor="background1"/>
                                <w:sz w:val="16"/>
                                <w:szCs w:val="16"/>
                                <w:lang w:val="bg-BG"/>
                              </w:rPr>
                            </w:pPr>
                          </w:p>
                          <w:p w14:paraId="5DC3B7BA" w14:textId="77777777" w:rsidR="0080561C" w:rsidRDefault="0080561C"/>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80561C">
            <w:br w:type="page"/>
          </w:r>
        </w:p>
      </w:sdtContent>
    </w:sdt>
    <w:sdt>
      <w:sdtPr>
        <w:rPr>
          <w:rFonts w:ascii="Arial" w:eastAsiaTheme="minorHAnsi" w:hAnsi="Arial" w:cs="Arial"/>
          <w:color w:val="auto"/>
          <w:kern w:val="2"/>
          <w:sz w:val="22"/>
          <w:szCs w:val="22"/>
          <w:lang w:eastAsia="en-US"/>
          <w14:ligatures w14:val="standardContextual"/>
        </w:rPr>
        <w:id w:val="-197402511"/>
        <w:docPartObj>
          <w:docPartGallery w:val="Table of Contents"/>
          <w:docPartUnique/>
        </w:docPartObj>
      </w:sdtPr>
      <w:sdtEndPr>
        <w:rPr>
          <w:b/>
          <w:bCs/>
        </w:rPr>
      </w:sdtEndPr>
      <w:sdtContent>
        <w:p w14:paraId="415B76BE" w14:textId="46E92ADC" w:rsidR="00C87CE1" w:rsidRPr="003F31BB" w:rsidRDefault="00C87CE1">
          <w:pPr>
            <w:pStyle w:val="TOCHeading"/>
            <w:rPr>
              <w:rFonts w:ascii="Arial" w:hAnsi="Arial" w:cs="Arial"/>
            </w:rPr>
          </w:pPr>
          <w:r w:rsidRPr="003F31BB">
            <w:rPr>
              <w:rFonts w:ascii="Arial" w:hAnsi="Arial" w:cs="Arial"/>
            </w:rPr>
            <w:t>Table of Contents</w:t>
          </w:r>
        </w:p>
        <w:p w14:paraId="07AC5F69" w14:textId="5125A9CE" w:rsidR="00EA712A" w:rsidRPr="003F31BB" w:rsidRDefault="00C87CE1">
          <w:pPr>
            <w:pStyle w:val="TOC1"/>
            <w:tabs>
              <w:tab w:val="right" w:leader="dot" w:pos="9016"/>
            </w:tabs>
            <w:rPr>
              <w:rFonts w:ascii="Arial" w:eastAsiaTheme="minorEastAsia" w:hAnsi="Arial" w:cs="Arial"/>
              <w:noProof/>
              <w:sz w:val="24"/>
              <w:szCs w:val="24"/>
              <w:lang w:eastAsia="en-GB"/>
            </w:rPr>
          </w:pPr>
          <w:r w:rsidRPr="003F31BB">
            <w:rPr>
              <w:rFonts w:ascii="Arial" w:hAnsi="Arial" w:cs="Arial"/>
            </w:rPr>
            <w:fldChar w:fldCharType="begin"/>
          </w:r>
          <w:r w:rsidRPr="003F31BB">
            <w:rPr>
              <w:rFonts w:ascii="Arial" w:hAnsi="Arial" w:cs="Arial"/>
            </w:rPr>
            <w:instrText xml:space="preserve"> TOC \o "1-3" \h \z \u </w:instrText>
          </w:r>
          <w:r w:rsidRPr="003F31BB">
            <w:rPr>
              <w:rFonts w:ascii="Arial" w:hAnsi="Arial" w:cs="Arial"/>
            </w:rPr>
            <w:fldChar w:fldCharType="separate"/>
          </w:r>
          <w:hyperlink w:anchor="_Toc173655729" w:history="1">
            <w:r w:rsidR="00EA712A" w:rsidRPr="003F31BB">
              <w:rPr>
                <w:rStyle w:val="Hyperlink"/>
                <w:rFonts w:ascii="Arial" w:hAnsi="Arial" w:cs="Arial"/>
                <w:noProof/>
              </w:rPr>
              <w:t>Google Headquarters Project in London, UK</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_Toc173655729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2</w:t>
            </w:r>
            <w:r w:rsidR="00EA712A" w:rsidRPr="003F31BB">
              <w:rPr>
                <w:rFonts w:ascii="Arial" w:hAnsi="Arial" w:cs="Arial"/>
                <w:noProof/>
                <w:webHidden/>
              </w:rPr>
              <w:fldChar w:fldCharType="end"/>
            </w:r>
          </w:hyperlink>
        </w:p>
        <w:p w14:paraId="7AD50546" w14:textId="6589CA93" w:rsidR="00EA712A" w:rsidRPr="003F31BB" w:rsidRDefault="00000000">
          <w:pPr>
            <w:pStyle w:val="TOC1"/>
            <w:tabs>
              <w:tab w:val="right" w:leader="dot" w:pos="9016"/>
            </w:tabs>
            <w:rPr>
              <w:rFonts w:ascii="Arial" w:eastAsiaTheme="minorEastAsia" w:hAnsi="Arial" w:cs="Arial"/>
              <w:noProof/>
              <w:sz w:val="24"/>
              <w:szCs w:val="24"/>
              <w:lang w:eastAsia="en-GB"/>
            </w:rPr>
          </w:pPr>
          <w:hyperlink w:anchor="_Toc173655730" w:history="1">
            <w:r w:rsidR="00EA712A" w:rsidRPr="003F31BB">
              <w:rPr>
                <w:rStyle w:val="Hyperlink"/>
                <w:rFonts w:ascii="Arial" w:hAnsi="Arial" w:cs="Arial"/>
                <w:noProof/>
              </w:rPr>
              <w:t>Critical Evaluation and Synthesis of Core Elements</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_Toc173655730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2</w:t>
            </w:r>
            <w:r w:rsidR="00EA712A" w:rsidRPr="003F31BB">
              <w:rPr>
                <w:rFonts w:ascii="Arial" w:hAnsi="Arial" w:cs="Arial"/>
                <w:noProof/>
                <w:webHidden/>
              </w:rPr>
              <w:fldChar w:fldCharType="end"/>
            </w:r>
          </w:hyperlink>
        </w:p>
        <w:p w14:paraId="59384F3B" w14:textId="0945A8FB"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1" w:history="1">
            <w:r w:rsidR="00EA712A" w:rsidRPr="003F31BB">
              <w:rPr>
                <w:rStyle w:val="Hyperlink"/>
                <w:rFonts w:ascii="Arial" w:hAnsi="Arial" w:cs="Arial"/>
                <w:noProof/>
              </w:rPr>
              <w:t>Scope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_Toc173655731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2</w:t>
            </w:r>
            <w:r w:rsidR="00EA712A" w:rsidRPr="003F31BB">
              <w:rPr>
                <w:rFonts w:ascii="Arial" w:hAnsi="Arial" w:cs="Arial"/>
                <w:noProof/>
                <w:webHidden/>
              </w:rPr>
              <w:fldChar w:fldCharType="end"/>
            </w:r>
          </w:hyperlink>
        </w:p>
        <w:p w14:paraId="60446D90" w14:textId="376814FC"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2" w:history="1">
            <w:r w:rsidR="00EA712A" w:rsidRPr="003F31BB">
              <w:rPr>
                <w:rStyle w:val="Hyperlink"/>
                <w:rFonts w:ascii="Arial" w:hAnsi="Arial" w:cs="Arial"/>
                <w:noProof/>
              </w:rPr>
              <w:t>Time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_Toc173655732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3</w:t>
            </w:r>
            <w:r w:rsidR="00EA712A" w:rsidRPr="003F31BB">
              <w:rPr>
                <w:rFonts w:ascii="Arial" w:hAnsi="Arial" w:cs="Arial"/>
                <w:noProof/>
                <w:webHidden/>
              </w:rPr>
              <w:fldChar w:fldCharType="end"/>
            </w:r>
          </w:hyperlink>
        </w:p>
        <w:p w14:paraId="3C2C1311" w14:textId="3DBDECD6"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3" w:history="1">
            <w:r w:rsidR="00EA712A" w:rsidRPr="003F31BB">
              <w:rPr>
                <w:rStyle w:val="Hyperlink"/>
                <w:rFonts w:ascii="Arial" w:hAnsi="Arial" w:cs="Arial"/>
                <w:noProof/>
              </w:rPr>
              <w:t>Cost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_Toc173655733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3</w:t>
            </w:r>
            <w:r w:rsidR="00EA712A" w:rsidRPr="003F31BB">
              <w:rPr>
                <w:rFonts w:ascii="Arial" w:hAnsi="Arial" w:cs="Arial"/>
                <w:noProof/>
                <w:webHidden/>
              </w:rPr>
              <w:fldChar w:fldCharType="end"/>
            </w:r>
          </w:hyperlink>
        </w:p>
        <w:p w14:paraId="01E44048" w14:textId="3DF28720"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4" w:history="1">
            <w:r w:rsidR="00EA712A" w:rsidRPr="003F31BB">
              <w:rPr>
                <w:rStyle w:val="Hyperlink"/>
                <w:rFonts w:ascii="Arial" w:hAnsi="Arial" w:cs="Arial"/>
                <w:noProof/>
              </w:rPr>
              <w:t>Quality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_Toc173655734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4</w:t>
            </w:r>
            <w:r w:rsidR="00EA712A" w:rsidRPr="003F31BB">
              <w:rPr>
                <w:rFonts w:ascii="Arial" w:hAnsi="Arial" w:cs="Arial"/>
                <w:noProof/>
                <w:webHidden/>
              </w:rPr>
              <w:fldChar w:fldCharType="end"/>
            </w:r>
          </w:hyperlink>
        </w:p>
        <w:p w14:paraId="2C82BA1D" w14:textId="49609A95"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5" w:history="1">
            <w:r w:rsidR="00EA712A" w:rsidRPr="003F31BB">
              <w:rPr>
                <w:rStyle w:val="Hyperlink"/>
                <w:rFonts w:ascii="Arial" w:hAnsi="Arial" w:cs="Arial"/>
                <w:noProof/>
              </w:rPr>
              <w:t>Human Resource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_Toc173655735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4</w:t>
            </w:r>
            <w:r w:rsidR="00EA712A" w:rsidRPr="003F31BB">
              <w:rPr>
                <w:rFonts w:ascii="Arial" w:hAnsi="Arial" w:cs="Arial"/>
                <w:noProof/>
                <w:webHidden/>
              </w:rPr>
              <w:fldChar w:fldCharType="end"/>
            </w:r>
          </w:hyperlink>
        </w:p>
        <w:p w14:paraId="2E2AA79B" w14:textId="0C9FD5D9"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6" w:history="1">
            <w:r w:rsidR="00EA712A" w:rsidRPr="003F31BB">
              <w:rPr>
                <w:rStyle w:val="Hyperlink"/>
                <w:rFonts w:ascii="Arial" w:hAnsi="Arial" w:cs="Arial"/>
                <w:noProof/>
              </w:rPr>
              <w:t>Communication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_Toc173655736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4</w:t>
            </w:r>
            <w:r w:rsidR="00EA712A" w:rsidRPr="003F31BB">
              <w:rPr>
                <w:rFonts w:ascii="Arial" w:hAnsi="Arial" w:cs="Arial"/>
                <w:noProof/>
                <w:webHidden/>
              </w:rPr>
              <w:fldChar w:fldCharType="end"/>
            </w:r>
          </w:hyperlink>
        </w:p>
        <w:p w14:paraId="356CB136" w14:textId="52C39630"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7" w:history="1">
            <w:r w:rsidR="00EA712A" w:rsidRPr="003F31BB">
              <w:rPr>
                <w:rStyle w:val="Hyperlink"/>
                <w:rFonts w:ascii="Arial" w:hAnsi="Arial" w:cs="Arial"/>
                <w:noProof/>
              </w:rPr>
              <w:t>Stakeholders</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_Toc173655737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5</w:t>
            </w:r>
            <w:r w:rsidR="00EA712A" w:rsidRPr="003F31BB">
              <w:rPr>
                <w:rFonts w:ascii="Arial" w:hAnsi="Arial" w:cs="Arial"/>
                <w:noProof/>
                <w:webHidden/>
              </w:rPr>
              <w:fldChar w:fldCharType="end"/>
            </w:r>
          </w:hyperlink>
        </w:p>
        <w:p w14:paraId="25D73E88" w14:textId="1F1B3F6D"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8" w:history="1">
            <w:r w:rsidR="00EA712A" w:rsidRPr="003F31BB">
              <w:rPr>
                <w:rStyle w:val="Hyperlink"/>
                <w:rFonts w:ascii="Arial" w:hAnsi="Arial" w:cs="Arial"/>
                <w:noProof/>
              </w:rPr>
              <w:t>Risk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_Toc173655738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5</w:t>
            </w:r>
            <w:r w:rsidR="00EA712A" w:rsidRPr="003F31BB">
              <w:rPr>
                <w:rFonts w:ascii="Arial" w:hAnsi="Arial" w:cs="Arial"/>
                <w:noProof/>
                <w:webHidden/>
              </w:rPr>
              <w:fldChar w:fldCharType="end"/>
            </w:r>
          </w:hyperlink>
        </w:p>
        <w:p w14:paraId="4D86C00C" w14:textId="14F483E2"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39" w:history="1">
            <w:r w:rsidR="00EA712A" w:rsidRPr="003F31BB">
              <w:rPr>
                <w:rStyle w:val="Hyperlink"/>
                <w:rFonts w:ascii="Arial" w:hAnsi="Arial" w:cs="Arial"/>
                <w:noProof/>
              </w:rPr>
              <w:t>Procurement Management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_Toc173655739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5</w:t>
            </w:r>
            <w:r w:rsidR="00EA712A" w:rsidRPr="003F31BB">
              <w:rPr>
                <w:rFonts w:ascii="Arial" w:hAnsi="Arial" w:cs="Arial"/>
                <w:noProof/>
                <w:webHidden/>
              </w:rPr>
              <w:fldChar w:fldCharType="end"/>
            </w:r>
          </w:hyperlink>
        </w:p>
        <w:p w14:paraId="458261A1" w14:textId="21726862" w:rsidR="00EA712A" w:rsidRPr="003F31BB" w:rsidRDefault="00000000">
          <w:pPr>
            <w:pStyle w:val="TOC2"/>
            <w:tabs>
              <w:tab w:val="right" w:leader="dot" w:pos="9016"/>
            </w:tabs>
            <w:rPr>
              <w:rFonts w:ascii="Arial" w:eastAsiaTheme="minorEastAsia" w:hAnsi="Arial" w:cs="Arial"/>
              <w:noProof/>
              <w:sz w:val="24"/>
              <w:szCs w:val="24"/>
              <w:lang w:eastAsia="en-GB"/>
            </w:rPr>
          </w:pPr>
          <w:hyperlink w:anchor="_Toc173655740" w:history="1">
            <w:r w:rsidR="00EA712A" w:rsidRPr="003F31BB">
              <w:rPr>
                <w:rStyle w:val="Hyperlink"/>
                <w:rFonts w:ascii="Arial" w:hAnsi="Arial" w:cs="Arial"/>
                <w:noProof/>
              </w:rPr>
              <w:t>Integration of Project Components</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_Toc173655740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6</w:t>
            </w:r>
            <w:r w:rsidR="00EA712A" w:rsidRPr="003F31BB">
              <w:rPr>
                <w:rFonts w:ascii="Arial" w:hAnsi="Arial" w:cs="Arial"/>
                <w:noProof/>
                <w:webHidden/>
              </w:rPr>
              <w:fldChar w:fldCharType="end"/>
            </w:r>
          </w:hyperlink>
        </w:p>
        <w:p w14:paraId="35E82C17" w14:textId="6298E705" w:rsidR="00EA712A" w:rsidRPr="003F31BB" w:rsidRDefault="00000000">
          <w:pPr>
            <w:pStyle w:val="TOC1"/>
            <w:tabs>
              <w:tab w:val="right" w:leader="dot" w:pos="9016"/>
            </w:tabs>
            <w:rPr>
              <w:rFonts w:ascii="Arial" w:eastAsiaTheme="minorEastAsia" w:hAnsi="Arial" w:cs="Arial"/>
              <w:noProof/>
              <w:sz w:val="24"/>
              <w:szCs w:val="24"/>
              <w:lang w:eastAsia="en-GB"/>
            </w:rPr>
          </w:pPr>
          <w:hyperlink w:anchor="_Toc173655741" w:history="1">
            <w:r w:rsidR="00EA712A" w:rsidRPr="003F31BB">
              <w:rPr>
                <w:rStyle w:val="Hyperlink"/>
                <w:rFonts w:ascii="Arial" w:hAnsi="Arial" w:cs="Arial"/>
                <w:noProof/>
              </w:rPr>
              <w:t>Conclusion and Recommendations</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_Toc173655741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7</w:t>
            </w:r>
            <w:r w:rsidR="00EA712A" w:rsidRPr="003F31BB">
              <w:rPr>
                <w:rFonts w:ascii="Arial" w:hAnsi="Arial" w:cs="Arial"/>
                <w:noProof/>
                <w:webHidden/>
              </w:rPr>
              <w:fldChar w:fldCharType="end"/>
            </w:r>
          </w:hyperlink>
        </w:p>
        <w:p w14:paraId="26F03697" w14:textId="69D6A8EE" w:rsidR="00EA712A" w:rsidRPr="003F31BB" w:rsidRDefault="00000000">
          <w:pPr>
            <w:pStyle w:val="TOC1"/>
            <w:tabs>
              <w:tab w:val="right" w:leader="dot" w:pos="9016"/>
            </w:tabs>
            <w:rPr>
              <w:rFonts w:ascii="Arial" w:eastAsiaTheme="minorEastAsia" w:hAnsi="Arial" w:cs="Arial"/>
              <w:noProof/>
              <w:sz w:val="24"/>
              <w:szCs w:val="24"/>
              <w:lang w:eastAsia="en-GB"/>
            </w:rPr>
          </w:pPr>
          <w:hyperlink w:anchor="_Toc173655742" w:history="1">
            <w:r w:rsidR="00EA712A" w:rsidRPr="003F31BB">
              <w:rPr>
                <w:rStyle w:val="Hyperlink"/>
                <w:rFonts w:ascii="Arial" w:hAnsi="Arial" w:cs="Arial"/>
                <w:noProof/>
              </w:rPr>
              <w:t>Reference List</w:t>
            </w:r>
            <w:r w:rsidR="00EA712A" w:rsidRPr="003F31BB">
              <w:rPr>
                <w:rFonts w:ascii="Arial" w:hAnsi="Arial" w:cs="Arial"/>
                <w:noProof/>
                <w:webHidden/>
              </w:rPr>
              <w:tab/>
            </w:r>
            <w:r w:rsidR="00EA712A" w:rsidRPr="003F31BB">
              <w:rPr>
                <w:rFonts w:ascii="Arial" w:hAnsi="Arial" w:cs="Arial"/>
                <w:noProof/>
                <w:webHidden/>
              </w:rPr>
              <w:fldChar w:fldCharType="begin"/>
            </w:r>
            <w:r w:rsidR="00EA712A" w:rsidRPr="003F31BB">
              <w:rPr>
                <w:rFonts w:ascii="Arial" w:hAnsi="Arial" w:cs="Arial"/>
                <w:noProof/>
                <w:webHidden/>
              </w:rPr>
              <w:instrText xml:space="preserve"> PAGEREF _Toc173655742 \h </w:instrText>
            </w:r>
            <w:r w:rsidR="00EA712A" w:rsidRPr="003F31BB">
              <w:rPr>
                <w:rFonts w:ascii="Arial" w:hAnsi="Arial" w:cs="Arial"/>
                <w:noProof/>
                <w:webHidden/>
              </w:rPr>
            </w:r>
            <w:r w:rsidR="00EA712A" w:rsidRPr="003F31BB">
              <w:rPr>
                <w:rFonts w:ascii="Arial" w:hAnsi="Arial" w:cs="Arial"/>
                <w:noProof/>
                <w:webHidden/>
              </w:rPr>
              <w:fldChar w:fldCharType="separate"/>
            </w:r>
            <w:r w:rsidR="00EA712A" w:rsidRPr="003F31BB">
              <w:rPr>
                <w:rFonts w:ascii="Arial" w:hAnsi="Arial" w:cs="Arial"/>
                <w:noProof/>
                <w:webHidden/>
              </w:rPr>
              <w:t>8</w:t>
            </w:r>
            <w:r w:rsidR="00EA712A" w:rsidRPr="003F31BB">
              <w:rPr>
                <w:rFonts w:ascii="Arial" w:hAnsi="Arial" w:cs="Arial"/>
                <w:noProof/>
                <w:webHidden/>
              </w:rPr>
              <w:fldChar w:fldCharType="end"/>
            </w:r>
          </w:hyperlink>
        </w:p>
        <w:p w14:paraId="6CE734D5" w14:textId="686AF63A" w:rsidR="00C87CE1" w:rsidRPr="003F31BB" w:rsidRDefault="00C87CE1">
          <w:pPr>
            <w:rPr>
              <w:rFonts w:ascii="Arial" w:hAnsi="Arial" w:cs="Arial"/>
            </w:rPr>
          </w:pPr>
          <w:r w:rsidRPr="003F31BB">
            <w:rPr>
              <w:rFonts w:ascii="Arial" w:hAnsi="Arial" w:cs="Arial"/>
              <w:b/>
              <w:bCs/>
            </w:rPr>
            <w:fldChar w:fldCharType="end"/>
          </w:r>
        </w:p>
      </w:sdtContent>
    </w:sdt>
    <w:p w14:paraId="42B37717" w14:textId="04819DD6" w:rsidR="00C87CE1" w:rsidRPr="003F31BB" w:rsidRDefault="00C87CE1">
      <w:pPr>
        <w:rPr>
          <w:rFonts w:ascii="Arial" w:hAnsi="Arial" w:cs="Arial"/>
        </w:rPr>
      </w:pPr>
      <w:r w:rsidRPr="003F31BB">
        <w:rPr>
          <w:rFonts w:ascii="Arial" w:hAnsi="Arial" w:cs="Arial"/>
        </w:rPr>
        <w:br w:type="page"/>
      </w:r>
    </w:p>
    <w:p w14:paraId="7B895FEE" w14:textId="77777777" w:rsidR="00C87CE1" w:rsidRPr="003F31BB" w:rsidRDefault="00C87CE1" w:rsidP="00EA712A">
      <w:pPr>
        <w:pStyle w:val="Heading1"/>
        <w:rPr>
          <w:rFonts w:ascii="Arial" w:hAnsi="Arial" w:cs="Arial"/>
        </w:rPr>
      </w:pPr>
      <w:bookmarkStart w:id="0" w:name="_Toc173573419"/>
      <w:bookmarkStart w:id="1" w:name="_Toc173655729"/>
      <w:r w:rsidRPr="003F31BB">
        <w:rPr>
          <w:rFonts w:ascii="Arial" w:hAnsi="Arial" w:cs="Arial"/>
        </w:rPr>
        <w:lastRenderedPageBreak/>
        <w:t>Google Headquarters Project in London, UK</w:t>
      </w:r>
      <w:bookmarkEnd w:id="0"/>
      <w:bookmarkEnd w:id="1"/>
    </w:p>
    <w:p w14:paraId="60321BAE"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 xml:space="preserve">Google plans to commission its one-billion-pound project to develop new premises in King's Cross, London, by next year. It covers a significant plot of land adjacent to the King's Cross station. It boasts over 60,400 sqm of premium office space with the capacity of up to 4,500 workers, as well as the 11-story circle that has included the ground floor retail, events, and training </w:t>
      </w:r>
      <w:proofErr w:type="spellStart"/>
      <w:r w:rsidRPr="003F31BB">
        <w:rPr>
          <w:rFonts w:ascii="Arial" w:hAnsi="Arial" w:cs="Arial"/>
        </w:rPr>
        <w:t>centers</w:t>
      </w:r>
      <w:proofErr w:type="spellEnd"/>
      <w:r w:rsidRPr="003F31BB">
        <w:rPr>
          <w:rFonts w:ascii="Arial" w:hAnsi="Arial" w:cs="Arial"/>
        </w:rPr>
        <w:t xml:space="preserve"> (</w:t>
      </w:r>
      <w:proofErr w:type="spellStart"/>
      <w:r w:rsidRPr="003F31BB">
        <w:rPr>
          <w:rFonts w:ascii="Arial" w:hAnsi="Arial" w:cs="Arial"/>
        </w:rPr>
        <w:t>Gillespies</w:t>
      </w:r>
      <w:proofErr w:type="spellEnd"/>
      <w:r w:rsidRPr="003F31BB">
        <w:rPr>
          <w:rFonts w:ascii="Arial" w:hAnsi="Arial" w:cs="Arial"/>
        </w:rPr>
        <w:t>, 2023). The new headquarters is the first to be owned entirely by Google, and it will comprise sophisticated facilities such as a gymnasium, MUGA, pool, and other elegant terraces.</w:t>
      </w:r>
    </w:p>
    <w:p w14:paraId="7D5CC38A"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This ambitious project to build new facilities for the university to engage with the proposed Knowledge Quarter and King's Cross knowledge-intensive economy is thus designed with a contemporary green aesthetic. The headquarters will connect with existing building six at Pancras Square, and the third one will accommodate up to 7,000 employees, forming the Google campus (</w:t>
      </w:r>
      <w:proofErr w:type="spellStart"/>
      <w:r w:rsidRPr="003F31BB">
        <w:rPr>
          <w:rFonts w:ascii="Arial" w:hAnsi="Arial" w:cs="Arial"/>
        </w:rPr>
        <w:t>Gillespies</w:t>
      </w:r>
      <w:proofErr w:type="spellEnd"/>
      <w:r w:rsidRPr="003F31BB">
        <w:rPr>
          <w:rFonts w:ascii="Arial" w:hAnsi="Arial" w:cs="Arial"/>
        </w:rPr>
        <w:t xml:space="preserve">, 2023). This paper critically evaluates the projects from the lens of the scope, time, cost, quality, human resources, communication, risk and procurement management and the stakeholders of the project while paying attention to effective project management theories followed with recommendations for the streamlined execution to achieve the set goal and outlook of the new headquarters. </w:t>
      </w:r>
    </w:p>
    <w:p w14:paraId="6AC68376" w14:textId="77777777" w:rsidR="00C87CE1" w:rsidRPr="003F31BB" w:rsidRDefault="00C87CE1" w:rsidP="00EA712A">
      <w:pPr>
        <w:pStyle w:val="Heading1"/>
        <w:rPr>
          <w:rFonts w:ascii="Arial" w:hAnsi="Arial" w:cs="Arial"/>
        </w:rPr>
      </w:pPr>
      <w:bookmarkStart w:id="2" w:name="_Toc173573420"/>
      <w:bookmarkStart w:id="3" w:name="_Toc173655730"/>
      <w:r w:rsidRPr="003F31BB">
        <w:rPr>
          <w:rFonts w:ascii="Arial" w:hAnsi="Arial" w:cs="Arial"/>
        </w:rPr>
        <w:t>Critical Evaluation and Synthesis of Core Elements</w:t>
      </w:r>
      <w:bookmarkEnd w:id="2"/>
      <w:bookmarkEnd w:id="3"/>
    </w:p>
    <w:p w14:paraId="5CAE294C" w14:textId="77777777" w:rsidR="00C87CE1" w:rsidRPr="003F31BB" w:rsidRDefault="00C87CE1" w:rsidP="00EA712A">
      <w:pPr>
        <w:pStyle w:val="Heading2"/>
        <w:rPr>
          <w:rFonts w:ascii="Arial" w:hAnsi="Arial" w:cs="Arial"/>
        </w:rPr>
      </w:pPr>
      <w:bookmarkStart w:id="4" w:name="_Toc173573421"/>
      <w:bookmarkStart w:id="5" w:name="_Toc173655731"/>
      <w:r w:rsidRPr="003F31BB">
        <w:rPr>
          <w:rFonts w:ascii="Arial" w:hAnsi="Arial" w:cs="Arial"/>
        </w:rPr>
        <w:t>Scope Management</w:t>
      </w:r>
      <w:bookmarkEnd w:id="4"/>
      <w:bookmarkEnd w:id="5"/>
    </w:p>
    <w:p w14:paraId="207323F3"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Google Headquarters Project in London is a large-scale project with clear project boundaries. It involves constructing 60,400 office space, interconnection with other buildings and has a potential human resource capacity of up to 7000 people (</w:t>
      </w:r>
      <w:proofErr w:type="spellStart"/>
      <w:r w:rsidRPr="003F31BB">
        <w:rPr>
          <w:rFonts w:ascii="Arial" w:hAnsi="Arial" w:cs="Arial"/>
        </w:rPr>
        <w:t>Gillespies</w:t>
      </w:r>
      <w:proofErr w:type="spellEnd"/>
      <w:r w:rsidRPr="003F31BB">
        <w:rPr>
          <w:rFonts w:ascii="Arial" w:hAnsi="Arial" w:cs="Arial"/>
        </w:rPr>
        <w:t xml:space="preserve">, 2023). The project's main activities can also be associated with the construction of additional infrastructures, such as gyms, multi-use game areas, landscaped terraces and running tracks. One of the best practices of project management is coordination through proper supervision to avoid scope creep. Scope occurs when a project spirals out of the set deliverables, causing unplanned expenditure of resources.  </w:t>
      </w:r>
    </w:p>
    <w:p w14:paraId="7C36E4DC"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The project team has also implemented a documented change control procedure, which is impressive. It evaluates all modifications to the project scope and their act on the project plan, including the project's objectives and costs (</w:t>
      </w:r>
      <w:r w:rsidRPr="003F31BB">
        <w:rPr>
          <w:rFonts w:ascii="Arial" w:eastAsia="Times New Roman" w:hAnsi="Arial" w:cs="Arial"/>
        </w:rPr>
        <w:t xml:space="preserve">Sawhney </w:t>
      </w:r>
      <w:r w:rsidRPr="003F31BB">
        <w:rPr>
          <w:rFonts w:ascii="Arial" w:eastAsia="Times New Roman" w:hAnsi="Arial" w:cs="Arial"/>
          <w:i/>
        </w:rPr>
        <w:t>et al.,</w:t>
      </w:r>
      <w:r w:rsidRPr="003F31BB">
        <w:rPr>
          <w:rFonts w:ascii="Arial" w:eastAsia="Times New Roman" w:hAnsi="Arial" w:cs="Arial"/>
        </w:rPr>
        <w:t xml:space="preserve"> 2020). </w:t>
      </w:r>
      <w:r w:rsidRPr="003F31BB">
        <w:rPr>
          <w:rFonts w:ascii="Arial" w:hAnsi="Arial" w:cs="Arial"/>
        </w:rPr>
        <w:t xml:space="preserve">This way, the project remains more focused on Google's initiatives, but certain adjustments can be made smoothly where necessary. Proper scope management should always be practiced so that it can meet the aspirations of the project without causing an allocation of more resources than </w:t>
      </w:r>
      <w:r w:rsidRPr="003F31BB">
        <w:rPr>
          <w:rFonts w:ascii="Arial" w:hAnsi="Arial" w:cs="Arial"/>
        </w:rPr>
        <w:lastRenderedPageBreak/>
        <w:t>necessary or the production of substandard goods (</w:t>
      </w:r>
      <w:r w:rsidRPr="003F31BB">
        <w:rPr>
          <w:rFonts w:ascii="Arial" w:eastAsia="Times New Roman" w:hAnsi="Arial" w:cs="Arial"/>
        </w:rPr>
        <w:t xml:space="preserve">Herath &amp; Chong, 2021). </w:t>
      </w:r>
      <w:r w:rsidRPr="003F31BB">
        <w:rPr>
          <w:rFonts w:ascii="Arial" w:hAnsi="Arial" w:cs="Arial"/>
        </w:rPr>
        <w:t>Therefore, by overemphasizing the process and strictly following the identified scope, the project team will be protected from such dangers and have a chance to deliver the result satisfactorily for Google and the company's companies.</w:t>
      </w:r>
    </w:p>
    <w:p w14:paraId="60F6C5FA" w14:textId="77777777" w:rsidR="00C87CE1" w:rsidRPr="003F31BB" w:rsidRDefault="00C87CE1" w:rsidP="00EA712A">
      <w:pPr>
        <w:pStyle w:val="Heading2"/>
        <w:rPr>
          <w:rFonts w:ascii="Arial" w:hAnsi="Arial" w:cs="Arial"/>
        </w:rPr>
      </w:pPr>
      <w:bookmarkStart w:id="6" w:name="_Toc173573422"/>
      <w:bookmarkStart w:id="7" w:name="_Toc173655732"/>
      <w:r w:rsidRPr="003F31BB">
        <w:rPr>
          <w:rFonts w:ascii="Arial" w:hAnsi="Arial" w:cs="Arial"/>
        </w:rPr>
        <w:t>Time Management</w:t>
      </w:r>
      <w:bookmarkEnd w:id="6"/>
      <w:bookmarkEnd w:id="7"/>
    </w:p>
    <w:p w14:paraId="761603F9"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Scheduling is one of the most essential parts of the Google Headquarters Project due to the number of phases that require integration. The project has phases of time distribution separated by achievements, including site development and construction of offices, the provision of additional facilities, and the end delivery of the project. This aligns with the closed-loop theory of project planning, which states that the team has a clear vision from start to end (</w:t>
      </w:r>
      <w:r w:rsidRPr="003F31BB">
        <w:rPr>
          <w:rFonts w:ascii="Arial" w:eastAsia="Times New Roman" w:hAnsi="Arial" w:cs="Arial"/>
        </w:rPr>
        <w:t xml:space="preserve">Ofori, 2023). </w:t>
      </w:r>
      <w:r w:rsidRPr="003F31BB">
        <w:rPr>
          <w:rFonts w:ascii="Arial" w:hAnsi="Arial" w:cs="Arial"/>
        </w:rPr>
        <w:t xml:space="preserve">With Google's team grounded on specific timelines, the project is well-set to be implemented without incidents of stalling at any point. </w:t>
      </w:r>
    </w:p>
    <w:p w14:paraId="45A366D6"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 xml:space="preserve">Even when time is well planned, the project experiences time issues such as time overruns, being incapacitated by a poor supply chain, </w:t>
      </w:r>
      <w:proofErr w:type="spellStart"/>
      <w:r w:rsidRPr="003F31BB">
        <w:rPr>
          <w:rFonts w:ascii="Arial" w:hAnsi="Arial" w:cs="Arial"/>
        </w:rPr>
        <w:t>labor</w:t>
      </w:r>
      <w:proofErr w:type="spellEnd"/>
      <w:r w:rsidRPr="003F31BB">
        <w:rPr>
          <w:rFonts w:ascii="Arial" w:hAnsi="Arial" w:cs="Arial"/>
        </w:rPr>
        <w:t xml:space="preserve"> unrest, and other issues on site. To work around such challenges, the project management team has applied time compression. This involves accomplishing activities earlier than planned without achieving the expected quality of work (</w:t>
      </w:r>
      <w:hyperlink r:id="rId8" w:tooltip="Yumin Qiu" w:history="1">
        <w:r w:rsidRPr="003F31BB">
          <w:rPr>
            <w:rStyle w:val="Hyperlink"/>
            <w:rFonts w:ascii="Arial" w:hAnsi="Arial" w:cs="Arial"/>
            <w:color w:val="auto"/>
          </w:rPr>
          <w:t>Qiu</w:t>
        </w:r>
      </w:hyperlink>
      <w:r w:rsidRPr="003F31BB">
        <w:rPr>
          <w:rFonts w:ascii="Arial" w:hAnsi="Arial" w:cs="Arial"/>
        </w:rPr>
        <w:t xml:space="preserve"> and </w:t>
      </w:r>
      <w:hyperlink r:id="rId9" w:tooltip="Hongquan Chen" w:history="1">
        <w:r w:rsidRPr="003F31BB">
          <w:rPr>
            <w:rStyle w:val="Hyperlink"/>
            <w:rFonts w:ascii="Arial" w:hAnsi="Arial" w:cs="Arial"/>
            <w:color w:val="auto"/>
          </w:rPr>
          <w:t xml:space="preserve">Chen, </w:t>
        </w:r>
      </w:hyperlink>
      <w:r w:rsidRPr="003F31BB">
        <w:rPr>
          <w:rFonts w:ascii="Arial" w:hAnsi="Arial" w:cs="Arial"/>
        </w:rPr>
        <w:t xml:space="preserve">2023). They should also deploy resource </w:t>
      </w:r>
      <w:proofErr w:type="spellStart"/>
      <w:r w:rsidRPr="003F31BB">
        <w:rPr>
          <w:rFonts w:ascii="Arial" w:hAnsi="Arial" w:cs="Arial"/>
        </w:rPr>
        <w:t>leveling</w:t>
      </w:r>
      <w:proofErr w:type="spellEnd"/>
      <w:r w:rsidRPr="003F31BB">
        <w:rPr>
          <w:rFonts w:ascii="Arial" w:hAnsi="Arial" w:cs="Arial"/>
        </w:rPr>
        <w:t xml:space="preserve"> that seeks to balance available resources to ensure that a project stays on schedule.</w:t>
      </w:r>
    </w:p>
    <w:p w14:paraId="28ACF17E"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The status tracking of the project activity is facilitated by the project management software, which also helps to replan the project time frame. Expedited tracking of the different phases enables comparison with the plan and timely intervention in case of any problem (</w:t>
      </w:r>
      <w:r w:rsidRPr="003F31BB">
        <w:rPr>
          <w:rFonts w:ascii="Arial" w:eastAsia="Times New Roman" w:hAnsi="Arial" w:cs="Arial"/>
        </w:rPr>
        <w:t xml:space="preserve">Sacks, Girolami &amp; </w:t>
      </w:r>
      <w:proofErr w:type="spellStart"/>
      <w:r w:rsidRPr="003F31BB">
        <w:rPr>
          <w:rFonts w:ascii="Arial" w:eastAsia="Times New Roman" w:hAnsi="Arial" w:cs="Arial"/>
        </w:rPr>
        <w:t>Brilakis</w:t>
      </w:r>
      <w:proofErr w:type="spellEnd"/>
      <w:r w:rsidRPr="003F31BB">
        <w:rPr>
          <w:rFonts w:ascii="Arial" w:eastAsia="Times New Roman" w:hAnsi="Arial" w:cs="Arial"/>
        </w:rPr>
        <w:t xml:space="preserve">, 2020). </w:t>
      </w:r>
      <w:r w:rsidRPr="003F31BB">
        <w:rPr>
          <w:rFonts w:ascii="Arial" w:hAnsi="Arial" w:cs="Arial"/>
        </w:rPr>
        <w:t>The other essential strategies include constant supervision and early intervention in security issues to achieve the project within the planned time frame and reduce the impacts of penalties for time overruns.</w:t>
      </w:r>
    </w:p>
    <w:p w14:paraId="0DB928C5" w14:textId="77777777" w:rsidR="00C87CE1" w:rsidRPr="003F31BB" w:rsidRDefault="00C87CE1" w:rsidP="00EA712A">
      <w:pPr>
        <w:pStyle w:val="Heading2"/>
        <w:rPr>
          <w:rFonts w:ascii="Arial" w:hAnsi="Arial" w:cs="Arial"/>
        </w:rPr>
      </w:pPr>
      <w:bookmarkStart w:id="8" w:name="_Toc173573423"/>
      <w:bookmarkStart w:id="9" w:name="_Toc173655733"/>
      <w:r w:rsidRPr="003F31BB">
        <w:rPr>
          <w:rFonts w:ascii="Arial" w:hAnsi="Arial" w:cs="Arial"/>
        </w:rPr>
        <w:t>Cost Management</w:t>
      </w:r>
      <w:bookmarkEnd w:id="8"/>
      <w:bookmarkEnd w:id="9"/>
    </w:p>
    <w:p w14:paraId="135DD7AC"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In the Google Headquarters Project, every aspect of cost is critical since the project is estimated to be worth one Billion Pounds. While coming up with the cost management plan, the project team has sufficiently estimated costs for each activity, set a Budget for the project, and created a firm mechanism to track and regulate costs within the project (</w:t>
      </w:r>
      <w:r w:rsidRPr="003F31BB">
        <w:rPr>
          <w:rFonts w:ascii="Arial" w:eastAsia="Times New Roman" w:hAnsi="Arial" w:cs="Arial"/>
        </w:rPr>
        <w:t>Rowe, 2020).</w:t>
      </w:r>
      <w:r w:rsidRPr="003F31BB">
        <w:rPr>
          <w:rFonts w:ascii="Arial" w:hAnsi="Arial" w:cs="Arial"/>
        </w:rPr>
        <w:t xml:space="preserve"> Added to these technical factors, such factors as increased prices of materials, a shift in designs, and site conditions are likely to cost more, which requires well-controlled costs.</w:t>
      </w:r>
    </w:p>
    <w:p w14:paraId="1227AD9D"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One of the key strengths in cost planning for the project is that the team has utilized the Earned Value Management (EVM) model to estimate the financial requirements (</w:t>
      </w:r>
      <w:r w:rsidRPr="003F31BB">
        <w:rPr>
          <w:rFonts w:ascii="Arial" w:eastAsia="Times New Roman" w:hAnsi="Arial" w:cs="Arial"/>
        </w:rPr>
        <w:t xml:space="preserve">Venkataraman &amp; Pinto, 2023). </w:t>
      </w:r>
      <w:r w:rsidRPr="003F31BB">
        <w:rPr>
          <w:rFonts w:ascii="Arial" w:hAnsi="Arial" w:cs="Arial"/>
        </w:rPr>
        <w:t xml:space="preserve">The EVM model is spectacular in ensuring that there are enough resources to run the project to its completion. In addition, the contingency reserve is </w:t>
      </w:r>
      <w:r w:rsidRPr="003F31BB">
        <w:rPr>
          <w:rFonts w:ascii="Arial" w:hAnsi="Arial" w:cs="Arial"/>
        </w:rPr>
        <w:lastRenderedPageBreak/>
        <w:t>budgeted to help counterbalance the costs in case the project is to incur unexpected expenses during its implementation (</w:t>
      </w:r>
      <w:r w:rsidRPr="003F31BB">
        <w:rPr>
          <w:rFonts w:ascii="Arial" w:hAnsi="Arial" w:cs="Arial"/>
          <w:iCs/>
        </w:rPr>
        <w:t>Arriving on Platform G: Google's new King's Cross office</w:t>
      </w:r>
      <w:r w:rsidRPr="003F31BB">
        <w:rPr>
          <w:rFonts w:ascii="Arial" w:hAnsi="Arial" w:cs="Arial"/>
        </w:rPr>
        <w:t>, 2023). In this regard, the project team will ensure that it follows cost discipline, such that the construction of the headquarters will be completed within the budgeted amount while ensuring that the value that will be delivered to Google is realized and that the project's accuracy.</w:t>
      </w:r>
    </w:p>
    <w:p w14:paraId="173C287E" w14:textId="77777777" w:rsidR="00C87CE1" w:rsidRPr="003F31BB" w:rsidRDefault="00C87CE1" w:rsidP="00EA712A">
      <w:pPr>
        <w:pStyle w:val="Heading2"/>
        <w:rPr>
          <w:rFonts w:ascii="Arial" w:hAnsi="Arial" w:cs="Arial"/>
        </w:rPr>
      </w:pPr>
      <w:bookmarkStart w:id="10" w:name="_Toc173573424"/>
      <w:bookmarkStart w:id="11" w:name="_Toc173655734"/>
      <w:r w:rsidRPr="003F31BB">
        <w:rPr>
          <w:rFonts w:ascii="Arial" w:hAnsi="Arial" w:cs="Arial"/>
        </w:rPr>
        <w:t>Quality Management</w:t>
      </w:r>
      <w:bookmarkEnd w:id="10"/>
      <w:bookmarkEnd w:id="11"/>
    </w:p>
    <w:p w14:paraId="79EA360C"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Another significant concept that pervades the Google Headquarters Project is quality management, which underscores the goal of creating a technologically advanced corporate building. The quality management plan for the project also sets high and specific standards for construction materials, artistry, and environmental impact, which lays down the standards of work that comply with the company's image and the expectations of Google's stakeholders (Adamson, 2022). In line with this, Google has tapped into Prequalification (PQC) to work with expert contractors and builders of mega projects (</w:t>
      </w:r>
      <w:proofErr w:type="spellStart"/>
      <w:r w:rsidRPr="003F31BB">
        <w:rPr>
          <w:rFonts w:ascii="Arial" w:eastAsia="Times New Roman" w:hAnsi="Arial" w:cs="Arial"/>
        </w:rPr>
        <w:t>Copola</w:t>
      </w:r>
      <w:proofErr w:type="spellEnd"/>
      <w:r w:rsidRPr="003F31BB">
        <w:rPr>
          <w:rFonts w:ascii="Arial" w:eastAsia="Times New Roman" w:hAnsi="Arial" w:cs="Arial"/>
        </w:rPr>
        <w:t xml:space="preserve"> Azenha </w:t>
      </w:r>
      <w:r w:rsidRPr="003F31BB">
        <w:rPr>
          <w:rFonts w:ascii="Arial" w:eastAsia="Times New Roman" w:hAnsi="Arial" w:cs="Arial"/>
          <w:i/>
        </w:rPr>
        <w:t>et al</w:t>
      </w:r>
      <w:r w:rsidRPr="003F31BB">
        <w:rPr>
          <w:rFonts w:ascii="Arial" w:eastAsia="Times New Roman" w:hAnsi="Arial" w:cs="Arial"/>
        </w:rPr>
        <w:t>., 2021).</w:t>
      </w:r>
      <w:r w:rsidRPr="003F31BB">
        <w:rPr>
          <w:rFonts w:ascii="Arial" w:hAnsi="Arial" w:cs="Arial"/>
        </w:rPr>
        <w:t xml:space="preserve"> The construction experts execute quality control elements in each phase, thus eliminating anomalies and errors at every step of the construction process (</w:t>
      </w:r>
      <w:r w:rsidRPr="003F31BB">
        <w:rPr>
          <w:rFonts w:ascii="Arial" w:eastAsia="Times New Roman" w:hAnsi="Arial" w:cs="Arial"/>
        </w:rPr>
        <w:t xml:space="preserve">Patil et al., 2020). </w:t>
      </w:r>
      <w:r w:rsidRPr="003F31BB">
        <w:rPr>
          <w:rFonts w:ascii="Arial" w:hAnsi="Arial" w:cs="Arial"/>
        </w:rPr>
        <w:t xml:space="preserve">Sustaining a sound quality delivery system in a project as large as this requires a well-coordinated effort from architects, engineers, and constructors. </w:t>
      </w:r>
    </w:p>
    <w:p w14:paraId="2928671E" w14:textId="77777777" w:rsidR="00C87CE1" w:rsidRPr="003F31BB" w:rsidRDefault="00C87CE1" w:rsidP="00EA712A">
      <w:pPr>
        <w:pStyle w:val="Heading2"/>
        <w:rPr>
          <w:rFonts w:ascii="Arial" w:hAnsi="Arial" w:cs="Arial"/>
        </w:rPr>
      </w:pPr>
      <w:bookmarkStart w:id="12" w:name="_Toc173573425"/>
      <w:bookmarkStart w:id="13" w:name="_Toc173655735"/>
      <w:r w:rsidRPr="003F31BB">
        <w:rPr>
          <w:rFonts w:ascii="Arial" w:hAnsi="Arial" w:cs="Arial"/>
        </w:rPr>
        <w:t>Human Resource Management</w:t>
      </w:r>
      <w:bookmarkEnd w:id="12"/>
      <w:bookmarkEnd w:id="13"/>
    </w:p>
    <w:p w14:paraId="0E08AE03"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 xml:space="preserve">Human resources management in this project involves mobilizing and coordinating a vast workforce that will work on several construction sites and at different phases of construction. The contingency plan of the project deals with problems related to the </w:t>
      </w:r>
      <w:proofErr w:type="spellStart"/>
      <w:r w:rsidRPr="003F31BB">
        <w:rPr>
          <w:rFonts w:ascii="Arial" w:hAnsi="Arial" w:cs="Arial"/>
        </w:rPr>
        <w:t>labor</w:t>
      </w:r>
      <w:proofErr w:type="spellEnd"/>
      <w:r w:rsidRPr="003F31BB">
        <w:rPr>
          <w:rFonts w:ascii="Arial" w:hAnsi="Arial" w:cs="Arial"/>
        </w:rPr>
        <w:t xml:space="preserve"> market and getting competent personnel, their development and motivation, and the organization of inter-personal and inter-group relations within the project's team (</w:t>
      </w:r>
      <w:r w:rsidRPr="003F31BB">
        <w:rPr>
          <w:rFonts w:ascii="Arial" w:eastAsia="Times New Roman" w:hAnsi="Arial" w:cs="Arial"/>
        </w:rPr>
        <w:t>Harold, 2021).</w:t>
      </w:r>
      <w:r w:rsidRPr="003F31BB">
        <w:rPr>
          <w:rFonts w:ascii="Arial" w:hAnsi="Arial" w:cs="Arial"/>
        </w:rPr>
        <w:t xml:space="preserve"> The project employees include the regular company staff, contractors hired to work on the project, and sub-contractors hired from among the contractors. Some of the essential elements of the HR target include scheduling team meetings, performance assessments, and professional development.</w:t>
      </w:r>
    </w:p>
    <w:p w14:paraId="7E0860D5"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The concern for health and safety can also be observed; safety regulations within construction sites are strictly implemented to ensure that the workers within the construction sites are well protected. They include safety orientation, issuing of Personal Protective Equipment (PPE)and safety planning, including creating and executing emergency drills (Partridge, 2022). In addition to meeting all the legal requirements, the positive health status of a workforce is a critical factor in the realization of any project; hence, the project starts and ends by enhancing the well-being of its employees.</w:t>
      </w:r>
    </w:p>
    <w:p w14:paraId="2277D0FA" w14:textId="77777777" w:rsidR="00C87CE1" w:rsidRPr="003F31BB" w:rsidRDefault="00C87CE1" w:rsidP="00EA712A">
      <w:pPr>
        <w:pStyle w:val="Heading2"/>
        <w:rPr>
          <w:rFonts w:ascii="Arial" w:hAnsi="Arial" w:cs="Arial"/>
        </w:rPr>
      </w:pPr>
      <w:bookmarkStart w:id="14" w:name="_Toc173573426"/>
      <w:bookmarkStart w:id="15" w:name="_Toc173655736"/>
      <w:r w:rsidRPr="003F31BB">
        <w:rPr>
          <w:rFonts w:ascii="Arial" w:hAnsi="Arial" w:cs="Arial"/>
        </w:rPr>
        <w:lastRenderedPageBreak/>
        <w:t>Communication Management</w:t>
      </w:r>
      <w:bookmarkEnd w:id="14"/>
      <w:bookmarkEnd w:id="15"/>
    </w:p>
    <w:p w14:paraId="6998DB90"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Communication management is crucial for the Google Headquarters Project since it is a large project requiring information sharing among stakeholders. The project communication management plan identifies the method of communication, the tools to be used, and the communication procedure to use in managing the project information among the project stakeholders (</w:t>
      </w:r>
      <w:r w:rsidRPr="003F31BB">
        <w:rPr>
          <w:rFonts w:ascii="Arial" w:eastAsia="Times New Roman" w:hAnsi="Arial" w:cs="Arial"/>
        </w:rPr>
        <w:t xml:space="preserve">Lehtinen &amp; Aaltonen, 2020). </w:t>
      </w:r>
      <w:r w:rsidRPr="003F31BB">
        <w:rPr>
          <w:rFonts w:ascii="Arial" w:hAnsi="Arial" w:cs="Arial"/>
        </w:rPr>
        <w:t>Communication is kept constant through project meetings, status meetings, reports, and regular communications through other media. These can be utilized to provide timely communication where the project team can address the arising concerns immediately and ensure that all stakeholders know the status of the project and its goals.</w:t>
      </w:r>
    </w:p>
    <w:p w14:paraId="282C0DDD" w14:textId="77777777" w:rsidR="00C87CE1" w:rsidRPr="003F31BB" w:rsidRDefault="00C87CE1" w:rsidP="00EA712A">
      <w:pPr>
        <w:pStyle w:val="Heading2"/>
        <w:rPr>
          <w:rFonts w:ascii="Arial" w:hAnsi="Arial" w:cs="Arial"/>
        </w:rPr>
      </w:pPr>
      <w:bookmarkStart w:id="16" w:name="_Toc173573427"/>
      <w:bookmarkStart w:id="17" w:name="_Toc173655737"/>
      <w:r w:rsidRPr="003F31BB">
        <w:rPr>
          <w:rFonts w:ascii="Arial" w:hAnsi="Arial" w:cs="Arial"/>
        </w:rPr>
        <w:t>Stakeholders</w:t>
      </w:r>
      <w:bookmarkEnd w:id="16"/>
      <w:bookmarkEnd w:id="17"/>
    </w:p>
    <w:p w14:paraId="3D1C9600"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Besides financial and human resources, stakeholders play a crucial role in the successful construction of the new Google Headquarters. The major stakeholders here include Google Management, the construction contractor, financiers, and human resources, who work as a team to facilitate the project. With such a huge project, it is pivotal for Google to put in place a system that concurs with the stakeholder theory of project management. The theory emphasizes that stakeholders should share moral values, ethical standards and goals (</w:t>
      </w:r>
      <w:proofErr w:type="spellStart"/>
      <w:r w:rsidRPr="003F31BB">
        <w:rPr>
          <w:rFonts w:ascii="Arial" w:eastAsia="Times New Roman" w:hAnsi="Arial" w:cs="Arial"/>
        </w:rPr>
        <w:t>Rabechini</w:t>
      </w:r>
      <w:proofErr w:type="spellEnd"/>
      <w:r w:rsidRPr="003F31BB">
        <w:rPr>
          <w:rFonts w:ascii="Arial" w:eastAsia="Times New Roman" w:hAnsi="Arial" w:cs="Arial"/>
        </w:rPr>
        <w:t xml:space="preserve"> Jr </w:t>
      </w:r>
      <w:r w:rsidRPr="003F31BB">
        <w:rPr>
          <w:rFonts w:ascii="Arial" w:eastAsia="Times New Roman" w:hAnsi="Arial" w:cs="Arial"/>
          <w:i/>
        </w:rPr>
        <w:t>et al.,</w:t>
      </w:r>
      <w:r w:rsidRPr="003F31BB">
        <w:rPr>
          <w:rFonts w:ascii="Arial" w:eastAsia="Times New Roman" w:hAnsi="Arial" w:cs="Arial"/>
        </w:rPr>
        <w:t xml:space="preserve"> 2022). </w:t>
      </w:r>
      <w:r w:rsidRPr="003F31BB">
        <w:rPr>
          <w:rFonts w:ascii="Arial" w:hAnsi="Arial" w:cs="Arial"/>
        </w:rPr>
        <w:t xml:space="preserve">With the available information and the nature of stakeholder management, it is difficult to measure the balance of the three elements. </w:t>
      </w:r>
    </w:p>
    <w:p w14:paraId="0CB3591E" w14:textId="77777777" w:rsidR="00C87CE1" w:rsidRPr="003F31BB" w:rsidRDefault="00C87CE1" w:rsidP="00EA712A">
      <w:pPr>
        <w:pStyle w:val="Heading2"/>
        <w:rPr>
          <w:rFonts w:ascii="Arial" w:hAnsi="Arial" w:cs="Arial"/>
        </w:rPr>
      </w:pPr>
      <w:bookmarkStart w:id="18" w:name="_Toc173573428"/>
      <w:bookmarkStart w:id="19" w:name="_Toc173655738"/>
      <w:r w:rsidRPr="003F31BB">
        <w:rPr>
          <w:rFonts w:ascii="Arial" w:hAnsi="Arial" w:cs="Arial"/>
        </w:rPr>
        <w:t>Risk Management</w:t>
      </w:r>
      <w:bookmarkEnd w:id="18"/>
      <w:bookmarkEnd w:id="19"/>
    </w:p>
    <w:p w14:paraId="576E8294"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The nature of risks in the Google Headquarters Project makes risk management essential. Such risks may include financial risk, where the project may face some financial problems that can cause the project to be delayed or even over budget (</w:t>
      </w:r>
      <w:r w:rsidRPr="003F31BB">
        <w:rPr>
          <w:rFonts w:ascii="Arial" w:eastAsia="Times New Roman" w:hAnsi="Arial" w:cs="Arial"/>
        </w:rPr>
        <w:t xml:space="preserve">Srinivasan &amp; Rangaraj, 2020). </w:t>
      </w:r>
      <w:r w:rsidRPr="003F31BB">
        <w:rPr>
          <w:rFonts w:ascii="Arial" w:hAnsi="Arial" w:cs="Arial"/>
        </w:rPr>
        <w:t>Supply risks are where the supply to the project may be hindered in one way or, hence, slow down the project. There are also design risks where the design of the project may be changed from one design to another; this may also take much time; lastly, environmental risks where the project may face some environmental issues.</w:t>
      </w:r>
    </w:p>
    <w:p w14:paraId="459447D3"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The risk management strategy in this project consists of recognizing, evaluating, and controlling risks when implementing any project. This entails the routine assessment of risks to establish which of these could be a potential threat and develop plans to implement in case the identified risks occur (</w:t>
      </w:r>
      <w:r w:rsidRPr="003F31BB">
        <w:rPr>
          <w:rFonts w:ascii="Arial" w:eastAsia="Times New Roman" w:hAnsi="Arial" w:cs="Arial"/>
        </w:rPr>
        <w:t xml:space="preserve">Srinivasan &amp; Rangaraj, 2020). </w:t>
      </w:r>
      <w:r w:rsidRPr="003F31BB">
        <w:rPr>
          <w:rFonts w:ascii="Arial" w:hAnsi="Arial" w:cs="Arial"/>
        </w:rPr>
        <w:t xml:space="preserve">Thus, the project team uses qualitative and quantitative risk analysis on the identified risks to determine their level of risk and then prioritize the risks for management. Some contingency plans included making provisions for contingency stocks, acquiring second sources, and adopting design freedom to incorporate changes without much inconvenience. The project's hazards must be eliminated </w:t>
      </w:r>
      <w:r w:rsidRPr="003F31BB">
        <w:rPr>
          <w:rFonts w:ascii="Arial" w:hAnsi="Arial" w:cs="Arial"/>
        </w:rPr>
        <w:lastRenderedPageBreak/>
        <w:t>or mitigated so that they do not affect the outcome since the identified objectives are what the project team must achieve.</w:t>
      </w:r>
    </w:p>
    <w:p w14:paraId="64943E3F" w14:textId="77777777" w:rsidR="00C87CE1" w:rsidRPr="003F31BB" w:rsidRDefault="00C87CE1" w:rsidP="00EA712A">
      <w:pPr>
        <w:pStyle w:val="Heading2"/>
        <w:rPr>
          <w:rFonts w:ascii="Arial" w:hAnsi="Arial" w:cs="Arial"/>
        </w:rPr>
      </w:pPr>
      <w:bookmarkStart w:id="20" w:name="_Toc173573429"/>
      <w:bookmarkStart w:id="21" w:name="_Toc173655739"/>
      <w:r w:rsidRPr="003F31BB">
        <w:rPr>
          <w:rFonts w:ascii="Arial" w:hAnsi="Arial" w:cs="Arial"/>
        </w:rPr>
        <w:t>Procurement Management</w:t>
      </w:r>
      <w:bookmarkEnd w:id="20"/>
      <w:bookmarkEnd w:id="21"/>
    </w:p>
    <w:p w14:paraId="2624D380"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 xml:space="preserve">One of the critical functions in managing the overall process of the Google Headquarters Project is procurement management, which addresses the acquisition of goods, services, and the required subcontractors. This plan describes the procedures for choosing the contractors and suppliers, developing contracts, and controlling relationships with those companies, so all procurement </w:t>
      </w:r>
      <w:proofErr w:type="gramStart"/>
      <w:r w:rsidRPr="003F31BB">
        <w:rPr>
          <w:rFonts w:ascii="Arial" w:hAnsi="Arial" w:cs="Arial"/>
        </w:rPr>
        <w:t>has to</w:t>
      </w:r>
      <w:proofErr w:type="gramEnd"/>
      <w:r w:rsidRPr="003F31BB">
        <w:rPr>
          <w:rFonts w:ascii="Arial" w:hAnsi="Arial" w:cs="Arial"/>
        </w:rPr>
        <w:t xml:space="preserve"> meet the project's prerequisites of time, cost, and quality criteria. Regarding procurement, the project team has had to undertake a competitive bid to determine the suitable suppliers for tendering the required goods and services (</w:t>
      </w:r>
      <w:r w:rsidRPr="003F31BB">
        <w:rPr>
          <w:rFonts w:ascii="Arial" w:eastAsia="Times New Roman" w:hAnsi="Arial" w:cs="Arial"/>
        </w:rPr>
        <w:t xml:space="preserve">Moradi, Kähkönen &amp; Aaltonen, 2020). </w:t>
      </w:r>
      <w:r w:rsidRPr="003F31BB">
        <w:rPr>
          <w:rFonts w:ascii="Arial" w:hAnsi="Arial" w:cs="Arial"/>
        </w:rPr>
        <w:t xml:space="preserve">Contract management is also an issue; such contracts contain terms and conditions that may prevent possible adverse effects on the project and safeguard the project's interests in working with all the relevant parties. </w:t>
      </w:r>
    </w:p>
    <w:p w14:paraId="6DD29C74" w14:textId="77777777" w:rsidR="00C87CE1" w:rsidRPr="003F31BB" w:rsidRDefault="00C87CE1" w:rsidP="00EA712A">
      <w:pPr>
        <w:pStyle w:val="Heading2"/>
        <w:rPr>
          <w:rFonts w:ascii="Arial" w:hAnsi="Arial" w:cs="Arial"/>
        </w:rPr>
      </w:pPr>
      <w:bookmarkStart w:id="22" w:name="_Toc173573430"/>
      <w:bookmarkStart w:id="23" w:name="_Toc173655740"/>
      <w:r w:rsidRPr="003F31BB">
        <w:rPr>
          <w:rFonts w:ascii="Arial" w:hAnsi="Arial" w:cs="Arial"/>
        </w:rPr>
        <w:t>Integration of Project Components</w:t>
      </w:r>
      <w:bookmarkEnd w:id="22"/>
      <w:bookmarkEnd w:id="23"/>
    </w:p>
    <w:p w14:paraId="43C90EDE"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While appraising the team's planning of key project management ingredients like scope, time, quality, cost, human resources, stakeholders, and procurement at Google's new London headquarters, the following Planning alignment analysis paints a sound framework with a few critical concerns. On the positive side, the scope is well-defined for the project, and the flexibility can also be considered positive, but in case of wrong estimation, it can lead to scope creep or delay (</w:t>
      </w:r>
      <w:r w:rsidRPr="003F31BB">
        <w:rPr>
          <w:rFonts w:ascii="Arial" w:eastAsia="Times New Roman" w:hAnsi="Arial" w:cs="Arial"/>
        </w:rPr>
        <w:t xml:space="preserve">Srinivasan &amp; Rangaraj, 2020). </w:t>
      </w:r>
      <w:r w:rsidRPr="003F31BB">
        <w:rPr>
          <w:rFonts w:ascii="Arial" w:hAnsi="Arial" w:cs="Arial"/>
        </w:rPr>
        <w:t xml:space="preserve">There is altered time management to ensure rapid delivery, and this is aggressive, which affects quality when project deadlines are narrow. </w:t>
      </w:r>
    </w:p>
    <w:p w14:paraId="134C36E3" w14:textId="3CE7B63B" w:rsidR="00EA712A" w:rsidRPr="003F31BB" w:rsidRDefault="00C87CE1" w:rsidP="00C87CE1">
      <w:pPr>
        <w:spacing w:after="0" w:line="360" w:lineRule="auto"/>
        <w:ind w:firstLine="720"/>
        <w:jc w:val="both"/>
        <w:rPr>
          <w:rFonts w:ascii="Arial" w:hAnsi="Arial" w:cs="Arial"/>
        </w:rPr>
      </w:pPr>
      <w:r w:rsidRPr="003F31BB">
        <w:rPr>
          <w:rFonts w:ascii="Arial" w:hAnsi="Arial" w:cs="Arial"/>
        </w:rPr>
        <w:t xml:space="preserve">The measures aimed at controlling costs look rather well-controlled, while the ways to avoid </w:t>
      </w:r>
      <w:proofErr w:type="spellStart"/>
      <w:r w:rsidRPr="003F31BB">
        <w:rPr>
          <w:rFonts w:ascii="Arial" w:hAnsi="Arial" w:cs="Arial"/>
        </w:rPr>
        <w:t>spiraling</w:t>
      </w:r>
      <w:proofErr w:type="spellEnd"/>
      <w:r w:rsidRPr="003F31BB">
        <w:rPr>
          <w:rFonts w:ascii="Arial" w:hAnsi="Arial" w:cs="Arial"/>
        </w:rPr>
        <w:t xml:space="preserve"> expenses are not as transparent as they should be. While the project team shows commendable integration of the components, there is a need to establish mechanisms of personnel retention, monitoring, and evaluation, as well as how to maintain crucial success factors. (</w:t>
      </w:r>
      <w:r w:rsidRPr="003F31BB">
        <w:rPr>
          <w:rFonts w:ascii="Arial" w:eastAsia="Times New Roman" w:hAnsi="Arial" w:cs="Arial"/>
        </w:rPr>
        <w:t xml:space="preserve">Crawford, 2021). </w:t>
      </w:r>
      <w:r w:rsidRPr="003F31BB">
        <w:rPr>
          <w:rFonts w:ascii="Arial" w:hAnsi="Arial" w:cs="Arial"/>
        </w:rPr>
        <w:t>Stakeholder management plans exist; however, they depend a great deal on proper and proper tactical, timely and clear communication, chiefly with local authorities. The procurement functions use just-in-time methods, which are rather dangerous in situations when the supply chains can be interrupted (</w:t>
      </w:r>
      <w:proofErr w:type="spellStart"/>
      <w:r w:rsidRPr="003F31BB">
        <w:rPr>
          <w:rFonts w:ascii="Arial" w:eastAsia="Times New Roman" w:hAnsi="Arial" w:cs="Arial"/>
        </w:rPr>
        <w:t>Rabechini</w:t>
      </w:r>
      <w:proofErr w:type="spellEnd"/>
      <w:r w:rsidRPr="003F31BB">
        <w:rPr>
          <w:rFonts w:ascii="Arial" w:eastAsia="Times New Roman" w:hAnsi="Arial" w:cs="Arial"/>
        </w:rPr>
        <w:t xml:space="preserve"> Jr </w:t>
      </w:r>
      <w:r w:rsidRPr="003F31BB">
        <w:rPr>
          <w:rFonts w:ascii="Arial" w:eastAsia="Times New Roman" w:hAnsi="Arial" w:cs="Arial"/>
          <w:i/>
        </w:rPr>
        <w:t>et al</w:t>
      </w:r>
      <w:r w:rsidRPr="003F31BB">
        <w:rPr>
          <w:rFonts w:ascii="Arial" w:eastAsia="Times New Roman" w:hAnsi="Arial" w:cs="Arial"/>
        </w:rPr>
        <w:t xml:space="preserve">., 2022). </w:t>
      </w:r>
      <w:r w:rsidRPr="003F31BB">
        <w:rPr>
          <w:rFonts w:ascii="Arial" w:hAnsi="Arial" w:cs="Arial"/>
        </w:rPr>
        <w:t>Altogether, all these elements are rather well coordinated from the perspective of the integrated structure; however, a dynamic approach mitigated with an application of risk management principles would mesh better for the project's completion.</w:t>
      </w:r>
    </w:p>
    <w:p w14:paraId="0BD9C859" w14:textId="22786477" w:rsidR="00C87CE1" w:rsidRPr="003F31BB" w:rsidRDefault="00EA712A" w:rsidP="00EA712A">
      <w:pPr>
        <w:rPr>
          <w:rFonts w:ascii="Arial" w:hAnsi="Arial" w:cs="Arial"/>
        </w:rPr>
      </w:pPr>
      <w:r w:rsidRPr="003F31BB">
        <w:rPr>
          <w:rFonts w:ascii="Arial" w:hAnsi="Arial" w:cs="Arial"/>
        </w:rPr>
        <w:br w:type="page"/>
      </w:r>
    </w:p>
    <w:p w14:paraId="6DE26CF1" w14:textId="77777777" w:rsidR="00C87CE1" w:rsidRPr="003F31BB" w:rsidRDefault="00C87CE1" w:rsidP="00EA712A">
      <w:pPr>
        <w:pStyle w:val="Heading1"/>
        <w:rPr>
          <w:rFonts w:ascii="Arial" w:hAnsi="Arial" w:cs="Arial"/>
        </w:rPr>
      </w:pPr>
      <w:bookmarkStart w:id="24" w:name="_Toc173573431"/>
      <w:bookmarkStart w:id="25" w:name="_Toc173655741"/>
      <w:r w:rsidRPr="003F31BB">
        <w:rPr>
          <w:rFonts w:ascii="Arial" w:hAnsi="Arial" w:cs="Arial"/>
        </w:rPr>
        <w:lastRenderedPageBreak/>
        <w:t>Conclusion and Recommendations</w:t>
      </w:r>
      <w:bookmarkEnd w:id="24"/>
      <w:bookmarkEnd w:id="25"/>
    </w:p>
    <w:p w14:paraId="227A4886" w14:textId="77777777" w:rsidR="00C87CE1" w:rsidRPr="003F31BB" w:rsidRDefault="00C87CE1" w:rsidP="00C87CE1">
      <w:pPr>
        <w:spacing w:after="0" w:line="360" w:lineRule="auto"/>
        <w:ind w:firstLine="720"/>
        <w:jc w:val="both"/>
        <w:rPr>
          <w:rFonts w:ascii="Arial" w:hAnsi="Arial" w:cs="Arial"/>
        </w:rPr>
      </w:pPr>
      <w:r w:rsidRPr="003F31BB">
        <w:rPr>
          <w:rFonts w:ascii="Arial" w:hAnsi="Arial" w:cs="Arial"/>
        </w:rPr>
        <w:t xml:space="preserve">The Google Headquarters Project in London can be described as a building that will be a significant addition to the skyline of the modern world's cities. This structure will embody the best design for use, the environment, and sustainability. This Dutch structure is one of the most significant construction projects of Google beyond the United States, and it is a true testament to Google's plans as it is not just a typical office; it is a sign of innovation, utilization of environmental consciousness as well as focus on the company's staff members' well-being. </w:t>
      </w:r>
    </w:p>
    <w:p w14:paraId="483CF09B" w14:textId="77777777" w:rsidR="00C87CE1" w:rsidRPr="003F31BB" w:rsidRDefault="00C87CE1" w:rsidP="00C87CE1">
      <w:pPr>
        <w:spacing w:after="0" w:line="360" w:lineRule="auto"/>
        <w:jc w:val="both"/>
        <w:rPr>
          <w:rFonts w:ascii="Arial" w:hAnsi="Arial" w:cs="Arial"/>
        </w:rPr>
      </w:pPr>
      <w:r w:rsidRPr="003F31BB">
        <w:rPr>
          <w:rFonts w:ascii="Arial" w:hAnsi="Arial" w:cs="Arial"/>
        </w:rPr>
        <w:t xml:space="preserve">The project has been planned systematically, and significant considerations have been given to the areas outlined in the PMBOK. In this regard, managing the scope has been essential in defining and sticking to achievable goals and objectives for the project while admitting the necessary changes. Time management has had some issues caused by external factors, such as supply chain disruptions or </w:t>
      </w:r>
      <w:proofErr w:type="spellStart"/>
      <w:r w:rsidRPr="003F31BB">
        <w:rPr>
          <w:rFonts w:ascii="Arial" w:hAnsi="Arial" w:cs="Arial"/>
        </w:rPr>
        <w:t>labor</w:t>
      </w:r>
      <w:proofErr w:type="spellEnd"/>
      <w:r w:rsidRPr="003F31BB">
        <w:rPr>
          <w:rFonts w:ascii="Arial" w:hAnsi="Arial" w:cs="Arial"/>
        </w:rPr>
        <w:t xml:space="preserve"> constraints. </w:t>
      </w:r>
    </w:p>
    <w:p w14:paraId="64E73F6D" w14:textId="4C670154" w:rsidR="00EA712A" w:rsidRPr="003F31BB" w:rsidRDefault="00C87CE1" w:rsidP="00C87CE1">
      <w:pPr>
        <w:spacing w:after="0" w:line="360" w:lineRule="auto"/>
        <w:ind w:firstLine="720"/>
        <w:jc w:val="both"/>
        <w:rPr>
          <w:rFonts w:ascii="Arial" w:hAnsi="Arial" w:cs="Arial"/>
        </w:rPr>
      </w:pPr>
      <w:r w:rsidRPr="003F31BB">
        <w:rPr>
          <w:rFonts w:ascii="Arial" w:hAnsi="Arial" w:cs="Arial"/>
        </w:rPr>
        <w:t xml:space="preserve">Control of cost continues to be a significant </w:t>
      </w:r>
      <w:proofErr w:type="gramStart"/>
      <w:r w:rsidRPr="003F31BB">
        <w:rPr>
          <w:rFonts w:ascii="Arial" w:hAnsi="Arial" w:cs="Arial"/>
        </w:rPr>
        <w:t>consideration, and</w:t>
      </w:r>
      <w:proofErr w:type="gramEnd"/>
      <w:r w:rsidRPr="003F31BB">
        <w:rPr>
          <w:rFonts w:ascii="Arial" w:hAnsi="Arial" w:cs="Arial"/>
        </w:rPr>
        <w:t xml:space="preserve"> attempts to keep the work under the one billion pounds financial plan continue by practicing efficient cost control and contingency measures. There has been a focus on essential quality issues, as Google prides itself on quality and setting the quality benchmark when it comes to building environmentally friendly structures. Essential to the formulation of the project is the overall policies on human resources; the project's focus entails collaboration, health, and safety, as well as career development of the human resources in the project.</w:t>
      </w:r>
    </w:p>
    <w:p w14:paraId="3CDB8415" w14:textId="15D8252D" w:rsidR="00C87CE1" w:rsidRPr="003F31BB" w:rsidRDefault="00EA712A" w:rsidP="00EA712A">
      <w:pPr>
        <w:rPr>
          <w:rFonts w:ascii="Arial" w:hAnsi="Arial" w:cs="Arial"/>
        </w:rPr>
      </w:pPr>
      <w:r w:rsidRPr="003F31BB">
        <w:rPr>
          <w:rFonts w:ascii="Arial" w:hAnsi="Arial" w:cs="Arial"/>
        </w:rPr>
        <w:br w:type="page"/>
      </w:r>
    </w:p>
    <w:p w14:paraId="1DFD3ED0" w14:textId="50C99515" w:rsidR="00C87CE1" w:rsidRPr="003F31BB" w:rsidRDefault="00C87CE1" w:rsidP="00EA712A">
      <w:pPr>
        <w:pStyle w:val="Heading1"/>
        <w:rPr>
          <w:rFonts w:ascii="Arial" w:hAnsi="Arial" w:cs="Arial"/>
        </w:rPr>
      </w:pPr>
      <w:bookmarkStart w:id="26" w:name="_Toc173573432"/>
      <w:bookmarkStart w:id="27" w:name="_Toc173655742"/>
      <w:r w:rsidRPr="003F31BB">
        <w:rPr>
          <w:rFonts w:ascii="Arial" w:hAnsi="Arial" w:cs="Arial"/>
        </w:rPr>
        <w:lastRenderedPageBreak/>
        <w:t>Reference List</w:t>
      </w:r>
      <w:bookmarkEnd w:id="26"/>
      <w:bookmarkEnd w:id="27"/>
    </w:p>
    <w:p w14:paraId="175F7CF1" w14:textId="77777777" w:rsidR="00C87CE1" w:rsidRPr="003F31BB" w:rsidRDefault="00C87CE1" w:rsidP="00C87CE1">
      <w:pPr>
        <w:pStyle w:val="NormalWeb"/>
        <w:spacing w:before="0" w:beforeAutospacing="0" w:after="0" w:afterAutospacing="0" w:line="360" w:lineRule="auto"/>
        <w:jc w:val="both"/>
        <w:rPr>
          <w:rFonts w:ascii="Arial" w:hAnsi="Arial" w:cs="Arial"/>
          <w:sz w:val="22"/>
          <w:szCs w:val="22"/>
        </w:rPr>
      </w:pPr>
      <w:r w:rsidRPr="003F31BB">
        <w:rPr>
          <w:rFonts w:ascii="Arial" w:hAnsi="Arial" w:cs="Arial"/>
          <w:sz w:val="22"/>
          <w:szCs w:val="22"/>
        </w:rPr>
        <w:t xml:space="preserve">Adamson, C. (2022). </w:t>
      </w:r>
      <w:r w:rsidRPr="003F31BB">
        <w:rPr>
          <w:rFonts w:ascii="Arial" w:hAnsi="Arial" w:cs="Arial"/>
          <w:i/>
          <w:iCs/>
          <w:sz w:val="22"/>
          <w:szCs w:val="22"/>
        </w:rPr>
        <w:t>Google's new London office is a $1bn mistake</w:t>
      </w:r>
      <w:r w:rsidRPr="003F31BB">
        <w:rPr>
          <w:rFonts w:ascii="Arial" w:hAnsi="Arial" w:cs="Arial"/>
          <w:sz w:val="22"/>
          <w:szCs w:val="22"/>
        </w:rPr>
        <w:t xml:space="preserve">. www.businessage.com. Available at: https://www.businessage.com/post/googles-new-london-office-is-a-1bn-mistake (Accessed 12 Nov. 2023). </w:t>
      </w:r>
    </w:p>
    <w:p w14:paraId="4548F90D" w14:textId="77777777" w:rsidR="00C87CE1" w:rsidRPr="003F31BB" w:rsidRDefault="00C87CE1" w:rsidP="00C87CE1">
      <w:pPr>
        <w:spacing w:after="0" w:line="360" w:lineRule="auto"/>
        <w:jc w:val="both"/>
        <w:rPr>
          <w:rFonts w:ascii="Arial" w:hAnsi="Arial" w:cs="Arial"/>
        </w:rPr>
      </w:pPr>
      <w:proofErr w:type="spellStart"/>
      <w:r w:rsidRPr="003F31BB">
        <w:rPr>
          <w:rFonts w:ascii="Arial" w:eastAsia="Times New Roman" w:hAnsi="Arial" w:cs="Arial"/>
        </w:rPr>
        <w:t>Copola</w:t>
      </w:r>
      <w:proofErr w:type="spellEnd"/>
      <w:r w:rsidRPr="003F31BB">
        <w:rPr>
          <w:rFonts w:ascii="Arial" w:eastAsia="Times New Roman" w:hAnsi="Arial" w:cs="Arial"/>
        </w:rPr>
        <w:t xml:space="preserve"> Azenha, F., Aparecida Reis, D., &amp; Leme Fleury, A. (2021) 'The role and characteristics of hybrid approaches to project management in the development of technology-based products and services', </w:t>
      </w:r>
      <w:r w:rsidRPr="003F31BB">
        <w:rPr>
          <w:rFonts w:ascii="Arial" w:eastAsia="Times New Roman" w:hAnsi="Arial" w:cs="Arial"/>
          <w:i/>
          <w:iCs/>
        </w:rPr>
        <w:t>Project Management Journal</w:t>
      </w:r>
      <w:r w:rsidRPr="003F31BB">
        <w:rPr>
          <w:rFonts w:ascii="Arial" w:eastAsia="Times New Roman" w:hAnsi="Arial" w:cs="Arial"/>
        </w:rPr>
        <w:t xml:space="preserve">, </w:t>
      </w:r>
      <w:r w:rsidRPr="003F31BB">
        <w:rPr>
          <w:rFonts w:ascii="Arial" w:eastAsia="Times New Roman" w:hAnsi="Arial" w:cs="Arial"/>
          <w:i/>
          <w:iCs/>
        </w:rPr>
        <w:t>52</w:t>
      </w:r>
      <w:r w:rsidRPr="003F31BB">
        <w:rPr>
          <w:rFonts w:ascii="Arial" w:eastAsia="Times New Roman" w:hAnsi="Arial" w:cs="Arial"/>
        </w:rPr>
        <w:t xml:space="preserve">(1), 90-110. </w:t>
      </w:r>
      <w:hyperlink r:id="rId10" w:history="1">
        <w:proofErr w:type="spellStart"/>
        <w:r w:rsidRPr="003F31BB">
          <w:rPr>
            <w:rStyle w:val="Hyperlink"/>
            <w:rFonts w:ascii="Arial" w:hAnsi="Arial" w:cs="Arial"/>
            <w:color w:val="auto"/>
          </w:rPr>
          <w:t>doi</w:t>
        </w:r>
        <w:proofErr w:type="spellEnd"/>
        <w:r w:rsidRPr="003F31BB">
          <w:rPr>
            <w:rStyle w:val="Hyperlink"/>
            <w:rFonts w:ascii="Arial" w:hAnsi="Arial" w:cs="Arial"/>
            <w:color w:val="auto"/>
          </w:rPr>
          <w:t>: 10.1177/87569728209568</w:t>
        </w:r>
      </w:hyperlink>
    </w:p>
    <w:p w14:paraId="1B8736D9"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Crawford, J. K. (2021) </w:t>
      </w:r>
      <w:r w:rsidRPr="003F31BB">
        <w:rPr>
          <w:rFonts w:ascii="Arial" w:eastAsia="Times New Roman" w:hAnsi="Arial" w:cs="Arial"/>
          <w:i/>
          <w:iCs/>
        </w:rPr>
        <w:t>Project management maturity model</w:t>
      </w:r>
      <w:r w:rsidRPr="003F31BB">
        <w:rPr>
          <w:rFonts w:ascii="Arial" w:eastAsia="Times New Roman" w:hAnsi="Arial" w:cs="Arial"/>
        </w:rPr>
        <w:t>. Auerbach Publications.</w:t>
      </w:r>
    </w:p>
    <w:p w14:paraId="2D4FF57B" w14:textId="77777777" w:rsidR="00C87CE1" w:rsidRPr="003F31BB" w:rsidRDefault="00C87CE1" w:rsidP="00C87CE1">
      <w:pPr>
        <w:pStyle w:val="NormalWeb"/>
        <w:spacing w:before="0" w:beforeAutospacing="0" w:after="0" w:afterAutospacing="0" w:line="360" w:lineRule="auto"/>
        <w:jc w:val="both"/>
        <w:rPr>
          <w:rFonts w:ascii="Arial" w:hAnsi="Arial" w:cs="Arial"/>
          <w:sz w:val="22"/>
          <w:szCs w:val="22"/>
        </w:rPr>
      </w:pPr>
      <w:r w:rsidRPr="003F31BB">
        <w:rPr>
          <w:rFonts w:ascii="Arial" w:hAnsi="Arial" w:cs="Arial"/>
          <w:sz w:val="22"/>
          <w:szCs w:val="22"/>
        </w:rPr>
        <w:t xml:space="preserve"> </w:t>
      </w:r>
      <w:r w:rsidRPr="003F31BB">
        <w:rPr>
          <w:rFonts w:ascii="Arial" w:hAnsi="Arial" w:cs="Arial"/>
          <w:i/>
          <w:iCs/>
          <w:sz w:val="22"/>
          <w:szCs w:val="22"/>
        </w:rPr>
        <w:t>Arriving on Platform G: Google's new King's Cross office</w:t>
      </w:r>
      <w:r w:rsidRPr="003F31BB">
        <w:rPr>
          <w:rFonts w:ascii="Arial" w:hAnsi="Arial" w:cs="Arial"/>
          <w:sz w:val="22"/>
          <w:szCs w:val="22"/>
        </w:rPr>
        <w:t xml:space="preserve"> (2023) Available at: https://www.cibsejournal.com/case-studies/arriving-on-platform-g-googles-new-kings-cross-office/ (Accessed 26 Apr. 2023).</w:t>
      </w:r>
    </w:p>
    <w:p w14:paraId="6F893092" w14:textId="77777777" w:rsidR="00C87CE1" w:rsidRPr="003F31BB" w:rsidRDefault="00C87CE1" w:rsidP="00C87CE1">
      <w:pPr>
        <w:pStyle w:val="NormalWeb"/>
        <w:spacing w:before="0" w:beforeAutospacing="0" w:after="0" w:afterAutospacing="0" w:line="360" w:lineRule="auto"/>
        <w:jc w:val="both"/>
        <w:rPr>
          <w:rFonts w:ascii="Arial" w:hAnsi="Arial" w:cs="Arial"/>
          <w:sz w:val="22"/>
          <w:szCs w:val="22"/>
        </w:rPr>
      </w:pPr>
      <w:proofErr w:type="spellStart"/>
      <w:r w:rsidRPr="003F31BB">
        <w:rPr>
          <w:rFonts w:ascii="Arial" w:hAnsi="Arial" w:cs="Arial"/>
          <w:sz w:val="22"/>
          <w:szCs w:val="22"/>
        </w:rPr>
        <w:t>Gillespies</w:t>
      </w:r>
      <w:proofErr w:type="spellEnd"/>
      <w:r w:rsidRPr="003F31BB">
        <w:rPr>
          <w:rFonts w:ascii="Arial" w:hAnsi="Arial" w:cs="Arial"/>
          <w:sz w:val="22"/>
          <w:szCs w:val="22"/>
        </w:rPr>
        <w:t xml:space="preserve"> (2023). </w:t>
      </w:r>
      <w:r w:rsidRPr="003F31BB">
        <w:rPr>
          <w:rFonts w:ascii="Arial" w:hAnsi="Arial" w:cs="Arial"/>
          <w:i/>
          <w:iCs/>
          <w:sz w:val="22"/>
          <w:szCs w:val="22"/>
        </w:rPr>
        <w:t>Google Headquarters - Projects</w:t>
      </w:r>
      <w:r w:rsidRPr="003F31BB">
        <w:rPr>
          <w:rFonts w:ascii="Arial" w:hAnsi="Arial" w:cs="Arial"/>
          <w:sz w:val="22"/>
          <w:szCs w:val="22"/>
        </w:rPr>
        <w:t xml:space="preserve">. </w:t>
      </w:r>
      <w:proofErr w:type="spellStart"/>
      <w:r w:rsidRPr="003F31BB">
        <w:rPr>
          <w:rFonts w:ascii="Arial" w:hAnsi="Arial" w:cs="Arial"/>
          <w:sz w:val="22"/>
          <w:szCs w:val="22"/>
        </w:rPr>
        <w:t>Gillespies</w:t>
      </w:r>
      <w:proofErr w:type="spellEnd"/>
      <w:r w:rsidRPr="003F31BB">
        <w:rPr>
          <w:rFonts w:ascii="Arial" w:hAnsi="Arial" w:cs="Arial"/>
          <w:sz w:val="22"/>
          <w:szCs w:val="22"/>
        </w:rPr>
        <w:t xml:space="preserve">. Available at: </w:t>
      </w:r>
      <w:hyperlink r:id="rId11" w:history="1">
        <w:r w:rsidRPr="003F31BB">
          <w:rPr>
            <w:rStyle w:val="Hyperlink"/>
            <w:rFonts w:ascii="Arial" w:eastAsiaTheme="majorEastAsia" w:hAnsi="Arial" w:cs="Arial"/>
            <w:color w:val="auto"/>
            <w:sz w:val="22"/>
            <w:szCs w:val="22"/>
          </w:rPr>
          <w:t>https://www.gillespies.co.uk/projects/google-headquarters</w:t>
        </w:r>
      </w:hyperlink>
      <w:r w:rsidRPr="003F31BB">
        <w:rPr>
          <w:rFonts w:ascii="Arial" w:hAnsi="Arial" w:cs="Arial"/>
          <w:sz w:val="22"/>
          <w:szCs w:val="22"/>
        </w:rPr>
        <w:t>. (Accessed 2 August 2024)</w:t>
      </w:r>
    </w:p>
    <w:p w14:paraId="7D19366A" w14:textId="77777777" w:rsidR="00C87CE1" w:rsidRPr="003F31BB" w:rsidRDefault="00C87CE1" w:rsidP="00C87CE1">
      <w:pPr>
        <w:spacing w:after="0" w:line="360" w:lineRule="auto"/>
        <w:jc w:val="both"/>
        <w:rPr>
          <w:rFonts w:ascii="Arial" w:hAnsi="Arial" w:cs="Arial"/>
        </w:rPr>
      </w:pPr>
      <w:r w:rsidRPr="003F31BB">
        <w:rPr>
          <w:rFonts w:ascii="Arial" w:eastAsia="Times New Roman" w:hAnsi="Arial" w:cs="Arial"/>
        </w:rPr>
        <w:t xml:space="preserve">Herath, S., &amp; Chong, S. (2021) 'Key components and critical success factors for project management success: A literature review', </w:t>
      </w:r>
      <w:r w:rsidRPr="003F31BB">
        <w:rPr>
          <w:rFonts w:ascii="Arial" w:eastAsia="Times New Roman" w:hAnsi="Arial" w:cs="Arial"/>
          <w:i/>
          <w:iCs/>
        </w:rPr>
        <w:t>Operations and supply chain management: An International Journal</w:t>
      </w:r>
      <w:r w:rsidRPr="003F31BB">
        <w:rPr>
          <w:rFonts w:ascii="Arial" w:eastAsia="Times New Roman" w:hAnsi="Arial" w:cs="Arial"/>
        </w:rPr>
        <w:t xml:space="preserve">, </w:t>
      </w:r>
      <w:r w:rsidRPr="003F31BB">
        <w:rPr>
          <w:rFonts w:ascii="Arial" w:eastAsia="Times New Roman" w:hAnsi="Arial" w:cs="Arial"/>
          <w:i/>
          <w:iCs/>
        </w:rPr>
        <w:t>14</w:t>
      </w:r>
      <w:r w:rsidRPr="003F31BB">
        <w:rPr>
          <w:rFonts w:ascii="Arial" w:eastAsia="Times New Roman" w:hAnsi="Arial" w:cs="Arial"/>
        </w:rPr>
        <w:t xml:space="preserve">(4), 431-443. </w:t>
      </w:r>
      <w:hyperlink r:id="rId12" w:history="1">
        <w:proofErr w:type="spellStart"/>
        <w:r w:rsidRPr="003F31BB">
          <w:rPr>
            <w:rStyle w:val="Hyperlink"/>
            <w:rFonts w:ascii="Arial" w:hAnsi="Arial" w:cs="Arial"/>
            <w:color w:val="auto"/>
          </w:rPr>
          <w:t>doi</w:t>
        </w:r>
        <w:proofErr w:type="spellEnd"/>
        <w:r w:rsidRPr="003F31BB">
          <w:rPr>
            <w:rStyle w:val="Hyperlink"/>
            <w:rFonts w:ascii="Arial" w:hAnsi="Arial" w:cs="Arial"/>
            <w:color w:val="auto"/>
          </w:rPr>
          <w:t>: 10.31387/oscm0470314</w:t>
        </w:r>
      </w:hyperlink>
    </w:p>
    <w:p w14:paraId="4B497792"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Harold, K. (2021). </w:t>
      </w:r>
      <w:r w:rsidRPr="003F31BB">
        <w:rPr>
          <w:rFonts w:ascii="Arial" w:eastAsia="Times New Roman" w:hAnsi="Arial" w:cs="Arial"/>
          <w:i/>
          <w:iCs/>
        </w:rPr>
        <w:t>Project management: case studies</w:t>
      </w:r>
      <w:r w:rsidRPr="003F31BB">
        <w:rPr>
          <w:rFonts w:ascii="Arial" w:eastAsia="Times New Roman" w:hAnsi="Arial" w:cs="Arial"/>
        </w:rPr>
        <w:t>. John Wiley &amp; Sons, Inc.</w:t>
      </w:r>
    </w:p>
    <w:p w14:paraId="5C7CE7A4"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Lehtinen, J., &amp; Aaltonen, K. (2020) 'Organizing external stakeholder engagement in inter-organizational projects: Opening the black box', </w:t>
      </w:r>
      <w:r w:rsidRPr="003F31BB">
        <w:rPr>
          <w:rFonts w:ascii="Arial" w:eastAsia="Times New Roman" w:hAnsi="Arial" w:cs="Arial"/>
          <w:i/>
          <w:iCs/>
        </w:rPr>
        <w:t>International Journal of Project Management</w:t>
      </w:r>
      <w:r w:rsidRPr="003F31BB">
        <w:rPr>
          <w:rFonts w:ascii="Arial" w:eastAsia="Times New Roman" w:hAnsi="Arial" w:cs="Arial"/>
        </w:rPr>
        <w:t xml:space="preserve">, </w:t>
      </w:r>
      <w:r w:rsidRPr="003F31BB">
        <w:rPr>
          <w:rFonts w:ascii="Arial" w:eastAsia="Times New Roman" w:hAnsi="Arial" w:cs="Arial"/>
          <w:i/>
          <w:iCs/>
        </w:rPr>
        <w:t>38</w:t>
      </w:r>
      <w:r w:rsidRPr="003F31BB">
        <w:rPr>
          <w:rFonts w:ascii="Arial" w:eastAsia="Times New Roman" w:hAnsi="Arial" w:cs="Arial"/>
        </w:rPr>
        <w:t xml:space="preserve">(2), 85-98. </w:t>
      </w:r>
      <w:hyperlink r:id="rId13" w:tgtFrame="_blank" w:tooltip="Persistent link using digital object identifier" w:history="1">
        <w:proofErr w:type="spellStart"/>
        <w:r w:rsidRPr="003F31BB">
          <w:rPr>
            <w:rStyle w:val="anchor-text"/>
            <w:rFonts w:ascii="Arial" w:hAnsi="Arial" w:cs="Arial"/>
          </w:rPr>
          <w:t>doi</w:t>
        </w:r>
        <w:proofErr w:type="spellEnd"/>
        <w:r w:rsidRPr="003F31BB">
          <w:rPr>
            <w:rStyle w:val="anchor-text"/>
            <w:rFonts w:ascii="Arial" w:hAnsi="Arial" w:cs="Arial"/>
          </w:rPr>
          <w:t>: 10.1016/j.ijproman.2019.12.001</w:t>
        </w:r>
      </w:hyperlink>
    </w:p>
    <w:p w14:paraId="3ECF62FC" w14:textId="77777777" w:rsidR="00C87CE1" w:rsidRPr="003F31BB" w:rsidRDefault="00C87CE1" w:rsidP="00C87CE1">
      <w:pPr>
        <w:spacing w:after="0" w:line="360" w:lineRule="auto"/>
        <w:jc w:val="both"/>
        <w:rPr>
          <w:rFonts w:ascii="Arial" w:hAnsi="Arial" w:cs="Arial"/>
        </w:rPr>
      </w:pPr>
      <w:r w:rsidRPr="003F31BB">
        <w:rPr>
          <w:rFonts w:ascii="Arial" w:eastAsia="Times New Roman" w:hAnsi="Arial" w:cs="Arial"/>
        </w:rPr>
        <w:t xml:space="preserve">Moradi, S., Kähkönen, K., &amp; Aaltonen, K. (2020) 'Project managers' competencies in collaborative construction projects', </w:t>
      </w:r>
      <w:r w:rsidRPr="003F31BB">
        <w:rPr>
          <w:rFonts w:ascii="Arial" w:eastAsia="Times New Roman" w:hAnsi="Arial" w:cs="Arial"/>
          <w:i/>
          <w:iCs/>
        </w:rPr>
        <w:t>Buildings</w:t>
      </w:r>
      <w:r w:rsidRPr="003F31BB">
        <w:rPr>
          <w:rFonts w:ascii="Arial" w:eastAsia="Times New Roman" w:hAnsi="Arial" w:cs="Arial"/>
        </w:rPr>
        <w:t xml:space="preserve">, </w:t>
      </w:r>
      <w:r w:rsidRPr="003F31BB">
        <w:rPr>
          <w:rFonts w:ascii="Arial" w:eastAsia="Times New Roman" w:hAnsi="Arial" w:cs="Arial"/>
          <w:i/>
          <w:iCs/>
        </w:rPr>
        <w:t>10</w:t>
      </w:r>
      <w:r w:rsidRPr="003F31BB">
        <w:rPr>
          <w:rFonts w:ascii="Arial" w:eastAsia="Times New Roman" w:hAnsi="Arial" w:cs="Arial"/>
        </w:rPr>
        <w:t xml:space="preserve">(3), 50. </w:t>
      </w:r>
      <w:hyperlink r:id="rId14" w:history="1">
        <w:proofErr w:type="spellStart"/>
        <w:r w:rsidRPr="003F31BB">
          <w:rPr>
            <w:rStyle w:val="Hyperlink"/>
            <w:rFonts w:ascii="Arial" w:hAnsi="Arial" w:cs="Arial"/>
            <w:color w:val="auto"/>
          </w:rPr>
          <w:t>doi</w:t>
        </w:r>
        <w:proofErr w:type="spellEnd"/>
        <w:r w:rsidRPr="003F31BB">
          <w:rPr>
            <w:rStyle w:val="Hyperlink"/>
            <w:rFonts w:ascii="Arial" w:hAnsi="Arial" w:cs="Arial"/>
            <w:color w:val="auto"/>
          </w:rPr>
          <w:t>: 10.3390/buildings10030050</w:t>
        </w:r>
      </w:hyperlink>
    </w:p>
    <w:p w14:paraId="3515204F"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Nicholas, J. M., &amp; Steyn, H. (2020) </w:t>
      </w:r>
      <w:r w:rsidRPr="003F31BB">
        <w:rPr>
          <w:rFonts w:ascii="Arial" w:eastAsia="Times New Roman" w:hAnsi="Arial" w:cs="Arial"/>
          <w:i/>
          <w:iCs/>
        </w:rPr>
        <w:t>Project management for engineering, business and technology</w:t>
      </w:r>
      <w:r w:rsidRPr="003F31BB">
        <w:rPr>
          <w:rFonts w:ascii="Arial" w:eastAsia="Times New Roman" w:hAnsi="Arial" w:cs="Arial"/>
        </w:rPr>
        <w:t>. Routledge.</w:t>
      </w:r>
    </w:p>
    <w:p w14:paraId="06854A79" w14:textId="77777777" w:rsidR="00C87CE1" w:rsidRPr="003F31BB" w:rsidRDefault="00C87CE1" w:rsidP="00C87CE1">
      <w:pPr>
        <w:spacing w:after="0" w:line="360" w:lineRule="auto"/>
        <w:jc w:val="both"/>
        <w:rPr>
          <w:rFonts w:ascii="Arial" w:hAnsi="Arial" w:cs="Arial"/>
        </w:rPr>
      </w:pPr>
      <w:r w:rsidRPr="003F31BB">
        <w:rPr>
          <w:rFonts w:ascii="Arial" w:eastAsia="Times New Roman" w:hAnsi="Arial" w:cs="Arial"/>
        </w:rPr>
        <w:t xml:space="preserve">Ofori, G. (2023) 'Need for a Body of Knowledge on Project Management in Developing Countries', </w:t>
      </w:r>
      <w:r w:rsidRPr="003F31BB">
        <w:rPr>
          <w:rFonts w:ascii="Arial" w:eastAsia="Times New Roman" w:hAnsi="Arial" w:cs="Arial"/>
          <w:i/>
          <w:iCs/>
        </w:rPr>
        <w:t>Building a Body of Knowledge in Project Management in Developing Countries</w:t>
      </w:r>
      <w:r w:rsidRPr="003F31BB">
        <w:rPr>
          <w:rFonts w:ascii="Arial" w:eastAsia="Times New Roman" w:hAnsi="Arial" w:cs="Arial"/>
        </w:rPr>
        <w:t xml:space="preserve"> (pp. 24-64). </w:t>
      </w:r>
      <w:hyperlink r:id="rId15" w:history="1">
        <w:proofErr w:type="spellStart"/>
        <w:r w:rsidRPr="003F31BB">
          <w:rPr>
            <w:rStyle w:val="Hyperlink"/>
            <w:rFonts w:ascii="Arial" w:hAnsi="Arial" w:cs="Arial"/>
            <w:color w:val="auto"/>
          </w:rPr>
          <w:t>doi</w:t>
        </w:r>
        <w:proofErr w:type="spellEnd"/>
        <w:r w:rsidRPr="003F31BB">
          <w:rPr>
            <w:rStyle w:val="Hyperlink"/>
            <w:rFonts w:ascii="Arial" w:hAnsi="Arial" w:cs="Arial"/>
            <w:color w:val="auto"/>
          </w:rPr>
          <w:t>: 10.1142/9789811224720_0002</w:t>
        </w:r>
      </w:hyperlink>
    </w:p>
    <w:p w14:paraId="4286BA48" w14:textId="77777777" w:rsidR="00C87CE1" w:rsidRPr="003F31BB" w:rsidRDefault="00000000" w:rsidP="00C87CE1">
      <w:pPr>
        <w:spacing w:after="0" w:line="360" w:lineRule="auto"/>
        <w:jc w:val="both"/>
        <w:rPr>
          <w:rFonts w:ascii="Arial" w:hAnsi="Arial" w:cs="Arial"/>
        </w:rPr>
      </w:pPr>
      <w:hyperlink r:id="rId16" w:tooltip="Yumin Qiu" w:history="1">
        <w:r w:rsidR="00C87CE1" w:rsidRPr="003F31BB">
          <w:rPr>
            <w:rStyle w:val="Hyperlink"/>
            <w:rFonts w:ascii="Arial" w:hAnsi="Arial" w:cs="Arial"/>
            <w:color w:val="auto"/>
          </w:rPr>
          <w:t>Qiu, Y.</w:t>
        </w:r>
      </w:hyperlink>
      <w:r w:rsidR="00C87CE1" w:rsidRPr="003F31BB">
        <w:rPr>
          <w:rFonts w:ascii="Arial" w:hAnsi="Arial" w:cs="Arial"/>
        </w:rPr>
        <w:t xml:space="preserve"> and </w:t>
      </w:r>
      <w:hyperlink r:id="rId17" w:tooltip="Hongquan Chen" w:history="1">
        <w:r w:rsidR="00C87CE1" w:rsidRPr="003F31BB">
          <w:rPr>
            <w:rStyle w:val="Hyperlink"/>
            <w:rFonts w:ascii="Arial" w:hAnsi="Arial" w:cs="Arial"/>
            <w:color w:val="auto"/>
          </w:rPr>
          <w:t>Chen, H.</w:t>
        </w:r>
      </w:hyperlink>
      <w:r w:rsidR="00C87CE1" w:rsidRPr="003F31BB">
        <w:rPr>
          <w:rFonts w:ascii="Arial" w:hAnsi="Arial" w:cs="Arial"/>
        </w:rPr>
        <w:t xml:space="preserve"> (2023) 'A systematic review of the knowledge domain of institutional theory in construction project management', </w:t>
      </w:r>
      <w:hyperlink r:id="rId18" w:history="1">
        <w:r w:rsidR="00C87CE1" w:rsidRPr="003F31BB">
          <w:rPr>
            <w:rStyle w:val="Hyperlink"/>
            <w:rFonts w:ascii="Arial" w:hAnsi="Arial" w:cs="Arial"/>
            <w:i/>
            <w:iCs/>
            <w:color w:val="auto"/>
          </w:rPr>
          <w:t>Engineering, Construction and Architectural Management</w:t>
        </w:r>
      </w:hyperlink>
      <w:r w:rsidR="00C87CE1" w:rsidRPr="003F31BB">
        <w:rPr>
          <w:rFonts w:ascii="Arial" w:hAnsi="Arial" w:cs="Arial"/>
        </w:rPr>
        <w:t xml:space="preserve">, </w:t>
      </w:r>
      <w:r w:rsidR="00C87CE1" w:rsidRPr="003F31BB">
        <w:rPr>
          <w:rFonts w:ascii="Arial" w:hAnsi="Arial" w:cs="Arial"/>
          <w:i/>
        </w:rPr>
        <w:t>30</w:t>
      </w:r>
      <w:r w:rsidR="00C87CE1" w:rsidRPr="003F31BB">
        <w:rPr>
          <w:rFonts w:ascii="Arial" w:hAnsi="Arial" w:cs="Arial"/>
        </w:rPr>
        <w:t xml:space="preserve">(6) pp. 2523-2544. </w:t>
      </w:r>
      <w:hyperlink r:id="rId19" w:tooltip="DOI: https://doi.org/10.1108/ECAM-08-2021-0754" w:history="1">
        <w:proofErr w:type="spellStart"/>
        <w:r w:rsidR="00C87CE1" w:rsidRPr="003F31BB">
          <w:rPr>
            <w:rStyle w:val="Hyperlink"/>
            <w:rFonts w:ascii="Arial" w:hAnsi="Arial" w:cs="Arial"/>
            <w:color w:val="auto"/>
          </w:rPr>
          <w:t>doi</w:t>
        </w:r>
        <w:proofErr w:type="spellEnd"/>
        <w:r w:rsidR="00C87CE1" w:rsidRPr="003F31BB">
          <w:rPr>
            <w:rStyle w:val="Hyperlink"/>
            <w:rFonts w:ascii="Arial" w:hAnsi="Arial" w:cs="Arial"/>
            <w:color w:val="auto"/>
          </w:rPr>
          <w:t>: 10.1108/ECAM-08-2021-0754</w:t>
        </w:r>
      </w:hyperlink>
    </w:p>
    <w:p w14:paraId="45A52A15" w14:textId="77777777" w:rsidR="00C87CE1" w:rsidRPr="003F31BB" w:rsidRDefault="00C87CE1" w:rsidP="00C87CE1">
      <w:pPr>
        <w:spacing w:after="0" w:line="360" w:lineRule="auto"/>
        <w:jc w:val="both"/>
        <w:rPr>
          <w:rFonts w:ascii="Arial" w:hAnsi="Arial" w:cs="Arial"/>
        </w:rPr>
      </w:pPr>
      <w:proofErr w:type="spellStart"/>
      <w:r w:rsidRPr="003F31BB">
        <w:rPr>
          <w:rFonts w:ascii="Arial" w:eastAsia="Times New Roman" w:hAnsi="Arial" w:cs="Arial"/>
        </w:rPr>
        <w:t>Rabechini</w:t>
      </w:r>
      <w:proofErr w:type="spellEnd"/>
      <w:r w:rsidRPr="003F31BB">
        <w:rPr>
          <w:rFonts w:ascii="Arial" w:eastAsia="Times New Roman" w:hAnsi="Arial" w:cs="Arial"/>
        </w:rPr>
        <w:t xml:space="preserve"> Jr, R. </w:t>
      </w:r>
      <w:r w:rsidRPr="003F31BB">
        <w:rPr>
          <w:rFonts w:ascii="Arial" w:eastAsia="Times New Roman" w:hAnsi="Arial" w:cs="Arial"/>
          <w:i/>
        </w:rPr>
        <w:t>et al.</w:t>
      </w:r>
      <w:r w:rsidRPr="003F31BB">
        <w:rPr>
          <w:rFonts w:ascii="Arial" w:eastAsia="Times New Roman" w:hAnsi="Arial" w:cs="Arial"/>
        </w:rPr>
        <w:t xml:space="preserve"> (2022) ‘Stakeholder management and project management office: effect on project results’, </w:t>
      </w:r>
      <w:proofErr w:type="spellStart"/>
      <w:r w:rsidRPr="003F31BB">
        <w:rPr>
          <w:rFonts w:ascii="Arial" w:eastAsia="Times New Roman" w:hAnsi="Arial" w:cs="Arial"/>
          <w:i/>
          <w:iCs/>
        </w:rPr>
        <w:t>Revista</w:t>
      </w:r>
      <w:proofErr w:type="spellEnd"/>
      <w:r w:rsidRPr="003F31BB">
        <w:rPr>
          <w:rFonts w:ascii="Arial" w:eastAsia="Times New Roman" w:hAnsi="Arial" w:cs="Arial"/>
          <w:i/>
          <w:iCs/>
        </w:rPr>
        <w:t xml:space="preserve"> de </w:t>
      </w:r>
      <w:proofErr w:type="spellStart"/>
      <w:r w:rsidRPr="003F31BB">
        <w:rPr>
          <w:rFonts w:ascii="Arial" w:eastAsia="Times New Roman" w:hAnsi="Arial" w:cs="Arial"/>
          <w:i/>
          <w:iCs/>
        </w:rPr>
        <w:t>administração</w:t>
      </w:r>
      <w:proofErr w:type="spellEnd"/>
      <w:r w:rsidRPr="003F31BB">
        <w:rPr>
          <w:rFonts w:ascii="Arial" w:eastAsia="Times New Roman" w:hAnsi="Arial" w:cs="Arial"/>
          <w:i/>
          <w:iCs/>
        </w:rPr>
        <w:t xml:space="preserve"> de </w:t>
      </w:r>
      <w:proofErr w:type="spellStart"/>
      <w:r w:rsidRPr="003F31BB">
        <w:rPr>
          <w:rFonts w:ascii="Arial" w:eastAsia="Times New Roman" w:hAnsi="Arial" w:cs="Arial"/>
          <w:i/>
          <w:iCs/>
        </w:rPr>
        <w:t>empresas</w:t>
      </w:r>
      <w:proofErr w:type="spellEnd"/>
      <w:r w:rsidRPr="003F31BB">
        <w:rPr>
          <w:rFonts w:ascii="Arial" w:eastAsia="Times New Roman" w:hAnsi="Arial" w:cs="Arial"/>
        </w:rPr>
        <w:t xml:space="preserve">, </w:t>
      </w:r>
      <w:r w:rsidRPr="003F31BB">
        <w:rPr>
          <w:rFonts w:ascii="Arial" w:eastAsia="Times New Roman" w:hAnsi="Arial" w:cs="Arial"/>
          <w:i/>
          <w:iCs/>
        </w:rPr>
        <w:t>62</w:t>
      </w:r>
      <w:r w:rsidRPr="003F31BB">
        <w:rPr>
          <w:rFonts w:ascii="Arial" w:eastAsia="Times New Roman" w:hAnsi="Arial" w:cs="Arial"/>
        </w:rPr>
        <w:t xml:space="preserve">, </w:t>
      </w:r>
      <w:hyperlink r:id="rId20" w:tgtFrame="_blank" w:history="1">
        <w:proofErr w:type="spellStart"/>
        <w:r w:rsidRPr="003F31BB">
          <w:rPr>
            <w:rStyle w:val="Hyperlink"/>
            <w:rFonts w:ascii="Arial" w:hAnsi="Arial" w:cs="Arial"/>
            <w:color w:val="auto"/>
          </w:rPr>
          <w:t>doi</w:t>
        </w:r>
        <w:proofErr w:type="spellEnd"/>
        <w:r w:rsidRPr="003F31BB">
          <w:rPr>
            <w:rStyle w:val="Hyperlink"/>
            <w:rFonts w:ascii="Arial" w:hAnsi="Arial" w:cs="Arial"/>
            <w:color w:val="auto"/>
          </w:rPr>
          <w:t>: 10.1590/S0034-759020220606</w:t>
        </w:r>
      </w:hyperlink>
    </w:p>
    <w:p w14:paraId="6C4C3DDE"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Rowe, S. F. (2020) </w:t>
      </w:r>
      <w:r w:rsidRPr="003F31BB">
        <w:rPr>
          <w:rFonts w:ascii="Arial" w:eastAsia="Times New Roman" w:hAnsi="Arial" w:cs="Arial"/>
          <w:i/>
          <w:iCs/>
        </w:rPr>
        <w:t>Project management for small projects</w:t>
      </w:r>
      <w:r w:rsidRPr="003F31BB">
        <w:rPr>
          <w:rFonts w:ascii="Arial" w:eastAsia="Times New Roman" w:hAnsi="Arial" w:cs="Arial"/>
        </w:rPr>
        <w:t>. Berrett-Koehler Publishers.</w:t>
      </w:r>
    </w:p>
    <w:p w14:paraId="43EE7079" w14:textId="77777777" w:rsidR="00C87CE1" w:rsidRPr="003F31BB" w:rsidRDefault="00C87CE1" w:rsidP="00C87CE1">
      <w:pPr>
        <w:spacing w:after="0" w:line="360" w:lineRule="auto"/>
        <w:jc w:val="both"/>
        <w:rPr>
          <w:rFonts w:ascii="Arial" w:hAnsi="Arial" w:cs="Arial"/>
        </w:rPr>
      </w:pPr>
      <w:r w:rsidRPr="003F31BB">
        <w:rPr>
          <w:rFonts w:ascii="Arial" w:eastAsia="Times New Roman" w:hAnsi="Arial" w:cs="Arial"/>
        </w:rPr>
        <w:lastRenderedPageBreak/>
        <w:t xml:space="preserve">Sacks, R., Girolami, M., &amp; </w:t>
      </w:r>
      <w:proofErr w:type="spellStart"/>
      <w:r w:rsidRPr="003F31BB">
        <w:rPr>
          <w:rFonts w:ascii="Arial" w:eastAsia="Times New Roman" w:hAnsi="Arial" w:cs="Arial"/>
        </w:rPr>
        <w:t>Brilakis</w:t>
      </w:r>
      <w:proofErr w:type="spellEnd"/>
      <w:r w:rsidRPr="003F31BB">
        <w:rPr>
          <w:rFonts w:ascii="Arial" w:eastAsia="Times New Roman" w:hAnsi="Arial" w:cs="Arial"/>
        </w:rPr>
        <w:t xml:space="preserve">, I. (2020) 'Building information modelling, artificial intelligence and construction tech', </w:t>
      </w:r>
      <w:r w:rsidRPr="003F31BB">
        <w:rPr>
          <w:rFonts w:ascii="Arial" w:eastAsia="Times New Roman" w:hAnsi="Arial" w:cs="Arial"/>
          <w:i/>
          <w:iCs/>
        </w:rPr>
        <w:t>Developments in the Built Environment</w:t>
      </w:r>
      <w:r w:rsidRPr="003F31BB">
        <w:rPr>
          <w:rFonts w:ascii="Arial" w:eastAsia="Times New Roman" w:hAnsi="Arial" w:cs="Arial"/>
        </w:rPr>
        <w:t xml:space="preserve">, </w:t>
      </w:r>
      <w:r w:rsidRPr="003F31BB">
        <w:rPr>
          <w:rFonts w:ascii="Arial" w:eastAsia="Times New Roman" w:hAnsi="Arial" w:cs="Arial"/>
          <w:i/>
          <w:iCs/>
        </w:rPr>
        <w:t>4</w:t>
      </w:r>
      <w:r w:rsidRPr="003F31BB">
        <w:rPr>
          <w:rFonts w:ascii="Arial" w:eastAsia="Times New Roman" w:hAnsi="Arial" w:cs="Arial"/>
        </w:rPr>
        <w:t xml:space="preserve">, 100011. </w:t>
      </w:r>
      <w:hyperlink r:id="rId21" w:tgtFrame="_blank" w:tooltip="Persistent link using digital object identifier" w:history="1">
        <w:proofErr w:type="spellStart"/>
        <w:r w:rsidRPr="003F31BB">
          <w:rPr>
            <w:rStyle w:val="anchor-text"/>
            <w:rFonts w:ascii="Arial" w:hAnsi="Arial" w:cs="Arial"/>
          </w:rPr>
          <w:t>doi</w:t>
        </w:r>
        <w:proofErr w:type="spellEnd"/>
        <w:r w:rsidRPr="003F31BB">
          <w:rPr>
            <w:rStyle w:val="anchor-text"/>
            <w:rFonts w:ascii="Arial" w:hAnsi="Arial" w:cs="Arial"/>
          </w:rPr>
          <w:t>: 10.1016/j.dibe.2020.100011</w:t>
        </w:r>
      </w:hyperlink>
    </w:p>
    <w:p w14:paraId="2D5DB17E"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Srinivasan, N. P., &amp; Rangaraj, A. (2020) 'Study on factors influencing risk management in construction projects', </w:t>
      </w:r>
      <w:r w:rsidRPr="003F31BB">
        <w:rPr>
          <w:rFonts w:ascii="Arial" w:eastAsia="Times New Roman" w:hAnsi="Arial" w:cs="Arial"/>
          <w:i/>
          <w:iCs/>
        </w:rPr>
        <w:t>Management</w:t>
      </w:r>
      <w:r w:rsidRPr="003F31BB">
        <w:rPr>
          <w:rFonts w:ascii="Arial" w:eastAsia="Times New Roman" w:hAnsi="Arial" w:cs="Arial"/>
        </w:rPr>
        <w:t xml:space="preserve">, </w:t>
      </w:r>
      <w:r w:rsidRPr="003F31BB">
        <w:rPr>
          <w:rFonts w:ascii="Arial" w:eastAsia="Times New Roman" w:hAnsi="Arial" w:cs="Arial"/>
          <w:i/>
          <w:iCs/>
        </w:rPr>
        <w:t>5</w:t>
      </w:r>
      <w:r w:rsidRPr="003F31BB">
        <w:rPr>
          <w:rFonts w:ascii="Arial" w:eastAsia="Times New Roman" w:hAnsi="Arial" w:cs="Arial"/>
        </w:rPr>
        <w:t>(5.478), 18-259. http://adalyajournal.com/</w:t>
      </w:r>
    </w:p>
    <w:p w14:paraId="7E6EF8F3"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Sawhney A. </w:t>
      </w:r>
      <w:r w:rsidRPr="003F31BB">
        <w:rPr>
          <w:rFonts w:ascii="Arial" w:eastAsia="Times New Roman" w:hAnsi="Arial" w:cs="Arial"/>
          <w:i/>
        </w:rPr>
        <w:t>et al.</w:t>
      </w:r>
      <w:r w:rsidRPr="003F31BB">
        <w:rPr>
          <w:rFonts w:ascii="Arial" w:eastAsia="Times New Roman" w:hAnsi="Arial" w:cs="Arial"/>
        </w:rPr>
        <w:t xml:space="preserve"> (2020) Construction 4.0. </w:t>
      </w:r>
      <w:r w:rsidRPr="003F31BB">
        <w:rPr>
          <w:rFonts w:ascii="Arial" w:eastAsia="Times New Roman" w:hAnsi="Arial" w:cs="Arial"/>
          <w:i/>
          <w:iCs/>
        </w:rPr>
        <w:t>Sawhney, A., Riley, M., Irizarry, J., Eds</w:t>
      </w:r>
      <w:r w:rsidRPr="003F31BB">
        <w:rPr>
          <w:rFonts w:ascii="Arial" w:eastAsia="Times New Roman" w:hAnsi="Arial" w:cs="Arial"/>
        </w:rPr>
        <w:t xml:space="preserve">. </w:t>
      </w:r>
      <w:hyperlink r:id="rId22" w:history="1">
        <w:r w:rsidRPr="003F31BB">
          <w:rPr>
            <w:rStyle w:val="Hyperlink"/>
            <w:rFonts w:ascii="Arial" w:eastAsia="Times New Roman" w:hAnsi="Arial" w:cs="Arial"/>
            <w:color w:val="auto"/>
          </w:rPr>
          <w:t>https://www.arataumodular.com/app/wp-content/uploads/2022/07/Construction-4.0-An-Innovation-Platform-For-The-Built-Environment.pdf</w:t>
        </w:r>
      </w:hyperlink>
    </w:p>
    <w:p w14:paraId="02517BBD" w14:textId="77777777" w:rsidR="00C87CE1" w:rsidRPr="003F31BB" w:rsidRDefault="00C87CE1" w:rsidP="00C87CE1">
      <w:pPr>
        <w:pStyle w:val="NormalWeb"/>
        <w:spacing w:before="0" w:beforeAutospacing="0" w:after="0" w:afterAutospacing="0" w:line="360" w:lineRule="auto"/>
        <w:jc w:val="both"/>
        <w:rPr>
          <w:rFonts w:ascii="Arial" w:hAnsi="Arial" w:cs="Arial"/>
          <w:sz w:val="22"/>
          <w:szCs w:val="22"/>
        </w:rPr>
      </w:pPr>
      <w:r w:rsidRPr="003F31BB">
        <w:rPr>
          <w:rFonts w:ascii="Arial" w:hAnsi="Arial" w:cs="Arial"/>
          <w:sz w:val="22"/>
          <w:szCs w:val="22"/>
        </w:rPr>
        <w:t xml:space="preserve">Partridge, J. (2022) </w:t>
      </w:r>
      <w:r w:rsidRPr="003F31BB">
        <w:rPr>
          <w:rFonts w:ascii="Arial" w:hAnsi="Arial" w:cs="Arial"/>
          <w:i/>
          <w:iCs/>
          <w:sz w:val="22"/>
          <w:szCs w:val="22"/>
        </w:rPr>
        <w:t>Behold London's '</w:t>
      </w:r>
      <w:proofErr w:type="spellStart"/>
      <w:r w:rsidRPr="003F31BB">
        <w:rPr>
          <w:rFonts w:ascii="Arial" w:hAnsi="Arial" w:cs="Arial"/>
          <w:i/>
          <w:iCs/>
          <w:sz w:val="22"/>
          <w:szCs w:val="22"/>
        </w:rPr>
        <w:t>landscraper</w:t>
      </w:r>
      <w:proofErr w:type="spellEnd"/>
      <w:r w:rsidRPr="003F31BB">
        <w:rPr>
          <w:rFonts w:ascii="Arial" w:hAnsi="Arial" w:cs="Arial"/>
          <w:i/>
          <w:iCs/>
          <w:sz w:val="22"/>
          <w:szCs w:val="22"/>
        </w:rPr>
        <w:t xml:space="preserve">'! Google's new UK HQ – </w:t>
      </w:r>
      <w:proofErr w:type="gramStart"/>
      <w:r w:rsidRPr="003F31BB">
        <w:rPr>
          <w:rFonts w:ascii="Arial" w:hAnsi="Arial" w:cs="Arial"/>
          <w:i/>
          <w:iCs/>
          <w:sz w:val="22"/>
          <w:szCs w:val="22"/>
        </w:rPr>
        <w:t>as long as</w:t>
      </w:r>
      <w:proofErr w:type="gramEnd"/>
      <w:r w:rsidRPr="003F31BB">
        <w:rPr>
          <w:rFonts w:ascii="Arial" w:hAnsi="Arial" w:cs="Arial"/>
          <w:i/>
          <w:iCs/>
          <w:sz w:val="22"/>
          <w:szCs w:val="22"/>
        </w:rPr>
        <w:t xml:space="preserve"> the Shard is tall</w:t>
      </w:r>
      <w:r w:rsidRPr="003F31BB">
        <w:rPr>
          <w:rFonts w:ascii="Arial" w:hAnsi="Arial" w:cs="Arial"/>
          <w:sz w:val="22"/>
          <w:szCs w:val="22"/>
        </w:rPr>
        <w:t xml:space="preserve">. Available at: </w:t>
      </w:r>
      <w:hyperlink r:id="rId23" w:history="1">
        <w:r w:rsidRPr="003F31BB">
          <w:rPr>
            <w:rStyle w:val="Hyperlink"/>
            <w:rFonts w:ascii="Arial" w:eastAsiaTheme="majorEastAsia" w:hAnsi="Arial" w:cs="Arial"/>
            <w:color w:val="auto"/>
            <w:sz w:val="22"/>
            <w:szCs w:val="22"/>
          </w:rPr>
          <w:t>https://www.theguardian.com/business/2022/jul/01/behold-londons-landscraper-googles-new-uk-hq-as-long-as-the-shard-is-tall</w:t>
        </w:r>
      </w:hyperlink>
      <w:r w:rsidRPr="003F31BB">
        <w:rPr>
          <w:rFonts w:ascii="Arial" w:hAnsi="Arial" w:cs="Arial"/>
          <w:sz w:val="22"/>
          <w:szCs w:val="22"/>
        </w:rPr>
        <w:t xml:space="preserve">. (Accessed 2 August 2024). </w:t>
      </w:r>
    </w:p>
    <w:p w14:paraId="0B04C613"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Patil S. </w:t>
      </w:r>
      <w:r w:rsidRPr="003F31BB">
        <w:rPr>
          <w:rFonts w:ascii="Arial" w:eastAsia="Times New Roman" w:hAnsi="Arial" w:cs="Arial"/>
          <w:i/>
        </w:rPr>
        <w:t>et al.</w:t>
      </w:r>
      <w:r w:rsidRPr="003F31BB">
        <w:rPr>
          <w:rFonts w:ascii="Arial" w:eastAsia="Times New Roman" w:hAnsi="Arial" w:cs="Arial"/>
        </w:rPr>
        <w:t xml:space="preserve"> (2020). Review of Contractor Prequalification Criteria and their Impact on Project Success Factors. </w:t>
      </w:r>
      <w:r w:rsidRPr="003F31BB">
        <w:rPr>
          <w:rFonts w:ascii="Arial" w:eastAsia="Times New Roman" w:hAnsi="Arial" w:cs="Arial"/>
          <w:i/>
          <w:iCs/>
        </w:rPr>
        <w:t>International Journal of Research in Engineering, Science and Management</w:t>
      </w:r>
      <w:r w:rsidRPr="003F31BB">
        <w:rPr>
          <w:rFonts w:ascii="Arial" w:eastAsia="Times New Roman" w:hAnsi="Arial" w:cs="Arial"/>
        </w:rPr>
        <w:t xml:space="preserve">, </w:t>
      </w:r>
      <w:r w:rsidRPr="003F31BB">
        <w:rPr>
          <w:rFonts w:ascii="Arial" w:eastAsia="Times New Roman" w:hAnsi="Arial" w:cs="Arial"/>
          <w:i/>
          <w:iCs/>
        </w:rPr>
        <w:t>3</w:t>
      </w:r>
      <w:r w:rsidRPr="003F31BB">
        <w:rPr>
          <w:rFonts w:ascii="Arial" w:eastAsia="Times New Roman" w:hAnsi="Arial" w:cs="Arial"/>
        </w:rPr>
        <w:t xml:space="preserve">(7), 298-302. </w:t>
      </w:r>
      <w:hyperlink r:id="rId24" w:history="1">
        <w:r w:rsidRPr="003F31BB">
          <w:rPr>
            <w:rStyle w:val="Hyperlink"/>
            <w:rFonts w:ascii="Arial" w:eastAsia="Times New Roman" w:hAnsi="Arial" w:cs="Arial"/>
            <w:color w:val="auto"/>
          </w:rPr>
          <w:t>https://journal.ijresm.com/index.php/ijresm/article/view/81/71</w:t>
        </w:r>
      </w:hyperlink>
    </w:p>
    <w:p w14:paraId="512F7429" w14:textId="77777777" w:rsidR="00C87CE1" w:rsidRPr="003F31BB" w:rsidRDefault="00C87CE1" w:rsidP="00C87CE1">
      <w:pPr>
        <w:spacing w:after="0" w:line="360" w:lineRule="auto"/>
        <w:jc w:val="both"/>
        <w:rPr>
          <w:rFonts w:ascii="Arial" w:eastAsia="Times New Roman" w:hAnsi="Arial" w:cs="Arial"/>
        </w:rPr>
      </w:pPr>
      <w:r w:rsidRPr="003F31BB">
        <w:rPr>
          <w:rFonts w:ascii="Arial" w:eastAsia="Times New Roman" w:hAnsi="Arial" w:cs="Arial"/>
        </w:rPr>
        <w:t xml:space="preserve">Venkataraman, R. R., &amp; Pinto, J. K. (2023). </w:t>
      </w:r>
      <w:r w:rsidRPr="003F31BB">
        <w:rPr>
          <w:rFonts w:ascii="Arial" w:eastAsia="Times New Roman" w:hAnsi="Arial" w:cs="Arial"/>
          <w:i/>
          <w:iCs/>
        </w:rPr>
        <w:t>Cost and value management in projects</w:t>
      </w:r>
      <w:r w:rsidRPr="003F31BB">
        <w:rPr>
          <w:rFonts w:ascii="Arial" w:eastAsia="Times New Roman" w:hAnsi="Arial" w:cs="Arial"/>
        </w:rPr>
        <w:t>. John Wiley &amp; Sons.</w:t>
      </w:r>
    </w:p>
    <w:p w14:paraId="24882EA4" w14:textId="77777777" w:rsidR="00C87CE1" w:rsidRPr="003F31BB" w:rsidRDefault="00C87CE1" w:rsidP="00C87CE1">
      <w:pPr>
        <w:spacing w:after="0" w:line="360" w:lineRule="auto"/>
        <w:jc w:val="both"/>
        <w:rPr>
          <w:rFonts w:ascii="Arial" w:eastAsia="Times New Roman" w:hAnsi="Arial" w:cs="Arial"/>
        </w:rPr>
      </w:pPr>
    </w:p>
    <w:p w14:paraId="17720766" w14:textId="77777777" w:rsidR="00C87CE1" w:rsidRPr="003F31BB" w:rsidRDefault="00C87CE1" w:rsidP="00C87CE1">
      <w:pPr>
        <w:spacing w:after="0" w:line="360" w:lineRule="auto"/>
        <w:jc w:val="both"/>
        <w:rPr>
          <w:rFonts w:ascii="Arial" w:eastAsia="Times New Roman" w:hAnsi="Arial" w:cs="Arial"/>
        </w:rPr>
      </w:pPr>
    </w:p>
    <w:p w14:paraId="0C9281EA" w14:textId="77777777" w:rsidR="00C87CE1" w:rsidRPr="003F31BB" w:rsidRDefault="00C87CE1" w:rsidP="00C87CE1">
      <w:pPr>
        <w:spacing w:after="0" w:line="360" w:lineRule="auto"/>
        <w:jc w:val="both"/>
        <w:rPr>
          <w:rFonts w:ascii="Arial" w:hAnsi="Arial" w:cs="Arial"/>
        </w:rPr>
      </w:pPr>
    </w:p>
    <w:p w14:paraId="6B8EA7C6" w14:textId="77777777" w:rsidR="00C87CE1" w:rsidRPr="003F31BB" w:rsidRDefault="00C87CE1" w:rsidP="00C87CE1">
      <w:pPr>
        <w:spacing w:after="0" w:line="360" w:lineRule="auto"/>
        <w:jc w:val="both"/>
        <w:rPr>
          <w:rFonts w:ascii="Arial" w:hAnsi="Arial" w:cs="Arial"/>
        </w:rPr>
      </w:pPr>
    </w:p>
    <w:p w14:paraId="7B90C2AD" w14:textId="77777777" w:rsidR="00627720" w:rsidRPr="003F31BB" w:rsidRDefault="00627720" w:rsidP="00C87CE1">
      <w:pPr>
        <w:spacing w:line="360" w:lineRule="auto"/>
        <w:jc w:val="both"/>
        <w:rPr>
          <w:rFonts w:ascii="Arial" w:hAnsi="Arial" w:cs="Arial"/>
        </w:rPr>
      </w:pPr>
    </w:p>
    <w:sectPr w:rsidR="00627720" w:rsidRPr="003F31BB" w:rsidSect="0080561C">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4A97E" w14:textId="77777777" w:rsidR="00E67511" w:rsidRDefault="00E67511" w:rsidP="006025AE">
      <w:pPr>
        <w:spacing w:after="0" w:line="240" w:lineRule="auto"/>
      </w:pPr>
      <w:r>
        <w:separator/>
      </w:r>
    </w:p>
  </w:endnote>
  <w:endnote w:type="continuationSeparator" w:id="0">
    <w:p w14:paraId="24B0BCC7" w14:textId="77777777" w:rsidR="00E67511" w:rsidRDefault="00E67511" w:rsidP="0060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9716158"/>
      <w:docPartObj>
        <w:docPartGallery w:val="Page Numbers (Bottom of Page)"/>
        <w:docPartUnique/>
      </w:docPartObj>
    </w:sdtPr>
    <w:sdtContent>
      <w:p w14:paraId="7A73C28B" w14:textId="6E537161" w:rsidR="006025AE" w:rsidRDefault="002C44D7">
        <w:pPr>
          <w:pStyle w:val="Footer"/>
        </w:pPr>
        <w:r>
          <w:rPr>
            <w:noProof/>
          </w:rPr>
          <mc:AlternateContent>
            <mc:Choice Requires="wps">
              <w:drawing>
                <wp:anchor distT="0" distB="0" distL="114300" distR="114300" simplePos="0" relativeHeight="251659264" behindDoc="0" locked="0" layoutInCell="1" allowOverlap="1" wp14:anchorId="1381BE8C" wp14:editId="7A0437F7">
                  <wp:simplePos x="0" y="0"/>
                  <wp:positionH relativeFrom="page">
                    <wp:align>right</wp:align>
                  </wp:positionH>
                  <wp:positionV relativeFrom="page">
                    <wp:align>bottom</wp:align>
                  </wp:positionV>
                  <wp:extent cx="2125980" cy="2054860"/>
                  <wp:effectExtent l="7620" t="0" r="0" b="2540"/>
                  <wp:wrapNone/>
                  <wp:docPr id="271967935" name="Isosceles Tri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77C1E5" w14:textId="77777777" w:rsidR="002C44D7" w:rsidRDefault="002C44D7">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81BE8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31"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7377C1E5" w14:textId="77777777" w:rsidR="002C44D7" w:rsidRDefault="002C44D7">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55045" w14:textId="77777777" w:rsidR="00E67511" w:rsidRDefault="00E67511" w:rsidP="006025AE">
      <w:pPr>
        <w:spacing w:after="0" w:line="240" w:lineRule="auto"/>
      </w:pPr>
      <w:r>
        <w:separator/>
      </w:r>
    </w:p>
  </w:footnote>
  <w:footnote w:type="continuationSeparator" w:id="0">
    <w:p w14:paraId="24823B93" w14:textId="77777777" w:rsidR="00E67511" w:rsidRDefault="00E67511" w:rsidP="006025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1C"/>
    <w:rsid w:val="001A5A8F"/>
    <w:rsid w:val="002C44D7"/>
    <w:rsid w:val="00382F01"/>
    <w:rsid w:val="003E5F44"/>
    <w:rsid w:val="003F31BB"/>
    <w:rsid w:val="004B6F25"/>
    <w:rsid w:val="00597FEE"/>
    <w:rsid w:val="006025AE"/>
    <w:rsid w:val="00627720"/>
    <w:rsid w:val="0080561C"/>
    <w:rsid w:val="00911BE8"/>
    <w:rsid w:val="009C4ED7"/>
    <w:rsid w:val="00A45177"/>
    <w:rsid w:val="00AD1E22"/>
    <w:rsid w:val="00BD2722"/>
    <w:rsid w:val="00C87CE1"/>
    <w:rsid w:val="00CA5257"/>
    <w:rsid w:val="00CE2BBB"/>
    <w:rsid w:val="00DE02FF"/>
    <w:rsid w:val="00E67511"/>
    <w:rsid w:val="00EA712A"/>
    <w:rsid w:val="00EC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95565"/>
  <w15:chartTrackingRefBased/>
  <w15:docId w15:val="{4361FCA5-76F0-4AD7-84A4-1B36A9DF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61C"/>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rsid w:val="0080561C"/>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80561C"/>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80561C"/>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80561C"/>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8056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6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6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6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61C"/>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sid w:val="0080561C"/>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80561C"/>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80561C"/>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80561C"/>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8056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6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6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61C"/>
    <w:rPr>
      <w:rFonts w:eastAsiaTheme="majorEastAsia" w:cstheme="majorBidi"/>
      <w:color w:val="272727" w:themeColor="text1" w:themeTint="D8"/>
    </w:rPr>
  </w:style>
  <w:style w:type="paragraph" w:styleId="Title">
    <w:name w:val="Title"/>
    <w:basedOn w:val="Normal"/>
    <w:next w:val="Normal"/>
    <w:link w:val="TitleChar"/>
    <w:uiPriority w:val="10"/>
    <w:qFormat/>
    <w:rsid w:val="00805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6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6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61C"/>
    <w:pPr>
      <w:spacing w:before="160"/>
      <w:jc w:val="center"/>
    </w:pPr>
    <w:rPr>
      <w:i/>
      <w:iCs/>
      <w:color w:val="404040" w:themeColor="text1" w:themeTint="BF"/>
    </w:rPr>
  </w:style>
  <w:style w:type="character" w:customStyle="1" w:styleId="QuoteChar">
    <w:name w:val="Quote Char"/>
    <w:basedOn w:val="DefaultParagraphFont"/>
    <w:link w:val="Quote"/>
    <w:uiPriority w:val="29"/>
    <w:rsid w:val="0080561C"/>
    <w:rPr>
      <w:i/>
      <w:iCs/>
      <w:color w:val="404040" w:themeColor="text1" w:themeTint="BF"/>
    </w:rPr>
  </w:style>
  <w:style w:type="paragraph" w:styleId="ListParagraph">
    <w:name w:val="List Paragraph"/>
    <w:basedOn w:val="Normal"/>
    <w:uiPriority w:val="34"/>
    <w:qFormat/>
    <w:rsid w:val="0080561C"/>
    <w:pPr>
      <w:ind w:left="720"/>
      <w:contextualSpacing/>
    </w:pPr>
  </w:style>
  <w:style w:type="character" w:styleId="IntenseEmphasis">
    <w:name w:val="Intense Emphasis"/>
    <w:basedOn w:val="DefaultParagraphFont"/>
    <w:uiPriority w:val="21"/>
    <w:qFormat/>
    <w:rsid w:val="0080561C"/>
    <w:rPr>
      <w:i/>
      <w:iCs/>
      <w:color w:val="1481AB" w:themeColor="accent1" w:themeShade="BF"/>
    </w:rPr>
  </w:style>
  <w:style w:type="paragraph" w:styleId="IntenseQuote">
    <w:name w:val="Intense Quote"/>
    <w:basedOn w:val="Normal"/>
    <w:next w:val="Normal"/>
    <w:link w:val="IntenseQuoteChar"/>
    <w:uiPriority w:val="30"/>
    <w:qFormat/>
    <w:rsid w:val="0080561C"/>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80561C"/>
    <w:rPr>
      <w:i/>
      <w:iCs/>
      <w:color w:val="1481AB" w:themeColor="accent1" w:themeShade="BF"/>
    </w:rPr>
  </w:style>
  <w:style w:type="character" w:styleId="IntenseReference">
    <w:name w:val="Intense Reference"/>
    <w:basedOn w:val="DefaultParagraphFont"/>
    <w:uiPriority w:val="32"/>
    <w:qFormat/>
    <w:rsid w:val="0080561C"/>
    <w:rPr>
      <w:b/>
      <w:bCs/>
      <w:smallCaps/>
      <w:color w:val="1481AB" w:themeColor="accent1" w:themeShade="BF"/>
      <w:spacing w:val="5"/>
    </w:rPr>
  </w:style>
  <w:style w:type="paragraph" w:styleId="NoSpacing">
    <w:name w:val="No Spacing"/>
    <w:link w:val="NoSpacingChar"/>
    <w:uiPriority w:val="1"/>
    <w:qFormat/>
    <w:rsid w:val="0080561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0561C"/>
    <w:rPr>
      <w:rFonts w:eastAsiaTheme="minorEastAsia"/>
      <w:kern w:val="0"/>
      <w:lang w:eastAsia="en-GB"/>
      <w14:ligatures w14:val="none"/>
    </w:rPr>
  </w:style>
  <w:style w:type="paragraph" w:styleId="Header">
    <w:name w:val="header"/>
    <w:basedOn w:val="Normal"/>
    <w:link w:val="HeaderChar"/>
    <w:uiPriority w:val="99"/>
    <w:unhideWhenUsed/>
    <w:rsid w:val="00602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5AE"/>
  </w:style>
  <w:style w:type="paragraph" w:styleId="Footer">
    <w:name w:val="footer"/>
    <w:basedOn w:val="Normal"/>
    <w:link w:val="FooterChar"/>
    <w:uiPriority w:val="99"/>
    <w:unhideWhenUsed/>
    <w:rsid w:val="00602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5AE"/>
  </w:style>
  <w:style w:type="character" w:styleId="PlaceholderText">
    <w:name w:val="Placeholder Text"/>
    <w:basedOn w:val="DefaultParagraphFont"/>
    <w:uiPriority w:val="99"/>
    <w:semiHidden/>
    <w:rsid w:val="006025AE"/>
    <w:rPr>
      <w:color w:val="666666"/>
    </w:rPr>
  </w:style>
  <w:style w:type="paragraph" w:styleId="TOCHeading">
    <w:name w:val="TOC Heading"/>
    <w:basedOn w:val="Heading1"/>
    <w:next w:val="Normal"/>
    <w:uiPriority w:val="39"/>
    <w:unhideWhenUsed/>
    <w:qFormat/>
    <w:rsid w:val="00C87CE1"/>
    <w:pPr>
      <w:spacing w:before="240" w:after="0"/>
      <w:outlineLvl w:val="9"/>
    </w:pPr>
    <w:rPr>
      <w:kern w:val="0"/>
      <w:sz w:val="32"/>
      <w:szCs w:val="32"/>
      <w:lang w:eastAsia="en-GB"/>
      <w14:ligatures w14:val="none"/>
    </w:rPr>
  </w:style>
  <w:style w:type="paragraph" w:styleId="NormalWeb">
    <w:name w:val="Normal (Web)"/>
    <w:basedOn w:val="Normal"/>
    <w:uiPriority w:val="99"/>
    <w:rsid w:val="00C87CE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rsid w:val="00C87CE1"/>
    <w:rPr>
      <w:color w:val="0000FF"/>
      <w:u w:val="single"/>
    </w:rPr>
  </w:style>
  <w:style w:type="character" w:customStyle="1" w:styleId="anchor-text">
    <w:name w:val="anchor-text"/>
    <w:basedOn w:val="DefaultParagraphFont"/>
    <w:rsid w:val="00C87CE1"/>
  </w:style>
  <w:style w:type="paragraph" w:styleId="TOC1">
    <w:name w:val="toc 1"/>
    <w:basedOn w:val="Normal"/>
    <w:next w:val="Normal"/>
    <w:autoRedefine/>
    <w:uiPriority w:val="39"/>
    <w:unhideWhenUsed/>
    <w:rsid w:val="00C87CE1"/>
    <w:pPr>
      <w:spacing w:after="100"/>
    </w:pPr>
  </w:style>
  <w:style w:type="paragraph" w:styleId="TOC2">
    <w:name w:val="toc 2"/>
    <w:basedOn w:val="Normal"/>
    <w:next w:val="Normal"/>
    <w:autoRedefine/>
    <w:uiPriority w:val="39"/>
    <w:unhideWhenUsed/>
    <w:rsid w:val="00C87CE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Yumin%20Qiu" TargetMode="External"/><Relationship Id="rId13" Type="http://schemas.openxmlformats.org/officeDocument/2006/relationships/hyperlink" Target="https://doi.org/10.1016/j.ijproman.2019.12.001" TargetMode="External"/><Relationship Id="rId18" Type="http://schemas.openxmlformats.org/officeDocument/2006/relationships/hyperlink" Target="https://www.emerald.com/insight/publication/issn/0969-998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j.dibe.2020.100011" TargetMode="External"/><Relationship Id="rId7" Type="http://schemas.openxmlformats.org/officeDocument/2006/relationships/image" Target="media/image1.jpg"/><Relationship Id="rId12" Type="http://schemas.openxmlformats.org/officeDocument/2006/relationships/hyperlink" Target="http://doi.org/10.31387/oscm0470314" TargetMode="External"/><Relationship Id="rId17" Type="http://schemas.openxmlformats.org/officeDocument/2006/relationships/hyperlink" Target="https://www.emerald.com/insight/search?q=Hongquan%20Che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merald.com/insight/search?q=Yumin%20Qiu" TargetMode="External"/><Relationship Id="rId20" Type="http://schemas.openxmlformats.org/officeDocument/2006/relationships/hyperlink" Target="https://doi.org/10.1590/S0034-75902022060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illespies.co.uk/projects/google-headquarters" TargetMode="External"/><Relationship Id="rId24" Type="http://schemas.openxmlformats.org/officeDocument/2006/relationships/hyperlink" Target="https://journal.ijresm.com/index.php/ijresm/article/view/81/71" TargetMode="External"/><Relationship Id="rId5" Type="http://schemas.openxmlformats.org/officeDocument/2006/relationships/footnotes" Target="footnotes.xml"/><Relationship Id="rId15" Type="http://schemas.openxmlformats.org/officeDocument/2006/relationships/hyperlink" Target="https://doi.org/10.1142/9789811224720_0002" TargetMode="External"/><Relationship Id="rId23" Type="http://schemas.openxmlformats.org/officeDocument/2006/relationships/hyperlink" Target="https://www.theguardian.com/business/2022/jul/01/behold-londons-landscraper-googles-new-uk-hq-as-long-as-the-shard-is-tall" TargetMode="External"/><Relationship Id="rId10" Type="http://schemas.openxmlformats.org/officeDocument/2006/relationships/hyperlink" Target="https://doi.org/10.1177/8756972820956884" TargetMode="External"/><Relationship Id="rId19" Type="http://schemas.openxmlformats.org/officeDocument/2006/relationships/hyperlink" Target="https://doi.org/10.1108/ECAM-08-2021-0754" TargetMode="External"/><Relationship Id="rId4" Type="http://schemas.openxmlformats.org/officeDocument/2006/relationships/webSettings" Target="webSettings.xml"/><Relationship Id="rId9" Type="http://schemas.openxmlformats.org/officeDocument/2006/relationships/hyperlink" Target="https://www.emerald.com/insight/search?q=Hongquan%20Chen" TargetMode="External"/><Relationship Id="rId14" Type="http://schemas.openxmlformats.org/officeDocument/2006/relationships/hyperlink" Target="https://doi.org/10.3390/buildings10030050" TargetMode="External"/><Relationship Id="rId22" Type="http://schemas.openxmlformats.org/officeDocument/2006/relationships/hyperlink" Target="https://www.arataumodular.com/app/wp-content/uploads/2022/07/Construction-4.0-An-Innovation-Platform-For-The-Built-Environment.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9D032-B3FD-432C-BDEE-284061D1A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2799</Words>
  <Characters>16767</Characters>
  <Application>Microsoft Office Word</Application>
  <DocSecurity>0</DocSecurity>
  <Lines>266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Student:</dc:subject>
  <dc:creator>Gabriela Malinova (2210803)</dc:creator>
  <cp:keywords/>
  <dc:description/>
  <cp:lastModifiedBy>Gabriela Malinova</cp:lastModifiedBy>
  <cp:revision>3</cp:revision>
  <dcterms:created xsi:type="dcterms:W3CDTF">2024-08-04T08:24:00Z</dcterms:created>
  <dcterms:modified xsi:type="dcterms:W3CDTF">2024-08-04T09:22:00Z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553353b1-1e53-4140-978e-46f376c4b50d</vt:lpwstr>
  </property>
</Properties>
</file>