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D966" w:themeColor="accent4" w:themeTint="99"/>
  <w:body>
    <w:p w14:paraId="566558A1" w14:textId="3B20E781" w:rsidR="00DE1D13" w:rsidRDefault="00F06A96">
      <w:pPr>
        <w:rPr>
          <w:sz w:val="26"/>
          <w:szCs w:val="26"/>
        </w:rPr>
      </w:pPr>
      <w:r w:rsidRPr="00F06A96">
        <w:rPr>
          <w:sz w:val="26"/>
          <w:szCs w:val="26"/>
        </w:rPr>
        <w:t>Sam Harrison</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15/03/19</w:t>
      </w:r>
    </w:p>
    <w:p w14:paraId="5F4669D6" w14:textId="77777777" w:rsidR="00F06A96" w:rsidRDefault="00F06A96" w:rsidP="00F06A96">
      <w:pPr>
        <w:rPr>
          <w:sz w:val="26"/>
          <w:szCs w:val="26"/>
        </w:rPr>
      </w:pPr>
      <w:r>
        <w:rPr>
          <w:sz w:val="26"/>
          <w:szCs w:val="26"/>
        </w:rPr>
        <w:t>Critically assess the argument from morality.</w:t>
      </w:r>
    </w:p>
    <w:p w14:paraId="2B572EB4" w14:textId="3C33308D" w:rsidR="00F06A96" w:rsidRDefault="00F06A96" w:rsidP="00F06A96">
      <w:pPr>
        <w:rPr>
          <w:sz w:val="26"/>
          <w:szCs w:val="26"/>
        </w:rPr>
      </w:pPr>
      <w:r>
        <w:rPr>
          <w:sz w:val="26"/>
          <w:szCs w:val="26"/>
        </w:rPr>
        <w:tab/>
        <w:t>In this essay</w:t>
      </w:r>
      <w:r w:rsidR="005C533E">
        <w:rPr>
          <w:sz w:val="26"/>
          <w:szCs w:val="26"/>
        </w:rPr>
        <w:t>,</w:t>
      </w:r>
      <w:r>
        <w:rPr>
          <w:sz w:val="26"/>
          <w:szCs w:val="26"/>
        </w:rPr>
        <w:t xml:space="preserve"> as well as trying to directly take on the argument for, or against, the existence of God based upon the existence of morality</w:t>
      </w:r>
      <w:r w:rsidR="005C533E">
        <w:rPr>
          <w:sz w:val="26"/>
          <w:szCs w:val="26"/>
        </w:rPr>
        <w:t>,</w:t>
      </w:r>
      <w:r>
        <w:rPr>
          <w:sz w:val="26"/>
          <w:szCs w:val="26"/>
        </w:rPr>
        <w:t xml:space="preserve"> I will be trying to explore how it is that different people can come to either accept or deny varying versions and conclusions of the argument. I will be using the arguments of St Thomas Aquinas (1225-1274), H.P. Owen (1926-1996) and Illtyd Trethowan (1907-1993) to show how our moral experiences, our interpretations and explanations of those experiences, and previously held concepts about the nature of God, all contribute to our readiness to accept God as the best explanation for morality, thereby reinforcing the belief that God exists. Interestingly, the arguments of the above-mentioned philosophers all begin with our moral experience. It is in the nature of these moral experiences that any claim about the nature of morality and then the nature and existence of God (as the best explanation for these experiences) can be grounded. I suggest that experience, interpretation of experience and beliefs about the world, all flow into each other, affecting each other. This has the result that someone who has a belief in God will interpret their experiences in such a way as to confirm that God is the best explanation of her moral experiences.</w:t>
      </w:r>
    </w:p>
    <w:p w14:paraId="2F771FBF" w14:textId="5CAC8020" w:rsidR="00F06A96" w:rsidRDefault="00F06A96" w:rsidP="00F06A96">
      <w:pPr>
        <w:ind w:firstLine="720"/>
        <w:rPr>
          <w:sz w:val="26"/>
          <w:szCs w:val="26"/>
        </w:rPr>
      </w:pPr>
      <w:r>
        <w:rPr>
          <w:sz w:val="26"/>
          <w:szCs w:val="26"/>
        </w:rPr>
        <w:t>St Thomas Aquinas uses morality to try to prove the existence of God by attending to the gradations that are ‘to be found’</w:t>
      </w:r>
      <w:r>
        <w:rPr>
          <w:rStyle w:val="FootnoteReference"/>
          <w:sz w:val="26"/>
          <w:szCs w:val="26"/>
        </w:rPr>
        <w:footnoteReference w:id="1"/>
      </w:r>
      <w:r>
        <w:rPr>
          <w:sz w:val="26"/>
          <w:szCs w:val="26"/>
        </w:rPr>
        <w:t xml:space="preserve"> in morality. He states that ‘Among beings there are some more and some less good, true, noble and the like’</w:t>
      </w:r>
      <w:r>
        <w:rPr>
          <w:rStyle w:val="FootnoteReference"/>
          <w:sz w:val="26"/>
          <w:szCs w:val="26"/>
        </w:rPr>
        <w:footnoteReference w:id="2"/>
      </w:r>
      <w:r>
        <w:rPr>
          <w:sz w:val="26"/>
          <w:szCs w:val="26"/>
        </w:rPr>
        <w:t xml:space="preserve">. This evidence from our experience of the qualities of more and less is then given the explanation that a </w:t>
      </w:r>
      <w:r>
        <w:rPr>
          <w:i/>
          <w:sz w:val="26"/>
          <w:szCs w:val="26"/>
        </w:rPr>
        <w:t>more</w:t>
      </w:r>
      <w:r>
        <w:rPr>
          <w:sz w:val="26"/>
          <w:szCs w:val="26"/>
        </w:rPr>
        <w:t xml:space="preserve"> and </w:t>
      </w:r>
      <w:r>
        <w:rPr>
          <w:i/>
          <w:sz w:val="26"/>
          <w:szCs w:val="26"/>
        </w:rPr>
        <w:t>less</w:t>
      </w:r>
      <w:r>
        <w:rPr>
          <w:sz w:val="26"/>
          <w:szCs w:val="26"/>
        </w:rPr>
        <w:t xml:space="preserve"> exist only in relation to a maximum, ‘a thing is said to be hotter according as it more nearly resembles that which is hottest’</w:t>
      </w:r>
      <w:r>
        <w:rPr>
          <w:rStyle w:val="FootnoteReference"/>
          <w:sz w:val="26"/>
          <w:szCs w:val="26"/>
        </w:rPr>
        <w:footnoteReference w:id="3"/>
      </w:r>
      <w:r>
        <w:rPr>
          <w:sz w:val="26"/>
          <w:szCs w:val="26"/>
        </w:rPr>
        <w:t xml:space="preserve">. Simply put this part of the argument states that </w:t>
      </w:r>
      <w:r w:rsidRPr="00123544">
        <w:rPr>
          <w:i/>
          <w:sz w:val="26"/>
          <w:szCs w:val="26"/>
        </w:rPr>
        <w:t>gradation</w:t>
      </w:r>
      <w:r>
        <w:rPr>
          <w:i/>
          <w:sz w:val="26"/>
          <w:szCs w:val="26"/>
        </w:rPr>
        <w:t>s</w:t>
      </w:r>
      <w:r w:rsidRPr="00123544">
        <w:rPr>
          <w:i/>
          <w:sz w:val="26"/>
          <w:szCs w:val="26"/>
        </w:rPr>
        <w:t xml:space="preserve"> exist in relation to a maximum</w:t>
      </w:r>
      <w:r>
        <w:rPr>
          <w:sz w:val="26"/>
          <w:szCs w:val="26"/>
        </w:rPr>
        <w:t xml:space="preserve">. I disagree with this premise. My notion of the size of an object is in relation to the size of another object, even when I may not realize it. To use an example given by Dr Nash, </w:t>
      </w:r>
      <w:r w:rsidR="005C533E">
        <w:rPr>
          <w:sz w:val="26"/>
          <w:szCs w:val="26"/>
        </w:rPr>
        <w:t>i</w:t>
      </w:r>
      <w:r>
        <w:rPr>
          <w:sz w:val="26"/>
          <w:szCs w:val="26"/>
        </w:rPr>
        <w:t xml:space="preserve">f I am asked “Is an elephant big?” I will probably answer yes, because I am generally comparing the other object to myself. Whereas if I ask you if an elephant is big whilst we are discussing the largest of the dinosaurs then the answer will probably be that it is not big. My point is that </w:t>
      </w:r>
      <w:r>
        <w:rPr>
          <w:i/>
          <w:sz w:val="26"/>
          <w:szCs w:val="26"/>
        </w:rPr>
        <w:t xml:space="preserve">gradations are relations, </w:t>
      </w:r>
      <w:r>
        <w:rPr>
          <w:sz w:val="26"/>
          <w:szCs w:val="26"/>
        </w:rPr>
        <w:t xml:space="preserve">and also that all the relations that we encounter are relative to each other. We experience relative maximums, for example, elephants are the biggest land mammal, or the sun is the biggest object in the solar system, but we have no experience of a non-relative maximum. Aquinas has created the concept of an absolute maximum out of the </w:t>
      </w:r>
      <w:r>
        <w:rPr>
          <w:sz w:val="26"/>
          <w:szCs w:val="26"/>
        </w:rPr>
        <w:lastRenderedPageBreak/>
        <w:t xml:space="preserve">relative maximums that we use, but he does not prove that the absolute maximum exists. </w:t>
      </w:r>
    </w:p>
    <w:p w14:paraId="0809BBEE" w14:textId="77777777" w:rsidR="00F06A96" w:rsidRDefault="00F06A96" w:rsidP="00F06A96">
      <w:pPr>
        <w:rPr>
          <w:sz w:val="26"/>
          <w:szCs w:val="26"/>
        </w:rPr>
      </w:pPr>
      <w:r>
        <w:rPr>
          <w:sz w:val="26"/>
          <w:szCs w:val="26"/>
        </w:rPr>
        <w:tab/>
        <w:t>To continue with Aquinas’ argument, ‘</w:t>
      </w:r>
      <w:r w:rsidRPr="00F37DF6">
        <w:rPr>
          <w:rFonts w:cstheme="minorHAnsi"/>
          <w:sz w:val="26"/>
          <w:szCs w:val="26"/>
        </w:rPr>
        <w:t>the maximum in any genus is the cause of all in that genus; as fire, which is the maximum heat, is the cause of all hot things.</w:t>
      </w:r>
      <w:r>
        <w:rPr>
          <w:rFonts w:cstheme="minorHAnsi"/>
          <w:sz w:val="26"/>
          <w:szCs w:val="26"/>
        </w:rPr>
        <w:t>’</w:t>
      </w:r>
      <w:r>
        <w:rPr>
          <w:rStyle w:val="FootnoteReference"/>
          <w:rFonts w:cstheme="minorHAnsi"/>
          <w:sz w:val="26"/>
          <w:szCs w:val="26"/>
        </w:rPr>
        <w:footnoteReference w:id="4"/>
      </w:r>
      <w:r>
        <w:rPr>
          <w:sz w:val="26"/>
          <w:szCs w:val="26"/>
        </w:rPr>
        <w:t xml:space="preserve"> He is drawing on the scientific ideas of Aristotle here which are no longer widely accepted. Indeed ‘the maximum in any genus’ does not really make sense to the conceptual framework that we now use; we generally do not consider heat a genus.</w:t>
      </w:r>
      <w:r w:rsidRPr="00123544">
        <w:rPr>
          <w:sz w:val="26"/>
          <w:szCs w:val="26"/>
        </w:rPr>
        <w:t xml:space="preserve"> </w:t>
      </w:r>
    </w:p>
    <w:p w14:paraId="787B4F42" w14:textId="33C1AF5D" w:rsidR="00F06A96" w:rsidRDefault="00F06A96" w:rsidP="00F06A96">
      <w:pPr>
        <w:ind w:firstLine="720"/>
        <w:rPr>
          <w:sz w:val="26"/>
          <w:szCs w:val="26"/>
        </w:rPr>
      </w:pPr>
      <w:r>
        <w:rPr>
          <w:sz w:val="26"/>
          <w:szCs w:val="26"/>
        </w:rPr>
        <w:t xml:space="preserve">These ideas (as well as the </w:t>
      </w:r>
      <w:r w:rsidR="005C533E">
        <w:rPr>
          <w:sz w:val="26"/>
          <w:szCs w:val="26"/>
        </w:rPr>
        <w:t>P</w:t>
      </w:r>
      <w:r>
        <w:rPr>
          <w:sz w:val="26"/>
          <w:szCs w:val="26"/>
        </w:rPr>
        <w:t xml:space="preserve">latonic ideas </w:t>
      </w:r>
      <w:r w:rsidR="003C03AB">
        <w:rPr>
          <w:sz w:val="26"/>
          <w:szCs w:val="26"/>
        </w:rPr>
        <w:t>at play in the</w:t>
      </w:r>
      <w:r>
        <w:rPr>
          <w:sz w:val="26"/>
          <w:szCs w:val="26"/>
        </w:rPr>
        <w:t xml:space="preserve"> descri</w:t>
      </w:r>
      <w:r w:rsidR="003C03AB">
        <w:rPr>
          <w:sz w:val="26"/>
          <w:szCs w:val="26"/>
        </w:rPr>
        <w:t>ption of</w:t>
      </w:r>
      <w:r>
        <w:rPr>
          <w:sz w:val="26"/>
          <w:szCs w:val="26"/>
        </w:rPr>
        <w:t xml:space="preserve"> absolute maximums) are in part responsible for making the existence of God seem plausible. It seems that the basic workings of some metaphysical ideas facilitate the concept of God to be a plausible explanation of the world better than others, Plato’s and Aristotle’s being easy to absorb by Christianity. But some of those metaphysical explanations have become less suitable for describing the world as we explore it in more depth. Even the terms </w:t>
      </w:r>
      <w:r>
        <w:rPr>
          <w:i/>
          <w:sz w:val="26"/>
          <w:szCs w:val="26"/>
        </w:rPr>
        <w:t xml:space="preserve">maximum, genus </w:t>
      </w:r>
      <w:r>
        <w:rPr>
          <w:sz w:val="26"/>
          <w:szCs w:val="26"/>
        </w:rPr>
        <w:t xml:space="preserve">and </w:t>
      </w:r>
      <w:r>
        <w:rPr>
          <w:i/>
          <w:sz w:val="26"/>
          <w:szCs w:val="26"/>
        </w:rPr>
        <w:t>cause</w:t>
      </w:r>
      <w:r>
        <w:rPr>
          <w:sz w:val="26"/>
          <w:szCs w:val="26"/>
        </w:rPr>
        <w:t xml:space="preserve"> are not as simply understood as they were one thousand or two thousand years ago</w:t>
      </w:r>
      <w:r w:rsidR="00E17188">
        <w:rPr>
          <w:sz w:val="26"/>
          <w:szCs w:val="26"/>
        </w:rPr>
        <w:t>.</w:t>
      </w:r>
      <w:r>
        <w:rPr>
          <w:sz w:val="26"/>
          <w:szCs w:val="26"/>
        </w:rPr>
        <w:t xml:space="preserve"> </w:t>
      </w:r>
      <w:r w:rsidR="00E17188">
        <w:rPr>
          <w:sz w:val="26"/>
          <w:szCs w:val="26"/>
        </w:rPr>
        <w:t>S</w:t>
      </w:r>
      <w:r>
        <w:rPr>
          <w:sz w:val="26"/>
          <w:szCs w:val="26"/>
        </w:rPr>
        <w:t>ome current biologists and physicists would be cautious about the use of these concepts, especially as a foundation to prove the existence of another entity or the validity of another concept</w:t>
      </w:r>
      <w:r w:rsidR="00F55E36">
        <w:rPr>
          <w:sz w:val="26"/>
          <w:szCs w:val="26"/>
        </w:rPr>
        <w:t xml:space="preserve"> such as a personal God</w:t>
      </w:r>
      <w:r>
        <w:rPr>
          <w:sz w:val="26"/>
          <w:szCs w:val="26"/>
        </w:rPr>
        <w:t>.</w:t>
      </w:r>
    </w:p>
    <w:p w14:paraId="2D9C80DA" w14:textId="3861BA90" w:rsidR="00F06A96" w:rsidRDefault="00F06A96" w:rsidP="00F06A96">
      <w:pPr>
        <w:ind w:firstLine="720"/>
        <w:rPr>
          <w:sz w:val="26"/>
          <w:szCs w:val="26"/>
        </w:rPr>
      </w:pPr>
      <w:r>
        <w:rPr>
          <w:sz w:val="26"/>
          <w:szCs w:val="26"/>
        </w:rPr>
        <w:t xml:space="preserve">The final part of Aquinas’ argument is that there must be something to all beings which is a cause of all their being, goodness, and every other perfection; which is God. This argument </w:t>
      </w:r>
      <w:r w:rsidR="00F55E36">
        <w:rPr>
          <w:sz w:val="26"/>
          <w:szCs w:val="26"/>
        </w:rPr>
        <w:t>we be</w:t>
      </w:r>
      <w:r>
        <w:rPr>
          <w:sz w:val="26"/>
          <w:szCs w:val="26"/>
        </w:rPr>
        <w:t xml:space="preserve"> looked at below so I will not pursue it here.</w:t>
      </w:r>
      <w:r w:rsidRPr="00D33672">
        <w:rPr>
          <w:sz w:val="26"/>
          <w:szCs w:val="26"/>
        </w:rPr>
        <w:t xml:space="preserve"> </w:t>
      </w:r>
    </w:p>
    <w:p w14:paraId="7CF554F6" w14:textId="22066D0C" w:rsidR="00F06A96" w:rsidRDefault="00F06A96" w:rsidP="00F06A96">
      <w:pPr>
        <w:ind w:firstLine="720"/>
        <w:rPr>
          <w:sz w:val="26"/>
          <w:szCs w:val="26"/>
        </w:rPr>
      </w:pPr>
      <w:r>
        <w:rPr>
          <w:sz w:val="26"/>
          <w:szCs w:val="26"/>
        </w:rPr>
        <w:t>H.P. Owen provides a reason that God is a being that is personal.</w:t>
      </w:r>
      <w:r>
        <w:rPr>
          <w:rStyle w:val="FootnoteReference"/>
          <w:sz w:val="26"/>
          <w:szCs w:val="26"/>
        </w:rPr>
        <w:footnoteReference w:id="5"/>
      </w:r>
      <w:r>
        <w:rPr>
          <w:sz w:val="26"/>
          <w:szCs w:val="26"/>
        </w:rPr>
        <w:t xml:space="preserve"> He states the notions of authority, claims and laws are at the centre of morality. He maintains that we begin our moral experience by feeling the ‘pressure’ and ‘constraint’</w:t>
      </w:r>
      <w:r>
        <w:rPr>
          <w:rStyle w:val="FootnoteReference"/>
          <w:sz w:val="26"/>
          <w:szCs w:val="26"/>
        </w:rPr>
        <w:footnoteReference w:id="6"/>
      </w:r>
      <w:r>
        <w:rPr>
          <w:sz w:val="26"/>
          <w:szCs w:val="26"/>
        </w:rPr>
        <w:t xml:space="preserve"> of moral claims, but whilst these are not in themselves personal, they are best explained in terms of personal relations. In ordinary language ‘the words ‘obligation’, ‘duty’, ‘claim’ always implies a </w:t>
      </w:r>
      <w:r w:rsidRPr="00A34E95">
        <w:rPr>
          <w:i/>
          <w:sz w:val="26"/>
          <w:szCs w:val="26"/>
        </w:rPr>
        <w:t>personal</w:t>
      </w:r>
      <w:r>
        <w:rPr>
          <w:sz w:val="26"/>
          <w:szCs w:val="26"/>
        </w:rPr>
        <w:t xml:space="preserve"> constraint’</w:t>
      </w:r>
      <w:r>
        <w:rPr>
          <w:rStyle w:val="FootnoteReference"/>
          <w:sz w:val="26"/>
          <w:szCs w:val="26"/>
        </w:rPr>
        <w:footnoteReference w:id="7"/>
      </w:r>
      <w:r>
        <w:rPr>
          <w:sz w:val="26"/>
          <w:szCs w:val="26"/>
        </w:rPr>
        <w:t>, so it is an obvious explanation that our experience of pressure and constraint, that is caused by obligation and duty, will be a personal God rather than an impersonal God. He gives reference to law as an example</w:t>
      </w:r>
      <w:r w:rsidR="00E17188">
        <w:rPr>
          <w:sz w:val="26"/>
          <w:szCs w:val="26"/>
        </w:rPr>
        <w:t>.</w:t>
      </w:r>
      <w:r>
        <w:rPr>
          <w:sz w:val="26"/>
          <w:szCs w:val="26"/>
        </w:rPr>
        <w:t xml:space="preserve"> </w:t>
      </w:r>
      <w:r w:rsidR="00E17188">
        <w:rPr>
          <w:sz w:val="26"/>
          <w:szCs w:val="26"/>
        </w:rPr>
        <w:t>W</w:t>
      </w:r>
      <w:r>
        <w:rPr>
          <w:sz w:val="26"/>
          <w:szCs w:val="26"/>
        </w:rPr>
        <w:t>e feel the pressure of law to constrain our behaviour or we feel the command of law, but it is impossible to think of a command without thinking of a commander. Any law can always be referred back to a ‘source of authority’ such as a king, government or judge.</w:t>
      </w:r>
      <w:r w:rsidR="00F55E36">
        <w:rPr>
          <w:sz w:val="26"/>
          <w:szCs w:val="26"/>
        </w:rPr>
        <w:t xml:space="preserve"> Because he also has the belief that the demands of </w:t>
      </w:r>
      <w:r w:rsidR="00F55E36">
        <w:rPr>
          <w:sz w:val="26"/>
          <w:szCs w:val="26"/>
        </w:rPr>
        <w:lastRenderedPageBreak/>
        <w:t>morality are absolute (derived from the absolute nature of Kant’s categorical imperative)</w:t>
      </w:r>
      <w:r>
        <w:rPr>
          <w:sz w:val="26"/>
          <w:szCs w:val="26"/>
        </w:rPr>
        <w:t xml:space="preserve"> the experience of absolute moral pressures can only have as their source a personal and absolute being. This argument is </w:t>
      </w:r>
      <w:r>
        <w:rPr>
          <w:i/>
          <w:sz w:val="26"/>
          <w:szCs w:val="26"/>
        </w:rPr>
        <w:t xml:space="preserve">an </w:t>
      </w:r>
      <w:r>
        <w:rPr>
          <w:sz w:val="26"/>
          <w:szCs w:val="26"/>
        </w:rPr>
        <w:t>explanation, but not one that I find compelling. I agree that the source of morality lies in the personal, but that the personal source of morality are real people or beings. I believe that it is the reality of another’s experience (both in the present and the possible future) that is the source of the pressure or constraint that I feel. I understand that my actions will affect the experiences of others in possibly positive or negative ways and I feel compelled by the suffering or pleasure that they may feel. This also applies when I am considering moral decisions that will affect my future self</w:t>
      </w:r>
      <w:r w:rsidR="00F55E36">
        <w:rPr>
          <w:sz w:val="26"/>
          <w:szCs w:val="26"/>
        </w:rPr>
        <w:t xml:space="preserve">, I may </w:t>
      </w:r>
      <w:r w:rsidR="00731941">
        <w:rPr>
          <w:sz w:val="26"/>
          <w:szCs w:val="26"/>
        </w:rPr>
        <w:t xml:space="preserve">feel </w:t>
      </w:r>
      <w:r w:rsidR="00F55E36">
        <w:rPr>
          <w:sz w:val="26"/>
          <w:szCs w:val="26"/>
        </w:rPr>
        <w:t>moral obligation</w:t>
      </w:r>
      <w:r w:rsidR="00731941">
        <w:rPr>
          <w:sz w:val="26"/>
          <w:szCs w:val="26"/>
        </w:rPr>
        <w:t>s to the experiences that I may have to undergo</w:t>
      </w:r>
      <w:r>
        <w:rPr>
          <w:sz w:val="26"/>
          <w:szCs w:val="26"/>
        </w:rPr>
        <w:t>.</w:t>
      </w:r>
      <w:r w:rsidR="00731941">
        <w:rPr>
          <w:sz w:val="26"/>
          <w:szCs w:val="26"/>
        </w:rPr>
        <w:t xml:space="preserve"> I believe that it is </w:t>
      </w:r>
      <w:r w:rsidR="00E17188">
        <w:rPr>
          <w:sz w:val="26"/>
          <w:szCs w:val="26"/>
        </w:rPr>
        <w:t xml:space="preserve">a </w:t>
      </w:r>
      <w:r w:rsidR="00731941">
        <w:rPr>
          <w:sz w:val="26"/>
          <w:szCs w:val="26"/>
        </w:rPr>
        <w:t>better explanation that other living being</w:t>
      </w:r>
      <w:r w:rsidR="00E17188">
        <w:rPr>
          <w:sz w:val="26"/>
          <w:szCs w:val="26"/>
        </w:rPr>
        <w:t>s</w:t>
      </w:r>
      <w:r w:rsidR="00731941">
        <w:rPr>
          <w:sz w:val="26"/>
          <w:szCs w:val="26"/>
        </w:rPr>
        <w:t xml:space="preserve"> are the source of morality</w:t>
      </w:r>
      <w:r w:rsidR="00E17188">
        <w:rPr>
          <w:sz w:val="26"/>
          <w:szCs w:val="26"/>
        </w:rPr>
        <w:t>.</w:t>
      </w:r>
      <w:r w:rsidR="00731941">
        <w:rPr>
          <w:sz w:val="26"/>
          <w:szCs w:val="26"/>
        </w:rPr>
        <w:t xml:space="preserve"> </w:t>
      </w:r>
      <w:r w:rsidR="00E17188">
        <w:rPr>
          <w:sz w:val="26"/>
          <w:szCs w:val="26"/>
        </w:rPr>
        <w:t>T</w:t>
      </w:r>
      <w:r w:rsidR="00731941">
        <w:rPr>
          <w:sz w:val="26"/>
          <w:szCs w:val="26"/>
        </w:rPr>
        <w:t>here is certainly no need to invoke the existence of God.</w:t>
      </w:r>
      <w:r>
        <w:rPr>
          <w:sz w:val="26"/>
          <w:szCs w:val="26"/>
        </w:rPr>
        <w:t xml:space="preserve"> </w:t>
      </w:r>
    </w:p>
    <w:p w14:paraId="6AC966E3" w14:textId="2609A799" w:rsidR="00F06A96" w:rsidRDefault="00F06A96" w:rsidP="00F06A96">
      <w:pPr>
        <w:ind w:firstLine="720"/>
        <w:rPr>
          <w:sz w:val="26"/>
          <w:szCs w:val="26"/>
        </w:rPr>
      </w:pPr>
      <w:r>
        <w:rPr>
          <w:sz w:val="26"/>
          <w:szCs w:val="26"/>
        </w:rPr>
        <w:t>The explanation that Owen gives to our experiences is far from necessary and introduces an extra element (God) which is beyond our experience</w:t>
      </w:r>
      <w:r w:rsidR="00731941">
        <w:rPr>
          <w:sz w:val="26"/>
          <w:szCs w:val="26"/>
        </w:rPr>
        <w:t xml:space="preserve"> (God is only known conceptually)</w:t>
      </w:r>
      <w:r>
        <w:rPr>
          <w:sz w:val="26"/>
          <w:szCs w:val="26"/>
        </w:rPr>
        <w:t xml:space="preserve"> into our understanding of morality. I suggest that it is the belief that Owen already holds about God that makes the best explanation of his experience of morality </w:t>
      </w:r>
      <w:r w:rsidR="00E17188">
        <w:rPr>
          <w:sz w:val="26"/>
          <w:szCs w:val="26"/>
        </w:rPr>
        <w:t xml:space="preserve">as </w:t>
      </w:r>
      <w:r>
        <w:rPr>
          <w:sz w:val="26"/>
          <w:szCs w:val="26"/>
        </w:rPr>
        <w:t>a form of ultimate constraint and pressure. This then leads him to see that an ultimate source of constraining power will be a personal God. At the different steps of the argument</w:t>
      </w:r>
      <w:r w:rsidR="00E17188">
        <w:rPr>
          <w:sz w:val="26"/>
          <w:szCs w:val="26"/>
        </w:rPr>
        <w:t>,</w:t>
      </w:r>
      <w:r>
        <w:rPr>
          <w:sz w:val="26"/>
          <w:szCs w:val="26"/>
        </w:rPr>
        <w:t xml:space="preserve"> his perceptions and explanations are dependent on his beliefs. Even if we believe morality to have objective qualities, we do not experience morality in an objective way. We experience feelings and thoughts concerning the welfare of others, but when we claim to have experienced objective morality (as backed by God) it is actually a later stage of explanation of those experiences that we are expressing. This argument is based upon experiences but the explanation of experience and experience itself can be influenced by beliefs and preestablished concepts and conceptual framework </w:t>
      </w:r>
    </w:p>
    <w:p w14:paraId="2CACA0ED" w14:textId="6B137007" w:rsidR="008339DB" w:rsidRDefault="008339DB" w:rsidP="008339DB">
      <w:pPr>
        <w:ind w:firstLine="720"/>
        <w:rPr>
          <w:sz w:val="26"/>
          <w:szCs w:val="26"/>
        </w:rPr>
      </w:pPr>
      <w:r>
        <w:rPr>
          <w:sz w:val="26"/>
          <w:szCs w:val="26"/>
        </w:rPr>
        <w:t>Illtyd Trethowan bases his argument on the encounter of value, specifically human value (again this argument begins with experience). He rejects egoistic hedonism, nihilism and cultural relativism as a denial of objective value (which he believes is incoherent</w:t>
      </w:r>
      <w:r w:rsidR="00E17188">
        <w:rPr>
          <w:sz w:val="26"/>
          <w:szCs w:val="26"/>
        </w:rPr>
        <w:t>) but</w:t>
      </w:r>
      <w:r>
        <w:rPr>
          <w:sz w:val="26"/>
          <w:szCs w:val="26"/>
        </w:rPr>
        <w:t xml:space="preserve"> engages with secular humanism as a realistic yet opposing view to his Christianity. The secular humanism that he describes claims that we should value all people because they have value in themselves</w:t>
      </w:r>
      <w:r w:rsidR="00E17188">
        <w:rPr>
          <w:sz w:val="26"/>
          <w:szCs w:val="26"/>
        </w:rPr>
        <w:t>.</w:t>
      </w:r>
      <w:r>
        <w:rPr>
          <w:sz w:val="26"/>
          <w:szCs w:val="26"/>
        </w:rPr>
        <w:t xml:space="preserve"> </w:t>
      </w:r>
      <w:r w:rsidR="00E17188">
        <w:rPr>
          <w:sz w:val="26"/>
          <w:szCs w:val="26"/>
        </w:rPr>
        <w:t>B</w:t>
      </w:r>
      <w:r>
        <w:rPr>
          <w:sz w:val="26"/>
          <w:szCs w:val="26"/>
        </w:rPr>
        <w:t xml:space="preserve">ut the humanist cannot </w:t>
      </w:r>
      <w:r w:rsidR="00626F00">
        <w:rPr>
          <w:sz w:val="26"/>
          <w:szCs w:val="26"/>
        </w:rPr>
        <w:t>explain</w:t>
      </w:r>
      <w:r>
        <w:rPr>
          <w:sz w:val="26"/>
          <w:szCs w:val="26"/>
        </w:rPr>
        <w:t xml:space="preserve"> the source of the value that he encounters. Trethowan then claims that his ‘interpretation’ of our experience, which is also the best explanation, is that ‘We </w:t>
      </w:r>
      <w:r>
        <w:rPr>
          <w:i/>
          <w:sz w:val="26"/>
          <w:szCs w:val="26"/>
        </w:rPr>
        <w:t>have</w:t>
      </w:r>
      <w:r>
        <w:rPr>
          <w:sz w:val="26"/>
          <w:szCs w:val="26"/>
        </w:rPr>
        <w:t xml:space="preserve"> value because we receive it from a source of value.’</w:t>
      </w:r>
      <w:r>
        <w:rPr>
          <w:rStyle w:val="FootnoteReference"/>
          <w:sz w:val="26"/>
          <w:szCs w:val="26"/>
        </w:rPr>
        <w:footnoteReference w:id="8"/>
      </w:r>
      <w:r>
        <w:rPr>
          <w:sz w:val="26"/>
          <w:szCs w:val="26"/>
        </w:rPr>
        <w:t xml:space="preserve"> He does acknowledge the alternative of a purposeless universe acquiring purpose, just like a non-intelligent </w:t>
      </w:r>
      <w:r>
        <w:rPr>
          <w:sz w:val="26"/>
          <w:szCs w:val="26"/>
        </w:rPr>
        <w:lastRenderedPageBreak/>
        <w:t>universe acquiring intelligence or valueless universe acquiring value but claims that whilst it is not a contradiction to suggest that these properties of the world require no explanation, it is ‘unreasonable’ and ‘odd’</w:t>
      </w:r>
      <w:r>
        <w:rPr>
          <w:rStyle w:val="FootnoteReference"/>
          <w:sz w:val="26"/>
          <w:szCs w:val="26"/>
        </w:rPr>
        <w:footnoteReference w:id="9"/>
      </w:r>
      <w:r>
        <w:rPr>
          <w:sz w:val="26"/>
          <w:szCs w:val="26"/>
        </w:rPr>
        <w:t xml:space="preserve">. </w:t>
      </w:r>
    </w:p>
    <w:p w14:paraId="71ABDD85" w14:textId="6A8B0B31" w:rsidR="008339DB" w:rsidRDefault="008339DB" w:rsidP="008339DB">
      <w:pPr>
        <w:ind w:firstLine="720"/>
        <w:rPr>
          <w:sz w:val="26"/>
          <w:szCs w:val="26"/>
        </w:rPr>
      </w:pPr>
      <w:r>
        <w:rPr>
          <w:sz w:val="26"/>
          <w:szCs w:val="26"/>
        </w:rPr>
        <w:t xml:space="preserve">Trethowan believes that man cannot be the source of his own value or his own moral framework (which is the claim of the secular humanist), but if humanity was its own source of value or if the universe was the source of value, then the conclusion that a transcendent God exists because God is the source of morality loses its appeal. I do not find it odd that value has arisen out of matter. The explanations for the development of consciousness that do not contain God </w:t>
      </w:r>
      <w:r w:rsidRPr="00F674A4">
        <w:rPr>
          <w:i/>
          <w:sz w:val="26"/>
          <w:szCs w:val="26"/>
        </w:rPr>
        <w:t>seem to me</w:t>
      </w:r>
      <w:r>
        <w:rPr>
          <w:sz w:val="26"/>
          <w:szCs w:val="26"/>
        </w:rPr>
        <w:t xml:space="preserve"> to sufficiently explain how consciousness has developed. It is also a satisfactory explanation that consciousness is the seat of experience, and that experience is the source of value. I therefore have no need to invoke the existence of God as the best explanation of the value that we experience in the world.</w:t>
      </w:r>
    </w:p>
    <w:p w14:paraId="75A65EF3" w14:textId="11B09BEB" w:rsidR="008339DB" w:rsidRDefault="008339DB" w:rsidP="008339DB">
      <w:pPr>
        <w:ind w:firstLine="720"/>
        <w:rPr>
          <w:sz w:val="26"/>
          <w:szCs w:val="26"/>
        </w:rPr>
      </w:pPr>
      <w:r>
        <w:rPr>
          <w:sz w:val="26"/>
          <w:szCs w:val="26"/>
        </w:rPr>
        <w:t>There seems to be a much simpler meta-physical stance that is lurking behind all three philosopher</w:t>
      </w:r>
      <w:r w:rsidR="00E75181">
        <w:rPr>
          <w:sz w:val="26"/>
          <w:szCs w:val="26"/>
        </w:rPr>
        <w:t>’</w:t>
      </w:r>
      <w:r>
        <w:rPr>
          <w:sz w:val="26"/>
          <w:szCs w:val="26"/>
        </w:rPr>
        <w:t>s arguments</w:t>
      </w:r>
      <w:r w:rsidR="00AB28AE">
        <w:rPr>
          <w:sz w:val="26"/>
          <w:szCs w:val="26"/>
        </w:rPr>
        <w:t>;</w:t>
      </w:r>
      <w:r>
        <w:rPr>
          <w:sz w:val="26"/>
          <w:szCs w:val="26"/>
        </w:rPr>
        <w:t xml:space="preserve"> that something cannot come from nothing and that things cannot be referential to themselves.</w:t>
      </w:r>
      <w:r w:rsidR="00AB28AE">
        <w:rPr>
          <w:sz w:val="26"/>
          <w:szCs w:val="26"/>
        </w:rPr>
        <w:t xml:space="preserve"> I completely disagree with this stance. I find life a fundamentally creative enterprise, having children, creating families, playing music, painting art, sharing </w:t>
      </w:r>
      <w:r w:rsidR="00E75181">
        <w:rPr>
          <w:sz w:val="26"/>
          <w:szCs w:val="26"/>
        </w:rPr>
        <w:t>and creating emotions with</w:t>
      </w:r>
      <w:r w:rsidR="00AB28AE">
        <w:rPr>
          <w:sz w:val="26"/>
          <w:szCs w:val="26"/>
        </w:rPr>
        <w:t xml:space="preserve"> people, these activities create something that was not there before. It is </w:t>
      </w:r>
      <w:r w:rsidR="00E75181">
        <w:rPr>
          <w:sz w:val="26"/>
          <w:szCs w:val="26"/>
        </w:rPr>
        <w:t xml:space="preserve">my engagement in </w:t>
      </w:r>
      <w:r w:rsidR="00AB28AE">
        <w:rPr>
          <w:sz w:val="26"/>
          <w:szCs w:val="26"/>
        </w:rPr>
        <w:t xml:space="preserve">these activities that allow me to leave behind the idea that </w:t>
      </w:r>
      <w:r w:rsidR="000F6DC0">
        <w:rPr>
          <w:sz w:val="26"/>
          <w:szCs w:val="26"/>
        </w:rPr>
        <w:t>something cannot come from nothing</w:t>
      </w:r>
      <w:r w:rsidR="00E75181">
        <w:rPr>
          <w:sz w:val="26"/>
          <w:szCs w:val="26"/>
        </w:rPr>
        <w:t xml:space="preserve"> and that </w:t>
      </w:r>
      <w:r w:rsidR="00AB28AE">
        <w:rPr>
          <w:sz w:val="26"/>
          <w:szCs w:val="26"/>
        </w:rPr>
        <w:t xml:space="preserve">God is necessary </w:t>
      </w:r>
      <w:r w:rsidR="002D3739">
        <w:rPr>
          <w:sz w:val="26"/>
          <w:szCs w:val="26"/>
        </w:rPr>
        <w:t>for morality, or th</w:t>
      </w:r>
      <w:r w:rsidR="00E75181">
        <w:rPr>
          <w:sz w:val="26"/>
          <w:szCs w:val="26"/>
        </w:rPr>
        <w:t>at</w:t>
      </w:r>
      <w:r w:rsidR="002D3739">
        <w:rPr>
          <w:sz w:val="26"/>
          <w:szCs w:val="26"/>
        </w:rPr>
        <w:t xml:space="preserve"> morality points to </w:t>
      </w:r>
      <w:r w:rsidR="0025165D">
        <w:rPr>
          <w:sz w:val="26"/>
          <w:szCs w:val="26"/>
        </w:rPr>
        <w:t xml:space="preserve">the existence of </w:t>
      </w:r>
      <w:r w:rsidR="002D3739">
        <w:rPr>
          <w:sz w:val="26"/>
          <w:szCs w:val="26"/>
        </w:rPr>
        <w:t>God.</w:t>
      </w:r>
      <w:r w:rsidR="00AB28AE">
        <w:rPr>
          <w:sz w:val="26"/>
          <w:szCs w:val="26"/>
        </w:rPr>
        <w:t xml:space="preserve"> </w:t>
      </w:r>
    </w:p>
    <w:p w14:paraId="4B7D06AE" w14:textId="743F8319" w:rsidR="00F06A96" w:rsidRDefault="002D3739" w:rsidP="00F06A96">
      <w:pPr>
        <w:ind w:firstLine="720"/>
        <w:rPr>
          <w:sz w:val="26"/>
          <w:szCs w:val="26"/>
        </w:rPr>
      </w:pPr>
      <w:r>
        <w:rPr>
          <w:sz w:val="26"/>
          <w:szCs w:val="26"/>
        </w:rPr>
        <w:t>In the final part of this essay</w:t>
      </w:r>
      <w:r w:rsidR="00B37B53">
        <w:rPr>
          <w:sz w:val="26"/>
          <w:szCs w:val="26"/>
        </w:rPr>
        <w:t>,</w:t>
      </w:r>
      <w:r>
        <w:rPr>
          <w:sz w:val="26"/>
          <w:szCs w:val="26"/>
        </w:rPr>
        <w:t xml:space="preserve"> I would like to explore how i</w:t>
      </w:r>
      <w:r w:rsidR="00F06A96">
        <w:rPr>
          <w:sz w:val="26"/>
          <w:szCs w:val="26"/>
        </w:rPr>
        <w:t xml:space="preserve">t is the case that the conceptual framework </w:t>
      </w:r>
      <w:r w:rsidR="0025165D">
        <w:rPr>
          <w:sz w:val="26"/>
          <w:szCs w:val="26"/>
        </w:rPr>
        <w:t>or</w:t>
      </w:r>
      <w:r w:rsidR="001B48B6">
        <w:rPr>
          <w:sz w:val="26"/>
          <w:szCs w:val="26"/>
        </w:rPr>
        <w:t xml:space="preserve"> beliefs </w:t>
      </w:r>
      <w:r w:rsidR="00F06A96">
        <w:rPr>
          <w:sz w:val="26"/>
          <w:szCs w:val="26"/>
        </w:rPr>
        <w:t xml:space="preserve">that a person holds will shape their primary experience of morality. </w:t>
      </w:r>
      <w:r w:rsidR="001B48B6">
        <w:rPr>
          <w:sz w:val="26"/>
          <w:szCs w:val="26"/>
        </w:rPr>
        <w:t>An</w:t>
      </w:r>
      <w:r w:rsidR="00F06A96">
        <w:rPr>
          <w:sz w:val="26"/>
          <w:szCs w:val="26"/>
        </w:rPr>
        <w:t xml:space="preserve"> example</w:t>
      </w:r>
      <w:r w:rsidR="001B48B6">
        <w:rPr>
          <w:sz w:val="26"/>
          <w:szCs w:val="26"/>
        </w:rPr>
        <w:t xml:space="preserve"> of this is where</w:t>
      </w:r>
      <w:r w:rsidR="00F06A96">
        <w:rPr>
          <w:sz w:val="26"/>
          <w:szCs w:val="26"/>
        </w:rPr>
        <w:t xml:space="preserve"> some vegetarians find the experience of even watching people eat meat disgusting, but they did not </w:t>
      </w:r>
      <w:r w:rsidR="001B48B6">
        <w:rPr>
          <w:sz w:val="26"/>
          <w:szCs w:val="26"/>
        </w:rPr>
        <w:t xml:space="preserve">do so </w:t>
      </w:r>
      <w:r w:rsidR="00F06A96">
        <w:rPr>
          <w:sz w:val="26"/>
          <w:szCs w:val="26"/>
        </w:rPr>
        <w:t xml:space="preserve">when they used to eat meat. I cite this to show that </w:t>
      </w:r>
      <w:r w:rsidR="00F06A96" w:rsidRPr="000B34FE">
        <w:rPr>
          <w:i/>
          <w:sz w:val="26"/>
          <w:szCs w:val="26"/>
        </w:rPr>
        <w:t>how</w:t>
      </w:r>
      <w:r w:rsidR="00F06A96">
        <w:rPr>
          <w:sz w:val="26"/>
          <w:szCs w:val="26"/>
        </w:rPr>
        <w:t xml:space="preserve"> we see or experience an act will depend on the concepts about morality that we hold, and, that those concepts that we hold will affect whether we find some explanation about morality acceptable or not. </w:t>
      </w:r>
      <w:r w:rsidR="001B48B6">
        <w:rPr>
          <w:sz w:val="26"/>
          <w:szCs w:val="26"/>
        </w:rPr>
        <w:t xml:space="preserve">The experience of finding eating meat a vile and immoral act will then reinforce the belief. </w:t>
      </w:r>
      <w:r w:rsidR="00F06A96">
        <w:rPr>
          <w:sz w:val="26"/>
          <w:szCs w:val="26"/>
        </w:rPr>
        <w:t xml:space="preserve">There is </w:t>
      </w:r>
      <w:r w:rsidR="001B48B6">
        <w:rPr>
          <w:sz w:val="26"/>
          <w:szCs w:val="26"/>
        </w:rPr>
        <w:t>an</w:t>
      </w:r>
      <w:r w:rsidR="00F06A96">
        <w:rPr>
          <w:sz w:val="26"/>
          <w:szCs w:val="26"/>
        </w:rPr>
        <w:t xml:space="preserve"> exchange and influence between the beliefs that we hold and how we experience the world, and then </w:t>
      </w:r>
      <w:r w:rsidR="000B34FE">
        <w:rPr>
          <w:sz w:val="26"/>
          <w:szCs w:val="26"/>
        </w:rPr>
        <w:t>what</w:t>
      </w:r>
      <w:r w:rsidR="00F06A96">
        <w:rPr>
          <w:sz w:val="26"/>
          <w:szCs w:val="26"/>
        </w:rPr>
        <w:t xml:space="preserve"> we consider the best explanation to justify those beliefs.</w:t>
      </w:r>
    </w:p>
    <w:p w14:paraId="02C4AE2A" w14:textId="26F9C653" w:rsidR="001B48B6" w:rsidRDefault="00E75181" w:rsidP="00E75181">
      <w:pPr>
        <w:ind w:firstLine="720"/>
        <w:rPr>
          <w:sz w:val="26"/>
          <w:szCs w:val="26"/>
        </w:rPr>
      </w:pPr>
      <w:r>
        <w:rPr>
          <w:sz w:val="26"/>
          <w:szCs w:val="26"/>
        </w:rPr>
        <w:t>I</w:t>
      </w:r>
      <w:r w:rsidR="000C5F25">
        <w:rPr>
          <w:sz w:val="26"/>
          <w:szCs w:val="26"/>
        </w:rPr>
        <w:t xml:space="preserve"> suggest</w:t>
      </w:r>
      <w:r>
        <w:rPr>
          <w:sz w:val="26"/>
          <w:szCs w:val="26"/>
        </w:rPr>
        <w:t xml:space="preserve"> that it is other </w:t>
      </w:r>
      <w:r w:rsidR="000C5F25">
        <w:rPr>
          <w:sz w:val="26"/>
          <w:szCs w:val="26"/>
        </w:rPr>
        <w:t xml:space="preserve">supportive </w:t>
      </w:r>
      <w:r>
        <w:rPr>
          <w:sz w:val="26"/>
          <w:szCs w:val="26"/>
        </w:rPr>
        <w:t xml:space="preserve">beliefs that are influencing which explanations of experience </w:t>
      </w:r>
      <w:r w:rsidR="0025165D">
        <w:rPr>
          <w:sz w:val="26"/>
          <w:szCs w:val="26"/>
        </w:rPr>
        <w:t xml:space="preserve">that </w:t>
      </w:r>
      <w:r>
        <w:rPr>
          <w:sz w:val="26"/>
          <w:szCs w:val="26"/>
        </w:rPr>
        <w:t xml:space="preserve">Trethowan finds either acceptable or unreasonable and odd. The conclusions that Trethowan draws from the argument from design </w:t>
      </w:r>
      <w:r>
        <w:rPr>
          <w:sz w:val="26"/>
          <w:szCs w:val="26"/>
        </w:rPr>
        <w:lastRenderedPageBreak/>
        <w:t>(intelligence), the argument for the unmoved mover, and the teleological argument (purpose) explain why he finds it unreasonable and odd to not think that God is the source of all moral value.</w:t>
      </w:r>
      <w:r w:rsidR="001B48B6">
        <w:rPr>
          <w:sz w:val="26"/>
          <w:szCs w:val="26"/>
        </w:rPr>
        <w:t xml:space="preserve"> </w:t>
      </w:r>
      <w:r w:rsidR="000C5F25">
        <w:rPr>
          <w:sz w:val="26"/>
          <w:szCs w:val="26"/>
        </w:rPr>
        <w:t xml:space="preserve">This returns to my point that there is </w:t>
      </w:r>
      <w:r w:rsidR="00626F00">
        <w:rPr>
          <w:sz w:val="26"/>
          <w:szCs w:val="26"/>
        </w:rPr>
        <w:t>an</w:t>
      </w:r>
      <w:r w:rsidR="000C5F25">
        <w:rPr>
          <w:sz w:val="26"/>
          <w:szCs w:val="26"/>
        </w:rPr>
        <w:t xml:space="preserve"> </w:t>
      </w:r>
      <w:r w:rsidR="0025165D">
        <w:rPr>
          <w:sz w:val="26"/>
          <w:szCs w:val="26"/>
        </w:rPr>
        <w:t>underlying</w:t>
      </w:r>
      <w:r w:rsidR="000C5F25">
        <w:rPr>
          <w:sz w:val="26"/>
          <w:szCs w:val="26"/>
        </w:rPr>
        <w:t xml:space="preserve"> meta-physical stance at work.</w:t>
      </w:r>
    </w:p>
    <w:p w14:paraId="574E0CE6" w14:textId="6EAC6166" w:rsidR="00E75181" w:rsidRDefault="001B48B6" w:rsidP="00E75181">
      <w:pPr>
        <w:ind w:firstLine="720"/>
        <w:rPr>
          <w:sz w:val="26"/>
          <w:szCs w:val="26"/>
        </w:rPr>
      </w:pPr>
      <w:r>
        <w:rPr>
          <w:sz w:val="26"/>
          <w:szCs w:val="26"/>
        </w:rPr>
        <w:t>Owen reported that he experienced morality as pressure and constraint, whereas Henri Bergson</w:t>
      </w:r>
      <w:r w:rsidR="00E75181">
        <w:rPr>
          <w:sz w:val="26"/>
          <w:szCs w:val="26"/>
        </w:rPr>
        <w:t xml:space="preserve"> </w:t>
      </w:r>
      <w:r w:rsidR="00E16C39">
        <w:rPr>
          <w:sz w:val="26"/>
          <w:szCs w:val="26"/>
        </w:rPr>
        <w:t xml:space="preserve">(1859-1941) experienced morality as opportunity. I suggest </w:t>
      </w:r>
      <w:r w:rsidR="000C5F25">
        <w:rPr>
          <w:sz w:val="26"/>
          <w:szCs w:val="26"/>
        </w:rPr>
        <w:t xml:space="preserve">that </w:t>
      </w:r>
      <w:r w:rsidR="00E16C39">
        <w:rPr>
          <w:sz w:val="26"/>
          <w:szCs w:val="26"/>
        </w:rPr>
        <w:t xml:space="preserve">this difference is because of the </w:t>
      </w:r>
      <w:r w:rsidR="000C5F25">
        <w:rPr>
          <w:sz w:val="26"/>
          <w:szCs w:val="26"/>
        </w:rPr>
        <w:t xml:space="preserve">different </w:t>
      </w:r>
      <w:r w:rsidR="00E16C39">
        <w:rPr>
          <w:sz w:val="26"/>
          <w:szCs w:val="26"/>
        </w:rPr>
        <w:t>background beliefs about what morality is and its source</w:t>
      </w:r>
      <w:r w:rsidR="000C5F25">
        <w:rPr>
          <w:sz w:val="26"/>
          <w:szCs w:val="26"/>
        </w:rPr>
        <w:t>, that were held by the two philosophers</w:t>
      </w:r>
      <w:r w:rsidR="00E16C39">
        <w:rPr>
          <w:sz w:val="26"/>
          <w:szCs w:val="26"/>
        </w:rPr>
        <w:t xml:space="preserve">. </w:t>
      </w:r>
      <w:r w:rsidR="00E75181">
        <w:rPr>
          <w:sz w:val="26"/>
          <w:szCs w:val="26"/>
        </w:rPr>
        <w:t xml:space="preserve">If the background beliefs are such then the </w:t>
      </w:r>
      <w:r w:rsidR="000C5F25">
        <w:rPr>
          <w:sz w:val="26"/>
          <w:szCs w:val="26"/>
        </w:rPr>
        <w:t>step</w:t>
      </w:r>
      <w:r w:rsidR="00E75181">
        <w:rPr>
          <w:sz w:val="26"/>
          <w:szCs w:val="26"/>
        </w:rPr>
        <w:t xml:space="preserve"> from the premise to conclusion</w:t>
      </w:r>
      <w:r w:rsidR="00E16C39">
        <w:rPr>
          <w:sz w:val="26"/>
          <w:szCs w:val="26"/>
        </w:rPr>
        <w:t xml:space="preserve"> (the explanation)</w:t>
      </w:r>
      <w:r w:rsidR="00E75181">
        <w:rPr>
          <w:sz w:val="26"/>
          <w:szCs w:val="26"/>
        </w:rPr>
        <w:t xml:space="preserve"> will either make sense or not. There is a whole world view that</w:t>
      </w:r>
      <w:r w:rsidR="00E16C39">
        <w:rPr>
          <w:sz w:val="26"/>
          <w:szCs w:val="26"/>
        </w:rPr>
        <w:t xml:space="preserve"> is held by the arguer that</w:t>
      </w:r>
      <w:r w:rsidR="00E75181">
        <w:rPr>
          <w:sz w:val="26"/>
          <w:szCs w:val="26"/>
        </w:rPr>
        <w:t xml:space="preserve"> surrounds the argument that will influence you to see the conclusion</w:t>
      </w:r>
      <w:r w:rsidR="0025165D">
        <w:rPr>
          <w:sz w:val="26"/>
          <w:szCs w:val="26"/>
        </w:rPr>
        <w:t>s of the argument</w:t>
      </w:r>
      <w:r w:rsidR="00E75181">
        <w:rPr>
          <w:sz w:val="26"/>
          <w:szCs w:val="26"/>
        </w:rPr>
        <w:t xml:space="preserve"> as reasonable or unreasonable</w:t>
      </w:r>
      <w:r w:rsidR="000C5F25">
        <w:rPr>
          <w:sz w:val="26"/>
          <w:szCs w:val="26"/>
        </w:rPr>
        <w:t>. This is</w:t>
      </w:r>
      <w:r w:rsidR="00E16C39">
        <w:rPr>
          <w:sz w:val="26"/>
          <w:szCs w:val="26"/>
        </w:rPr>
        <w:t xml:space="preserve"> because th</w:t>
      </w:r>
      <w:r w:rsidR="000C5F25">
        <w:rPr>
          <w:sz w:val="26"/>
          <w:szCs w:val="26"/>
        </w:rPr>
        <w:t>e</w:t>
      </w:r>
      <w:r w:rsidR="00E16C39">
        <w:rPr>
          <w:sz w:val="26"/>
          <w:szCs w:val="26"/>
        </w:rPr>
        <w:t xml:space="preserve"> world view also influences how we experience the world</w:t>
      </w:r>
      <w:r w:rsidR="00892C12">
        <w:rPr>
          <w:sz w:val="26"/>
          <w:szCs w:val="26"/>
        </w:rPr>
        <w:t>, people with different concepts are to some degree seeing different things</w:t>
      </w:r>
      <w:r w:rsidR="00E75181">
        <w:rPr>
          <w:sz w:val="26"/>
          <w:szCs w:val="26"/>
        </w:rPr>
        <w:t>.</w:t>
      </w:r>
      <w:r w:rsidR="00E75181" w:rsidRPr="00857F3A">
        <w:rPr>
          <w:sz w:val="26"/>
          <w:szCs w:val="26"/>
        </w:rPr>
        <w:t xml:space="preserve"> </w:t>
      </w:r>
    </w:p>
    <w:p w14:paraId="6AFBE3BF" w14:textId="0E3CFC0E" w:rsidR="00E75181" w:rsidRDefault="00E75181" w:rsidP="00E75181">
      <w:pPr>
        <w:ind w:firstLine="720"/>
        <w:rPr>
          <w:sz w:val="26"/>
          <w:szCs w:val="26"/>
        </w:rPr>
      </w:pPr>
      <w:r>
        <w:rPr>
          <w:sz w:val="26"/>
          <w:szCs w:val="26"/>
        </w:rPr>
        <w:t>The argument from morality can be used to support whatever understanding of morality and its source that the arguer already holds. As long as the arguer already holds the correct supportive beliefs then the explanation that is given for the moral experiences that one has will be accepted as the best explanation. As a test of this position</w:t>
      </w:r>
      <w:r w:rsidR="00B37B53">
        <w:rPr>
          <w:sz w:val="26"/>
          <w:szCs w:val="26"/>
        </w:rPr>
        <w:t>,</w:t>
      </w:r>
      <w:r>
        <w:rPr>
          <w:sz w:val="26"/>
          <w:szCs w:val="26"/>
        </w:rPr>
        <w:t xml:space="preserve"> I am going to try to insert the controversial and generally unaccepted theory of divine ordained racism and see if it could still be used show that the existence of God is best explanation for it.</w:t>
      </w:r>
    </w:p>
    <w:p w14:paraId="5C5CF5EB" w14:textId="77777777" w:rsidR="00E75181" w:rsidRDefault="00E75181" w:rsidP="00E75181">
      <w:pPr>
        <w:rPr>
          <w:sz w:val="26"/>
          <w:szCs w:val="26"/>
        </w:rPr>
      </w:pPr>
      <w:r>
        <w:rPr>
          <w:sz w:val="26"/>
          <w:szCs w:val="26"/>
        </w:rPr>
        <w:tab/>
        <w:t>P1-I experience a moral sense of either pride or disgust for people of a different races.</w:t>
      </w:r>
    </w:p>
    <w:p w14:paraId="755328FC" w14:textId="77777777" w:rsidR="00E75181" w:rsidRDefault="00E75181" w:rsidP="00E75181">
      <w:pPr>
        <w:rPr>
          <w:sz w:val="26"/>
          <w:szCs w:val="26"/>
        </w:rPr>
      </w:pPr>
      <w:r>
        <w:rPr>
          <w:sz w:val="26"/>
          <w:szCs w:val="26"/>
        </w:rPr>
        <w:tab/>
        <w:t>P2-The best explanation for me having this sense of pride or disgust is that people of different races are either lower or higher on Gods objective scale of races.</w:t>
      </w:r>
    </w:p>
    <w:p w14:paraId="12584BFA" w14:textId="77777777" w:rsidR="00E75181" w:rsidRDefault="00E75181" w:rsidP="00E75181">
      <w:pPr>
        <w:rPr>
          <w:sz w:val="26"/>
          <w:szCs w:val="26"/>
        </w:rPr>
      </w:pPr>
      <w:r>
        <w:rPr>
          <w:sz w:val="26"/>
          <w:szCs w:val="26"/>
        </w:rPr>
        <w:tab/>
        <w:t>C1-Therefore, God exists, and races exist in an objective scale.</w:t>
      </w:r>
    </w:p>
    <w:p w14:paraId="6067762F" w14:textId="263A4E08" w:rsidR="00E75181" w:rsidRDefault="00E75181" w:rsidP="00E75181">
      <w:pPr>
        <w:ind w:firstLine="720"/>
        <w:rPr>
          <w:sz w:val="26"/>
          <w:szCs w:val="26"/>
        </w:rPr>
      </w:pPr>
      <w:r>
        <w:rPr>
          <w:sz w:val="26"/>
          <w:szCs w:val="26"/>
        </w:rPr>
        <w:t xml:space="preserve">From this (false) argument for divine ordained racism, I conclude that the conclusions that can be drawn from the argument from morality will simply depend upon the way that we explain our moral experiences. There is a certain degree of circularity between the concepts that we hold and the nature of the experiences that we have that will reinforce the concepts we hold, the explanations of our experiences and the experiences that we will have. So, the question of whether the argument from morality supports the existence of God will become a question about the concepts that are already held. </w:t>
      </w:r>
    </w:p>
    <w:p w14:paraId="785E1940" w14:textId="314251D9" w:rsidR="00F06A96" w:rsidRDefault="0025165D">
      <w:pPr>
        <w:rPr>
          <w:sz w:val="26"/>
          <w:szCs w:val="26"/>
        </w:rPr>
      </w:pPr>
      <w:r>
        <w:rPr>
          <w:sz w:val="26"/>
          <w:szCs w:val="26"/>
        </w:rPr>
        <w:tab/>
        <w:t xml:space="preserve">To conclude, </w:t>
      </w:r>
      <w:r w:rsidR="00110106">
        <w:rPr>
          <w:sz w:val="26"/>
          <w:szCs w:val="26"/>
        </w:rPr>
        <w:t>my assessment of</w:t>
      </w:r>
      <w:r w:rsidR="00883841">
        <w:rPr>
          <w:sz w:val="26"/>
          <w:szCs w:val="26"/>
        </w:rPr>
        <w:t xml:space="preserve"> the </w:t>
      </w:r>
      <w:r w:rsidR="00626F00">
        <w:rPr>
          <w:sz w:val="26"/>
          <w:szCs w:val="26"/>
        </w:rPr>
        <w:t>argument</w:t>
      </w:r>
      <w:r w:rsidR="00883841">
        <w:rPr>
          <w:sz w:val="26"/>
          <w:szCs w:val="26"/>
        </w:rPr>
        <w:t xml:space="preserve"> for the existence of God from morality as proposed by St Thomas Aquinas, H.P. Owen</w:t>
      </w:r>
      <w:r w:rsidR="00110106">
        <w:rPr>
          <w:sz w:val="26"/>
          <w:szCs w:val="26"/>
        </w:rPr>
        <w:t xml:space="preserve"> and</w:t>
      </w:r>
      <w:r w:rsidR="00883841">
        <w:rPr>
          <w:sz w:val="26"/>
          <w:szCs w:val="26"/>
        </w:rPr>
        <w:t xml:space="preserve"> Illtyd Trethowan </w:t>
      </w:r>
      <w:r w:rsidR="00110106">
        <w:rPr>
          <w:sz w:val="26"/>
          <w:szCs w:val="26"/>
        </w:rPr>
        <w:t>has</w:t>
      </w:r>
      <w:r w:rsidR="00883841">
        <w:rPr>
          <w:sz w:val="26"/>
          <w:szCs w:val="26"/>
        </w:rPr>
        <w:t xml:space="preserve"> demonstrat</w:t>
      </w:r>
      <w:r w:rsidR="00110106">
        <w:rPr>
          <w:sz w:val="26"/>
          <w:szCs w:val="26"/>
        </w:rPr>
        <w:t>ed</w:t>
      </w:r>
      <w:r w:rsidR="00883841">
        <w:rPr>
          <w:sz w:val="26"/>
          <w:szCs w:val="26"/>
        </w:rPr>
        <w:t xml:space="preserve"> that the</w:t>
      </w:r>
      <w:r w:rsidR="00110106">
        <w:rPr>
          <w:sz w:val="26"/>
          <w:szCs w:val="26"/>
        </w:rPr>
        <w:t>se philosophers</w:t>
      </w:r>
      <w:r w:rsidR="00883841">
        <w:rPr>
          <w:sz w:val="26"/>
          <w:szCs w:val="26"/>
        </w:rPr>
        <w:t xml:space="preserve"> </w:t>
      </w:r>
      <w:r w:rsidR="00110106">
        <w:rPr>
          <w:sz w:val="26"/>
          <w:szCs w:val="26"/>
        </w:rPr>
        <w:t>have</w:t>
      </w:r>
      <w:r w:rsidR="00883841">
        <w:rPr>
          <w:sz w:val="26"/>
          <w:szCs w:val="26"/>
        </w:rPr>
        <w:t xml:space="preserve"> not show that God is the best </w:t>
      </w:r>
      <w:r w:rsidR="00883841">
        <w:rPr>
          <w:sz w:val="26"/>
          <w:szCs w:val="26"/>
        </w:rPr>
        <w:lastRenderedPageBreak/>
        <w:t>explanation of our moral experience. Instead it seems that their acceptance of God as the best expl</w:t>
      </w:r>
      <w:r w:rsidR="00EC5503">
        <w:rPr>
          <w:sz w:val="26"/>
          <w:szCs w:val="26"/>
        </w:rPr>
        <w:t>an</w:t>
      </w:r>
      <w:r w:rsidR="00883841">
        <w:rPr>
          <w:sz w:val="26"/>
          <w:szCs w:val="26"/>
        </w:rPr>
        <w:t>ation</w:t>
      </w:r>
      <w:r w:rsidR="00EC5503">
        <w:rPr>
          <w:sz w:val="26"/>
          <w:szCs w:val="26"/>
        </w:rPr>
        <w:t xml:space="preserve"> of moral</w:t>
      </w:r>
      <w:r w:rsidR="00110106">
        <w:rPr>
          <w:sz w:val="26"/>
          <w:szCs w:val="26"/>
        </w:rPr>
        <w:t>ity is based upon an assumed premise that it is true that God exists</w:t>
      </w:r>
      <w:r w:rsidR="00626F00">
        <w:rPr>
          <w:sz w:val="26"/>
          <w:szCs w:val="26"/>
        </w:rPr>
        <w:t xml:space="preserve"> and their beliefs in relation to this premise have been shown at the very least problematic</w:t>
      </w:r>
      <w:r w:rsidR="00110106">
        <w:rPr>
          <w:sz w:val="26"/>
          <w:szCs w:val="26"/>
        </w:rPr>
        <w:t>.</w:t>
      </w:r>
      <w:r w:rsidR="00626F00">
        <w:rPr>
          <w:sz w:val="26"/>
          <w:szCs w:val="26"/>
        </w:rPr>
        <w:t xml:space="preserve"> Further, in exploring the relation between moral experience, explanation and belief I have </w:t>
      </w:r>
      <w:r w:rsidR="00FB4BCB">
        <w:rPr>
          <w:sz w:val="26"/>
          <w:szCs w:val="26"/>
        </w:rPr>
        <w:t>shown them to produce a network that is capable of influencing and confirming each-others existence, explanation and justification. This has the outcome that all sorts of beliefs</w:t>
      </w:r>
      <w:r w:rsidR="003C03AB">
        <w:rPr>
          <w:sz w:val="26"/>
          <w:szCs w:val="26"/>
        </w:rPr>
        <w:t xml:space="preserve"> (true or false)</w:t>
      </w:r>
      <w:r w:rsidR="00FB4BCB">
        <w:rPr>
          <w:sz w:val="26"/>
          <w:szCs w:val="26"/>
        </w:rPr>
        <w:t xml:space="preserve"> are can appear to be justified from within the perspective of a believer.</w:t>
      </w:r>
    </w:p>
    <w:p w14:paraId="584AC36E" w14:textId="47382562" w:rsidR="0040665C" w:rsidRDefault="0040665C">
      <w:pPr>
        <w:rPr>
          <w:sz w:val="26"/>
          <w:szCs w:val="26"/>
        </w:rPr>
      </w:pPr>
    </w:p>
    <w:p w14:paraId="4FFEF2F2" w14:textId="02BB1FA9" w:rsidR="0040665C" w:rsidRDefault="0040665C">
      <w:pPr>
        <w:rPr>
          <w:sz w:val="26"/>
          <w:szCs w:val="26"/>
        </w:rPr>
      </w:pPr>
    </w:p>
    <w:p w14:paraId="5FBA3F87" w14:textId="1688F03A" w:rsidR="0040665C" w:rsidRDefault="00726AA4">
      <w:pPr>
        <w:rPr>
          <w:sz w:val="26"/>
          <w:szCs w:val="26"/>
        </w:rPr>
      </w:pPr>
      <w:r>
        <w:rPr>
          <w:sz w:val="26"/>
          <w:szCs w:val="26"/>
        </w:rPr>
        <w:t>Bibliography</w:t>
      </w:r>
    </w:p>
    <w:p w14:paraId="52980E54" w14:textId="43C4A8BD" w:rsidR="00726AA4" w:rsidRPr="00726AA4" w:rsidRDefault="00726AA4" w:rsidP="00726AA4">
      <w:pPr>
        <w:rPr>
          <w:sz w:val="26"/>
          <w:szCs w:val="26"/>
        </w:rPr>
      </w:pPr>
      <w:r w:rsidRPr="00726AA4">
        <w:rPr>
          <w:sz w:val="26"/>
          <w:szCs w:val="26"/>
        </w:rPr>
        <w:t xml:space="preserve">St. Thomas, Aquinas, 1265–1274 [1948], </w:t>
      </w:r>
      <w:r w:rsidRPr="00726AA4">
        <w:rPr>
          <w:rStyle w:val="Emphasis"/>
          <w:sz w:val="26"/>
          <w:szCs w:val="26"/>
        </w:rPr>
        <w:t>Summa Theologica</w:t>
      </w:r>
      <w:r w:rsidRPr="00726AA4">
        <w:rPr>
          <w:sz w:val="26"/>
          <w:szCs w:val="26"/>
        </w:rPr>
        <w:t xml:space="preserve">, New York: </w:t>
      </w:r>
      <w:proofErr w:type="spellStart"/>
      <w:r w:rsidRPr="00726AA4">
        <w:rPr>
          <w:sz w:val="26"/>
          <w:szCs w:val="26"/>
        </w:rPr>
        <w:t>Benziger</w:t>
      </w:r>
      <w:proofErr w:type="spellEnd"/>
      <w:r w:rsidRPr="00726AA4">
        <w:rPr>
          <w:sz w:val="26"/>
          <w:szCs w:val="26"/>
        </w:rPr>
        <w:t xml:space="preserve"> Brothers.</w:t>
      </w:r>
    </w:p>
    <w:p w14:paraId="2EA26F1D" w14:textId="19628F2F" w:rsidR="00726AA4" w:rsidRDefault="00726AA4" w:rsidP="00726AA4">
      <w:pPr>
        <w:rPr>
          <w:sz w:val="26"/>
          <w:szCs w:val="26"/>
        </w:rPr>
      </w:pPr>
      <w:r>
        <w:rPr>
          <w:sz w:val="26"/>
          <w:szCs w:val="26"/>
        </w:rPr>
        <w:t xml:space="preserve">I., </w:t>
      </w:r>
      <w:r w:rsidRPr="00726AA4">
        <w:rPr>
          <w:sz w:val="26"/>
          <w:szCs w:val="26"/>
        </w:rPr>
        <w:t xml:space="preserve">Trethowan, </w:t>
      </w:r>
      <w:r w:rsidRPr="00726AA4">
        <w:rPr>
          <w:i/>
          <w:sz w:val="26"/>
          <w:szCs w:val="26"/>
        </w:rPr>
        <w:t>Absolute Value</w:t>
      </w:r>
      <w:r w:rsidRPr="00726AA4">
        <w:rPr>
          <w:sz w:val="26"/>
          <w:szCs w:val="26"/>
        </w:rPr>
        <w:t xml:space="preserve">, George Allen &amp; Unwin, 1970, (From Davies, B., </w:t>
      </w:r>
      <w:r w:rsidRPr="00726AA4">
        <w:rPr>
          <w:i/>
          <w:sz w:val="26"/>
          <w:szCs w:val="26"/>
        </w:rPr>
        <w:t>Philosophy of religion. A Guide and Anthology,</w:t>
      </w:r>
      <w:r w:rsidRPr="00726AA4">
        <w:rPr>
          <w:sz w:val="26"/>
          <w:szCs w:val="26"/>
        </w:rPr>
        <w:t xml:space="preserve"> Oxford University Press, Oxford, 2000</w:t>
      </w:r>
      <w:r>
        <w:rPr>
          <w:sz w:val="26"/>
          <w:szCs w:val="26"/>
        </w:rPr>
        <w:t>.)</w:t>
      </w:r>
    </w:p>
    <w:p w14:paraId="5252471C" w14:textId="44F7792E" w:rsidR="00726AA4" w:rsidRDefault="00726AA4" w:rsidP="00726AA4">
      <w:pPr>
        <w:pStyle w:val="FootnoteText"/>
        <w:rPr>
          <w:sz w:val="26"/>
          <w:szCs w:val="26"/>
        </w:rPr>
      </w:pPr>
      <w:r>
        <w:rPr>
          <w:sz w:val="26"/>
          <w:szCs w:val="26"/>
        </w:rPr>
        <w:t xml:space="preserve">H.P., </w:t>
      </w:r>
      <w:r w:rsidRPr="00726AA4">
        <w:rPr>
          <w:sz w:val="26"/>
          <w:szCs w:val="26"/>
        </w:rPr>
        <w:t xml:space="preserve">Owen, </w:t>
      </w:r>
      <w:r w:rsidRPr="00726AA4">
        <w:rPr>
          <w:i/>
          <w:sz w:val="26"/>
          <w:szCs w:val="26"/>
        </w:rPr>
        <w:t>The Moral Argument for Christian Theism,</w:t>
      </w:r>
      <w:r w:rsidRPr="00726AA4">
        <w:rPr>
          <w:sz w:val="26"/>
          <w:szCs w:val="26"/>
        </w:rPr>
        <w:t xml:space="preserve"> George Allen &amp; Unwin, 1965, (From Davies, B., </w:t>
      </w:r>
      <w:r w:rsidRPr="00726AA4">
        <w:rPr>
          <w:i/>
          <w:sz w:val="26"/>
          <w:szCs w:val="26"/>
        </w:rPr>
        <w:t>Philosophy of religion. A Guide and Anthology,</w:t>
      </w:r>
      <w:r w:rsidRPr="00726AA4">
        <w:rPr>
          <w:sz w:val="26"/>
          <w:szCs w:val="26"/>
        </w:rPr>
        <w:t xml:space="preserve"> Oxford University Press, Oxford, 2000</w:t>
      </w:r>
      <w:r>
        <w:rPr>
          <w:sz w:val="26"/>
          <w:szCs w:val="26"/>
        </w:rPr>
        <w:t>.)</w:t>
      </w:r>
    </w:p>
    <w:p w14:paraId="1B7DA2F5" w14:textId="77777777" w:rsidR="00726AA4" w:rsidRDefault="00726AA4" w:rsidP="00726AA4">
      <w:pPr>
        <w:pStyle w:val="FootnoteText"/>
        <w:rPr>
          <w:sz w:val="26"/>
          <w:szCs w:val="26"/>
        </w:rPr>
      </w:pPr>
    </w:p>
    <w:p w14:paraId="328E84B3" w14:textId="10C39720" w:rsidR="00726AA4" w:rsidRPr="00726AA4" w:rsidRDefault="00726AA4" w:rsidP="00726AA4">
      <w:pPr>
        <w:pStyle w:val="FootnoteText"/>
        <w:rPr>
          <w:sz w:val="26"/>
          <w:szCs w:val="26"/>
        </w:rPr>
      </w:pPr>
      <w:r>
        <w:rPr>
          <w:sz w:val="26"/>
          <w:szCs w:val="26"/>
        </w:rPr>
        <w:t xml:space="preserve">B., </w:t>
      </w:r>
      <w:bookmarkStart w:id="0" w:name="_GoBack"/>
      <w:bookmarkEnd w:id="0"/>
      <w:r w:rsidRPr="00726AA4">
        <w:rPr>
          <w:sz w:val="26"/>
          <w:szCs w:val="26"/>
        </w:rPr>
        <w:t xml:space="preserve">Davies, </w:t>
      </w:r>
      <w:r w:rsidRPr="00726AA4">
        <w:rPr>
          <w:i/>
          <w:sz w:val="26"/>
          <w:szCs w:val="26"/>
        </w:rPr>
        <w:t>Philosophy of religion. A Guide and Anthology,</w:t>
      </w:r>
      <w:r w:rsidRPr="00726AA4">
        <w:rPr>
          <w:sz w:val="26"/>
          <w:szCs w:val="26"/>
        </w:rPr>
        <w:t xml:space="preserve"> Oxford University Press, Oxford, 2000</w:t>
      </w:r>
      <w:r>
        <w:rPr>
          <w:sz w:val="26"/>
          <w:szCs w:val="26"/>
        </w:rPr>
        <w:t>.</w:t>
      </w:r>
    </w:p>
    <w:p w14:paraId="1020B87D" w14:textId="77777777" w:rsidR="00726AA4" w:rsidRPr="00726AA4" w:rsidRDefault="00726AA4" w:rsidP="00726AA4">
      <w:pPr>
        <w:pStyle w:val="FootnoteText"/>
        <w:rPr>
          <w:sz w:val="26"/>
          <w:szCs w:val="26"/>
        </w:rPr>
      </w:pPr>
    </w:p>
    <w:p w14:paraId="48531049" w14:textId="77777777" w:rsidR="00726AA4" w:rsidRPr="00F06A96" w:rsidRDefault="00726AA4">
      <w:pPr>
        <w:rPr>
          <w:sz w:val="26"/>
          <w:szCs w:val="26"/>
        </w:rPr>
      </w:pPr>
    </w:p>
    <w:sectPr w:rsidR="00726AA4" w:rsidRPr="00F06A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FC5740" w14:textId="77777777" w:rsidR="00EE7200" w:rsidRDefault="00EE7200" w:rsidP="00F06A96">
      <w:pPr>
        <w:spacing w:after="0" w:line="240" w:lineRule="auto"/>
      </w:pPr>
      <w:r>
        <w:separator/>
      </w:r>
    </w:p>
  </w:endnote>
  <w:endnote w:type="continuationSeparator" w:id="0">
    <w:p w14:paraId="4E80DE37" w14:textId="77777777" w:rsidR="00EE7200" w:rsidRDefault="00EE7200" w:rsidP="00F06A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FB6781" w14:textId="77777777" w:rsidR="00EE7200" w:rsidRDefault="00EE7200" w:rsidP="00F06A96">
      <w:pPr>
        <w:spacing w:after="0" w:line="240" w:lineRule="auto"/>
      </w:pPr>
      <w:r>
        <w:separator/>
      </w:r>
    </w:p>
  </w:footnote>
  <w:footnote w:type="continuationSeparator" w:id="0">
    <w:p w14:paraId="6C4A0C08" w14:textId="77777777" w:rsidR="00EE7200" w:rsidRDefault="00EE7200" w:rsidP="00F06A96">
      <w:pPr>
        <w:spacing w:after="0" w:line="240" w:lineRule="auto"/>
      </w:pPr>
      <w:r>
        <w:continuationSeparator/>
      </w:r>
    </w:p>
  </w:footnote>
  <w:footnote w:id="1">
    <w:p w14:paraId="6807F7FF" w14:textId="77777777" w:rsidR="00F06A96" w:rsidRPr="002164A9" w:rsidRDefault="00F06A96" w:rsidP="00F06A96">
      <w:pPr>
        <w:rPr>
          <w:sz w:val="20"/>
          <w:szCs w:val="20"/>
        </w:rPr>
      </w:pPr>
      <w:r>
        <w:rPr>
          <w:rStyle w:val="FootnoteReference"/>
        </w:rPr>
        <w:footnoteRef/>
      </w:r>
      <w:r>
        <w:t xml:space="preserve"> </w:t>
      </w:r>
      <w:r w:rsidRPr="002164A9">
        <w:rPr>
          <w:sz w:val="20"/>
          <w:szCs w:val="20"/>
        </w:rPr>
        <w:t xml:space="preserve">Aquinas, St. Thomas, 1265–1274 [1948], </w:t>
      </w:r>
      <w:r w:rsidRPr="002164A9">
        <w:rPr>
          <w:rStyle w:val="Emphasis"/>
          <w:sz w:val="20"/>
          <w:szCs w:val="20"/>
        </w:rPr>
        <w:t>Summa Theologica</w:t>
      </w:r>
      <w:r w:rsidRPr="002164A9">
        <w:rPr>
          <w:sz w:val="20"/>
          <w:szCs w:val="20"/>
        </w:rPr>
        <w:t>, New York: Benziger Brothers. I, 1,3.</w:t>
      </w:r>
    </w:p>
  </w:footnote>
  <w:footnote w:id="2">
    <w:p w14:paraId="14C1D272" w14:textId="77777777" w:rsidR="00F06A96" w:rsidRDefault="00F06A96" w:rsidP="00F06A96">
      <w:pPr>
        <w:pStyle w:val="FootnoteText"/>
      </w:pPr>
      <w:r>
        <w:rPr>
          <w:rStyle w:val="FootnoteReference"/>
        </w:rPr>
        <w:footnoteRef/>
      </w:r>
      <w:r>
        <w:t xml:space="preserve"> ibid </w:t>
      </w:r>
    </w:p>
  </w:footnote>
  <w:footnote w:id="3">
    <w:p w14:paraId="6AB32CF6" w14:textId="77777777" w:rsidR="00F06A96" w:rsidRDefault="00F06A96" w:rsidP="00F06A96">
      <w:pPr>
        <w:pStyle w:val="FootnoteText"/>
      </w:pPr>
      <w:r>
        <w:rPr>
          <w:rStyle w:val="FootnoteReference"/>
        </w:rPr>
        <w:footnoteRef/>
      </w:r>
      <w:r>
        <w:t xml:space="preserve"> ibid</w:t>
      </w:r>
    </w:p>
  </w:footnote>
  <w:footnote w:id="4">
    <w:p w14:paraId="76D0D97E" w14:textId="77777777" w:rsidR="00F06A96" w:rsidRDefault="00F06A96" w:rsidP="00F06A96">
      <w:pPr>
        <w:pStyle w:val="FootnoteText"/>
      </w:pPr>
      <w:r>
        <w:rPr>
          <w:rStyle w:val="FootnoteReference"/>
        </w:rPr>
        <w:footnoteRef/>
      </w:r>
      <w:r>
        <w:t xml:space="preserve"> </w:t>
      </w:r>
      <w:r w:rsidRPr="002164A9">
        <w:t xml:space="preserve">Aquinas, St. Thomas, 1265–1274 [1948], </w:t>
      </w:r>
      <w:r w:rsidRPr="002164A9">
        <w:rPr>
          <w:rStyle w:val="Emphasis"/>
        </w:rPr>
        <w:t>Summa Theologica</w:t>
      </w:r>
      <w:r w:rsidRPr="002164A9">
        <w:t>, New York: Benziger Brothers. I, 1,3.</w:t>
      </w:r>
    </w:p>
  </w:footnote>
  <w:footnote w:id="5">
    <w:p w14:paraId="16761090" w14:textId="605538B4" w:rsidR="00F06A96" w:rsidRPr="004D6D84" w:rsidRDefault="00F06A96" w:rsidP="00F06A96">
      <w:pPr>
        <w:pStyle w:val="FootnoteText"/>
      </w:pPr>
      <w:r>
        <w:rPr>
          <w:rStyle w:val="FootnoteReference"/>
        </w:rPr>
        <w:footnoteRef/>
      </w:r>
      <w:r>
        <w:t xml:space="preserve"> Owen, H.P., </w:t>
      </w:r>
      <w:r>
        <w:rPr>
          <w:i/>
        </w:rPr>
        <w:t>The Moral Argument for Christian Theism,</w:t>
      </w:r>
      <w:r>
        <w:t xml:space="preserve"> George Allen &amp; Unwin, 1965, (From Davies, B., </w:t>
      </w:r>
      <w:r>
        <w:rPr>
          <w:i/>
        </w:rPr>
        <w:t>Philosophy of religion. A Guide and Anthology,</w:t>
      </w:r>
      <w:r>
        <w:t xml:space="preserve"> Oxford University Press, Oxford, 2000, Pg. 646.</w:t>
      </w:r>
      <w:r w:rsidR="00726AA4">
        <w:t>)</w:t>
      </w:r>
    </w:p>
  </w:footnote>
  <w:footnote w:id="6">
    <w:p w14:paraId="4A662580" w14:textId="77777777" w:rsidR="00F06A96" w:rsidRDefault="00F06A96" w:rsidP="00F06A96">
      <w:pPr>
        <w:pStyle w:val="FootnoteText"/>
      </w:pPr>
      <w:r>
        <w:rPr>
          <w:rStyle w:val="FootnoteReference"/>
        </w:rPr>
        <w:footnoteRef/>
      </w:r>
      <w:r>
        <w:t xml:space="preserve"> ibid</w:t>
      </w:r>
    </w:p>
  </w:footnote>
  <w:footnote w:id="7">
    <w:p w14:paraId="4BB97A63" w14:textId="77777777" w:rsidR="00F06A96" w:rsidRDefault="00F06A96" w:rsidP="00F06A96">
      <w:pPr>
        <w:pStyle w:val="FootnoteText"/>
      </w:pPr>
      <w:r>
        <w:rPr>
          <w:rStyle w:val="FootnoteReference"/>
        </w:rPr>
        <w:footnoteRef/>
      </w:r>
      <w:r>
        <w:t xml:space="preserve"> ibid</w:t>
      </w:r>
    </w:p>
  </w:footnote>
  <w:footnote w:id="8">
    <w:p w14:paraId="0A959757" w14:textId="406D34BF" w:rsidR="008339DB" w:rsidRDefault="008339DB" w:rsidP="008339DB">
      <w:pPr>
        <w:pStyle w:val="FootnoteText"/>
      </w:pPr>
      <w:r>
        <w:rPr>
          <w:rStyle w:val="FootnoteReference"/>
        </w:rPr>
        <w:footnoteRef/>
      </w:r>
      <w:r>
        <w:t xml:space="preserve"> Trethowan, I., </w:t>
      </w:r>
      <w:r>
        <w:rPr>
          <w:i/>
        </w:rPr>
        <w:t>Absolute Value</w:t>
      </w:r>
      <w:r>
        <w:t xml:space="preserve">, George Allen &amp; Unwin, 1970, (From Davies, B., </w:t>
      </w:r>
      <w:r>
        <w:rPr>
          <w:i/>
        </w:rPr>
        <w:t>Philosophy of religion. A Guide and Anthology,</w:t>
      </w:r>
      <w:r>
        <w:t xml:space="preserve"> Oxford University Press, Oxford, 2000, Pg. 665.</w:t>
      </w:r>
      <w:r w:rsidR="00726AA4">
        <w:t>)</w:t>
      </w:r>
    </w:p>
  </w:footnote>
  <w:footnote w:id="9">
    <w:p w14:paraId="27DB94A3" w14:textId="6A91F580" w:rsidR="008339DB" w:rsidRPr="000D2EE5" w:rsidRDefault="008339DB" w:rsidP="008339DB">
      <w:pPr>
        <w:pStyle w:val="FootnoteText"/>
      </w:pPr>
      <w:r>
        <w:rPr>
          <w:rStyle w:val="FootnoteReference"/>
        </w:rPr>
        <w:footnoteRef/>
      </w:r>
      <w:r>
        <w:t xml:space="preserve"> </w:t>
      </w:r>
      <w:r w:rsidR="0025165D">
        <w:t xml:space="preserve">Trethowan, I., </w:t>
      </w:r>
      <w:r w:rsidR="0025165D">
        <w:rPr>
          <w:i/>
        </w:rPr>
        <w:t>Absolute Value</w:t>
      </w:r>
      <w:r w:rsidR="0025165D">
        <w:t xml:space="preserve">, George Allen &amp; Unwin, 1970, (From Davies, B., </w:t>
      </w:r>
      <w:r w:rsidR="0025165D">
        <w:rPr>
          <w:i/>
        </w:rPr>
        <w:t>Philosophy of religion. A Guide and Anthology,</w:t>
      </w:r>
      <w:r w:rsidR="0025165D">
        <w:t xml:space="preserve"> Oxford University Press, Oxford, 2000, </w:t>
      </w:r>
      <w:r>
        <w:t>Pg. 663.</w:t>
      </w:r>
      <w:r w:rsidR="00726AA4">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A96"/>
    <w:rsid w:val="000309D3"/>
    <w:rsid w:val="00087FB4"/>
    <w:rsid w:val="000B34FE"/>
    <w:rsid w:val="000C5F25"/>
    <w:rsid w:val="000F6DC0"/>
    <w:rsid w:val="00110106"/>
    <w:rsid w:val="001A4174"/>
    <w:rsid w:val="001B48B6"/>
    <w:rsid w:val="00240DCF"/>
    <w:rsid w:val="0025165D"/>
    <w:rsid w:val="002D3739"/>
    <w:rsid w:val="003C03AB"/>
    <w:rsid w:val="0040665C"/>
    <w:rsid w:val="00575587"/>
    <w:rsid w:val="005C533E"/>
    <w:rsid w:val="005F625E"/>
    <w:rsid w:val="00626F00"/>
    <w:rsid w:val="00726AA4"/>
    <w:rsid w:val="00731941"/>
    <w:rsid w:val="007C7710"/>
    <w:rsid w:val="008339DB"/>
    <w:rsid w:val="00883841"/>
    <w:rsid w:val="00892C12"/>
    <w:rsid w:val="00937FB9"/>
    <w:rsid w:val="009715F8"/>
    <w:rsid w:val="00AB28AE"/>
    <w:rsid w:val="00AB5291"/>
    <w:rsid w:val="00B37B53"/>
    <w:rsid w:val="00DE1D13"/>
    <w:rsid w:val="00E16C39"/>
    <w:rsid w:val="00E17188"/>
    <w:rsid w:val="00E75181"/>
    <w:rsid w:val="00EC5503"/>
    <w:rsid w:val="00EE7200"/>
    <w:rsid w:val="00F06A96"/>
    <w:rsid w:val="00F55E36"/>
    <w:rsid w:val="00FB4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5AC6D"/>
  <w15:chartTrackingRefBased/>
  <w15:docId w15:val="{A5A79836-A983-488D-B023-9E1006E61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0D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06A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6A96"/>
    <w:rPr>
      <w:sz w:val="20"/>
      <w:szCs w:val="20"/>
    </w:rPr>
  </w:style>
  <w:style w:type="character" w:styleId="FootnoteReference">
    <w:name w:val="footnote reference"/>
    <w:basedOn w:val="DefaultParagraphFont"/>
    <w:uiPriority w:val="99"/>
    <w:semiHidden/>
    <w:unhideWhenUsed/>
    <w:rsid w:val="00F06A96"/>
    <w:rPr>
      <w:vertAlign w:val="superscript"/>
    </w:rPr>
  </w:style>
  <w:style w:type="character" w:styleId="Emphasis">
    <w:name w:val="Emphasis"/>
    <w:basedOn w:val="DefaultParagraphFont"/>
    <w:uiPriority w:val="20"/>
    <w:qFormat/>
    <w:rsid w:val="00F06A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TotalTime>
  <Pages>6</Pages>
  <Words>2239</Words>
  <Characters>12767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Harrison</dc:creator>
  <cp:keywords/>
  <dc:description/>
  <cp:lastModifiedBy>Sam Harrison</cp:lastModifiedBy>
  <cp:revision>13</cp:revision>
  <dcterms:created xsi:type="dcterms:W3CDTF">2019-03-15T09:31:00Z</dcterms:created>
  <dcterms:modified xsi:type="dcterms:W3CDTF">2019-03-17T16:04:00Z</dcterms:modified>
</cp:coreProperties>
</file>