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57264" w14:textId="508D1598" w:rsidR="00BB1F16" w:rsidRPr="007E6812" w:rsidRDefault="00BB1F16">
      <w:pPr>
        <w:rPr>
          <w:rFonts w:ascii="Arial" w:hAnsi="Arial" w:cs="Arial"/>
          <w:b/>
          <w:bCs/>
        </w:rPr>
      </w:pPr>
      <w:r w:rsidRPr="007E6812">
        <w:rPr>
          <w:rFonts w:ascii="Arial" w:hAnsi="Arial" w:cs="Arial"/>
          <w:b/>
          <w:bCs/>
        </w:rPr>
        <w:t>First draft for Laura on dissertation 1</w:t>
      </w:r>
      <w:r w:rsidR="00503DB7" w:rsidRPr="007E6812">
        <w:rPr>
          <w:rFonts w:ascii="Arial" w:hAnsi="Arial" w:cs="Arial"/>
          <w:b/>
          <w:bCs/>
        </w:rPr>
        <w:t>9</w:t>
      </w:r>
      <w:r w:rsidRPr="007E6812">
        <w:rPr>
          <w:rFonts w:ascii="Arial" w:hAnsi="Arial" w:cs="Arial"/>
          <w:b/>
          <w:bCs/>
        </w:rPr>
        <w:t>.10.2026</w:t>
      </w:r>
    </w:p>
    <w:p w14:paraId="4216A3B4" w14:textId="77777777" w:rsidR="00BB1F16" w:rsidRPr="007E6812" w:rsidRDefault="00BB1F16">
      <w:pPr>
        <w:rPr>
          <w:rFonts w:ascii="Arial" w:hAnsi="Arial" w:cs="Arial"/>
          <w:b/>
          <w:bCs/>
        </w:rPr>
      </w:pPr>
    </w:p>
    <w:p w14:paraId="1A695AAF" w14:textId="6B57A0BA" w:rsidR="00BB1F16" w:rsidRPr="007E6812" w:rsidRDefault="00BB1F16">
      <w:pPr>
        <w:rPr>
          <w:rFonts w:ascii="Arial" w:hAnsi="Arial" w:cs="Arial"/>
          <w:b/>
          <w:bCs/>
        </w:rPr>
      </w:pPr>
      <w:r w:rsidRPr="007E6812">
        <w:rPr>
          <w:rFonts w:ascii="Arial" w:hAnsi="Arial" w:cs="Arial"/>
          <w:b/>
          <w:bCs/>
        </w:rPr>
        <w:t>Introduction</w:t>
      </w:r>
    </w:p>
    <w:p w14:paraId="7E54317B" w14:textId="77777777" w:rsidR="004B4322" w:rsidRPr="003A5E1B" w:rsidRDefault="004B4322">
      <w:pPr>
        <w:rPr>
          <w:rFonts w:ascii="Arial" w:hAnsi="Arial" w:cs="Arial"/>
          <w:sz w:val="28"/>
          <w:szCs w:val="28"/>
        </w:rPr>
      </w:pPr>
    </w:p>
    <w:p w14:paraId="164431FF" w14:textId="384954EB" w:rsidR="00816C5B" w:rsidRPr="007E6812" w:rsidRDefault="00816C5B" w:rsidP="007E6812">
      <w:pPr>
        <w:spacing w:line="360" w:lineRule="auto"/>
        <w:rPr>
          <w:rFonts w:ascii="Arial" w:hAnsi="Arial" w:cs="Arial"/>
          <w:b/>
          <w:bCs/>
        </w:rPr>
      </w:pPr>
      <w:r w:rsidRPr="007E6812">
        <w:rPr>
          <w:rFonts w:ascii="Arial" w:hAnsi="Arial" w:cs="Arial"/>
          <w:b/>
          <w:bCs/>
        </w:rPr>
        <w:t>1.1</w:t>
      </w:r>
      <w:r w:rsidR="004B4322" w:rsidRPr="007E6812">
        <w:rPr>
          <w:rFonts w:ascii="Arial" w:hAnsi="Arial" w:cs="Arial"/>
          <w:b/>
          <w:bCs/>
        </w:rPr>
        <w:t xml:space="preserve"> Background (400).</w:t>
      </w:r>
    </w:p>
    <w:p w14:paraId="461CEE7C" w14:textId="4190DF3F" w:rsidR="009C55CF" w:rsidRPr="007E6812" w:rsidRDefault="009C55CF" w:rsidP="007E6812">
      <w:pPr>
        <w:spacing w:line="360" w:lineRule="auto"/>
        <w:rPr>
          <w:rFonts w:ascii="Arial" w:hAnsi="Arial" w:cs="Arial"/>
        </w:rPr>
      </w:pPr>
      <w:r w:rsidRPr="007E6812">
        <w:rPr>
          <w:rFonts w:ascii="Arial" w:hAnsi="Arial" w:cs="Arial"/>
        </w:rPr>
        <w:t>County lines is a form of serious and organised crime in England and Wales (HM Government, 2023). It usually involves the distribution of illegal drugs from one area to another, often using dedicated mobile phone lines known as “deal lines” (O’Hagan and Edmundson, 2021). These networks may also involve the transportation of money and weapons between cities</w:t>
      </w:r>
      <w:r w:rsidR="008B2B1B" w:rsidRPr="007E6812">
        <w:rPr>
          <w:rFonts w:ascii="Arial" w:hAnsi="Arial" w:cs="Arial"/>
        </w:rPr>
        <w:t>,</w:t>
      </w:r>
      <w:r w:rsidRPr="007E6812">
        <w:rPr>
          <w:rFonts w:ascii="Arial" w:hAnsi="Arial" w:cs="Arial"/>
        </w:rPr>
        <w:t xml:space="preserve"> rural or coastal areas. The Home Office (2023) explains that these networks frequently exploit young people and vulnerable adults through manipulation, grooming, violence and </w:t>
      </w:r>
      <w:r w:rsidR="00930CCE" w:rsidRPr="007E6812">
        <w:rPr>
          <w:rFonts w:ascii="Arial" w:hAnsi="Arial" w:cs="Arial"/>
        </w:rPr>
        <w:t>intimidation. In</w:t>
      </w:r>
      <w:r w:rsidR="00DB208E" w:rsidRPr="007E6812">
        <w:rPr>
          <w:rFonts w:ascii="Arial" w:hAnsi="Arial" w:cs="Arial"/>
        </w:rPr>
        <w:t xml:space="preserve"> this sense, county</w:t>
      </w:r>
      <w:r w:rsidRPr="007E6812">
        <w:rPr>
          <w:rFonts w:ascii="Arial" w:hAnsi="Arial" w:cs="Arial"/>
        </w:rPr>
        <w:t xml:space="preserve"> lines should be understood not only as a drug problem, but also as an issue involving criminal exploitation and safeguarding (Windle, Moyle and Coomber, 2020).</w:t>
      </w:r>
    </w:p>
    <w:p w14:paraId="5EF5EAA7" w14:textId="7DD31AD9" w:rsidR="009C55CF" w:rsidRPr="007E6812" w:rsidRDefault="009C55CF" w:rsidP="007E6812">
      <w:pPr>
        <w:spacing w:line="360" w:lineRule="auto"/>
        <w:rPr>
          <w:rFonts w:ascii="Arial" w:hAnsi="Arial" w:cs="Arial"/>
        </w:rPr>
      </w:pPr>
      <w:r w:rsidRPr="007E6812">
        <w:rPr>
          <w:rFonts w:ascii="Arial" w:hAnsi="Arial" w:cs="Arial"/>
        </w:rPr>
        <w:t xml:space="preserve">Young people aged 18 to 24 represent an important group to consider. Although government guidance identifies </w:t>
      </w:r>
      <w:r w:rsidR="009F37FA" w:rsidRPr="007E6812">
        <w:rPr>
          <w:rFonts w:ascii="Arial" w:hAnsi="Arial" w:cs="Arial"/>
        </w:rPr>
        <w:t>15 to 17-year-olds</w:t>
      </w:r>
      <w:r w:rsidRPr="007E6812">
        <w:rPr>
          <w:rFonts w:ascii="Arial" w:hAnsi="Arial" w:cs="Arial"/>
        </w:rPr>
        <w:t xml:space="preserve"> among the most vulnerable people involved, exploitation can continue into adulthood, and many young adults experience difficulties when moving from child safeguarding services to adult support systems (Home Office, 2023).</w:t>
      </w:r>
    </w:p>
    <w:p w14:paraId="26383750" w14:textId="0FA2DD20" w:rsidR="00A557C9" w:rsidRPr="007E6812" w:rsidRDefault="008C7DBE" w:rsidP="007E6812">
      <w:pPr>
        <w:spacing w:line="360" w:lineRule="auto"/>
        <w:rPr>
          <w:rFonts w:ascii="Arial" w:hAnsi="Arial" w:cs="Arial"/>
        </w:rPr>
      </w:pPr>
      <w:r w:rsidRPr="007E6812">
        <w:rPr>
          <w:rFonts w:ascii="Arial" w:hAnsi="Arial" w:cs="Arial"/>
        </w:rPr>
        <w:t xml:space="preserve">Guidance </w:t>
      </w:r>
      <w:r w:rsidR="00837F6F" w:rsidRPr="007E6812">
        <w:rPr>
          <w:rFonts w:ascii="Arial" w:hAnsi="Arial" w:cs="Arial"/>
        </w:rPr>
        <w:t xml:space="preserve">from the </w:t>
      </w:r>
      <w:r w:rsidR="008901BE" w:rsidRPr="007E6812">
        <w:rPr>
          <w:rFonts w:ascii="Arial" w:hAnsi="Arial" w:cs="Arial"/>
        </w:rPr>
        <w:t>D</w:t>
      </w:r>
      <w:r w:rsidR="008E05A8" w:rsidRPr="007E6812">
        <w:rPr>
          <w:rFonts w:ascii="Arial" w:hAnsi="Arial" w:cs="Arial"/>
        </w:rPr>
        <w:t xml:space="preserve">epartment for </w:t>
      </w:r>
      <w:r w:rsidR="008901BE" w:rsidRPr="007E6812">
        <w:rPr>
          <w:rFonts w:ascii="Arial" w:hAnsi="Arial" w:cs="Arial"/>
        </w:rPr>
        <w:t>E</w:t>
      </w:r>
      <w:r w:rsidR="008E05A8" w:rsidRPr="007E6812">
        <w:rPr>
          <w:rFonts w:ascii="Arial" w:hAnsi="Arial" w:cs="Arial"/>
        </w:rPr>
        <w:t xml:space="preserve">ducation (2023) </w:t>
      </w:r>
      <w:r w:rsidR="00A557C9" w:rsidRPr="007E6812">
        <w:rPr>
          <w:rFonts w:ascii="Arial" w:hAnsi="Arial" w:cs="Arial"/>
        </w:rPr>
        <w:t xml:space="preserve">shows that child safeguarding duties generally end when a person turns 18, and adult services usually take over, often with higher thresholds for support. This means a person who is treated as a victim at 17 may be treated as an offender at 18, even where the exploitation has not changed. The Modern Slavery Act 2015 offers some protection through the section 45 defence and the National Referral Mechanism, </w:t>
      </w:r>
      <w:r w:rsidR="008901BE" w:rsidRPr="007E6812">
        <w:rPr>
          <w:rFonts w:ascii="Arial" w:hAnsi="Arial" w:cs="Arial"/>
        </w:rPr>
        <w:t>but Heys</w:t>
      </w:r>
      <w:r w:rsidR="007523D7" w:rsidRPr="007E6812">
        <w:rPr>
          <w:rFonts w:ascii="Arial" w:hAnsi="Arial" w:cs="Arial"/>
        </w:rPr>
        <w:t xml:space="preserve"> (2023)</w:t>
      </w:r>
      <w:r w:rsidR="00A557C9" w:rsidRPr="007E6812">
        <w:rPr>
          <w:rFonts w:ascii="Arial" w:hAnsi="Arial" w:cs="Arial"/>
        </w:rPr>
        <w:t xml:space="preserve"> </w:t>
      </w:r>
      <w:r w:rsidR="007523D7" w:rsidRPr="007E6812">
        <w:rPr>
          <w:rFonts w:ascii="Arial" w:hAnsi="Arial" w:cs="Arial"/>
        </w:rPr>
        <w:t xml:space="preserve">suggests </w:t>
      </w:r>
      <w:r w:rsidR="002458BB" w:rsidRPr="007E6812">
        <w:rPr>
          <w:rFonts w:ascii="Arial" w:hAnsi="Arial" w:cs="Arial"/>
        </w:rPr>
        <w:t xml:space="preserve">this is </w:t>
      </w:r>
      <w:r w:rsidR="00A557C9" w:rsidRPr="007E6812">
        <w:rPr>
          <w:rFonts w:ascii="Arial" w:hAnsi="Arial" w:cs="Arial"/>
        </w:rPr>
        <w:t>not always applied consistently to young adults.</w:t>
      </w:r>
    </w:p>
    <w:p w14:paraId="1B38002E" w14:textId="062E2DAB" w:rsidR="009C55CF" w:rsidRPr="007E6812" w:rsidRDefault="009C55CF" w:rsidP="007E6812">
      <w:pPr>
        <w:spacing w:line="360" w:lineRule="auto"/>
        <w:rPr>
          <w:rFonts w:ascii="Arial" w:hAnsi="Arial" w:cs="Arial"/>
        </w:rPr>
      </w:pPr>
      <w:r w:rsidRPr="007E6812">
        <w:rPr>
          <w:rFonts w:ascii="Arial" w:hAnsi="Arial" w:cs="Arial"/>
        </w:rPr>
        <w:t xml:space="preserve">Some </w:t>
      </w:r>
      <w:r w:rsidR="005B34B1" w:rsidRPr="007E6812">
        <w:rPr>
          <w:rFonts w:ascii="Arial" w:hAnsi="Arial" w:cs="Arial"/>
        </w:rPr>
        <w:t>young</w:t>
      </w:r>
      <w:r w:rsidRPr="007E6812">
        <w:rPr>
          <w:rFonts w:ascii="Arial" w:hAnsi="Arial" w:cs="Arial"/>
        </w:rPr>
        <w:t xml:space="preserve"> adults may become involved through the promise of friendship, money, protection and status, while others may experience coercion, violence and threats to themselves or family. It is difficult to distinguish between those who actively participate in offending and those whose involvement is influenced by exploitation and vulnerability. Wroe (2021) highlights the importance of understanding county lines within wider social and contextual circumstances, rather than viewing young people’s involvement solely as intended criminal behaviour.</w:t>
      </w:r>
    </w:p>
    <w:p w14:paraId="638376B0" w14:textId="03BAFC0C" w:rsidR="00422F51" w:rsidRPr="007E6812" w:rsidRDefault="00D53345" w:rsidP="007E6812">
      <w:pPr>
        <w:spacing w:line="360" w:lineRule="auto"/>
        <w:rPr>
          <w:rFonts w:ascii="Arial" w:hAnsi="Arial" w:cs="Arial"/>
        </w:rPr>
      </w:pPr>
      <w:r w:rsidRPr="007E6812">
        <w:rPr>
          <w:rFonts w:ascii="Arial" w:hAnsi="Arial" w:cs="Arial"/>
        </w:rPr>
        <w:t xml:space="preserve">Public and media portrayals of 18 to 24-year-olds involved in county lines often </w:t>
      </w:r>
      <w:r w:rsidR="00AF6715" w:rsidRPr="007E6812">
        <w:rPr>
          <w:rFonts w:ascii="Arial" w:hAnsi="Arial" w:cs="Arial"/>
        </w:rPr>
        <w:t>use</w:t>
      </w:r>
      <w:r w:rsidR="00783DFE" w:rsidRPr="007E6812">
        <w:rPr>
          <w:rFonts w:ascii="Arial" w:hAnsi="Arial" w:cs="Arial"/>
        </w:rPr>
        <w:t xml:space="preserve"> labels associated with gan</w:t>
      </w:r>
      <w:r w:rsidR="00FF19F1" w:rsidRPr="007E6812">
        <w:rPr>
          <w:rFonts w:ascii="Arial" w:hAnsi="Arial" w:cs="Arial"/>
        </w:rPr>
        <w:t xml:space="preserve">gs and </w:t>
      </w:r>
      <w:r w:rsidR="00930CCE" w:rsidRPr="007E6812">
        <w:rPr>
          <w:rFonts w:ascii="Arial" w:hAnsi="Arial" w:cs="Arial"/>
        </w:rPr>
        <w:t>criminality,</w:t>
      </w:r>
      <w:r w:rsidR="00C303A4" w:rsidRPr="007E6812">
        <w:rPr>
          <w:rFonts w:ascii="Arial" w:hAnsi="Arial" w:cs="Arial"/>
        </w:rPr>
        <w:t xml:space="preserve"> potentially encouraging negative stereotyping </w:t>
      </w:r>
      <w:r w:rsidR="007C76AA" w:rsidRPr="007E6812">
        <w:rPr>
          <w:rFonts w:ascii="Arial" w:hAnsi="Arial" w:cs="Arial"/>
        </w:rPr>
        <w:t xml:space="preserve">so shifting attention away from the possible </w:t>
      </w:r>
      <w:r w:rsidR="001A69B7" w:rsidRPr="007E6812">
        <w:rPr>
          <w:rFonts w:ascii="Arial" w:hAnsi="Arial" w:cs="Arial"/>
        </w:rPr>
        <w:t>experiences</w:t>
      </w:r>
      <w:r w:rsidR="007C76AA" w:rsidRPr="007E6812">
        <w:rPr>
          <w:rFonts w:ascii="Arial" w:hAnsi="Arial" w:cs="Arial"/>
        </w:rPr>
        <w:t xml:space="preserve"> of exploitation </w:t>
      </w:r>
      <w:r w:rsidR="004923D1" w:rsidRPr="007E6812">
        <w:rPr>
          <w:rFonts w:ascii="Arial" w:hAnsi="Arial" w:cs="Arial"/>
        </w:rPr>
        <w:t>(Spicer</w:t>
      </w:r>
      <w:r w:rsidR="001A69B7" w:rsidRPr="007E6812">
        <w:rPr>
          <w:rFonts w:ascii="Arial" w:hAnsi="Arial" w:cs="Arial"/>
        </w:rPr>
        <w:t xml:space="preserve">, 2021). </w:t>
      </w:r>
      <w:r w:rsidRPr="007E6812">
        <w:rPr>
          <w:rFonts w:ascii="Arial" w:hAnsi="Arial" w:cs="Arial"/>
        </w:rPr>
        <w:t>This can shape how young people are viewed, whether as victims or as offenders. This is particularly important because they are no longer legally children</w:t>
      </w:r>
      <w:r w:rsidR="00F24C4C" w:rsidRPr="007E6812">
        <w:rPr>
          <w:rFonts w:ascii="Arial" w:hAnsi="Arial" w:cs="Arial"/>
        </w:rPr>
        <w:t xml:space="preserve">, even though their vulnerability may remain. </w:t>
      </w:r>
      <w:r w:rsidRPr="007E6812">
        <w:rPr>
          <w:rFonts w:ascii="Arial" w:hAnsi="Arial" w:cs="Arial"/>
        </w:rPr>
        <w:t>This raises the question of how 18 to 24-year-olds are represented, which is the focus of this study.</w:t>
      </w:r>
    </w:p>
    <w:p w14:paraId="68A40C59" w14:textId="77777777" w:rsidR="004B4322" w:rsidRPr="007E6812" w:rsidRDefault="004B4322" w:rsidP="007E6812">
      <w:pPr>
        <w:spacing w:line="360" w:lineRule="auto"/>
        <w:rPr>
          <w:rFonts w:ascii="Arial" w:hAnsi="Arial" w:cs="Arial"/>
        </w:rPr>
      </w:pPr>
    </w:p>
    <w:p w14:paraId="2EDB6692" w14:textId="571B0780" w:rsidR="004B4322" w:rsidRPr="00F01DC6" w:rsidRDefault="004B4322" w:rsidP="007E6812">
      <w:pPr>
        <w:spacing w:line="360" w:lineRule="auto"/>
        <w:rPr>
          <w:rFonts w:ascii="Arial" w:hAnsi="Arial" w:cs="Arial"/>
          <w:b/>
          <w:bCs/>
        </w:rPr>
      </w:pPr>
      <w:r w:rsidRPr="00F01DC6">
        <w:rPr>
          <w:rFonts w:ascii="Arial" w:hAnsi="Arial" w:cs="Arial"/>
          <w:b/>
          <w:bCs/>
        </w:rPr>
        <w:t xml:space="preserve">1.2 research focus (400). </w:t>
      </w:r>
    </w:p>
    <w:p w14:paraId="2EB933CC" w14:textId="71A62DA4" w:rsidR="00870003" w:rsidRPr="007E6812" w:rsidRDefault="0087422A" w:rsidP="007E6812">
      <w:pPr>
        <w:spacing w:line="360" w:lineRule="auto"/>
        <w:rPr>
          <w:rFonts w:ascii="Arial" w:hAnsi="Arial" w:cs="Arial"/>
        </w:rPr>
      </w:pPr>
      <w:r w:rsidRPr="007E6812">
        <w:rPr>
          <w:rFonts w:ascii="Arial" w:hAnsi="Arial" w:cs="Arial"/>
        </w:rPr>
        <w:t>M</w:t>
      </w:r>
      <w:r w:rsidR="00870003" w:rsidRPr="007E6812">
        <w:rPr>
          <w:rFonts w:ascii="Arial" w:hAnsi="Arial" w:cs="Arial"/>
        </w:rPr>
        <w:t>ost research and policy responses have focused on children under the age of 18 (Home Office, 2023), while comparatively little attention has been given to the experiences of young adults aged 18-24 (Coomber et al., 2025). This study seeks to address this gap by examining the stigma (Goffman, 1963</w:t>
      </w:r>
      <w:r w:rsidR="00335D49" w:rsidRPr="007E6812">
        <w:rPr>
          <w:rFonts w:ascii="Arial" w:hAnsi="Arial" w:cs="Arial"/>
        </w:rPr>
        <w:t xml:space="preserve">, </w:t>
      </w:r>
      <w:r w:rsidR="00575DEB" w:rsidRPr="007E6812">
        <w:rPr>
          <w:rFonts w:ascii="Arial" w:hAnsi="Arial" w:cs="Arial"/>
        </w:rPr>
        <w:t xml:space="preserve">Link </w:t>
      </w:r>
      <w:r w:rsidR="00BC389C" w:rsidRPr="007E6812">
        <w:rPr>
          <w:rFonts w:ascii="Arial" w:hAnsi="Arial" w:cs="Arial"/>
        </w:rPr>
        <w:t>and Phela 2001</w:t>
      </w:r>
      <w:r w:rsidR="00F9509C" w:rsidRPr="007E6812">
        <w:rPr>
          <w:rFonts w:ascii="Arial" w:hAnsi="Arial" w:cs="Arial"/>
        </w:rPr>
        <w:t>),</w:t>
      </w:r>
      <w:r w:rsidR="00075C87" w:rsidRPr="007E6812">
        <w:rPr>
          <w:rFonts w:ascii="Arial" w:hAnsi="Arial" w:cs="Arial"/>
        </w:rPr>
        <w:t xml:space="preserve"> which states </w:t>
      </w:r>
      <w:r w:rsidR="00762D53" w:rsidRPr="007E6812">
        <w:rPr>
          <w:rFonts w:ascii="Arial" w:hAnsi="Arial" w:cs="Arial"/>
        </w:rPr>
        <w:t xml:space="preserve">how stigma attaches negative meanings to individuals or groups, </w:t>
      </w:r>
      <w:r w:rsidR="00870003" w:rsidRPr="007E6812">
        <w:rPr>
          <w:rFonts w:ascii="Arial" w:hAnsi="Arial" w:cs="Arial"/>
        </w:rPr>
        <w:t>and stereotyping (Allport, 1954)</w:t>
      </w:r>
      <w:r w:rsidR="00762D53" w:rsidRPr="007E6812">
        <w:rPr>
          <w:rFonts w:ascii="Arial" w:hAnsi="Arial" w:cs="Arial"/>
        </w:rPr>
        <w:t xml:space="preserve">, </w:t>
      </w:r>
      <w:r w:rsidR="004E674F" w:rsidRPr="007E6812">
        <w:rPr>
          <w:rFonts w:ascii="Arial" w:hAnsi="Arial" w:cs="Arial"/>
        </w:rPr>
        <w:t xml:space="preserve">along with discrimination can work together </w:t>
      </w:r>
      <w:r w:rsidR="00415337" w:rsidRPr="007E6812">
        <w:rPr>
          <w:rFonts w:ascii="Arial" w:hAnsi="Arial" w:cs="Arial"/>
        </w:rPr>
        <w:t xml:space="preserve">in </w:t>
      </w:r>
      <w:r w:rsidR="00870003" w:rsidRPr="007E6812">
        <w:rPr>
          <w:rFonts w:ascii="Arial" w:hAnsi="Arial" w:cs="Arial"/>
        </w:rPr>
        <w:t>associat</w:t>
      </w:r>
      <w:r w:rsidR="00415337" w:rsidRPr="007E6812">
        <w:rPr>
          <w:rFonts w:ascii="Arial" w:hAnsi="Arial" w:cs="Arial"/>
        </w:rPr>
        <w:t>ing</w:t>
      </w:r>
      <w:r w:rsidR="00870003" w:rsidRPr="007E6812">
        <w:rPr>
          <w:rFonts w:ascii="Arial" w:hAnsi="Arial" w:cs="Arial"/>
        </w:rPr>
        <w:t xml:space="preserve"> young adults involved in county lines. Specifically, it will explore how individuals aged 18-24 involved in county lines, defined as the distribution of drugs through dedicated mobile phone lines across geographical areas (Home Office, 2023), are represented within media coverage in England and Wales, and whether they are portrayed primarily as offenders, victims, or both (Marshall, 2022; Coomber et al., 2025). Using a mixed-methods approach, the study will also investigate public perceptions through a survey</w:t>
      </w:r>
      <w:r w:rsidR="004D49E3" w:rsidRPr="007E6812">
        <w:rPr>
          <w:rFonts w:ascii="Arial" w:hAnsi="Arial" w:cs="Arial"/>
        </w:rPr>
        <w:t xml:space="preserve">, conducted </w:t>
      </w:r>
      <w:r w:rsidR="004652B0" w:rsidRPr="007E6812">
        <w:rPr>
          <w:rFonts w:ascii="Arial" w:hAnsi="Arial" w:cs="Arial"/>
        </w:rPr>
        <w:t>online</w:t>
      </w:r>
      <w:r w:rsidR="004D49E3" w:rsidRPr="007E6812">
        <w:rPr>
          <w:rFonts w:ascii="Arial" w:hAnsi="Arial" w:cs="Arial"/>
        </w:rPr>
        <w:t xml:space="preserve"> through </w:t>
      </w:r>
      <w:r w:rsidR="001235C1" w:rsidRPr="007E6812">
        <w:rPr>
          <w:rFonts w:ascii="Arial" w:hAnsi="Arial" w:cs="Arial"/>
        </w:rPr>
        <w:t>Microsoft</w:t>
      </w:r>
      <w:r w:rsidR="004652B0" w:rsidRPr="007E6812">
        <w:rPr>
          <w:rFonts w:ascii="Arial" w:hAnsi="Arial" w:cs="Arial"/>
        </w:rPr>
        <w:t xml:space="preserve"> form</w:t>
      </w:r>
      <w:r w:rsidR="00810950" w:rsidRPr="007E6812">
        <w:rPr>
          <w:rFonts w:ascii="Arial" w:hAnsi="Arial" w:cs="Arial"/>
        </w:rPr>
        <w:t>s</w:t>
      </w:r>
      <w:r w:rsidR="004652B0" w:rsidRPr="007E6812">
        <w:rPr>
          <w:rFonts w:ascii="Arial" w:hAnsi="Arial" w:cs="Arial"/>
        </w:rPr>
        <w:t xml:space="preserve"> through social media. </w:t>
      </w:r>
    </w:p>
    <w:p w14:paraId="1204E1DE" w14:textId="12D5F973" w:rsidR="00870003" w:rsidRPr="007E6812" w:rsidRDefault="00870003" w:rsidP="007E6812">
      <w:pPr>
        <w:spacing w:line="360" w:lineRule="auto"/>
        <w:rPr>
          <w:rFonts w:ascii="Arial" w:hAnsi="Arial" w:cs="Arial"/>
        </w:rPr>
      </w:pPr>
      <w:r w:rsidRPr="007E6812">
        <w:rPr>
          <w:rFonts w:ascii="Arial" w:hAnsi="Arial" w:cs="Arial"/>
        </w:rPr>
        <w:t xml:space="preserve">This research is important because media representations can influence public understandings of social issues and crime (McCombs and Shaw, 1972; Entman,1993). Furthermore, media portrayals may shape attitudes towards </w:t>
      </w:r>
      <w:r w:rsidR="00BC389C" w:rsidRPr="007E6812">
        <w:rPr>
          <w:rFonts w:ascii="Arial" w:hAnsi="Arial" w:cs="Arial"/>
        </w:rPr>
        <w:t>groups</w:t>
      </w:r>
      <w:r w:rsidRPr="007E6812">
        <w:rPr>
          <w:rFonts w:ascii="Arial" w:hAnsi="Arial" w:cs="Arial"/>
        </w:rPr>
        <w:t xml:space="preserve"> and contribute to processes of stigmatisation and moral panic (Cohen, 1972). The study will therefore examine whether public perceptions reflect dominant media narratives surrounding young adults involved in county lines, and whether stigma and stereotyping are evident within those perceptions.</w:t>
      </w:r>
    </w:p>
    <w:p w14:paraId="4CF01744" w14:textId="2707A826" w:rsidR="006E17BE" w:rsidRPr="007E6812" w:rsidRDefault="00346802" w:rsidP="007E6812">
      <w:pPr>
        <w:spacing w:line="360" w:lineRule="auto"/>
        <w:rPr>
          <w:rFonts w:ascii="Arial" w:hAnsi="Arial" w:cs="Arial"/>
        </w:rPr>
      </w:pPr>
      <w:r w:rsidRPr="007E6812">
        <w:rPr>
          <w:rFonts w:ascii="Arial" w:hAnsi="Arial" w:cs="Arial"/>
        </w:rPr>
        <w:t xml:space="preserve">They stigma and stereotyping </w:t>
      </w:r>
      <w:r w:rsidR="001235C1" w:rsidRPr="007E6812">
        <w:rPr>
          <w:rFonts w:ascii="Arial" w:hAnsi="Arial" w:cs="Arial"/>
        </w:rPr>
        <w:t>may</w:t>
      </w:r>
      <w:r w:rsidRPr="007E6812">
        <w:rPr>
          <w:rFonts w:ascii="Arial" w:hAnsi="Arial" w:cs="Arial"/>
        </w:rPr>
        <w:t xml:space="preserve"> cause </w:t>
      </w:r>
      <w:r w:rsidR="003F1453" w:rsidRPr="007E6812">
        <w:rPr>
          <w:rFonts w:ascii="Arial" w:hAnsi="Arial" w:cs="Arial"/>
        </w:rPr>
        <w:t>significant</w:t>
      </w:r>
      <w:r w:rsidRPr="007E6812">
        <w:rPr>
          <w:rFonts w:ascii="Arial" w:hAnsi="Arial" w:cs="Arial"/>
        </w:rPr>
        <w:t xml:space="preserve"> </w:t>
      </w:r>
      <w:r w:rsidR="008D5F1C" w:rsidRPr="007E6812">
        <w:rPr>
          <w:rFonts w:ascii="Arial" w:hAnsi="Arial" w:cs="Arial"/>
        </w:rPr>
        <w:t>harm to</w:t>
      </w:r>
      <w:r w:rsidRPr="007E6812">
        <w:rPr>
          <w:rFonts w:ascii="Arial" w:hAnsi="Arial" w:cs="Arial"/>
        </w:rPr>
        <w:t xml:space="preserve"> these young </w:t>
      </w:r>
      <w:r w:rsidR="008D5F1C" w:rsidRPr="007E6812">
        <w:rPr>
          <w:rFonts w:ascii="Arial" w:hAnsi="Arial" w:cs="Arial"/>
        </w:rPr>
        <w:t>adults, involved</w:t>
      </w:r>
      <w:r w:rsidR="00EC240B" w:rsidRPr="007E6812">
        <w:rPr>
          <w:rFonts w:ascii="Arial" w:hAnsi="Arial" w:cs="Arial"/>
        </w:rPr>
        <w:t xml:space="preserve"> in county </w:t>
      </w:r>
      <w:r w:rsidR="008D5F1C" w:rsidRPr="007E6812">
        <w:rPr>
          <w:rFonts w:ascii="Arial" w:hAnsi="Arial" w:cs="Arial"/>
        </w:rPr>
        <w:t>lines,</w:t>
      </w:r>
      <w:r w:rsidR="002D31F7" w:rsidRPr="007E6812">
        <w:rPr>
          <w:rFonts w:ascii="Arial" w:hAnsi="Arial" w:cs="Arial"/>
        </w:rPr>
        <w:t xml:space="preserve"> who may experience exclusion from </w:t>
      </w:r>
      <w:r w:rsidR="006E60A0" w:rsidRPr="007E6812">
        <w:rPr>
          <w:rFonts w:ascii="Arial" w:hAnsi="Arial" w:cs="Arial"/>
        </w:rPr>
        <w:t>families, friends, pe</w:t>
      </w:r>
      <w:r w:rsidR="001235C1" w:rsidRPr="007E6812">
        <w:rPr>
          <w:rFonts w:ascii="Arial" w:hAnsi="Arial" w:cs="Arial"/>
        </w:rPr>
        <w:t>e</w:t>
      </w:r>
      <w:r w:rsidR="006E60A0" w:rsidRPr="007E6812">
        <w:rPr>
          <w:rFonts w:ascii="Arial" w:hAnsi="Arial" w:cs="Arial"/>
        </w:rPr>
        <w:t xml:space="preserve">r groups </w:t>
      </w:r>
      <w:r w:rsidR="003E6C3A" w:rsidRPr="007E6812">
        <w:rPr>
          <w:rFonts w:ascii="Arial" w:hAnsi="Arial" w:cs="Arial"/>
        </w:rPr>
        <w:t>or their</w:t>
      </w:r>
      <w:r w:rsidR="008D5F1C" w:rsidRPr="007E6812">
        <w:rPr>
          <w:rFonts w:ascii="Arial" w:hAnsi="Arial" w:cs="Arial"/>
        </w:rPr>
        <w:t xml:space="preserve"> local </w:t>
      </w:r>
      <w:r w:rsidR="006E60A0" w:rsidRPr="007E6812">
        <w:rPr>
          <w:rFonts w:ascii="Arial" w:hAnsi="Arial" w:cs="Arial"/>
        </w:rPr>
        <w:t>communities.</w:t>
      </w:r>
      <w:r w:rsidR="00E420B7" w:rsidRPr="007E6812">
        <w:rPr>
          <w:rFonts w:ascii="Arial" w:hAnsi="Arial" w:cs="Arial"/>
        </w:rPr>
        <w:t xml:space="preserve"> Labels such as “dealer,” “druggie” or “dangerous” are often attached to those involved, reflecting public perceptions and media coverage (Becker, 1963; Goffman, 1963). Once applied, such labels are difficult to remove and may shape how individuals understand themselves and make decisions about their future, including whether they remain involved or seek to disengage. The consequences can also extend to families, who may be associated with criminality by extension, and in some </w:t>
      </w:r>
      <w:r w:rsidR="003E6C3A" w:rsidRPr="007E6812">
        <w:rPr>
          <w:rFonts w:ascii="Arial" w:hAnsi="Arial" w:cs="Arial"/>
        </w:rPr>
        <w:t>cases,</w:t>
      </w:r>
      <w:r w:rsidR="00E420B7" w:rsidRPr="007E6812">
        <w:rPr>
          <w:rFonts w:ascii="Arial" w:hAnsi="Arial" w:cs="Arial"/>
        </w:rPr>
        <w:t xml:space="preserve"> individuals may be rejected by family and friends. Because county lines networks deliberately target vulnerable young people, this social exclusion may increase their dependence on those exploiting them (</w:t>
      </w:r>
      <w:r w:rsidR="000D38C2" w:rsidRPr="007E6812">
        <w:rPr>
          <w:rFonts w:ascii="Arial" w:hAnsi="Arial" w:cs="Arial"/>
        </w:rPr>
        <w:t>O'Hagan</w:t>
      </w:r>
      <w:r w:rsidR="006A4B2E" w:rsidRPr="007E6812">
        <w:rPr>
          <w:rFonts w:ascii="Arial" w:hAnsi="Arial" w:cs="Arial"/>
        </w:rPr>
        <w:t>;</w:t>
      </w:r>
      <w:r w:rsidR="000D38C2" w:rsidRPr="007E6812">
        <w:rPr>
          <w:rFonts w:ascii="Arial" w:hAnsi="Arial" w:cs="Arial"/>
        </w:rPr>
        <w:t xml:space="preserve"> Edmundson,2021. </w:t>
      </w:r>
      <w:r w:rsidR="006E17BE" w:rsidRPr="007E6812">
        <w:rPr>
          <w:rFonts w:ascii="Arial" w:hAnsi="Arial" w:cs="Arial"/>
        </w:rPr>
        <w:t>However, many young people involved in county lines are victims of criminal exploitation rather than willing offenders (Home Office, 2023). Media narratives that emphasise criminality over vulnerability may therefore obscure the coercion and grooming involved, reinforcing public perceptions that blame these individuals rather than recognising the exploitation they experience.</w:t>
      </w:r>
    </w:p>
    <w:p w14:paraId="33C223C0" w14:textId="77777777" w:rsidR="004B4322" w:rsidRPr="007E6812" w:rsidRDefault="004B4322" w:rsidP="007E6812">
      <w:pPr>
        <w:spacing w:line="360" w:lineRule="auto"/>
        <w:rPr>
          <w:rFonts w:ascii="Arial" w:hAnsi="Arial" w:cs="Arial"/>
        </w:rPr>
      </w:pPr>
    </w:p>
    <w:p w14:paraId="3A8B3741" w14:textId="5CED2164" w:rsidR="004B4322" w:rsidRPr="00F01DC6" w:rsidRDefault="004B4322" w:rsidP="007E6812">
      <w:pPr>
        <w:spacing w:line="360" w:lineRule="auto"/>
        <w:rPr>
          <w:rFonts w:ascii="Arial" w:hAnsi="Arial" w:cs="Arial"/>
          <w:b/>
          <w:bCs/>
        </w:rPr>
      </w:pPr>
      <w:r w:rsidRPr="00F01DC6">
        <w:rPr>
          <w:rFonts w:ascii="Arial" w:hAnsi="Arial" w:cs="Arial"/>
          <w:b/>
          <w:bCs/>
        </w:rPr>
        <w:t xml:space="preserve">1.3. Aims and objectives. </w:t>
      </w:r>
    </w:p>
    <w:p w14:paraId="15907923" w14:textId="77777777" w:rsidR="00D363FE" w:rsidRPr="007E6812" w:rsidRDefault="00D363FE" w:rsidP="007E6812">
      <w:pPr>
        <w:spacing w:line="360" w:lineRule="auto"/>
        <w:rPr>
          <w:rFonts w:ascii="Arial" w:hAnsi="Arial" w:cs="Arial"/>
        </w:rPr>
      </w:pPr>
      <w:r w:rsidRPr="00555313">
        <w:rPr>
          <w:rFonts w:ascii="Arial" w:hAnsi="Arial" w:cs="Arial"/>
        </w:rPr>
        <w:t xml:space="preserve">AIM </w:t>
      </w:r>
      <w:r w:rsidRPr="007E6812">
        <w:rPr>
          <w:rFonts w:ascii="Arial" w:hAnsi="Arial" w:cs="Arial"/>
        </w:rPr>
        <w:t>– to explore existing stereotypes and stigma surrounding young people involved in county lines.  Looking at media, policies and public discourse. (Newspapers, government reports, charity publication), to understanding how, this shapes the understanding of their involvement (Home office, 2023, National crime agency,2023: the children’s society,2012)</w:t>
      </w:r>
    </w:p>
    <w:p w14:paraId="62840383" w14:textId="77777777" w:rsidR="00D363FE" w:rsidRPr="007E6812" w:rsidRDefault="00D363FE" w:rsidP="007E6812">
      <w:pPr>
        <w:spacing w:line="360" w:lineRule="auto"/>
        <w:rPr>
          <w:rFonts w:ascii="Arial" w:hAnsi="Arial" w:cs="Arial"/>
        </w:rPr>
      </w:pPr>
    </w:p>
    <w:p w14:paraId="7D87A396" w14:textId="77777777" w:rsidR="00D363FE" w:rsidRPr="007E6812" w:rsidRDefault="00D363FE" w:rsidP="007E6812">
      <w:pPr>
        <w:spacing w:line="360" w:lineRule="auto"/>
        <w:rPr>
          <w:rFonts w:ascii="Arial" w:hAnsi="Arial" w:cs="Arial"/>
        </w:rPr>
      </w:pPr>
      <w:r w:rsidRPr="007E6812">
        <w:rPr>
          <w:rFonts w:ascii="Arial" w:hAnsi="Arial" w:cs="Arial"/>
        </w:rPr>
        <w:t>Objective one - to identify the prevalence of young people involved in county lines across England and Wales, and to explore reasons for their involvement in county lines. (NCA, 2023; HM Government, 2023).</w:t>
      </w:r>
    </w:p>
    <w:p w14:paraId="579B9A04" w14:textId="77777777" w:rsidR="00D363FE" w:rsidRPr="007E6812" w:rsidRDefault="00D363FE" w:rsidP="007E6812">
      <w:pPr>
        <w:spacing w:line="360" w:lineRule="auto"/>
        <w:rPr>
          <w:rFonts w:ascii="Arial" w:hAnsi="Arial" w:cs="Arial"/>
        </w:rPr>
      </w:pPr>
    </w:p>
    <w:p w14:paraId="07707448" w14:textId="77777777" w:rsidR="00D363FE" w:rsidRPr="007E6812" w:rsidRDefault="00D363FE" w:rsidP="007E6812">
      <w:pPr>
        <w:spacing w:line="360" w:lineRule="auto"/>
        <w:rPr>
          <w:rFonts w:ascii="Arial" w:hAnsi="Arial" w:cs="Arial"/>
        </w:rPr>
      </w:pPr>
      <w:r w:rsidRPr="007E6812">
        <w:rPr>
          <w:rFonts w:ascii="Arial" w:hAnsi="Arial" w:cs="Arial"/>
        </w:rPr>
        <w:t>Objective two – Explore the impact of stigma and stereotyping surrounding young people involved in county lines, across, England and Wales., to consider whether stigma leads to criminality, failures to recognising exploitation and the failures in early intervention ((The Children’s Society, 2021; Hales &amp; Hobbs, 2020; Robinson et al., 2022).</w:t>
      </w:r>
    </w:p>
    <w:p w14:paraId="0029A60F" w14:textId="77777777" w:rsidR="00D363FE" w:rsidRPr="007E6812" w:rsidRDefault="00D363FE" w:rsidP="007E6812">
      <w:pPr>
        <w:spacing w:line="360" w:lineRule="auto"/>
        <w:rPr>
          <w:rFonts w:ascii="Arial" w:hAnsi="Arial" w:cs="Arial"/>
        </w:rPr>
      </w:pPr>
    </w:p>
    <w:p w14:paraId="3FE1235E" w14:textId="58D42DE4" w:rsidR="004B4322" w:rsidRPr="007E6812" w:rsidRDefault="00D363FE" w:rsidP="007E6812">
      <w:pPr>
        <w:spacing w:line="360" w:lineRule="auto"/>
        <w:rPr>
          <w:rFonts w:ascii="Arial" w:hAnsi="Arial" w:cs="Arial"/>
        </w:rPr>
      </w:pPr>
      <w:r w:rsidRPr="007E6812">
        <w:rPr>
          <w:rFonts w:ascii="Arial" w:hAnsi="Arial" w:cs="Arial"/>
        </w:rPr>
        <w:t>Objective three – Propose recommendations for addressing stigma and stereotyping of young people who are involved in county lines in England and Wales, to promote awareness of them as victims rather than criminal and to support trauma-informed, child centre safeguarding responses (HM Government, 2023; Youth Justice Board, 2022).</w:t>
      </w:r>
    </w:p>
    <w:p w14:paraId="337B3BF9" w14:textId="77777777" w:rsidR="004B4322" w:rsidRPr="007E6812" w:rsidRDefault="004B4322" w:rsidP="007E6812">
      <w:pPr>
        <w:spacing w:line="360" w:lineRule="auto"/>
        <w:rPr>
          <w:rFonts w:ascii="Arial" w:hAnsi="Arial" w:cs="Arial"/>
        </w:rPr>
      </w:pPr>
    </w:p>
    <w:p w14:paraId="115A091B" w14:textId="36A6A373" w:rsidR="004B4322" w:rsidRPr="00555313" w:rsidRDefault="004B4322" w:rsidP="007E6812">
      <w:pPr>
        <w:pBdr>
          <w:bottom w:val="single" w:sz="4" w:space="1" w:color="auto"/>
        </w:pBdr>
        <w:spacing w:line="360" w:lineRule="auto"/>
        <w:rPr>
          <w:rFonts w:ascii="Arial" w:hAnsi="Arial" w:cs="Arial"/>
          <w:b/>
          <w:bCs/>
        </w:rPr>
      </w:pPr>
      <w:r w:rsidRPr="00555313">
        <w:rPr>
          <w:rFonts w:ascii="Arial" w:hAnsi="Arial" w:cs="Arial"/>
          <w:b/>
          <w:bCs/>
        </w:rPr>
        <w:t xml:space="preserve">1.4 </w:t>
      </w:r>
      <w:r w:rsidR="00555313" w:rsidRPr="00555313">
        <w:rPr>
          <w:rFonts w:ascii="Arial" w:hAnsi="Arial" w:cs="Arial"/>
          <w:b/>
          <w:bCs/>
        </w:rPr>
        <w:t>T</w:t>
      </w:r>
      <w:r w:rsidRPr="00555313">
        <w:rPr>
          <w:rFonts w:ascii="Arial" w:hAnsi="Arial" w:cs="Arial"/>
          <w:b/>
          <w:bCs/>
        </w:rPr>
        <w:t>imes scales and methods. (100</w:t>
      </w:r>
      <w:r w:rsidR="00A30219" w:rsidRPr="00555313">
        <w:rPr>
          <w:rFonts w:ascii="Arial" w:hAnsi="Arial" w:cs="Arial"/>
          <w:b/>
          <w:bCs/>
        </w:rPr>
        <w:t>)</w:t>
      </w:r>
    </w:p>
    <w:p w14:paraId="03CDD0DA" w14:textId="579DE2B6" w:rsidR="001E1175" w:rsidRPr="007E6812" w:rsidRDefault="001E1175" w:rsidP="007E6812">
      <w:pPr>
        <w:spacing w:line="360" w:lineRule="auto"/>
        <w:rPr>
          <w:rFonts w:ascii="Arial" w:hAnsi="Arial" w:cs="Arial"/>
        </w:rPr>
      </w:pPr>
      <w:r w:rsidRPr="007E6812">
        <w:rPr>
          <w:rFonts w:ascii="Arial" w:hAnsi="Arial" w:cs="Arial"/>
        </w:rPr>
        <w:t>This project uses a mixed methods approach to explore public perceptions of young people involved in county lines. An anonymous online survey (Microsoft Forms) will be shared via social media with adults aged 18+ and will remain open for around two weeks. It will include closed questions, analysed using descriptive statistics, and a few open-ended questions, analysed thematically (Braun and Clarke, 2006)</w:t>
      </w:r>
      <w:r w:rsidR="007C1B01" w:rsidRPr="007E6812">
        <w:rPr>
          <w:rFonts w:ascii="Arial" w:hAnsi="Arial" w:cs="Arial"/>
        </w:rPr>
        <w:t xml:space="preserve"> and several tick boxes. </w:t>
      </w:r>
      <w:r w:rsidRPr="007E6812">
        <w:rPr>
          <w:rFonts w:ascii="Arial" w:hAnsi="Arial" w:cs="Arial"/>
        </w:rPr>
        <w:t xml:space="preserve"> No identifying information will be collected, and participation is voluntary. Secondary research, including academic literature, government reports and charity publications, will inform the survey design and analysis. The timescale for each stage is shown below.</w:t>
      </w:r>
    </w:p>
    <w:tbl>
      <w:tblPr>
        <w:tblStyle w:val="TableGrid"/>
        <w:tblW w:w="0" w:type="auto"/>
        <w:jc w:val="center"/>
        <w:tblLook w:val="04A0" w:firstRow="1" w:lastRow="0" w:firstColumn="1" w:lastColumn="0" w:noHBand="0" w:noVBand="1"/>
      </w:tblPr>
      <w:tblGrid>
        <w:gridCol w:w="4508"/>
        <w:gridCol w:w="4508"/>
      </w:tblGrid>
      <w:tr w:rsidR="000030E0" w:rsidRPr="007E6812" w14:paraId="69E69EFB" w14:textId="77777777" w:rsidTr="000030E0">
        <w:trPr>
          <w:jc w:val="center"/>
        </w:trPr>
        <w:tc>
          <w:tcPr>
            <w:tcW w:w="4508" w:type="dxa"/>
          </w:tcPr>
          <w:p w14:paraId="0E23096B" w14:textId="5A30CCF4" w:rsidR="000030E0" w:rsidRPr="007E6812" w:rsidRDefault="000030E0" w:rsidP="007E6812">
            <w:pPr>
              <w:spacing w:line="360" w:lineRule="auto"/>
              <w:rPr>
                <w:rFonts w:ascii="Arial" w:hAnsi="Arial" w:cs="Arial"/>
              </w:rPr>
            </w:pPr>
            <w:r w:rsidRPr="007E6812">
              <w:rPr>
                <w:rFonts w:ascii="Arial" w:hAnsi="Arial" w:cs="Arial"/>
              </w:rPr>
              <w:t>Introduction Chapter</w:t>
            </w:r>
          </w:p>
        </w:tc>
        <w:tc>
          <w:tcPr>
            <w:tcW w:w="4508" w:type="dxa"/>
          </w:tcPr>
          <w:p w14:paraId="712D1760" w14:textId="0C54527F" w:rsidR="000030E0" w:rsidRPr="007E6812" w:rsidRDefault="000030E0" w:rsidP="007E6812">
            <w:pPr>
              <w:spacing w:line="360" w:lineRule="auto"/>
              <w:rPr>
                <w:rFonts w:ascii="Arial" w:hAnsi="Arial" w:cs="Arial"/>
              </w:rPr>
            </w:pPr>
            <w:r w:rsidRPr="007E6812">
              <w:rPr>
                <w:rFonts w:ascii="Arial" w:hAnsi="Arial" w:cs="Arial"/>
              </w:rPr>
              <w:t>23-10-26</w:t>
            </w:r>
          </w:p>
        </w:tc>
      </w:tr>
      <w:tr w:rsidR="000030E0" w:rsidRPr="007E6812" w14:paraId="6DF48DD7" w14:textId="77777777" w:rsidTr="000030E0">
        <w:trPr>
          <w:jc w:val="center"/>
        </w:trPr>
        <w:tc>
          <w:tcPr>
            <w:tcW w:w="4508" w:type="dxa"/>
          </w:tcPr>
          <w:p w14:paraId="4F6DEC9B" w14:textId="14795153" w:rsidR="000030E0" w:rsidRPr="007E6812" w:rsidRDefault="000030E0" w:rsidP="007E6812">
            <w:pPr>
              <w:spacing w:line="360" w:lineRule="auto"/>
              <w:rPr>
                <w:rFonts w:ascii="Arial" w:hAnsi="Arial" w:cs="Arial"/>
              </w:rPr>
            </w:pPr>
            <w:r w:rsidRPr="007E6812">
              <w:rPr>
                <w:rFonts w:ascii="Arial" w:hAnsi="Arial" w:cs="Arial"/>
              </w:rPr>
              <w:t>Literature review</w:t>
            </w:r>
          </w:p>
        </w:tc>
        <w:tc>
          <w:tcPr>
            <w:tcW w:w="4508" w:type="dxa"/>
          </w:tcPr>
          <w:p w14:paraId="471AE5F4" w14:textId="03A21244" w:rsidR="000030E0" w:rsidRPr="007E6812" w:rsidRDefault="000030E0" w:rsidP="007E6812">
            <w:pPr>
              <w:spacing w:line="360" w:lineRule="auto"/>
              <w:rPr>
                <w:rFonts w:ascii="Arial" w:hAnsi="Arial" w:cs="Arial"/>
              </w:rPr>
            </w:pPr>
            <w:r w:rsidRPr="007E6812">
              <w:rPr>
                <w:rFonts w:ascii="Arial" w:hAnsi="Arial" w:cs="Arial"/>
              </w:rPr>
              <w:t>27-11-26</w:t>
            </w:r>
          </w:p>
        </w:tc>
      </w:tr>
      <w:tr w:rsidR="000030E0" w:rsidRPr="007E6812" w14:paraId="278C581A" w14:textId="77777777" w:rsidTr="000030E0">
        <w:trPr>
          <w:jc w:val="center"/>
        </w:trPr>
        <w:tc>
          <w:tcPr>
            <w:tcW w:w="4508" w:type="dxa"/>
          </w:tcPr>
          <w:p w14:paraId="59F266E4" w14:textId="58312753" w:rsidR="000030E0" w:rsidRPr="007E6812" w:rsidRDefault="000030E0" w:rsidP="007E6812">
            <w:pPr>
              <w:spacing w:line="360" w:lineRule="auto"/>
              <w:rPr>
                <w:rFonts w:ascii="Arial" w:hAnsi="Arial" w:cs="Arial"/>
              </w:rPr>
            </w:pPr>
            <w:r w:rsidRPr="007E6812">
              <w:rPr>
                <w:rFonts w:ascii="Arial" w:hAnsi="Arial" w:cs="Arial"/>
              </w:rPr>
              <w:t>Methodology chapter</w:t>
            </w:r>
          </w:p>
        </w:tc>
        <w:tc>
          <w:tcPr>
            <w:tcW w:w="4508" w:type="dxa"/>
          </w:tcPr>
          <w:p w14:paraId="43622759" w14:textId="754B2CBE" w:rsidR="000030E0" w:rsidRPr="007E6812" w:rsidRDefault="000030E0" w:rsidP="007E6812">
            <w:pPr>
              <w:spacing w:line="360" w:lineRule="auto"/>
              <w:rPr>
                <w:rFonts w:ascii="Arial" w:hAnsi="Arial" w:cs="Arial"/>
              </w:rPr>
            </w:pPr>
            <w:r w:rsidRPr="007E6812">
              <w:rPr>
                <w:rFonts w:ascii="Arial" w:hAnsi="Arial" w:cs="Arial"/>
              </w:rPr>
              <w:t>05-02-26</w:t>
            </w:r>
          </w:p>
        </w:tc>
      </w:tr>
      <w:tr w:rsidR="000030E0" w:rsidRPr="007E6812" w14:paraId="71308B25" w14:textId="77777777" w:rsidTr="000030E0">
        <w:trPr>
          <w:jc w:val="center"/>
        </w:trPr>
        <w:tc>
          <w:tcPr>
            <w:tcW w:w="4508" w:type="dxa"/>
          </w:tcPr>
          <w:p w14:paraId="4E1C9DF5" w14:textId="2FA704AB" w:rsidR="000030E0" w:rsidRPr="007E6812" w:rsidRDefault="000030E0" w:rsidP="007E6812">
            <w:pPr>
              <w:spacing w:line="360" w:lineRule="auto"/>
              <w:rPr>
                <w:rFonts w:ascii="Arial" w:hAnsi="Arial" w:cs="Arial"/>
              </w:rPr>
            </w:pPr>
            <w:r w:rsidRPr="007E6812">
              <w:rPr>
                <w:rFonts w:ascii="Arial" w:hAnsi="Arial" w:cs="Arial"/>
              </w:rPr>
              <w:t>Findings chapter</w:t>
            </w:r>
          </w:p>
        </w:tc>
        <w:tc>
          <w:tcPr>
            <w:tcW w:w="4508" w:type="dxa"/>
          </w:tcPr>
          <w:p w14:paraId="3AE4A8E7" w14:textId="396B4826" w:rsidR="000030E0" w:rsidRPr="007E6812" w:rsidRDefault="000030E0" w:rsidP="007E6812">
            <w:pPr>
              <w:spacing w:line="360" w:lineRule="auto"/>
              <w:rPr>
                <w:rFonts w:ascii="Arial" w:hAnsi="Arial" w:cs="Arial"/>
              </w:rPr>
            </w:pPr>
            <w:r w:rsidRPr="007E6812">
              <w:rPr>
                <w:rFonts w:ascii="Arial" w:hAnsi="Arial" w:cs="Arial"/>
              </w:rPr>
              <w:t>18-03-27</w:t>
            </w:r>
          </w:p>
        </w:tc>
      </w:tr>
      <w:tr w:rsidR="000030E0" w:rsidRPr="007E6812" w14:paraId="4A2AA907" w14:textId="77777777" w:rsidTr="000030E0">
        <w:trPr>
          <w:jc w:val="center"/>
        </w:trPr>
        <w:tc>
          <w:tcPr>
            <w:tcW w:w="4508" w:type="dxa"/>
          </w:tcPr>
          <w:p w14:paraId="6E56F37D" w14:textId="47A65D48" w:rsidR="000030E0" w:rsidRPr="007E6812" w:rsidRDefault="000030E0" w:rsidP="007E6812">
            <w:pPr>
              <w:spacing w:line="360" w:lineRule="auto"/>
              <w:rPr>
                <w:rFonts w:ascii="Arial" w:hAnsi="Arial" w:cs="Arial"/>
              </w:rPr>
            </w:pPr>
            <w:r w:rsidRPr="007E6812">
              <w:rPr>
                <w:rFonts w:ascii="Arial" w:hAnsi="Arial" w:cs="Arial"/>
              </w:rPr>
              <w:t>Formatting</w:t>
            </w:r>
          </w:p>
        </w:tc>
        <w:tc>
          <w:tcPr>
            <w:tcW w:w="4508" w:type="dxa"/>
          </w:tcPr>
          <w:p w14:paraId="18C7F5BA" w14:textId="22CD0918" w:rsidR="000030E0" w:rsidRPr="007E6812" w:rsidRDefault="000030E0" w:rsidP="007E6812">
            <w:pPr>
              <w:spacing w:line="360" w:lineRule="auto"/>
              <w:rPr>
                <w:rFonts w:ascii="Arial" w:hAnsi="Arial" w:cs="Arial"/>
              </w:rPr>
            </w:pPr>
            <w:r w:rsidRPr="007E6812">
              <w:rPr>
                <w:rFonts w:ascii="Arial" w:hAnsi="Arial" w:cs="Arial"/>
              </w:rPr>
              <w:t>06-05-27</w:t>
            </w:r>
          </w:p>
        </w:tc>
      </w:tr>
      <w:tr w:rsidR="000030E0" w:rsidRPr="007E6812" w14:paraId="3E07389C" w14:textId="77777777" w:rsidTr="000030E0">
        <w:trPr>
          <w:jc w:val="center"/>
        </w:trPr>
        <w:tc>
          <w:tcPr>
            <w:tcW w:w="4508" w:type="dxa"/>
          </w:tcPr>
          <w:p w14:paraId="61A33DD1" w14:textId="168AB719" w:rsidR="000030E0" w:rsidRPr="007E6812" w:rsidRDefault="000030E0" w:rsidP="007E6812">
            <w:pPr>
              <w:spacing w:line="360" w:lineRule="auto"/>
              <w:rPr>
                <w:rFonts w:ascii="Arial" w:hAnsi="Arial" w:cs="Arial"/>
              </w:rPr>
            </w:pPr>
            <w:r w:rsidRPr="007E6812">
              <w:rPr>
                <w:rFonts w:ascii="Arial" w:hAnsi="Arial" w:cs="Arial"/>
              </w:rPr>
              <w:t>Final submission</w:t>
            </w:r>
          </w:p>
        </w:tc>
        <w:tc>
          <w:tcPr>
            <w:tcW w:w="4508" w:type="dxa"/>
          </w:tcPr>
          <w:p w14:paraId="4E8777AE" w14:textId="0C522160" w:rsidR="000030E0" w:rsidRPr="007E6812" w:rsidRDefault="000030E0" w:rsidP="007E6812">
            <w:pPr>
              <w:spacing w:line="360" w:lineRule="auto"/>
              <w:rPr>
                <w:rFonts w:ascii="Arial" w:hAnsi="Arial" w:cs="Arial"/>
              </w:rPr>
            </w:pPr>
            <w:r w:rsidRPr="007E6812">
              <w:rPr>
                <w:rFonts w:ascii="Arial" w:hAnsi="Arial" w:cs="Arial"/>
              </w:rPr>
              <w:t xml:space="preserve">11-05-2027. </w:t>
            </w:r>
          </w:p>
        </w:tc>
      </w:tr>
    </w:tbl>
    <w:p w14:paraId="09D1E289" w14:textId="2CF43110" w:rsidR="001E1175" w:rsidRPr="007E6812" w:rsidRDefault="001E1175" w:rsidP="007E6812">
      <w:pPr>
        <w:spacing w:line="360" w:lineRule="auto"/>
        <w:rPr>
          <w:rFonts w:ascii="Arial" w:hAnsi="Arial" w:cs="Arial"/>
        </w:rPr>
      </w:pPr>
    </w:p>
    <w:p w14:paraId="6C1D4752" w14:textId="2956176D" w:rsidR="001E1175" w:rsidRPr="007E6812" w:rsidRDefault="001E1175" w:rsidP="007E6812">
      <w:pPr>
        <w:spacing w:line="360" w:lineRule="auto"/>
        <w:rPr>
          <w:rFonts w:ascii="Arial" w:hAnsi="Arial" w:cs="Arial"/>
        </w:rPr>
      </w:pPr>
    </w:p>
    <w:p w14:paraId="7828BE20" w14:textId="77777777" w:rsidR="004B4322" w:rsidRPr="007E6812" w:rsidRDefault="004B4322" w:rsidP="007E6812">
      <w:pPr>
        <w:spacing w:line="360" w:lineRule="auto"/>
        <w:rPr>
          <w:rFonts w:ascii="Arial" w:hAnsi="Arial" w:cs="Arial"/>
        </w:rPr>
      </w:pPr>
    </w:p>
    <w:p w14:paraId="43AF3C43" w14:textId="77777777" w:rsidR="004B4322" w:rsidRPr="007E6812" w:rsidRDefault="004B4322" w:rsidP="007E6812">
      <w:pPr>
        <w:spacing w:line="360" w:lineRule="auto"/>
        <w:rPr>
          <w:rFonts w:ascii="Arial" w:hAnsi="Arial" w:cs="Arial"/>
        </w:rPr>
      </w:pPr>
    </w:p>
    <w:p w14:paraId="1FC58A65" w14:textId="77777777" w:rsidR="004B4322" w:rsidRPr="00555313" w:rsidRDefault="004B4322" w:rsidP="007E6812">
      <w:pPr>
        <w:spacing w:line="360" w:lineRule="auto"/>
        <w:rPr>
          <w:rFonts w:ascii="Arial" w:hAnsi="Arial" w:cs="Arial"/>
          <w:b/>
          <w:bCs/>
        </w:rPr>
      </w:pPr>
    </w:p>
    <w:p w14:paraId="56C3E636" w14:textId="1BEF280F" w:rsidR="004B4322" w:rsidRPr="00555313" w:rsidRDefault="004B4322" w:rsidP="007E6812">
      <w:pPr>
        <w:spacing w:line="360" w:lineRule="auto"/>
        <w:rPr>
          <w:rFonts w:ascii="Arial" w:hAnsi="Arial" w:cs="Arial"/>
          <w:b/>
          <w:bCs/>
        </w:rPr>
      </w:pPr>
      <w:r w:rsidRPr="00555313">
        <w:rPr>
          <w:rFonts w:ascii="Arial" w:hAnsi="Arial" w:cs="Arial"/>
          <w:b/>
          <w:bCs/>
        </w:rPr>
        <w:t>1,5. Value of the research. (200)</w:t>
      </w:r>
    </w:p>
    <w:p w14:paraId="30E49B7C" w14:textId="4D31ACFD" w:rsidR="008125E0" w:rsidRPr="007E6812" w:rsidRDefault="006E2363" w:rsidP="007E6812">
      <w:pPr>
        <w:tabs>
          <w:tab w:val="left" w:pos="13892"/>
        </w:tabs>
        <w:spacing w:line="360" w:lineRule="auto"/>
        <w:rPr>
          <w:rFonts w:ascii="Arial" w:hAnsi="Arial" w:cs="Arial"/>
        </w:rPr>
      </w:pPr>
      <w:r w:rsidRPr="007E6812">
        <w:rPr>
          <w:rFonts w:ascii="Arial" w:hAnsi="Arial" w:cs="Arial"/>
        </w:rPr>
        <w:t xml:space="preserve">The research in this dissertation is valuable because it examines how young people aged 18 – 24 involved with county lines in England and Wales, are represented in the </w:t>
      </w:r>
      <w:r w:rsidR="00234D90" w:rsidRPr="007E6812">
        <w:rPr>
          <w:rFonts w:ascii="Arial" w:hAnsi="Arial" w:cs="Arial"/>
        </w:rPr>
        <w:t>media,</w:t>
      </w:r>
      <w:r w:rsidRPr="007E6812">
        <w:rPr>
          <w:rFonts w:ascii="Arial" w:hAnsi="Arial" w:cs="Arial"/>
        </w:rPr>
        <w:t xml:space="preserve"> and the narratives and stereotyping placed on </w:t>
      </w:r>
      <w:r w:rsidR="00234D90" w:rsidRPr="007E6812">
        <w:rPr>
          <w:rFonts w:ascii="Arial" w:hAnsi="Arial" w:cs="Arial"/>
        </w:rPr>
        <w:t>them.</w:t>
      </w:r>
      <w:r w:rsidRPr="007E6812">
        <w:rPr>
          <w:rFonts w:ascii="Arial" w:hAnsi="Arial" w:cs="Arial"/>
        </w:rPr>
        <w:t xml:space="preserve"> </w:t>
      </w:r>
      <w:r w:rsidR="0035150F" w:rsidRPr="007E6812">
        <w:rPr>
          <w:rFonts w:ascii="Arial" w:hAnsi="Arial" w:cs="Arial"/>
        </w:rPr>
        <w:t>T</w:t>
      </w:r>
      <w:r w:rsidRPr="007E6812">
        <w:rPr>
          <w:rFonts w:ascii="Arial" w:hAnsi="Arial" w:cs="Arial"/>
        </w:rPr>
        <w:t xml:space="preserve">his area is under explored, as most of the existing literature tends to focus on young people under 18. These are more readily framed as victims, whereas the over 18 are more likely to be treated differently as seen as offenders or gang members, rather than exploited individuals.  </w:t>
      </w:r>
    </w:p>
    <w:p w14:paraId="6F073D87" w14:textId="0C3A6526" w:rsidR="006E2363" w:rsidRPr="007E6812" w:rsidRDefault="006E2363" w:rsidP="007E6812">
      <w:pPr>
        <w:tabs>
          <w:tab w:val="left" w:pos="13892"/>
        </w:tabs>
        <w:spacing w:line="360" w:lineRule="auto"/>
        <w:rPr>
          <w:rFonts w:ascii="Arial" w:hAnsi="Arial" w:cs="Arial"/>
        </w:rPr>
      </w:pPr>
      <w:r w:rsidRPr="007E6812">
        <w:rPr>
          <w:rFonts w:ascii="Arial" w:hAnsi="Arial" w:cs="Arial"/>
        </w:rPr>
        <w:t xml:space="preserve">Critically analysing these narratives, the study will show how language, imagery, stereotyping and framing can shape the </w:t>
      </w:r>
      <w:r w:rsidR="00234D90" w:rsidRPr="007E6812">
        <w:rPr>
          <w:rFonts w:ascii="Arial" w:hAnsi="Arial" w:cs="Arial"/>
        </w:rPr>
        <w:t>public’s</w:t>
      </w:r>
      <w:r w:rsidRPr="007E6812">
        <w:rPr>
          <w:rFonts w:ascii="Arial" w:hAnsi="Arial" w:cs="Arial"/>
        </w:rPr>
        <w:t xml:space="preserve"> understanding of exploitation, criminality and vulnerability. </w:t>
      </w:r>
    </w:p>
    <w:p w14:paraId="411ADC22" w14:textId="337E31E1" w:rsidR="006E2363" w:rsidRPr="007E6812" w:rsidRDefault="006E2363" w:rsidP="007E6812">
      <w:pPr>
        <w:tabs>
          <w:tab w:val="left" w:pos="13892"/>
        </w:tabs>
        <w:spacing w:line="360" w:lineRule="auto"/>
        <w:rPr>
          <w:rFonts w:ascii="Arial" w:hAnsi="Arial" w:cs="Arial"/>
        </w:rPr>
      </w:pPr>
      <w:r w:rsidRPr="007E6812">
        <w:rPr>
          <w:rFonts w:ascii="Arial" w:hAnsi="Arial" w:cs="Arial"/>
        </w:rPr>
        <w:t xml:space="preserve">The findings may help media organisations to reflect on the ethical impact of their </w:t>
      </w:r>
      <w:r w:rsidR="00234D90" w:rsidRPr="007E6812">
        <w:rPr>
          <w:rFonts w:ascii="Arial" w:hAnsi="Arial" w:cs="Arial"/>
        </w:rPr>
        <w:t>reporting,</w:t>
      </w:r>
      <w:r w:rsidRPr="007E6812">
        <w:rPr>
          <w:rFonts w:ascii="Arial" w:hAnsi="Arial" w:cs="Arial"/>
        </w:rPr>
        <w:t xml:space="preserve"> while helping to consider producing </w:t>
      </w:r>
      <w:r w:rsidR="00234D90" w:rsidRPr="007E6812">
        <w:rPr>
          <w:rFonts w:ascii="Arial" w:hAnsi="Arial" w:cs="Arial"/>
        </w:rPr>
        <w:t>more balanced evidence</w:t>
      </w:r>
      <w:r w:rsidRPr="007E6812">
        <w:rPr>
          <w:rFonts w:ascii="Arial" w:hAnsi="Arial" w:cs="Arial"/>
        </w:rPr>
        <w:t xml:space="preserve"> informed representation. </w:t>
      </w:r>
      <w:r w:rsidR="00234D90" w:rsidRPr="007E6812">
        <w:rPr>
          <w:rFonts w:ascii="Arial" w:hAnsi="Arial" w:cs="Arial"/>
        </w:rPr>
        <w:t>Including</w:t>
      </w:r>
      <w:r w:rsidRPr="007E6812">
        <w:rPr>
          <w:rFonts w:ascii="Arial" w:hAnsi="Arial" w:cs="Arial"/>
        </w:rPr>
        <w:t xml:space="preserve"> being helpful to policy makers, police and youth practitioners</w:t>
      </w:r>
      <w:r w:rsidR="00234D90" w:rsidRPr="007E6812">
        <w:rPr>
          <w:rFonts w:ascii="Arial" w:hAnsi="Arial" w:cs="Arial"/>
        </w:rPr>
        <w:t xml:space="preserve">, while influencing public attitudes, professional judgements and policy responses. </w:t>
      </w:r>
    </w:p>
    <w:p w14:paraId="5EB5325B" w14:textId="5A94706F" w:rsidR="00234D90" w:rsidRPr="007E6812" w:rsidRDefault="00234D90" w:rsidP="007E6812">
      <w:pPr>
        <w:tabs>
          <w:tab w:val="left" w:pos="13892"/>
        </w:tabs>
        <w:spacing w:line="360" w:lineRule="auto"/>
        <w:rPr>
          <w:rFonts w:ascii="Arial" w:hAnsi="Arial" w:cs="Arial"/>
        </w:rPr>
      </w:pPr>
      <w:r w:rsidRPr="007E6812">
        <w:rPr>
          <w:rFonts w:ascii="Arial" w:hAnsi="Arial" w:cs="Arial"/>
        </w:rPr>
        <w:t xml:space="preserve">Finally, the research will give a larger understanding of county lines, and the social and economic pressure involved, while laying the groundwork for further research into media influence, on youths in county lines. </w:t>
      </w:r>
    </w:p>
    <w:p w14:paraId="6D7BCEE9" w14:textId="77777777" w:rsidR="008125E0" w:rsidRPr="007E6812" w:rsidRDefault="008125E0" w:rsidP="007E6812">
      <w:pPr>
        <w:spacing w:line="360" w:lineRule="auto"/>
        <w:rPr>
          <w:rFonts w:ascii="Arial" w:hAnsi="Arial" w:cs="Arial"/>
        </w:rPr>
      </w:pPr>
    </w:p>
    <w:p w14:paraId="59F23CC7" w14:textId="29ECAE5C" w:rsidR="008125E0" w:rsidRPr="00555313" w:rsidRDefault="00462144" w:rsidP="007E6812">
      <w:pPr>
        <w:spacing w:line="360" w:lineRule="auto"/>
        <w:rPr>
          <w:rFonts w:ascii="Arial" w:hAnsi="Arial" w:cs="Arial"/>
          <w:b/>
          <w:bCs/>
        </w:rPr>
      </w:pPr>
      <w:r w:rsidRPr="00555313">
        <w:rPr>
          <w:rFonts w:ascii="Arial" w:hAnsi="Arial" w:cs="Arial"/>
          <w:b/>
          <w:bCs/>
        </w:rPr>
        <w:t xml:space="preserve">Reference list </w:t>
      </w:r>
    </w:p>
    <w:p w14:paraId="494DD270" w14:textId="77777777" w:rsidR="00200B3E" w:rsidRPr="00555313" w:rsidRDefault="00200B3E" w:rsidP="007E6812">
      <w:pPr>
        <w:spacing w:line="360" w:lineRule="auto"/>
        <w:rPr>
          <w:rFonts w:ascii="Arial" w:hAnsi="Arial" w:cs="Arial"/>
        </w:rPr>
      </w:pPr>
      <w:r w:rsidRPr="00555313">
        <w:rPr>
          <w:rFonts w:ascii="Arial" w:hAnsi="Arial" w:cs="Arial"/>
        </w:rPr>
        <w:t xml:space="preserve">Allport, G.W. (1954) </w:t>
      </w:r>
      <w:r w:rsidRPr="00555313">
        <w:rPr>
          <w:rFonts w:ascii="Arial" w:hAnsi="Arial" w:cs="Arial"/>
          <w:i/>
          <w:iCs/>
        </w:rPr>
        <w:t>The nature of prejudice</w:t>
      </w:r>
      <w:r w:rsidRPr="00555313">
        <w:rPr>
          <w:rFonts w:ascii="Arial" w:hAnsi="Arial" w:cs="Arial"/>
        </w:rPr>
        <w:t>. Cambridge, MA: Addison-Wesley.</w:t>
      </w:r>
    </w:p>
    <w:p w14:paraId="498EF285" w14:textId="77777777" w:rsidR="00200B3E" w:rsidRPr="00555313" w:rsidRDefault="00200B3E" w:rsidP="007E6812">
      <w:pPr>
        <w:spacing w:line="360" w:lineRule="auto"/>
        <w:rPr>
          <w:rFonts w:ascii="Arial" w:hAnsi="Arial" w:cs="Arial"/>
        </w:rPr>
      </w:pPr>
      <w:r w:rsidRPr="00555313">
        <w:rPr>
          <w:rFonts w:ascii="Arial" w:hAnsi="Arial" w:cs="Arial"/>
        </w:rPr>
        <w:t xml:space="preserve">Allport, G.W. (1954) </w:t>
      </w:r>
      <w:r w:rsidRPr="00555313">
        <w:rPr>
          <w:rFonts w:ascii="Arial" w:hAnsi="Arial" w:cs="Arial"/>
          <w:i/>
          <w:iCs/>
        </w:rPr>
        <w:t>The Nature of Prejudice</w:t>
      </w:r>
      <w:r w:rsidRPr="00555313">
        <w:rPr>
          <w:rFonts w:ascii="Arial" w:hAnsi="Arial" w:cs="Arial"/>
        </w:rPr>
        <w:t>. Reading, MA: Addison-Wesley.</w:t>
      </w:r>
    </w:p>
    <w:p w14:paraId="0BFABE5F" w14:textId="77777777" w:rsidR="00200B3E" w:rsidRPr="00555313" w:rsidRDefault="00200B3E" w:rsidP="007E6812">
      <w:pPr>
        <w:spacing w:line="360" w:lineRule="auto"/>
        <w:rPr>
          <w:rFonts w:ascii="Arial" w:hAnsi="Arial" w:cs="Arial"/>
        </w:rPr>
      </w:pPr>
      <w:r w:rsidRPr="00555313">
        <w:rPr>
          <w:rFonts w:ascii="Arial" w:hAnsi="Arial" w:cs="Arial"/>
        </w:rPr>
        <w:t xml:space="preserve">Cohen, S. (1972) </w:t>
      </w:r>
      <w:r w:rsidRPr="00555313">
        <w:rPr>
          <w:rFonts w:ascii="Arial" w:hAnsi="Arial" w:cs="Arial"/>
          <w:i/>
          <w:iCs/>
        </w:rPr>
        <w:t>Folk Devils and Moral Panics: The Creation of the Mods and Rockers</w:t>
      </w:r>
      <w:r w:rsidRPr="00555313">
        <w:rPr>
          <w:rFonts w:ascii="Arial" w:hAnsi="Arial" w:cs="Arial"/>
        </w:rPr>
        <w:t>. London: MacGibbon and Kee.</w:t>
      </w:r>
    </w:p>
    <w:p w14:paraId="2D660520" w14:textId="77777777" w:rsidR="00200B3E" w:rsidRPr="00555313" w:rsidRDefault="00200B3E" w:rsidP="007E6812">
      <w:pPr>
        <w:spacing w:line="360" w:lineRule="auto"/>
        <w:rPr>
          <w:rFonts w:ascii="Arial" w:hAnsi="Arial" w:cs="Arial"/>
        </w:rPr>
      </w:pPr>
      <w:r w:rsidRPr="00555313">
        <w:rPr>
          <w:rFonts w:ascii="Arial" w:hAnsi="Arial" w:cs="Arial"/>
        </w:rPr>
        <w:t xml:space="preserve">Cohen, S. (1972) </w:t>
      </w:r>
      <w:r w:rsidRPr="00555313">
        <w:rPr>
          <w:rFonts w:ascii="Arial" w:hAnsi="Arial" w:cs="Arial"/>
          <w:i/>
          <w:iCs/>
        </w:rPr>
        <w:t>Folk devils and moral panics: the creation of the Mods and Rockers</w:t>
      </w:r>
      <w:r w:rsidRPr="00555313">
        <w:rPr>
          <w:rFonts w:ascii="Arial" w:hAnsi="Arial" w:cs="Arial"/>
        </w:rPr>
        <w:t>. London: MacGibbon and Kee.</w:t>
      </w:r>
    </w:p>
    <w:p w14:paraId="3DDF6275" w14:textId="77777777" w:rsidR="00200B3E" w:rsidRPr="00555313" w:rsidRDefault="00200B3E" w:rsidP="007E6812">
      <w:pPr>
        <w:spacing w:line="360" w:lineRule="auto"/>
        <w:rPr>
          <w:rFonts w:ascii="Arial" w:hAnsi="Arial" w:cs="Arial"/>
        </w:rPr>
      </w:pPr>
      <w:r w:rsidRPr="00555313">
        <w:rPr>
          <w:rFonts w:ascii="Arial" w:hAnsi="Arial" w:cs="Arial"/>
        </w:rPr>
        <w:t xml:space="preserve">Coomber, R., Devany, C., Kammersgaard, T., Lloyd, C., Brown, K. and Bainbridge, L. (2025) </w:t>
      </w:r>
      <w:r w:rsidRPr="00555313">
        <w:rPr>
          <w:rFonts w:ascii="Arial" w:hAnsi="Arial" w:cs="Arial"/>
          <w:i/>
          <w:iCs/>
        </w:rPr>
        <w:t>County Lines, Policing and Vulnerability</w:t>
      </w:r>
      <w:r w:rsidRPr="00555313">
        <w:rPr>
          <w:rFonts w:ascii="Arial" w:hAnsi="Arial" w:cs="Arial"/>
        </w:rPr>
        <w:t>. York: Vulnerability and Policing Futures Research Centre.</w:t>
      </w:r>
    </w:p>
    <w:p w14:paraId="3DD1076F" w14:textId="77777777" w:rsidR="00200B3E" w:rsidRPr="00555313" w:rsidRDefault="00200B3E" w:rsidP="007E6812">
      <w:pPr>
        <w:spacing w:line="360" w:lineRule="auto"/>
        <w:rPr>
          <w:rFonts w:ascii="Arial" w:hAnsi="Arial" w:cs="Arial"/>
        </w:rPr>
      </w:pPr>
      <w:r w:rsidRPr="00555313">
        <w:rPr>
          <w:rFonts w:ascii="Arial" w:hAnsi="Arial" w:cs="Arial"/>
        </w:rPr>
        <w:t xml:space="preserve">Department for Education (2023) </w:t>
      </w:r>
      <w:r w:rsidRPr="00555313">
        <w:rPr>
          <w:rFonts w:ascii="Arial" w:hAnsi="Arial" w:cs="Arial"/>
          <w:i/>
          <w:iCs/>
        </w:rPr>
        <w:t>Working together to safeguard children 2023: a guide to multi-agency working to help, protect and promote the welfare of children</w:t>
      </w:r>
      <w:r w:rsidRPr="00555313">
        <w:rPr>
          <w:rFonts w:ascii="Arial" w:hAnsi="Arial" w:cs="Arial"/>
        </w:rPr>
        <w:t>. London: Department for Education. Available at: https://www.gov.uk/government/publications/working-together-to-safeguard-children--2 (Accessed: 17 October 2026).</w:t>
      </w:r>
    </w:p>
    <w:p w14:paraId="1716FA81" w14:textId="77777777" w:rsidR="00200B3E" w:rsidRPr="00555313" w:rsidRDefault="00200B3E" w:rsidP="007E6812">
      <w:pPr>
        <w:spacing w:line="360" w:lineRule="auto"/>
        <w:rPr>
          <w:rFonts w:ascii="Arial" w:hAnsi="Arial" w:cs="Arial"/>
        </w:rPr>
      </w:pPr>
      <w:r w:rsidRPr="00555313">
        <w:rPr>
          <w:rFonts w:ascii="Arial" w:hAnsi="Arial" w:cs="Arial"/>
        </w:rPr>
        <w:t xml:space="preserve">Entman, R.M. (1993) ‘Framing: Toward clarification of a fractured paradigm’, </w:t>
      </w:r>
      <w:r w:rsidRPr="00555313">
        <w:rPr>
          <w:rFonts w:ascii="Arial" w:hAnsi="Arial" w:cs="Arial"/>
          <w:i/>
          <w:iCs/>
        </w:rPr>
        <w:t>Journal of Communication</w:t>
      </w:r>
      <w:r w:rsidRPr="00555313">
        <w:rPr>
          <w:rFonts w:ascii="Arial" w:hAnsi="Arial" w:cs="Arial"/>
        </w:rPr>
        <w:t>, 43(4), pp. 51-58.</w:t>
      </w:r>
    </w:p>
    <w:p w14:paraId="6794DDC9" w14:textId="77777777" w:rsidR="00200B3E" w:rsidRPr="00555313" w:rsidRDefault="00200B3E" w:rsidP="007E6812">
      <w:pPr>
        <w:spacing w:line="360" w:lineRule="auto"/>
        <w:rPr>
          <w:rFonts w:ascii="Arial" w:hAnsi="Arial" w:cs="Arial"/>
        </w:rPr>
      </w:pPr>
      <w:r w:rsidRPr="00555313">
        <w:rPr>
          <w:rFonts w:ascii="Arial" w:hAnsi="Arial" w:cs="Arial"/>
        </w:rPr>
        <w:t xml:space="preserve">Entman, R.M. (1993) ‘Framing: toward clarification of a fractured paradigm’, </w:t>
      </w:r>
      <w:r w:rsidRPr="00555313">
        <w:rPr>
          <w:rFonts w:ascii="Arial" w:hAnsi="Arial" w:cs="Arial"/>
          <w:i/>
          <w:iCs/>
        </w:rPr>
        <w:t>Journal of Communication</w:t>
      </w:r>
      <w:r w:rsidRPr="00555313">
        <w:rPr>
          <w:rFonts w:ascii="Arial" w:hAnsi="Arial" w:cs="Arial"/>
        </w:rPr>
        <w:t>, 43(4), pp. 51-58.</w:t>
      </w:r>
    </w:p>
    <w:p w14:paraId="550D4754" w14:textId="77777777" w:rsidR="00200B3E" w:rsidRPr="00555313" w:rsidRDefault="00200B3E" w:rsidP="007E6812">
      <w:pPr>
        <w:spacing w:line="360" w:lineRule="auto"/>
        <w:rPr>
          <w:rFonts w:ascii="Arial" w:hAnsi="Arial" w:cs="Arial"/>
        </w:rPr>
      </w:pPr>
      <w:r w:rsidRPr="00555313">
        <w:rPr>
          <w:rFonts w:ascii="Arial" w:hAnsi="Arial" w:cs="Arial"/>
        </w:rPr>
        <w:t xml:space="preserve">Entman, R.M. (2007) ‘Framing bias: media in the distribution of power’, </w:t>
      </w:r>
      <w:r w:rsidRPr="00555313">
        <w:rPr>
          <w:rFonts w:ascii="Arial" w:hAnsi="Arial" w:cs="Arial"/>
          <w:i/>
          <w:iCs/>
        </w:rPr>
        <w:t>Journal of Communication</w:t>
      </w:r>
      <w:r w:rsidRPr="00555313">
        <w:rPr>
          <w:rFonts w:ascii="Arial" w:hAnsi="Arial" w:cs="Arial"/>
        </w:rPr>
        <w:t>, 57(1), pp. 163-173.</w:t>
      </w:r>
    </w:p>
    <w:p w14:paraId="79763D26" w14:textId="77777777" w:rsidR="00200B3E" w:rsidRPr="00555313" w:rsidRDefault="00200B3E" w:rsidP="007E6812">
      <w:pPr>
        <w:spacing w:line="360" w:lineRule="auto"/>
        <w:rPr>
          <w:rFonts w:ascii="Arial" w:hAnsi="Arial" w:cs="Arial"/>
        </w:rPr>
      </w:pPr>
      <w:r w:rsidRPr="00555313">
        <w:rPr>
          <w:rFonts w:ascii="Arial" w:hAnsi="Arial" w:cs="Arial"/>
        </w:rPr>
        <w:t xml:space="preserve">Goffman, E. (1963) </w:t>
      </w:r>
      <w:r w:rsidRPr="00555313">
        <w:rPr>
          <w:rFonts w:ascii="Arial" w:hAnsi="Arial" w:cs="Arial"/>
          <w:i/>
          <w:iCs/>
        </w:rPr>
        <w:t>Stigma: Notes on the Management of Spoiled Identity</w:t>
      </w:r>
      <w:r w:rsidRPr="00555313">
        <w:rPr>
          <w:rFonts w:ascii="Arial" w:hAnsi="Arial" w:cs="Arial"/>
        </w:rPr>
        <w:t>. Englewood Cliffs, NJ: Prentice-Hall.</w:t>
      </w:r>
    </w:p>
    <w:p w14:paraId="4814E0A0" w14:textId="77777777" w:rsidR="00200B3E" w:rsidRPr="00555313" w:rsidRDefault="00200B3E" w:rsidP="007E6812">
      <w:pPr>
        <w:spacing w:line="360" w:lineRule="auto"/>
        <w:rPr>
          <w:rFonts w:ascii="Arial" w:hAnsi="Arial" w:cs="Arial"/>
        </w:rPr>
      </w:pPr>
      <w:r w:rsidRPr="00555313">
        <w:rPr>
          <w:rFonts w:ascii="Arial" w:hAnsi="Arial" w:cs="Arial"/>
        </w:rPr>
        <w:t xml:space="preserve">Goffman, E. (1963) </w:t>
      </w:r>
      <w:r w:rsidRPr="00555313">
        <w:rPr>
          <w:rFonts w:ascii="Arial" w:hAnsi="Arial" w:cs="Arial"/>
          <w:i/>
          <w:iCs/>
        </w:rPr>
        <w:t>Stigma: notes on the management of spoiled identity</w:t>
      </w:r>
      <w:r w:rsidRPr="00555313">
        <w:rPr>
          <w:rFonts w:ascii="Arial" w:hAnsi="Arial" w:cs="Arial"/>
        </w:rPr>
        <w:t>. Englewood Cliffs, NJ: Prentice-Hall.</w:t>
      </w:r>
    </w:p>
    <w:p w14:paraId="63FA43D9" w14:textId="77777777" w:rsidR="00200B3E" w:rsidRPr="00555313" w:rsidRDefault="00200B3E" w:rsidP="007E6812">
      <w:pPr>
        <w:spacing w:line="360" w:lineRule="auto"/>
        <w:rPr>
          <w:rFonts w:ascii="Arial" w:hAnsi="Arial" w:cs="Arial"/>
        </w:rPr>
      </w:pPr>
      <w:r w:rsidRPr="00555313">
        <w:rPr>
          <w:rFonts w:ascii="Arial" w:hAnsi="Arial" w:cs="Arial"/>
        </w:rPr>
        <w:t xml:space="preserve">Heys, A. (2023) ‘The UK's statutory defence for victims of modern slavery and its narrow understanding of victimhood’, </w:t>
      </w:r>
      <w:r w:rsidRPr="00555313">
        <w:rPr>
          <w:rFonts w:ascii="Arial" w:hAnsi="Arial" w:cs="Arial"/>
          <w:i/>
          <w:iCs/>
        </w:rPr>
        <w:t>The Journal of Criminal Law</w:t>
      </w:r>
      <w:r w:rsidRPr="00555313">
        <w:rPr>
          <w:rFonts w:ascii="Arial" w:hAnsi="Arial" w:cs="Arial"/>
        </w:rPr>
        <w:t>, 87(4), pp. 237-251. Available at: https://doi.org/10.1177/00220183231179181 (Accessed: 17 October 2026).</w:t>
      </w:r>
    </w:p>
    <w:p w14:paraId="1309C0FD" w14:textId="77777777" w:rsidR="00200B3E" w:rsidRPr="00555313" w:rsidRDefault="00200B3E" w:rsidP="007E6812">
      <w:pPr>
        <w:spacing w:line="360" w:lineRule="auto"/>
        <w:rPr>
          <w:rFonts w:ascii="Arial" w:hAnsi="Arial" w:cs="Arial"/>
        </w:rPr>
      </w:pPr>
      <w:r w:rsidRPr="00555313">
        <w:rPr>
          <w:rFonts w:ascii="Arial" w:hAnsi="Arial" w:cs="Arial"/>
        </w:rPr>
        <w:t xml:space="preserve">HM Government (2023) </w:t>
      </w:r>
      <w:r w:rsidRPr="00555313">
        <w:rPr>
          <w:rFonts w:ascii="Arial" w:hAnsi="Arial" w:cs="Arial"/>
          <w:i/>
          <w:iCs/>
        </w:rPr>
        <w:t>Serious Violence Strategy: Updated Guidance on Child Criminal Exploitation</w:t>
      </w:r>
      <w:r w:rsidRPr="00555313">
        <w:rPr>
          <w:rFonts w:ascii="Arial" w:hAnsi="Arial" w:cs="Arial"/>
        </w:rPr>
        <w:t>. London: Home Office.</w:t>
      </w:r>
    </w:p>
    <w:p w14:paraId="783D65A0" w14:textId="77777777" w:rsidR="00200B3E" w:rsidRPr="00555313" w:rsidRDefault="00200B3E" w:rsidP="007E6812">
      <w:pPr>
        <w:spacing w:line="360" w:lineRule="auto"/>
        <w:rPr>
          <w:rFonts w:ascii="Arial" w:hAnsi="Arial" w:cs="Arial"/>
        </w:rPr>
      </w:pPr>
      <w:r w:rsidRPr="00555313">
        <w:rPr>
          <w:rFonts w:ascii="Arial" w:hAnsi="Arial" w:cs="Arial"/>
        </w:rPr>
        <w:t xml:space="preserve">Home Office (2023) </w:t>
      </w:r>
      <w:r w:rsidRPr="00555313">
        <w:rPr>
          <w:rFonts w:ascii="Arial" w:hAnsi="Arial" w:cs="Arial"/>
          <w:i/>
          <w:iCs/>
        </w:rPr>
        <w:t>Criminal Exploitation of Children and Vulnerable Adults: County Lines</w:t>
      </w:r>
      <w:r w:rsidRPr="00555313">
        <w:rPr>
          <w:rFonts w:ascii="Arial" w:hAnsi="Arial" w:cs="Arial"/>
        </w:rPr>
        <w:t>. London: Home Office.</w:t>
      </w:r>
    </w:p>
    <w:p w14:paraId="6670A269" w14:textId="77777777" w:rsidR="00200B3E" w:rsidRPr="00555313" w:rsidRDefault="00200B3E" w:rsidP="007E6812">
      <w:pPr>
        <w:spacing w:line="360" w:lineRule="auto"/>
        <w:rPr>
          <w:rFonts w:ascii="Arial" w:hAnsi="Arial" w:cs="Arial"/>
        </w:rPr>
      </w:pPr>
      <w:r w:rsidRPr="00555313">
        <w:rPr>
          <w:rFonts w:ascii="Arial" w:hAnsi="Arial" w:cs="Arial"/>
        </w:rPr>
        <w:t xml:space="preserve">Home Office (2023) </w:t>
      </w:r>
      <w:r w:rsidRPr="00555313">
        <w:rPr>
          <w:rFonts w:ascii="Arial" w:hAnsi="Arial" w:cs="Arial"/>
          <w:i/>
          <w:iCs/>
        </w:rPr>
        <w:t>Criminal exploitation of children and vulnerable adults: county lines</w:t>
      </w:r>
      <w:r w:rsidRPr="00555313">
        <w:rPr>
          <w:rFonts w:ascii="Arial" w:hAnsi="Arial" w:cs="Arial"/>
        </w:rPr>
        <w:t xml:space="preserve">. Available at: </w:t>
      </w:r>
      <w:hyperlink r:id="rId4" w:history="1">
        <w:r w:rsidRPr="00555313">
          <w:rPr>
            <w:rStyle w:val="Hyperlink"/>
            <w:rFonts w:ascii="Arial" w:hAnsi="Arial" w:cs="Arial"/>
          </w:rPr>
          <w:t>https://www.gov.uk/government/publications/criminal-exploitation-of-children-and-vulnerable-adults-county-lines</w:t>
        </w:r>
      </w:hyperlink>
      <w:r w:rsidRPr="00555313">
        <w:rPr>
          <w:rFonts w:ascii="Arial" w:hAnsi="Arial" w:cs="Arial"/>
        </w:rPr>
        <w:t xml:space="preserve"> (Accessed: 17 October 2026).</w:t>
      </w:r>
    </w:p>
    <w:p w14:paraId="0A137695" w14:textId="77777777" w:rsidR="00200B3E" w:rsidRPr="00555313" w:rsidRDefault="00200B3E" w:rsidP="007E6812">
      <w:pPr>
        <w:spacing w:line="360" w:lineRule="auto"/>
        <w:rPr>
          <w:rFonts w:ascii="Arial" w:hAnsi="Arial" w:cs="Arial"/>
        </w:rPr>
      </w:pPr>
      <w:r w:rsidRPr="00555313">
        <w:rPr>
          <w:rFonts w:ascii="Arial" w:hAnsi="Arial" w:cs="Arial"/>
        </w:rPr>
        <w:t>If you add the optional recent pairings I suggested:</w:t>
      </w:r>
    </w:p>
    <w:p w14:paraId="27B8DCD7" w14:textId="77777777" w:rsidR="00200B3E" w:rsidRPr="00555313" w:rsidRDefault="00200B3E" w:rsidP="007E6812">
      <w:pPr>
        <w:spacing w:line="360" w:lineRule="auto"/>
        <w:rPr>
          <w:rFonts w:ascii="Arial" w:hAnsi="Arial" w:cs="Arial"/>
        </w:rPr>
      </w:pPr>
      <w:r w:rsidRPr="00555313">
        <w:rPr>
          <w:rFonts w:ascii="Arial" w:hAnsi="Arial" w:cs="Arial"/>
        </w:rPr>
        <w:t xml:space="preserve">Link, B.G. and Phelan, J.C. (2001) ‘Conceptualizing stigma’, </w:t>
      </w:r>
      <w:r w:rsidRPr="00555313">
        <w:rPr>
          <w:rFonts w:ascii="Arial" w:hAnsi="Arial" w:cs="Arial"/>
          <w:i/>
          <w:iCs/>
        </w:rPr>
        <w:t>Annual Review of Sociology</w:t>
      </w:r>
      <w:r w:rsidRPr="00555313">
        <w:rPr>
          <w:rFonts w:ascii="Arial" w:hAnsi="Arial" w:cs="Arial"/>
        </w:rPr>
        <w:t>, 27, pp. 363-385.</w:t>
      </w:r>
    </w:p>
    <w:p w14:paraId="79FCEC1C" w14:textId="77777777" w:rsidR="00200B3E" w:rsidRPr="00555313" w:rsidRDefault="00200B3E" w:rsidP="007E6812">
      <w:pPr>
        <w:spacing w:line="360" w:lineRule="auto"/>
        <w:rPr>
          <w:rFonts w:ascii="Arial" w:hAnsi="Arial" w:cs="Arial"/>
        </w:rPr>
      </w:pPr>
      <w:r w:rsidRPr="00555313">
        <w:rPr>
          <w:rFonts w:ascii="Arial" w:hAnsi="Arial" w:cs="Arial"/>
        </w:rPr>
        <w:t xml:space="preserve">Marshall, H.J. (2022) </w:t>
      </w:r>
      <w:r w:rsidRPr="00555313">
        <w:rPr>
          <w:rFonts w:ascii="Arial" w:hAnsi="Arial" w:cs="Arial"/>
          <w:i/>
          <w:iCs/>
        </w:rPr>
        <w:t>Child Criminal Exploitation, County Lines and Victim Identification: An Exploratory Study</w:t>
      </w:r>
      <w:r w:rsidRPr="00555313">
        <w:rPr>
          <w:rFonts w:ascii="Arial" w:hAnsi="Arial" w:cs="Arial"/>
        </w:rPr>
        <w:t>. PhD thesis. University of Cambridge.</w:t>
      </w:r>
    </w:p>
    <w:p w14:paraId="76FADD5D" w14:textId="77777777" w:rsidR="00200B3E" w:rsidRPr="00555313" w:rsidRDefault="00200B3E" w:rsidP="007E6812">
      <w:pPr>
        <w:spacing w:line="360" w:lineRule="auto"/>
        <w:rPr>
          <w:rFonts w:ascii="Arial" w:hAnsi="Arial" w:cs="Arial"/>
        </w:rPr>
      </w:pPr>
      <w:r w:rsidRPr="00555313">
        <w:rPr>
          <w:rFonts w:ascii="Arial" w:hAnsi="Arial" w:cs="Arial"/>
        </w:rPr>
        <w:t xml:space="preserve">McCombs, M.E. and Shaw, D.L. (1972) ‘The agenda-setting function of mass media’, </w:t>
      </w:r>
      <w:r w:rsidRPr="00555313">
        <w:rPr>
          <w:rFonts w:ascii="Arial" w:hAnsi="Arial" w:cs="Arial"/>
          <w:i/>
          <w:iCs/>
        </w:rPr>
        <w:t>Public Opinion Quarterly</w:t>
      </w:r>
      <w:r w:rsidRPr="00555313">
        <w:rPr>
          <w:rFonts w:ascii="Arial" w:hAnsi="Arial" w:cs="Arial"/>
        </w:rPr>
        <w:t>, 36(2), pp. 176-187.</w:t>
      </w:r>
    </w:p>
    <w:p w14:paraId="110B27E8" w14:textId="77777777" w:rsidR="00200B3E" w:rsidRPr="00555313" w:rsidRDefault="00200B3E" w:rsidP="007E6812">
      <w:pPr>
        <w:spacing w:line="360" w:lineRule="auto"/>
        <w:rPr>
          <w:rFonts w:ascii="Arial" w:hAnsi="Arial" w:cs="Arial"/>
        </w:rPr>
      </w:pPr>
      <w:r w:rsidRPr="00555313">
        <w:rPr>
          <w:rFonts w:ascii="Arial" w:hAnsi="Arial" w:cs="Arial"/>
        </w:rPr>
        <w:t xml:space="preserve">McCombs, M.E. and Shaw, D.L. (1972) ‘The agenda-setting function of mass media’, </w:t>
      </w:r>
      <w:r w:rsidRPr="00555313">
        <w:rPr>
          <w:rFonts w:ascii="Arial" w:hAnsi="Arial" w:cs="Arial"/>
          <w:i/>
          <w:iCs/>
        </w:rPr>
        <w:t>Public Opinion Quarterly</w:t>
      </w:r>
      <w:r w:rsidRPr="00555313">
        <w:rPr>
          <w:rFonts w:ascii="Arial" w:hAnsi="Arial" w:cs="Arial"/>
        </w:rPr>
        <w:t>, 36(2), pp. 176-187.</w:t>
      </w:r>
    </w:p>
    <w:p w14:paraId="7406B124" w14:textId="77777777" w:rsidR="00200B3E" w:rsidRPr="00555313" w:rsidRDefault="00200B3E" w:rsidP="007E6812">
      <w:pPr>
        <w:spacing w:line="360" w:lineRule="auto"/>
        <w:rPr>
          <w:rFonts w:ascii="Arial" w:hAnsi="Arial" w:cs="Arial"/>
        </w:rPr>
      </w:pPr>
      <w:r w:rsidRPr="00555313">
        <w:rPr>
          <w:rFonts w:ascii="Arial" w:hAnsi="Arial" w:cs="Arial"/>
        </w:rPr>
        <w:t xml:space="preserve">National Crime Agency (n.d.) </w:t>
      </w:r>
      <w:r w:rsidRPr="00555313">
        <w:rPr>
          <w:rFonts w:ascii="Arial" w:hAnsi="Arial" w:cs="Arial"/>
          <w:i/>
          <w:iCs/>
        </w:rPr>
        <w:t>County Lines</w:t>
      </w:r>
      <w:r w:rsidRPr="00555313">
        <w:rPr>
          <w:rFonts w:ascii="Arial" w:hAnsi="Arial" w:cs="Arial"/>
        </w:rPr>
        <w:t>. Available at: https://www.nationalcrimeagency.gov.uk (Accessed: [insert date accessed]).</w:t>
      </w:r>
    </w:p>
    <w:p w14:paraId="3FC6A551" w14:textId="77777777" w:rsidR="00200B3E" w:rsidRPr="00555313" w:rsidRDefault="00200B3E" w:rsidP="007E6812">
      <w:pPr>
        <w:spacing w:line="360" w:lineRule="auto"/>
        <w:rPr>
          <w:rFonts w:ascii="Arial" w:hAnsi="Arial" w:cs="Arial"/>
        </w:rPr>
      </w:pPr>
      <w:r w:rsidRPr="00555313">
        <w:rPr>
          <w:rFonts w:ascii="Arial" w:hAnsi="Arial" w:cs="Arial"/>
        </w:rPr>
        <w:t xml:space="preserve">O'Hagan, A. and Edmundson, C.J., 2021. County lines: the exploitation of vulnerable members of society. </w:t>
      </w:r>
      <w:r w:rsidRPr="00555313">
        <w:rPr>
          <w:rFonts w:ascii="Arial" w:hAnsi="Arial" w:cs="Arial"/>
          <w:i/>
          <w:iCs/>
        </w:rPr>
        <w:t>Forensic research &amp; criminology international journal</w:t>
      </w:r>
      <w:r w:rsidRPr="00555313">
        <w:rPr>
          <w:rFonts w:ascii="Arial" w:hAnsi="Arial" w:cs="Arial"/>
        </w:rPr>
        <w:t xml:space="preserve">, </w:t>
      </w:r>
      <w:r w:rsidRPr="00555313">
        <w:rPr>
          <w:rFonts w:ascii="Arial" w:hAnsi="Arial" w:cs="Arial"/>
          <w:i/>
          <w:iCs/>
        </w:rPr>
        <w:t>9</w:t>
      </w:r>
      <w:r w:rsidRPr="00555313">
        <w:rPr>
          <w:rFonts w:ascii="Arial" w:hAnsi="Arial" w:cs="Arial"/>
        </w:rPr>
        <w:t>(2), pp.47-57.</w:t>
      </w:r>
    </w:p>
    <w:p w14:paraId="42C0FC5A" w14:textId="77777777" w:rsidR="00200B3E" w:rsidRPr="00555313" w:rsidRDefault="00200B3E" w:rsidP="007E6812">
      <w:pPr>
        <w:spacing w:line="360" w:lineRule="auto"/>
        <w:rPr>
          <w:rFonts w:ascii="Arial" w:hAnsi="Arial" w:cs="Arial"/>
        </w:rPr>
      </w:pPr>
      <w:r w:rsidRPr="00555313">
        <w:rPr>
          <w:rFonts w:ascii="Arial" w:hAnsi="Arial" w:cs="Arial"/>
        </w:rPr>
        <w:t xml:space="preserve">Spicer, J. (2021) ‘Between gang talk and prohibition: The transfer of blame for County Lines’, International Journal of Drug Policy, 87, Article 102667. Available at: </w:t>
      </w:r>
      <w:hyperlink r:id="rId5" w:history="1">
        <w:r w:rsidRPr="00555313">
          <w:rPr>
            <w:rStyle w:val="Hyperlink"/>
            <w:rFonts w:ascii="Arial" w:hAnsi="Arial" w:cs="Arial"/>
          </w:rPr>
          <w:t>https://doi.org/10.1016/j.drugpo.2020.102667</w:t>
        </w:r>
      </w:hyperlink>
      <w:r w:rsidRPr="00555313">
        <w:rPr>
          <w:rFonts w:ascii="Arial" w:hAnsi="Arial" w:cs="Arial"/>
        </w:rPr>
        <w:t>.</w:t>
      </w:r>
    </w:p>
    <w:p w14:paraId="009DE011" w14:textId="77777777" w:rsidR="00200B3E" w:rsidRPr="00555313" w:rsidRDefault="00200B3E" w:rsidP="007E6812">
      <w:pPr>
        <w:spacing w:line="360" w:lineRule="auto"/>
        <w:rPr>
          <w:rFonts w:ascii="Arial" w:hAnsi="Arial" w:cs="Arial"/>
        </w:rPr>
      </w:pPr>
      <w:r w:rsidRPr="00555313">
        <w:rPr>
          <w:rFonts w:ascii="Arial" w:hAnsi="Arial" w:cs="Arial"/>
        </w:rPr>
        <w:t xml:space="preserve">Windle, J., Moyle, L. and Coomber, R., 2020. ‘Vulnerable ‘kids going country: children and young people’s involvement in county lines drug dealing. </w:t>
      </w:r>
      <w:r w:rsidRPr="00555313">
        <w:rPr>
          <w:rFonts w:ascii="Arial" w:hAnsi="Arial" w:cs="Arial"/>
          <w:i/>
          <w:iCs/>
        </w:rPr>
        <w:t>Youth justice</w:t>
      </w:r>
      <w:r w:rsidRPr="00555313">
        <w:rPr>
          <w:rFonts w:ascii="Arial" w:hAnsi="Arial" w:cs="Arial"/>
        </w:rPr>
        <w:t xml:space="preserve">, </w:t>
      </w:r>
      <w:r w:rsidRPr="00555313">
        <w:rPr>
          <w:rFonts w:ascii="Arial" w:hAnsi="Arial" w:cs="Arial"/>
          <w:i/>
          <w:iCs/>
        </w:rPr>
        <w:t>20</w:t>
      </w:r>
      <w:r w:rsidRPr="00555313">
        <w:rPr>
          <w:rFonts w:ascii="Arial" w:hAnsi="Arial" w:cs="Arial"/>
        </w:rPr>
        <w:t>(1-2), pp.64-78.</w:t>
      </w:r>
    </w:p>
    <w:p w14:paraId="43A997B6" w14:textId="77777777" w:rsidR="00200B3E" w:rsidRPr="00555313" w:rsidRDefault="00200B3E" w:rsidP="007E6812">
      <w:pPr>
        <w:spacing w:line="360" w:lineRule="auto"/>
        <w:rPr>
          <w:rFonts w:ascii="Arial" w:hAnsi="Arial" w:cs="Arial"/>
        </w:rPr>
      </w:pPr>
      <w:r w:rsidRPr="00555313">
        <w:rPr>
          <w:rFonts w:ascii="Arial" w:hAnsi="Arial" w:cs="Arial"/>
        </w:rPr>
        <w:t xml:space="preserve">Wroe, L.E., 2021. Young people and “county lines”: a contextual and social account. </w:t>
      </w:r>
      <w:r w:rsidRPr="00555313">
        <w:rPr>
          <w:rFonts w:ascii="Arial" w:hAnsi="Arial" w:cs="Arial"/>
          <w:i/>
          <w:iCs/>
        </w:rPr>
        <w:t>Journal of children's services</w:t>
      </w:r>
      <w:r w:rsidRPr="00555313">
        <w:rPr>
          <w:rFonts w:ascii="Arial" w:hAnsi="Arial" w:cs="Arial"/>
        </w:rPr>
        <w:t xml:space="preserve">, </w:t>
      </w:r>
      <w:r w:rsidRPr="00555313">
        <w:rPr>
          <w:rFonts w:ascii="Arial" w:hAnsi="Arial" w:cs="Arial"/>
          <w:i/>
          <w:iCs/>
        </w:rPr>
        <w:t>16</w:t>
      </w:r>
      <w:r w:rsidRPr="00555313">
        <w:rPr>
          <w:rFonts w:ascii="Arial" w:hAnsi="Arial" w:cs="Arial"/>
        </w:rPr>
        <w:t>(1), pp.39-55.</w:t>
      </w:r>
    </w:p>
    <w:p w14:paraId="7ABA5EFA" w14:textId="77777777" w:rsidR="00870003" w:rsidRPr="007E6812" w:rsidRDefault="00870003" w:rsidP="007E6812">
      <w:pPr>
        <w:spacing w:line="360" w:lineRule="auto"/>
        <w:rPr>
          <w:rFonts w:ascii="Arial" w:hAnsi="Arial" w:cs="Arial"/>
        </w:rPr>
      </w:pPr>
    </w:p>
    <w:p w14:paraId="5ADAA138" w14:textId="77777777" w:rsidR="00870003" w:rsidRPr="007E6812" w:rsidRDefault="00870003" w:rsidP="007E6812">
      <w:pPr>
        <w:spacing w:line="360" w:lineRule="auto"/>
        <w:rPr>
          <w:rFonts w:ascii="Arial" w:hAnsi="Arial" w:cs="Arial"/>
        </w:rPr>
      </w:pPr>
    </w:p>
    <w:p w14:paraId="1067B9B0" w14:textId="77777777" w:rsidR="00870003" w:rsidRPr="007E6812" w:rsidRDefault="00870003" w:rsidP="007E6812">
      <w:pPr>
        <w:spacing w:line="360" w:lineRule="auto"/>
        <w:rPr>
          <w:rFonts w:ascii="Arial" w:hAnsi="Arial" w:cs="Arial"/>
        </w:rPr>
      </w:pPr>
    </w:p>
    <w:p w14:paraId="764B4E54" w14:textId="77777777" w:rsidR="00870003" w:rsidRPr="007E6812" w:rsidRDefault="00870003" w:rsidP="007E6812">
      <w:pPr>
        <w:spacing w:line="360" w:lineRule="auto"/>
        <w:rPr>
          <w:rFonts w:ascii="Arial" w:hAnsi="Arial" w:cs="Arial"/>
        </w:rPr>
      </w:pPr>
    </w:p>
    <w:p w14:paraId="4208F1F7" w14:textId="77777777" w:rsidR="00870003" w:rsidRDefault="00870003" w:rsidP="00870003">
      <w:pPr>
        <w:rPr>
          <w:rFonts w:ascii="Arial" w:hAnsi="Arial" w:cs="Arial"/>
          <w:sz w:val="32"/>
          <w:szCs w:val="32"/>
        </w:rPr>
      </w:pPr>
    </w:p>
    <w:p w14:paraId="6C375789" w14:textId="77777777" w:rsidR="00870003" w:rsidRDefault="00870003" w:rsidP="00870003">
      <w:pPr>
        <w:rPr>
          <w:rFonts w:ascii="Arial" w:hAnsi="Arial" w:cs="Arial"/>
          <w:sz w:val="32"/>
          <w:szCs w:val="32"/>
        </w:rPr>
      </w:pPr>
    </w:p>
    <w:p w14:paraId="22261590" w14:textId="77777777" w:rsidR="00870003" w:rsidRDefault="00870003" w:rsidP="00870003">
      <w:pPr>
        <w:rPr>
          <w:rFonts w:ascii="Arial" w:hAnsi="Arial" w:cs="Arial"/>
          <w:sz w:val="32"/>
          <w:szCs w:val="32"/>
        </w:rPr>
      </w:pPr>
    </w:p>
    <w:p w14:paraId="466B2576" w14:textId="77777777" w:rsidR="00870003" w:rsidRPr="00C213A4" w:rsidRDefault="00870003" w:rsidP="00C213A4">
      <w:pPr>
        <w:rPr>
          <w:rFonts w:cs="Arial"/>
        </w:rPr>
      </w:pPr>
    </w:p>
    <w:p w14:paraId="672B8BF9" w14:textId="77777777" w:rsidR="00C213A4" w:rsidRPr="00F0345B" w:rsidRDefault="00C213A4" w:rsidP="00457819">
      <w:pPr>
        <w:rPr>
          <w:rFonts w:cs="Arial"/>
        </w:rPr>
      </w:pPr>
    </w:p>
    <w:p w14:paraId="60213DF1" w14:textId="77777777" w:rsidR="00462144" w:rsidRDefault="00462144">
      <w:pPr>
        <w:rPr>
          <w:rFonts w:ascii="Arial" w:hAnsi="Arial" w:cs="Arial"/>
          <w:sz w:val="32"/>
          <w:szCs w:val="32"/>
        </w:rPr>
      </w:pPr>
    </w:p>
    <w:p w14:paraId="3ECE6A41" w14:textId="77777777" w:rsidR="00816C5B" w:rsidRPr="00BB1F16" w:rsidRDefault="00816C5B">
      <w:pPr>
        <w:rPr>
          <w:rFonts w:ascii="Arial" w:hAnsi="Arial" w:cs="Arial"/>
          <w:sz w:val="32"/>
          <w:szCs w:val="32"/>
        </w:rPr>
      </w:pPr>
    </w:p>
    <w:p w14:paraId="0047C3CB" w14:textId="77777777" w:rsidR="00BB1F16" w:rsidRPr="00BB1F16" w:rsidRDefault="00BB1F16">
      <w:pPr>
        <w:rPr>
          <w:rFonts w:ascii="Arial" w:hAnsi="Arial" w:cs="Arial"/>
          <w:sz w:val="32"/>
          <w:szCs w:val="32"/>
        </w:rPr>
      </w:pPr>
    </w:p>
    <w:sectPr w:rsidR="00BB1F16" w:rsidRPr="00BB1F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F16"/>
    <w:rsid w:val="000030E0"/>
    <w:rsid w:val="00075C87"/>
    <w:rsid w:val="00077D8F"/>
    <w:rsid w:val="000D38C2"/>
    <w:rsid w:val="000D5584"/>
    <w:rsid w:val="000E2A46"/>
    <w:rsid w:val="0010154A"/>
    <w:rsid w:val="001235C1"/>
    <w:rsid w:val="00153D9F"/>
    <w:rsid w:val="00153E45"/>
    <w:rsid w:val="001652B7"/>
    <w:rsid w:val="00166730"/>
    <w:rsid w:val="00174630"/>
    <w:rsid w:val="001A69B7"/>
    <w:rsid w:val="001E1175"/>
    <w:rsid w:val="00200514"/>
    <w:rsid w:val="00200B3E"/>
    <w:rsid w:val="00234D90"/>
    <w:rsid w:val="002458BB"/>
    <w:rsid w:val="00295CCA"/>
    <w:rsid w:val="002C05E5"/>
    <w:rsid w:val="002D31F7"/>
    <w:rsid w:val="002F234D"/>
    <w:rsid w:val="002F7379"/>
    <w:rsid w:val="00311D0C"/>
    <w:rsid w:val="00335D49"/>
    <w:rsid w:val="00346802"/>
    <w:rsid w:val="0035150F"/>
    <w:rsid w:val="003A5E1B"/>
    <w:rsid w:val="003B6F22"/>
    <w:rsid w:val="003C1023"/>
    <w:rsid w:val="003E5A36"/>
    <w:rsid w:val="003E6C3A"/>
    <w:rsid w:val="003F1453"/>
    <w:rsid w:val="00412663"/>
    <w:rsid w:val="00415337"/>
    <w:rsid w:val="00422F51"/>
    <w:rsid w:val="004312DE"/>
    <w:rsid w:val="00457819"/>
    <w:rsid w:val="00462144"/>
    <w:rsid w:val="004652B0"/>
    <w:rsid w:val="004923D1"/>
    <w:rsid w:val="004B4322"/>
    <w:rsid w:val="004D49E3"/>
    <w:rsid w:val="004E674F"/>
    <w:rsid w:val="00503DB7"/>
    <w:rsid w:val="00540D94"/>
    <w:rsid w:val="00555313"/>
    <w:rsid w:val="00575DEB"/>
    <w:rsid w:val="005B34B1"/>
    <w:rsid w:val="005C47AA"/>
    <w:rsid w:val="00614C62"/>
    <w:rsid w:val="00647E98"/>
    <w:rsid w:val="00670A90"/>
    <w:rsid w:val="00692258"/>
    <w:rsid w:val="006A15CF"/>
    <w:rsid w:val="006A4B2E"/>
    <w:rsid w:val="006B6710"/>
    <w:rsid w:val="006C7B55"/>
    <w:rsid w:val="006E17BE"/>
    <w:rsid w:val="006E2363"/>
    <w:rsid w:val="006E60A0"/>
    <w:rsid w:val="006E6852"/>
    <w:rsid w:val="006F4462"/>
    <w:rsid w:val="00712CF8"/>
    <w:rsid w:val="007173A5"/>
    <w:rsid w:val="007523D7"/>
    <w:rsid w:val="00762D53"/>
    <w:rsid w:val="00783DFE"/>
    <w:rsid w:val="00787563"/>
    <w:rsid w:val="007A0353"/>
    <w:rsid w:val="007A5BD8"/>
    <w:rsid w:val="007C15C6"/>
    <w:rsid w:val="007C1B01"/>
    <w:rsid w:val="007C76AA"/>
    <w:rsid w:val="007E6812"/>
    <w:rsid w:val="007E74AB"/>
    <w:rsid w:val="00810950"/>
    <w:rsid w:val="008125E0"/>
    <w:rsid w:val="00816C5B"/>
    <w:rsid w:val="00823DF4"/>
    <w:rsid w:val="00837F6F"/>
    <w:rsid w:val="00870003"/>
    <w:rsid w:val="0087422A"/>
    <w:rsid w:val="008761AE"/>
    <w:rsid w:val="008901BE"/>
    <w:rsid w:val="00892F64"/>
    <w:rsid w:val="008B2B1B"/>
    <w:rsid w:val="008C7DBE"/>
    <w:rsid w:val="008D5F1C"/>
    <w:rsid w:val="008E05A8"/>
    <w:rsid w:val="008E4E86"/>
    <w:rsid w:val="00917E49"/>
    <w:rsid w:val="00930CCE"/>
    <w:rsid w:val="009C1BF7"/>
    <w:rsid w:val="009C55CF"/>
    <w:rsid w:val="009F37FA"/>
    <w:rsid w:val="00A00D49"/>
    <w:rsid w:val="00A30219"/>
    <w:rsid w:val="00A557C9"/>
    <w:rsid w:val="00A95BEA"/>
    <w:rsid w:val="00AB5950"/>
    <w:rsid w:val="00AD392F"/>
    <w:rsid w:val="00AD4478"/>
    <w:rsid w:val="00AF0122"/>
    <w:rsid w:val="00AF6715"/>
    <w:rsid w:val="00B441C6"/>
    <w:rsid w:val="00B53132"/>
    <w:rsid w:val="00B54FCD"/>
    <w:rsid w:val="00B9433D"/>
    <w:rsid w:val="00BB1F16"/>
    <w:rsid w:val="00BB4B8F"/>
    <w:rsid w:val="00BC389C"/>
    <w:rsid w:val="00BC6756"/>
    <w:rsid w:val="00BF2D7A"/>
    <w:rsid w:val="00C213A4"/>
    <w:rsid w:val="00C239A1"/>
    <w:rsid w:val="00C303A4"/>
    <w:rsid w:val="00C4058E"/>
    <w:rsid w:val="00C63966"/>
    <w:rsid w:val="00C6614B"/>
    <w:rsid w:val="00C816E4"/>
    <w:rsid w:val="00C92A0A"/>
    <w:rsid w:val="00CB0AE7"/>
    <w:rsid w:val="00CF0A1E"/>
    <w:rsid w:val="00D027FC"/>
    <w:rsid w:val="00D363FE"/>
    <w:rsid w:val="00D53345"/>
    <w:rsid w:val="00D60617"/>
    <w:rsid w:val="00DB208E"/>
    <w:rsid w:val="00DB2DE5"/>
    <w:rsid w:val="00E20DD4"/>
    <w:rsid w:val="00E31800"/>
    <w:rsid w:val="00E420B7"/>
    <w:rsid w:val="00E512BE"/>
    <w:rsid w:val="00E62635"/>
    <w:rsid w:val="00EC240B"/>
    <w:rsid w:val="00EF6190"/>
    <w:rsid w:val="00F01DC6"/>
    <w:rsid w:val="00F165D9"/>
    <w:rsid w:val="00F22884"/>
    <w:rsid w:val="00F24C4C"/>
    <w:rsid w:val="00F92B06"/>
    <w:rsid w:val="00F9509C"/>
    <w:rsid w:val="00FB4942"/>
    <w:rsid w:val="00FB68F7"/>
    <w:rsid w:val="00FC7BC2"/>
    <w:rsid w:val="00FF1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6BC6"/>
  <w15:chartTrackingRefBased/>
  <w15:docId w15:val="{407BA25C-7F65-4E98-865B-AC449298F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F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1F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1F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F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F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F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F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F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F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F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1F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1F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F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F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F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F16"/>
    <w:rPr>
      <w:rFonts w:eastAsiaTheme="majorEastAsia" w:cstheme="majorBidi"/>
      <w:color w:val="272727" w:themeColor="text1" w:themeTint="D8"/>
    </w:rPr>
  </w:style>
  <w:style w:type="paragraph" w:styleId="Title">
    <w:name w:val="Title"/>
    <w:basedOn w:val="Normal"/>
    <w:next w:val="Normal"/>
    <w:link w:val="TitleChar"/>
    <w:uiPriority w:val="10"/>
    <w:qFormat/>
    <w:rsid w:val="00BB1F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F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F16"/>
    <w:pPr>
      <w:spacing w:before="160"/>
      <w:jc w:val="center"/>
    </w:pPr>
    <w:rPr>
      <w:i/>
      <w:iCs/>
      <w:color w:val="404040" w:themeColor="text1" w:themeTint="BF"/>
    </w:rPr>
  </w:style>
  <w:style w:type="character" w:customStyle="1" w:styleId="QuoteChar">
    <w:name w:val="Quote Char"/>
    <w:basedOn w:val="DefaultParagraphFont"/>
    <w:link w:val="Quote"/>
    <w:uiPriority w:val="29"/>
    <w:rsid w:val="00BB1F16"/>
    <w:rPr>
      <w:i/>
      <w:iCs/>
      <w:color w:val="404040" w:themeColor="text1" w:themeTint="BF"/>
    </w:rPr>
  </w:style>
  <w:style w:type="paragraph" w:styleId="ListParagraph">
    <w:name w:val="List Paragraph"/>
    <w:basedOn w:val="Normal"/>
    <w:uiPriority w:val="34"/>
    <w:qFormat/>
    <w:rsid w:val="00BB1F16"/>
    <w:pPr>
      <w:ind w:left="720"/>
      <w:contextualSpacing/>
    </w:pPr>
  </w:style>
  <w:style w:type="character" w:styleId="IntenseEmphasis">
    <w:name w:val="Intense Emphasis"/>
    <w:basedOn w:val="DefaultParagraphFont"/>
    <w:uiPriority w:val="21"/>
    <w:qFormat/>
    <w:rsid w:val="00BB1F16"/>
    <w:rPr>
      <w:i/>
      <w:iCs/>
      <w:color w:val="0F4761" w:themeColor="accent1" w:themeShade="BF"/>
    </w:rPr>
  </w:style>
  <w:style w:type="paragraph" w:styleId="IntenseQuote">
    <w:name w:val="Intense Quote"/>
    <w:basedOn w:val="Normal"/>
    <w:next w:val="Normal"/>
    <w:link w:val="IntenseQuoteChar"/>
    <w:uiPriority w:val="30"/>
    <w:qFormat/>
    <w:rsid w:val="00BB1F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F16"/>
    <w:rPr>
      <w:i/>
      <w:iCs/>
      <w:color w:val="0F4761" w:themeColor="accent1" w:themeShade="BF"/>
    </w:rPr>
  </w:style>
  <w:style w:type="character" w:styleId="IntenseReference">
    <w:name w:val="Intense Reference"/>
    <w:basedOn w:val="DefaultParagraphFont"/>
    <w:uiPriority w:val="32"/>
    <w:qFormat/>
    <w:rsid w:val="00BB1F16"/>
    <w:rPr>
      <w:b/>
      <w:bCs/>
      <w:smallCaps/>
      <w:color w:val="0F4761" w:themeColor="accent1" w:themeShade="BF"/>
      <w:spacing w:val="5"/>
    </w:rPr>
  </w:style>
  <w:style w:type="character" w:styleId="Hyperlink">
    <w:name w:val="Hyperlink"/>
    <w:basedOn w:val="DefaultParagraphFont"/>
    <w:uiPriority w:val="99"/>
    <w:unhideWhenUsed/>
    <w:rsid w:val="00200514"/>
    <w:rPr>
      <w:color w:val="467886" w:themeColor="hyperlink"/>
      <w:u w:val="single"/>
    </w:rPr>
  </w:style>
  <w:style w:type="character" w:styleId="UnresolvedMention">
    <w:name w:val="Unresolved Mention"/>
    <w:basedOn w:val="DefaultParagraphFont"/>
    <w:uiPriority w:val="99"/>
    <w:semiHidden/>
    <w:unhideWhenUsed/>
    <w:rsid w:val="00200514"/>
    <w:rPr>
      <w:color w:val="605E5C"/>
      <w:shd w:val="clear" w:color="auto" w:fill="E1DFDD"/>
    </w:rPr>
  </w:style>
  <w:style w:type="table" w:styleId="TableGrid">
    <w:name w:val="Table Grid"/>
    <w:basedOn w:val="TableNormal"/>
    <w:uiPriority w:val="39"/>
    <w:rsid w:val="001E1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16/j.drugpo.2020.102667?utm_source=chatgpt.com" TargetMode="External"/><Relationship Id="rId4" Type="http://schemas.openxmlformats.org/officeDocument/2006/relationships/hyperlink" Target="https://www.gov.uk/government/publications/criminal-exploitation-of-children-and-vulnerable-adults-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370</TotalTime>
  <Pages>1</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Jones</dc:creator>
  <cp:keywords/>
  <dc:description/>
  <cp:lastModifiedBy>Denise Jones</cp:lastModifiedBy>
  <cp:revision>91</cp:revision>
  <dcterms:created xsi:type="dcterms:W3CDTF">2026-10-15T10:23:00Z</dcterms:created>
  <dcterms:modified xsi:type="dcterms:W3CDTF">2026-10-22T15:36:00Z</dcterms:modified>
</cp:coreProperties>
</file>