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4"/>
          <w:szCs w:val="24"/>
          <w:u w:val="single"/>
        </w:rPr>
      </w:pPr>
      <w:r w:rsidDel="00000000" w:rsidR="00000000" w:rsidRPr="00000000">
        <w:rPr>
          <w:sz w:val="24"/>
          <w:szCs w:val="24"/>
          <w:u w:val="single"/>
          <w:rtl w:val="0"/>
        </w:rPr>
        <w:t xml:space="preserve">Developing ad Supporting Physical Development in Early Childhood</w:t>
      </w:r>
    </w:p>
    <w:p w:rsidR="00000000" w:rsidDel="00000000" w:rsidP="00000000" w:rsidRDefault="00000000" w:rsidRPr="00000000" w14:paraId="00000002">
      <w:pPr>
        <w:jc w:val="center"/>
        <w:rPr>
          <w:sz w:val="24"/>
          <w:szCs w:val="24"/>
          <w:u w:val="single"/>
        </w:rPr>
      </w:pPr>
      <w:r w:rsidDel="00000000" w:rsidR="00000000" w:rsidRPr="00000000">
        <w:rPr>
          <w:sz w:val="24"/>
          <w:szCs w:val="24"/>
          <w:u w:val="single"/>
          <w:rtl w:val="0"/>
        </w:rPr>
        <w:t xml:space="preserve">Reflective Journal - Elizabeth Agland</w:t>
      </w:r>
    </w:p>
    <w:p w:rsidR="00000000" w:rsidDel="00000000" w:rsidP="00000000" w:rsidRDefault="00000000" w:rsidRPr="00000000" w14:paraId="00000003">
      <w:pPr>
        <w:rPr>
          <w:sz w:val="24"/>
          <w:szCs w:val="24"/>
          <w:u w:val="single"/>
        </w:rPr>
      </w:pPr>
      <w:r w:rsidDel="00000000" w:rsidR="00000000" w:rsidRPr="00000000">
        <w:rPr>
          <w:rtl w:val="0"/>
        </w:rPr>
      </w:r>
    </w:p>
    <w:p w:rsidR="00000000" w:rsidDel="00000000" w:rsidP="00000000" w:rsidRDefault="00000000" w:rsidRPr="00000000" w14:paraId="00000004">
      <w:pPr>
        <w:spacing w:line="360" w:lineRule="auto"/>
        <w:rPr>
          <w:sz w:val="24"/>
          <w:szCs w:val="24"/>
        </w:rPr>
      </w:pPr>
      <w:r w:rsidDel="00000000" w:rsidR="00000000" w:rsidRPr="00000000">
        <w:rPr>
          <w:sz w:val="24"/>
          <w:szCs w:val="24"/>
          <w:rtl w:val="0"/>
        </w:rPr>
        <w:t xml:space="preserve">All of the sessions take place in an inner city school. The school has been classed as ‘super-diverse’ and therefore, the cohort of children come from many different cultural and economic backgrounds. As a result of the placement of the school, the cultural backgrounds of lots of the children and the fact that the cohort have spent the best part of a third to half of their lives, living during a pandemic and in and out of lockdowns, it is clear that most of the children spend a lot of time indoors, and a lot of that time stationary. Therefore, when taking part in SKIP sessions in school, there is already a constraint on the individual. This is seen when looking at Newell’s </w:t>
      </w:r>
      <w:r w:rsidDel="00000000" w:rsidR="00000000" w:rsidRPr="00000000">
        <w:rPr>
          <w:sz w:val="24"/>
          <w:szCs w:val="24"/>
          <w:rtl w:val="0"/>
        </w:rPr>
        <w:t xml:space="preserve">Constraints Theory (Newell, 1986). </w:t>
      </w:r>
      <w:r w:rsidDel="00000000" w:rsidR="00000000" w:rsidRPr="00000000">
        <w:rPr>
          <w:sz w:val="24"/>
          <w:szCs w:val="24"/>
          <w:rtl w:val="0"/>
        </w:rPr>
        <w:t xml:space="preserve">There are some local parks which some of the children use but most certainly wouldn’t be encouraged to play outside or take part in risky or adventurous play very often. This will clearly affect the sensory integration of the children, because as Ayres states, the movements that can be found in playgrounds “fills the needs of the developing nervous system” </w:t>
      </w:r>
      <w:r w:rsidDel="00000000" w:rsidR="00000000" w:rsidRPr="00000000">
        <w:rPr>
          <w:sz w:val="24"/>
          <w:szCs w:val="24"/>
          <w:rtl w:val="0"/>
        </w:rPr>
        <w:t xml:space="preserve">(Ayres, J. 2005).</w:t>
      </w:r>
    </w:p>
    <w:p w:rsidR="00000000" w:rsidDel="00000000" w:rsidP="00000000" w:rsidRDefault="00000000" w:rsidRPr="00000000" w14:paraId="00000005">
      <w:pPr>
        <w:spacing w:line="360" w:lineRule="auto"/>
        <w:ind w:firstLine="720"/>
        <w:rPr>
          <w:color w:val="ff0000"/>
          <w:sz w:val="24"/>
          <w:szCs w:val="24"/>
        </w:rPr>
      </w:pPr>
      <w:r w:rsidDel="00000000" w:rsidR="00000000" w:rsidRPr="00000000">
        <w:rPr>
          <w:sz w:val="24"/>
          <w:szCs w:val="24"/>
          <w:rtl w:val="0"/>
        </w:rPr>
        <w:t xml:space="preserve">As a result of this, I first wanted to assess the children’s abilities </w:t>
      </w:r>
      <w:r w:rsidDel="00000000" w:rsidR="00000000" w:rsidRPr="00000000">
        <w:rPr>
          <w:sz w:val="24"/>
          <w:szCs w:val="24"/>
          <w:rtl w:val="0"/>
        </w:rPr>
        <w:t xml:space="preserve">using ‘Gallahue, D.L., Ozman, J.C., and Goodway, J.D. (2011)’ age-related changes in FMS of children. What I found initially was quite surprising. The children’s abilities when working 1:1 with a member of staff were, while not exactly where they should be age-wise, higher than expected. When these skills were transferred into a SKIP Cymru session, the children performed at a slightly lower level.The children coped better than expected with the structure of the lesson and in using and developing the skills. They did well to learn how to make a space bubble and  tried hard to keep themselves in their bubble. They moved carefully and were aware of others. Although she has had no training, the TA did well to support and observe, helping with the assessment of skills. I learned, during this first session, that I need to have higher expectations of what the children can do and that as long as the children are engaged and enjoying the activities, they are always developing and practicing their skills. It is my responsibility to ensure the environment and the task meet the needs of the individual. In opposition to how I cannot change the individual constraints described by Newell, I can change the task and the environment, (Newell, 1986). </w:t>
      </w:r>
      <w:r w:rsidDel="00000000" w:rsidR="00000000" w:rsidRPr="00000000">
        <w:rPr>
          <w:rtl w:val="0"/>
        </w:rPr>
      </w:r>
    </w:p>
    <w:p w:rsidR="00000000" w:rsidDel="00000000" w:rsidP="00000000" w:rsidRDefault="00000000" w:rsidRPr="00000000" w14:paraId="00000006">
      <w:pPr>
        <w:spacing w:line="360" w:lineRule="auto"/>
        <w:ind w:firstLine="720"/>
        <w:rPr>
          <w:sz w:val="24"/>
          <w:szCs w:val="24"/>
        </w:rPr>
      </w:pPr>
      <w:r w:rsidDel="00000000" w:rsidR="00000000" w:rsidRPr="00000000">
        <w:rPr>
          <w:sz w:val="24"/>
          <w:szCs w:val="24"/>
          <w:rtl w:val="0"/>
        </w:rPr>
        <w:t xml:space="preserve">As I am only with the class on a part-time basis, I reflected on this session and altered it slightly for it to be repeated by the other class teacher. The TA was able to support in explaining how to demonstrate the skills. I feel that it is important for the children, at this stage, to repeat the skills as often as possible and so I am happy for this to carry on every week. In the next session, pairs based work was introduced, which the children found more difficult. It was observed that the children were struggling with the speed element of the movement concepts, (Goodway, 2003), and couldn’t differentiate between fast and slow. When I planned the next session, I ensured that I included activities that could practice these things, changing the task to allow for more structured ‘fast’ and ‘slow’ movements. I also allowed for a smaller group to work in the pairs based garden so that I could observe and change the task for them more efficiently, (Newell, 1986)</w:t>
      </w:r>
    </w:p>
    <w:p w:rsidR="00000000" w:rsidDel="00000000" w:rsidP="00000000" w:rsidRDefault="00000000" w:rsidRPr="00000000" w14:paraId="00000007">
      <w:pPr>
        <w:spacing w:line="360" w:lineRule="auto"/>
        <w:ind w:firstLine="720"/>
        <w:rPr>
          <w:color w:val="ff0000"/>
          <w:sz w:val="24"/>
          <w:szCs w:val="24"/>
        </w:rPr>
      </w:pPr>
      <w:r w:rsidDel="00000000" w:rsidR="00000000" w:rsidRPr="00000000">
        <w:rPr>
          <w:sz w:val="24"/>
          <w:szCs w:val="24"/>
          <w:rtl w:val="0"/>
        </w:rPr>
        <w:t xml:space="preserve">After only a few sessions, I found that the children were definitely beginning to show awareness of expectations regarding finding Space Bubbles. However, I noticed that the children found it difficult to move in their bubble once they were moving on hands, feet and knees, probably as a result of not being able to see clearly where they are in relation to others and an underdeveloped proprioception (Ayres, J. 2005)</w:t>
      </w:r>
      <w:r w:rsidDel="00000000" w:rsidR="00000000" w:rsidRPr="00000000">
        <w:rPr>
          <w:rtl w:val="0"/>
        </w:rPr>
      </w:r>
    </w:p>
    <w:p w:rsidR="00000000" w:rsidDel="00000000" w:rsidP="00000000" w:rsidRDefault="00000000" w:rsidRPr="00000000" w14:paraId="00000008">
      <w:pPr>
        <w:spacing w:line="360" w:lineRule="auto"/>
        <w:ind w:firstLine="720"/>
        <w:rPr>
          <w:color w:val="ff0000"/>
          <w:sz w:val="24"/>
          <w:szCs w:val="24"/>
        </w:rPr>
      </w:pPr>
      <w:r w:rsidDel="00000000" w:rsidR="00000000" w:rsidRPr="00000000">
        <w:rPr>
          <w:sz w:val="24"/>
          <w:szCs w:val="24"/>
          <w:rtl w:val="0"/>
        </w:rPr>
        <w:t xml:space="preserve">When ‘gardens’ were introduced for the first time, the children coped well and for the most part were able to work in their separate gardens. Having the two gardens ensured that all children had a high number of opportunities and trials, which is advocated by SKIP Cymru based on the original SKIP work of  Professor Jackie Goodway, (</w:t>
      </w:r>
      <w:r w:rsidDel="00000000" w:rsidR="00000000" w:rsidRPr="00000000">
        <w:rPr>
          <w:rFonts w:ascii="Calibri" w:cs="Calibri" w:eastAsia="Calibri" w:hAnsi="Calibri"/>
          <w:sz w:val="24"/>
          <w:szCs w:val="24"/>
          <w:rtl w:val="0"/>
        </w:rPr>
        <w:t xml:space="preserve">Goodway, J.D. &amp; Branta, C.F. 2003 and Goodway, J.D., Crowe, H. &amp; Ward, P. 2003). </w:t>
      </w:r>
      <w:r w:rsidDel="00000000" w:rsidR="00000000" w:rsidRPr="00000000">
        <w:rPr>
          <w:sz w:val="24"/>
          <w:szCs w:val="24"/>
          <w:rtl w:val="0"/>
        </w:rPr>
        <w:t xml:space="preserve">However, I found that using this structure with a Reception class definitely requires there to be an adult in each garden. For example, w</w:t>
      </w:r>
      <w:r w:rsidDel="00000000" w:rsidR="00000000" w:rsidRPr="00000000">
        <w:rPr>
          <w:sz w:val="24"/>
          <w:szCs w:val="24"/>
          <w:rtl w:val="0"/>
        </w:rPr>
        <w:t xml:space="preserve">hen working in pairs, the children initially seemed to rush throwing and catching and most needed to revert to rolling in order to focus them on watching the ball, getting hands ready and also rolling straight at the other person. Being able to observe a small group and remind them of the techniques allowed the children to throw and catch large balls more effectively. It also allowed me to focus more specifically on the motor development of the individual child and to ensure that the task related directly to their stage of development, (Gallahue et al, 2012). </w:t>
      </w:r>
      <w:r w:rsidDel="00000000" w:rsidR="00000000" w:rsidRPr="00000000">
        <w:rPr>
          <w:sz w:val="24"/>
          <w:szCs w:val="24"/>
          <w:rtl w:val="0"/>
        </w:rPr>
        <w:t xml:space="preserve">In each session, I found that the specific teaching and demonstration of skills had a huge impact on the success of the activities. Using visual cues alongside simple instructions worked the best. The children also responded really well to positive and constructive feedback, where noticing the skill they are using is mentioned. This also had an impact on the other children who could respond to what they heard incidentally without any of the children having to have specific attention on themselves.</w:t>
      </w:r>
      <w:r w:rsidDel="00000000" w:rsidR="00000000" w:rsidRPr="00000000">
        <w:rPr>
          <w:rtl w:val="0"/>
        </w:rPr>
      </w:r>
    </w:p>
    <w:p w:rsidR="00000000" w:rsidDel="00000000" w:rsidP="00000000" w:rsidRDefault="00000000" w:rsidRPr="00000000" w14:paraId="00000009">
      <w:pPr>
        <w:spacing w:line="360" w:lineRule="auto"/>
        <w:ind w:firstLine="720"/>
        <w:rPr>
          <w:sz w:val="24"/>
          <w:szCs w:val="24"/>
        </w:rPr>
      </w:pPr>
      <w:r w:rsidDel="00000000" w:rsidR="00000000" w:rsidRPr="00000000">
        <w:rPr>
          <w:sz w:val="24"/>
          <w:szCs w:val="24"/>
          <w:rtl w:val="0"/>
        </w:rPr>
        <w:t xml:space="preserve">During an initial turn taking activity, where children had to retrieve items from one hoop to put into another, it was obvious that lots of children found this difficult. They often got lost when moving from one hoop to the other and so it seems that the children need more sensory integration in their vestibular system. They clearly need a lot of practice in moving to and from stations, spots or hoops. Some children also seemed reluctant to move quickly and to pick up heavier objects which was the opposite of what I was expecting to happen. This highlighted to me that these children need to develop their proprioception, (Ayres, J. 2005). As a result of this, I have spoken to other staff members about ensuring the children have equipment and opportunities in which they can swing, hang, and spin, as well as having equipment to play with on a more permanent basis outside.</w:t>
      </w:r>
    </w:p>
    <w:p w:rsidR="00000000" w:rsidDel="00000000" w:rsidP="00000000" w:rsidRDefault="00000000" w:rsidRPr="00000000" w14:paraId="0000000A">
      <w:pPr>
        <w:spacing w:line="360" w:lineRule="auto"/>
        <w:ind w:firstLine="720"/>
        <w:rPr>
          <w:color w:val="ff0000"/>
          <w:sz w:val="24"/>
          <w:szCs w:val="24"/>
        </w:rPr>
      </w:pPr>
      <w:r w:rsidDel="00000000" w:rsidR="00000000" w:rsidRPr="00000000">
        <w:rPr>
          <w:sz w:val="24"/>
          <w:szCs w:val="24"/>
          <w:rtl w:val="0"/>
        </w:rPr>
        <w:t xml:space="preserve">As Whitehead .M talks about in </w:t>
      </w:r>
      <w:r w:rsidDel="00000000" w:rsidR="00000000" w:rsidRPr="00000000">
        <w:rPr>
          <w:i w:val="1"/>
          <w:sz w:val="24"/>
          <w:szCs w:val="24"/>
          <w:rtl w:val="0"/>
        </w:rPr>
        <w:t xml:space="preserve">Physical Literacy throughout the lifecourse </w:t>
      </w:r>
      <w:r w:rsidDel="00000000" w:rsidR="00000000" w:rsidRPr="00000000">
        <w:rPr>
          <w:sz w:val="24"/>
          <w:szCs w:val="24"/>
          <w:rtl w:val="0"/>
        </w:rPr>
        <w:t xml:space="preserve">(2010), the children are completely immersed in their play throughout the whole of each session. The physical interaction that they have with the space, each other and the equipment shows how the children are developing. Some clearly need to become more aware of the physical space around them and are still building muscle strength, as shown when they were trying to move objects from one place to another but getting lost, and also being reluctant to carry the heavier objects. It is also clear through how the children interacted with each other and the equipment, that mind and body is as one. The activities are developing them as a whole person, helping them to react socially and sensorially to what they were doing. The cognitive systems of the children are clearly being put to the test as they have to try and navigate themselves, with an object in a way they have not done before. With repetition and adaptation, myelination in the brain should occur, and the children will become more proficient, as well as confident at completing these activities. As Ayres states in her work ‘Sensory Integration and the Brain’ (ch.2, 2005), “we can adapt to a situation only if our brain knows what the situation is. When a child acts in an adaptive manner, we know that his brain is organizing sensations efficiently...It is fun to integrate sensations and form adaptive responses”.</w:t>
      </w:r>
      <w:r w:rsidDel="00000000" w:rsidR="00000000" w:rsidRPr="00000000">
        <w:rPr>
          <w:rtl w:val="0"/>
        </w:rPr>
      </w:r>
    </w:p>
    <w:p w:rsidR="00000000" w:rsidDel="00000000" w:rsidP="00000000" w:rsidRDefault="00000000" w:rsidRPr="00000000" w14:paraId="0000000B">
      <w:pPr>
        <w:spacing w:line="360" w:lineRule="auto"/>
        <w:ind w:firstLine="720"/>
        <w:rPr>
          <w:sz w:val="24"/>
          <w:szCs w:val="24"/>
        </w:rPr>
      </w:pPr>
      <w:r w:rsidDel="00000000" w:rsidR="00000000" w:rsidRPr="00000000">
        <w:rPr>
          <w:sz w:val="24"/>
          <w:szCs w:val="24"/>
          <w:rtl w:val="0"/>
        </w:rPr>
        <w:t xml:space="preserve">On occasion, some of the children have seemed reluctant to use the equipment and it appears that they may not have been given similar opportunities at home. One child even said one of the balls was “too heavy” and  looked to the adult to take it from them. However, all of the equipment has been designed for Early Years education. Some children were also reluctant to move quickly to complete the activities. Both of these things were surprising to me as in past experience I have found children really eager to use unusual and interesting equipment and I was expecting them to be competitive and want to complete this task as quickly as possible. Perhaps the children are generally not as confident to move in these ways or haven’t had the environment in order to do this before because of Lockdown or because families are more inclined to ‘help’ children if they are struggling so as not to allow them to fail. There are clearly anxieties around children taking risks and this will also have had an impact. All of these circumstances together will have halted the “greater variety of things (he) experiences as (he) roams about, the more practice (he) gets in integrating sensations and forming adaptive responses to those sensations” (Ayres, J, Sensory Integration and the Child, 2005). </w:t>
      </w:r>
    </w:p>
    <w:p w:rsidR="00000000" w:rsidDel="00000000" w:rsidP="00000000" w:rsidRDefault="00000000" w:rsidRPr="00000000" w14:paraId="0000000C">
      <w:pPr>
        <w:spacing w:line="360" w:lineRule="auto"/>
        <w:ind w:firstLine="720"/>
        <w:rPr>
          <w:color w:val="ff0000"/>
          <w:sz w:val="24"/>
          <w:szCs w:val="24"/>
        </w:rPr>
      </w:pPr>
      <w:r w:rsidDel="00000000" w:rsidR="00000000" w:rsidRPr="00000000">
        <w:rPr>
          <w:sz w:val="24"/>
          <w:szCs w:val="24"/>
          <w:rtl w:val="0"/>
        </w:rPr>
        <w:t xml:space="preserve">As the sessions have developed, I have focussed on ensuring that the children are learning and developing a broad range of skills and that the children are learning through thematic related activities rather than sports specific lessons. As found in Clark and Metcalf’s ‘The Mountain of Motor Development, (2002)’, “children with a larger base camp can use their skills in a variety of activities and can climb different mountain peaks, becoming skillful in various sports.” I have also found that allowing children to work in pairs or individually while the other children are focussed on their own activities, has allowed the children to develop the skills confidently and without the risk of failure which could lead to an unhelpful perceived motor competence as the children grow older. (Stodden et al, 2008). Hopefully, this will continue as they move through the school, allowing the children to become proficient in fundamental motor skills and eliminating the risk of them hitting a proficiency barrier. (Seefeldt, 1980, Progression on Motor Proficiency Skill Levels).</w:t>
      </w:r>
      <w:r w:rsidDel="00000000" w:rsidR="00000000" w:rsidRPr="00000000">
        <w:rPr>
          <w:rtl w:val="0"/>
        </w:rPr>
      </w:r>
    </w:p>
    <w:p w:rsidR="00000000" w:rsidDel="00000000" w:rsidP="00000000" w:rsidRDefault="00000000" w:rsidRPr="00000000" w14:paraId="0000000D">
      <w:pPr>
        <w:spacing w:line="360" w:lineRule="auto"/>
        <w:ind w:firstLine="720"/>
        <w:rPr>
          <w:sz w:val="24"/>
          <w:szCs w:val="24"/>
        </w:rPr>
      </w:pPr>
      <w:r w:rsidDel="00000000" w:rsidR="00000000" w:rsidRPr="00000000">
        <w:rPr>
          <w:sz w:val="24"/>
          <w:szCs w:val="24"/>
          <w:rtl w:val="0"/>
        </w:rPr>
        <w:t xml:space="preserve">The most profound result of introducing the SKIP sessions, has for me, been in the way confidence has been instilled in the children and their abilities to move and use equipment. The children now often instigate their own ways of moving around the school, practicing speed, levels, balance and developing their movement vocabulary. (Goodway, 2003). They are also keen to use the skills that they have learned in their free choice and playtimes outdoors. Children will often be heard saying “rainbow throw”, “eyes ready”, “throw to the ‘x’ zone” when playing with each other or with an adult on the yard. When throwing, you can clearly see them thinking about which leg to step with and although they are not always successful, they are aware of what they need to do. They are also keen to set up their own obstacle courses and can move around them well. What is clear in these circumstances, is that more proficient throwers, catchers, movers are demonstrating to the less proficient children a better way of using that skill in a natural and incidental way. The less proficient movers are learning from them at all times in an uncritical environment that for them is safe. Therefore, they are able to challenge themselves to practise the more difficult skills without fear of failure. Promoting a learning environment where movement is at the heart of the children’s play, has created a culture that will hopefully have long lasting benefits to the children. If this continues to be the case, the movement skills that the children have developed will continue to support their physical activity throughout their lifespan. (Hulteen,R.M et al, 2018) .</w:t>
      </w:r>
    </w:p>
    <w:p w:rsidR="00000000" w:rsidDel="00000000" w:rsidP="00000000" w:rsidRDefault="00000000" w:rsidRPr="00000000" w14:paraId="0000000E">
      <w:pPr>
        <w:spacing w:line="360" w:lineRule="auto"/>
        <w:ind w:firstLine="720"/>
        <w:rPr>
          <w:sz w:val="24"/>
          <w:szCs w:val="24"/>
        </w:rPr>
      </w:pPr>
      <w:r w:rsidDel="00000000" w:rsidR="00000000" w:rsidRPr="00000000">
        <w:rPr>
          <w:rtl w:val="0"/>
        </w:rPr>
      </w:r>
    </w:p>
    <w:p w:rsidR="00000000" w:rsidDel="00000000" w:rsidP="00000000" w:rsidRDefault="00000000" w:rsidRPr="00000000" w14:paraId="0000000F">
      <w:pPr>
        <w:spacing w:line="360" w:lineRule="auto"/>
        <w:ind w:left="0" w:firstLine="0"/>
        <w:rPr>
          <w:sz w:val="24"/>
          <w:szCs w:val="24"/>
        </w:rPr>
      </w:pPr>
      <w:r w:rsidDel="00000000" w:rsidR="00000000" w:rsidRPr="00000000">
        <w:rPr>
          <w:sz w:val="24"/>
          <w:szCs w:val="24"/>
          <w:rtl w:val="0"/>
        </w:rPr>
        <w:t xml:space="preserve">Word count: 2002</w:t>
      </w:r>
    </w:p>
    <w:p w:rsidR="00000000" w:rsidDel="00000000" w:rsidP="00000000" w:rsidRDefault="00000000" w:rsidRPr="00000000" w14:paraId="00000010">
      <w:pPr>
        <w:spacing w:line="360" w:lineRule="auto"/>
        <w:ind w:left="0" w:firstLine="0"/>
        <w:rPr>
          <w:color w:val="ff0000"/>
          <w:sz w:val="24"/>
          <w:szCs w:val="24"/>
        </w:rPr>
      </w:pPr>
      <w:r w:rsidDel="00000000" w:rsidR="00000000" w:rsidRPr="00000000">
        <w:rPr>
          <w:rtl w:val="0"/>
        </w:rPr>
      </w:r>
    </w:p>
    <w:p w:rsidR="00000000" w:rsidDel="00000000" w:rsidP="00000000" w:rsidRDefault="00000000" w:rsidRPr="00000000" w14:paraId="00000011">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References</w:t>
      </w:r>
    </w:p>
    <w:p w:rsidR="00000000" w:rsidDel="00000000" w:rsidP="00000000" w:rsidRDefault="00000000" w:rsidRPr="00000000" w14:paraId="00000012">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3">
      <w:pPr>
        <w:spacing w:line="480" w:lineRule="auto"/>
        <w:ind w:left="284" w:right="-52"/>
        <w:rPr>
          <w:rFonts w:ascii="Calibri" w:cs="Calibri" w:eastAsia="Calibri" w:hAnsi="Calibri"/>
        </w:rPr>
      </w:pPr>
      <w:r w:rsidDel="00000000" w:rsidR="00000000" w:rsidRPr="00000000">
        <w:rPr>
          <w:rFonts w:ascii="Calibri" w:cs="Calibri" w:eastAsia="Calibri" w:hAnsi="Calibri"/>
          <w:highlight w:val="white"/>
          <w:rtl w:val="0"/>
        </w:rPr>
        <w:t xml:space="preserve">Ayres, A. J., &amp; Robbins, J. (2005). </w:t>
      </w:r>
      <w:r w:rsidDel="00000000" w:rsidR="00000000" w:rsidRPr="00000000">
        <w:rPr>
          <w:rFonts w:ascii="Calibri" w:cs="Calibri" w:eastAsia="Calibri" w:hAnsi="Calibri"/>
          <w:i w:val="1"/>
          <w:rtl w:val="0"/>
        </w:rPr>
        <w:t xml:space="preserve">Sensory integration and the child: Understanding hidden sensory challenges</w:t>
      </w:r>
      <w:r w:rsidDel="00000000" w:rsidR="00000000" w:rsidRPr="00000000">
        <w:rPr>
          <w:rFonts w:ascii="Calibri" w:cs="Calibri" w:eastAsia="Calibri" w:hAnsi="Calibri"/>
          <w:highlight w:val="white"/>
          <w:rtl w:val="0"/>
        </w:rPr>
        <w:t xml:space="preserve">. Western Psychological Services.</w:t>
      </w:r>
      <w:r w:rsidDel="00000000" w:rsidR="00000000" w:rsidRPr="00000000">
        <w:rPr>
          <w:rtl w:val="0"/>
        </w:rPr>
      </w:r>
    </w:p>
    <w:p w:rsidR="00000000" w:rsidDel="00000000" w:rsidP="00000000" w:rsidRDefault="00000000" w:rsidRPr="00000000" w14:paraId="00000014">
      <w:pPr>
        <w:spacing w:line="480" w:lineRule="auto"/>
        <w:ind w:left="284" w:right="-52"/>
        <w:rPr>
          <w:rFonts w:ascii="Calibri" w:cs="Calibri" w:eastAsia="Calibri" w:hAnsi="Calibri"/>
        </w:rPr>
      </w:pPr>
      <w:r w:rsidDel="00000000" w:rsidR="00000000" w:rsidRPr="00000000">
        <w:rPr>
          <w:rFonts w:ascii="Calibri" w:cs="Calibri" w:eastAsia="Calibri" w:hAnsi="Calibri"/>
          <w:highlight w:val="white"/>
          <w:rtl w:val="0"/>
        </w:rPr>
        <w:t xml:space="preserve">Clark, J. E., &amp; Metcalfe, J. S. (2002). The mountain of motor development: A metaphor. </w:t>
      </w:r>
      <w:r w:rsidDel="00000000" w:rsidR="00000000" w:rsidRPr="00000000">
        <w:rPr>
          <w:rFonts w:ascii="Calibri" w:cs="Calibri" w:eastAsia="Calibri" w:hAnsi="Calibri"/>
          <w:i w:val="1"/>
          <w:rtl w:val="0"/>
        </w:rPr>
        <w:t xml:space="preserve">Motor development: Research and reviews</w:t>
      </w:r>
      <w:r w:rsidDel="00000000" w:rsidR="00000000" w:rsidRPr="00000000">
        <w:rPr>
          <w:rFonts w:ascii="Calibri" w:cs="Calibri" w:eastAsia="Calibri" w:hAnsi="Calibri"/>
          <w:highlight w:val="white"/>
          <w:rtl w:val="0"/>
        </w:rPr>
        <w:t xml:space="preserve">, </w:t>
      </w:r>
      <w:r w:rsidDel="00000000" w:rsidR="00000000" w:rsidRPr="00000000">
        <w:rPr>
          <w:rFonts w:ascii="Calibri" w:cs="Calibri" w:eastAsia="Calibri" w:hAnsi="Calibri"/>
          <w:i w:val="1"/>
          <w:rtl w:val="0"/>
        </w:rPr>
        <w:t xml:space="preserve">2</w:t>
      </w:r>
      <w:r w:rsidDel="00000000" w:rsidR="00000000" w:rsidRPr="00000000">
        <w:rPr>
          <w:rFonts w:ascii="Calibri" w:cs="Calibri" w:eastAsia="Calibri" w:hAnsi="Calibri"/>
          <w:highlight w:val="white"/>
          <w:rtl w:val="0"/>
        </w:rPr>
        <w:t xml:space="preserve">(163-190), 183-202.</w:t>
      </w:r>
      <w:r w:rsidDel="00000000" w:rsidR="00000000" w:rsidRPr="00000000">
        <w:rPr>
          <w:rtl w:val="0"/>
        </w:rPr>
      </w:r>
    </w:p>
    <w:p w:rsidR="00000000" w:rsidDel="00000000" w:rsidP="00000000" w:rsidRDefault="00000000" w:rsidRPr="00000000" w14:paraId="00000015">
      <w:pPr>
        <w:spacing w:line="480" w:lineRule="auto"/>
        <w:ind w:left="284" w:right="-52"/>
        <w:rPr>
          <w:rFonts w:ascii="Calibri" w:cs="Calibri" w:eastAsia="Calibri" w:hAnsi="Calibri"/>
        </w:rPr>
      </w:pPr>
      <w:r w:rsidDel="00000000" w:rsidR="00000000" w:rsidRPr="00000000">
        <w:rPr>
          <w:rFonts w:ascii="Calibri" w:cs="Calibri" w:eastAsia="Calibri" w:hAnsi="Calibri"/>
          <w:rtl w:val="0"/>
        </w:rPr>
        <w:t xml:space="preserve">Gallahue, D., Ozmun, J. and Goodway, J. (2012). Understanding motor development: Infants, children, adolescents, adults. 7th ed. New York: McGraw Hill Higher Education. </w:t>
      </w:r>
    </w:p>
    <w:p w:rsidR="00000000" w:rsidDel="00000000" w:rsidP="00000000" w:rsidRDefault="00000000" w:rsidRPr="00000000" w14:paraId="00000016">
      <w:pPr>
        <w:spacing w:line="480" w:lineRule="auto"/>
        <w:ind w:left="284" w:right="-52"/>
        <w:rPr>
          <w:rFonts w:ascii="Calibri" w:cs="Calibri" w:eastAsia="Calibri" w:hAnsi="Calibri"/>
        </w:rPr>
      </w:pPr>
      <w:r w:rsidDel="00000000" w:rsidR="00000000" w:rsidRPr="00000000">
        <w:rPr>
          <w:rFonts w:ascii="Calibri" w:cs="Calibri" w:eastAsia="Calibri" w:hAnsi="Calibri"/>
          <w:rtl w:val="0"/>
        </w:rPr>
        <w:t xml:space="preserve">Goodway, J.D. &amp; Branta, C.F. (2003). ‘Influence of a motor skill intervention on fundamental motor skill development of disadvantaged preschool children’, </w:t>
      </w:r>
      <w:r w:rsidDel="00000000" w:rsidR="00000000" w:rsidRPr="00000000">
        <w:rPr>
          <w:rFonts w:ascii="Calibri" w:cs="Calibri" w:eastAsia="Calibri" w:hAnsi="Calibri"/>
          <w:i w:val="1"/>
          <w:rtl w:val="0"/>
        </w:rPr>
        <w:t xml:space="preserve">Research Quarterly for Exercise and Sport, </w:t>
      </w:r>
      <w:r w:rsidDel="00000000" w:rsidR="00000000" w:rsidRPr="00000000">
        <w:rPr>
          <w:rFonts w:ascii="Calibri" w:cs="Calibri" w:eastAsia="Calibri" w:hAnsi="Calibri"/>
          <w:rtl w:val="0"/>
        </w:rPr>
        <w:t xml:space="preserve">74(1), 36-46.  </w:t>
      </w:r>
    </w:p>
    <w:p w:rsidR="00000000" w:rsidDel="00000000" w:rsidP="00000000" w:rsidRDefault="00000000" w:rsidRPr="00000000" w14:paraId="00000017">
      <w:pPr>
        <w:spacing w:line="480" w:lineRule="auto"/>
        <w:ind w:left="284" w:right="-52"/>
        <w:rPr>
          <w:rFonts w:ascii="Calibri" w:cs="Calibri" w:eastAsia="Calibri" w:hAnsi="Calibri"/>
        </w:rPr>
      </w:pPr>
      <w:r w:rsidDel="00000000" w:rsidR="00000000" w:rsidRPr="00000000">
        <w:rPr>
          <w:rFonts w:ascii="Calibri" w:cs="Calibri" w:eastAsia="Calibri" w:hAnsi="Calibri"/>
          <w:rtl w:val="0"/>
        </w:rPr>
        <w:t xml:space="preserve">Goodway, J.D., Crowe, H. &amp; Ward, P. (2003). ‘Effects of Motor Skill Instruction of Fundamental Motor Skill Development’, </w:t>
      </w:r>
      <w:r w:rsidDel="00000000" w:rsidR="00000000" w:rsidRPr="00000000">
        <w:rPr>
          <w:rFonts w:ascii="Calibri" w:cs="Calibri" w:eastAsia="Calibri" w:hAnsi="Calibri"/>
          <w:i w:val="1"/>
          <w:rtl w:val="0"/>
        </w:rPr>
        <w:t xml:space="preserve">Adapted Physical Activity Quarterly</w:t>
      </w:r>
      <w:r w:rsidDel="00000000" w:rsidR="00000000" w:rsidRPr="00000000">
        <w:rPr>
          <w:rFonts w:ascii="Calibri" w:cs="Calibri" w:eastAsia="Calibri" w:hAnsi="Calibri"/>
          <w:rtl w:val="0"/>
        </w:rPr>
        <w:t xml:space="preserve">, 20(3), pp. 298-314. </w:t>
      </w:r>
    </w:p>
    <w:p w:rsidR="00000000" w:rsidDel="00000000" w:rsidP="00000000" w:rsidRDefault="00000000" w:rsidRPr="00000000" w14:paraId="00000018">
      <w:pPr>
        <w:spacing w:line="480" w:lineRule="auto"/>
        <w:ind w:left="284"/>
        <w:rPr>
          <w:rFonts w:ascii="Calibri" w:cs="Calibri" w:eastAsia="Calibri" w:hAnsi="Calibri"/>
          <w:highlight w:val="white"/>
        </w:rPr>
      </w:pPr>
      <w:r w:rsidDel="00000000" w:rsidR="00000000" w:rsidRPr="00000000">
        <w:rPr>
          <w:rFonts w:ascii="Calibri" w:cs="Calibri" w:eastAsia="Calibri" w:hAnsi="Calibri"/>
          <w:highlight w:val="white"/>
          <w:rtl w:val="0"/>
        </w:rPr>
        <w:t xml:space="preserve">Haywood, K. M., &amp; Getchell, N. (2019). </w:t>
      </w:r>
      <w:r w:rsidDel="00000000" w:rsidR="00000000" w:rsidRPr="00000000">
        <w:rPr>
          <w:rFonts w:ascii="Calibri" w:cs="Calibri" w:eastAsia="Calibri" w:hAnsi="Calibri"/>
          <w:i w:val="1"/>
          <w:rtl w:val="0"/>
        </w:rPr>
        <w:t xml:space="preserve">Life span motor development</w:t>
      </w:r>
      <w:r w:rsidDel="00000000" w:rsidR="00000000" w:rsidRPr="00000000">
        <w:rPr>
          <w:rFonts w:ascii="Calibri" w:cs="Calibri" w:eastAsia="Calibri" w:hAnsi="Calibri"/>
          <w:highlight w:val="white"/>
          <w:rtl w:val="0"/>
        </w:rPr>
        <w:t xml:space="preserve">. Human kinetics.</w:t>
      </w:r>
    </w:p>
    <w:p w:rsidR="00000000" w:rsidDel="00000000" w:rsidP="00000000" w:rsidRDefault="00000000" w:rsidRPr="00000000" w14:paraId="00000019">
      <w:pPr>
        <w:spacing w:line="480" w:lineRule="auto"/>
        <w:ind w:left="284"/>
        <w:rPr>
          <w:rFonts w:ascii="Calibri" w:cs="Calibri" w:eastAsia="Calibri" w:hAnsi="Calibri"/>
          <w:highlight w:val="white"/>
        </w:rPr>
      </w:pPr>
      <w:r w:rsidDel="00000000" w:rsidR="00000000" w:rsidRPr="00000000">
        <w:rPr>
          <w:rFonts w:ascii="Calibri" w:cs="Calibri" w:eastAsia="Calibri" w:hAnsi="Calibri"/>
          <w:highlight w:val="white"/>
          <w:rtl w:val="0"/>
        </w:rPr>
        <w:t xml:space="preserve">Hulteen, R.M et al (2018). ‘Development of foundational movement skills; A conceptual model for physical activity across the lifespan’, </w:t>
      </w:r>
      <w:r w:rsidDel="00000000" w:rsidR="00000000" w:rsidRPr="00000000">
        <w:rPr>
          <w:rFonts w:ascii="Calibri" w:cs="Calibri" w:eastAsia="Calibri" w:hAnsi="Calibri"/>
          <w:i w:val="1"/>
          <w:highlight w:val="white"/>
          <w:rtl w:val="0"/>
        </w:rPr>
        <w:t xml:space="preserve">Sports medicine, </w:t>
      </w:r>
      <w:r w:rsidDel="00000000" w:rsidR="00000000" w:rsidRPr="00000000">
        <w:rPr>
          <w:rFonts w:ascii="Calibri" w:cs="Calibri" w:eastAsia="Calibri" w:hAnsi="Calibri"/>
          <w:highlight w:val="white"/>
          <w:rtl w:val="0"/>
        </w:rPr>
        <w:t xml:space="preserve">43(7), pp1533-1540. DOI: https://doi.orf/1-.1007/s40279-018-0892-6</w:t>
      </w:r>
    </w:p>
    <w:p w:rsidR="00000000" w:rsidDel="00000000" w:rsidP="00000000" w:rsidRDefault="00000000" w:rsidRPr="00000000" w14:paraId="0000001A">
      <w:pPr>
        <w:spacing w:line="480" w:lineRule="auto"/>
        <w:ind w:left="284" w:right="-52"/>
        <w:rPr>
          <w:rFonts w:ascii="Calibri" w:cs="Calibri" w:eastAsia="Calibri" w:hAnsi="Calibri"/>
        </w:rPr>
      </w:pPr>
      <w:r w:rsidDel="00000000" w:rsidR="00000000" w:rsidRPr="00000000">
        <w:rPr>
          <w:rFonts w:ascii="Calibri" w:cs="Calibri" w:eastAsia="Calibri" w:hAnsi="Calibri"/>
          <w:highlight w:val="white"/>
          <w:rtl w:val="0"/>
        </w:rPr>
        <w:t xml:space="preserve">Seefeldt, V. (1980). Developmental motor patterns: Implications for elementary school physical education. </w:t>
      </w:r>
      <w:r w:rsidDel="00000000" w:rsidR="00000000" w:rsidRPr="00000000">
        <w:rPr>
          <w:rFonts w:ascii="Calibri" w:cs="Calibri" w:eastAsia="Calibri" w:hAnsi="Calibri"/>
          <w:i w:val="1"/>
          <w:rtl w:val="0"/>
        </w:rPr>
        <w:t xml:space="preserve">Psychology of motor behavior and sport</w:t>
      </w:r>
      <w:r w:rsidDel="00000000" w:rsidR="00000000" w:rsidRPr="00000000">
        <w:rPr>
          <w:rFonts w:ascii="Calibri" w:cs="Calibri" w:eastAsia="Calibri" w:hAnsi="Calibri"/>
          <w:highlight w:val="white"/>
          <w:rtl w:val="0"/>
        </w:rPr>
        <w:t xml:space="preserve">, </w:t>
      </w:r>
      <w:r w:rsidDel="00000000" w:rsidR="00000000" w:rsidRPr="00000000">
        <w:rPr>
          <w:rFonts w:ascii="Calibri" w:cs="Calibri" w:eastAsia="Calibri" w:hAnsi="Calibri"/>
          <w:i w:val="1"/>
          <w:rtl w:val="0"/>
        </w:rPr>
        <w:t xml:space="preserve">36</w:t>
      </w:r>
      <w:r w:rsidDel="00000000" w:rsidR="00000000" w:rsidRPr="00000000">
        <w:rPr>
          <w:rFonts w:ascii="Calibri" w:cs="Calibri" w:eastAsia="Calibri" w:hAnsi="Calibri"/>
          <w:highlight w:val="white"/>
          <w:rtl w:val="0"/>
        </w:rPr>
        <w:t xml:space="preserve">(6), 314-323.</w:t>
      </w:r>
      <w:r w:rsidDel="00000000" w:rsidR="00000000" w:rsidRPr="00000000">
        <w:rPr>
          <w:rtl w:val="0"/>
        </w:rPr>
      </w:r>
    </w:p>
    <w:p w:rsidR="00000000" w:rsidDel="00000000" w:rsidP="00000000" w:rsidRDefault="00000000" w:rsidRPr="00000000" w14:paraId="0000001B">
      <w:pPr>
        <w:spacing w:line="480" w:lineRule="auto"/>
        <w:ind w:left="284" w:right="-52"/>
        <w:rPr>
          <w:rFonts w:ascii="Calibri" w:cs="Calibri" w:eastAsia="Calibri" w:hAnsi="Calibri"/>
        </w:rPr>
      </w:pPr>
      <w:r w:rsidDel="00000000" w:rsidR="00000000" w:rsidRPr="00000000">
        <w:rPr>
          <w:rFonts w:ascii="Calibri" w:cs="Calibri" w:eastAsia="Calibri" w:hAnsi="Calibri"/>
          <w:highlight w:val="white"/>
          <w:rtl w:val="0"/>
        </w:rPr>
        <w:t xml:space="preserve">Stodden, D. F., Goodway, J. D., Langendorfer, S. J., Roberton, M. A., Rudisill, M. E., Garcia, C., &amp; Garcia, L. E. (2008). A developmental perspective on the role of motor skill competence in physical activity: An emergent relationship. </w:t>
      </w:r>
      <w:r w:rsidDel="00000000" w:rsidR="00000000" w:rsidRPr="00000000">
        <w:rPr>
          <w:rFonts w:ascii="Calibri" w:cs="Calibri" w:eastAsia="Calibri" w:hAnsi="Calibri"/>
          <w:i w:val="1"/>
          <w:rtl w:val="0"/>
        </w:rPr>
        <w:t xml:space="preserve">Quest</w:t>
      </w:r>
      <w:r w:rsidDel="00000000" w:rsidR="00000000" w:rsidRPr="00000000">
        <w:rPr>
          <w:rFonts w:ascii="Calibri" w:cs="Calibri" w:eastAsia="Calibri" w:hAnsi="Calibri"/>
          <w:highlight w:val="white"/>
          <w:rtl w:val="0"/>
        </w:rPr>
        <w:t xml:space="preserve">, </w:t>
      </w:r>
      <w:r w:rsidDel="00000000" w:rsidR="00000000" w:rsidRPr="00000000">
        <w:rPr>
          <w:rFonts w:ascii="Calibri" w:cs="Calibri" w:eastAsia="Calibri" w:hAnsi="Calibri"/>
          <w:i w:val="1"/>
          <w:rtl w:val="0"/>
        </w:rPr>
        <w:t xml:space="preserve">60</w:t>
      </w:r>
      <w:r w:rsidDel="00000000" w:rsidR="00000000" w:rsidRPr="00000000">
        <w:rPr>
          <w:rFonts w:ascii="Calibri" w:cs="Calibri" w:eastAsia="Calibri" w:hAnsi="Calibri"/>
          <w:highlight w:val="white"/>
          <w:rtl w:val="0"/>
        </w:rPr>
        <w:t xml:space="preserve">(2), 290-306.</w:t>
      </w:r>
      <w:r w:rsidDel="00000000" w:rsidR="00000000" w:rsidRPr="00000000">
        <w:rPr>
          <w:rtl w:val="0"/>
        </w:rPr>
      </w:r>
    </w:p>
    <w:p w:rsidR="00000000" w:rsidDel="00000000" w:rsidP="00000000" w:rsidRDefault="00000000" w:rsidRPr="00000000" w14:paraId="0000001C">
      <w:pPr>
        <w:spacing w:line="360" w:lineRule="auto"/>
        <w:ind w:left="0" w:firstLine="0"/>
        <w:rPr>
          <w:color w:val="ff0000"/>
          <w:sz w:val="24"/>
          <w:szCs w:val="24"/>
        </w:rPr>
      </w:pPr>
      <w:r w:rsidDel="00000000" w:rsidR="00000000" w:rsidRPr="00000000">
        <w:rPr>
          <w:rtl w:val="0"/>
        </w:rPr>
      </w:r>
    </w:p>
    <w:p w:rsidR="00000000" w:rsidDel="00000000" w:rsidP="00000000" w:rsidRDefault="00000000" w:rsidRPr="00000000" w14:paraId="0000001D">
      <w:pPr>
        <w:spacing w:line="360" w:lineRule="auto"/>
        <w:ind w:left="0" w:firstLine="0"/>
        <w:rPr>
          <w:rFonts w:ascii="Calibri" w:cs="Calibri" w:eastAsia="Calibri" w:hAnsi="Calibri"/>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