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1D56F" w14:textId="477603DF" w:rsidR="00A5048C" w:rsidRPr="003A52C6" w:rsidRDefault="003F2458">
      <w:pPr>
        <w:rPr>
          <w:b/>
          <w:bCs/>
          <w:sz w:val="40"/>
          <w:szCs w:val="40"/>
        </w:rPr>
      </w:pPr>
      <w:r w:rsidRPr="003A52C6">
        <w:rPr>
          <w:b/>
          <w:bCs/>
          <w:sz w:val="40"/>
          <w:szCs w:val="40"/>
        </w:rPr>
        <w:t>Exploring the adol</w:t>
      </w:r>
      <w:r w:rsidR="00BE088A" w:rsidRPr="003A52C6">
        <w:rPr>
          <w:b/>
          <w:bCs/>
          <w:sz w:val="40"/>
          <w:szCs w:val="40"/>
        </w:rPr>
        <w:t xml:space="preserve">escent experiences </w:t>
      </w:r>
    </w:p>
    <w:p w14:paraId="165365CB" w14:textId="77777777" w:rsidR="003911DA" w:rsidRPr="006D1F52" w:rsidRDefault="0016702A">
      <w:pPr>
        <w:rPr>
          <w:u w:val="single"/>
        </w:rPr>
      </w:pPr>
      <w:r w:rsidRPr="006D1F52">
        <w:rPr>
          <w:u w:val="single"/>
        </w:rPr>
        <w:t>Issues highlighted in adolescence</w:t>
      </w:r>
    </w:p>
    <w:p w14:paraId="0D3AE8A5" w14:textId="16AB8EF5" w:rsidR="00133BE0" w:rsidRDefault="00112FDD" w:rsidP="00CE4228">
      <w:pPr>
        <w:pStyle w:val="ListParagraph"/>
        <w:numPr>
          <w:ilvl w:val="0"/>
          <w:numId w:val="1"/>
        </w:numPr>
      </w:pPr>
      <w:r>
        <w:t>Bullying</w:t>
      </w:r>
    </w:p>
    <w:p w14:paraId="38853E49" w14:textId="34E886C0" w:rsidR="00112FDD" w:rsidRDefault="00112FDD" w:rsidP="00CE4228">
      <w:pPr>
        <w:pStyle w:val="ListParagraph"/>
        <w:numPr>
          <w:ilvl w:val="0"/>
          <w:numId w:val="1"/>
        </w:numPr>
      </w:pPr>
      <w:r>
        <w:t>Grief</w:t>
      </w:r>
    </w:p>
    <w:p w14:paraId="5314114A" w14:textId="67CBA496" w:rsidR="00112FDD" w:rsidRDefault="00112FDD" w:rsidP="00CE4228">
      <w:pPr>
        <w:pStyle w:val="ListParagraph"/>
        <w:numPr>
          <w:ilvl w:val="0"/>
          <w:numId w:val="1"/>
        </w:numPr>
      </w:pPr>
      <w:r>
        <w:t>Fighting</w:t>
      </w:r>
    </w:p>
    <w:p w14:paraId="69110E88" w14:textId="5092EA85" w:rsidR="00112FDD" w:rsidRDefault="00112FDD" w:rsidP="00CE4228">
      <w:pPr>
        <w:pStyle w:val="ListParagraph"/>
        <w:numPr>
          <w:ilvl w:val="0"/>
          <w:numId w:val="1"/>
        </w:numPr>
      </w:pPr>
      <w:r>
        <w:t>Impulsivity</w:t>
      </w:r>
    </w:p>
    <w:p w14:paraId="2750A978" w14:textId="194B48BA" w:rsidR="00112FDD" w:rsidRDefault="00112FDD" w:rsidP="00CE4228">
      <w:pPr>
        <w:pStyle w:val="ListParagraph"/>
        <w:numPr>
          <w:ilvl w:val="0"/>
          <w:numId w:val="1"/>
        </w:numPr>
      </w:pPr>
      <w:r>
        <w:t>Issues within education- lack of teaching/only videos</w:t>
      </w:r>
    </w:p>
    <w:p w14:paraId="28293E4A" w14:textId="5AF834F9" w:rsidR="00112FDD" w:rsidRDefault="006F0E6F" w:rsidP="00CE4228">
      <w:pPr>
        <w:pStyle w:val="ListParagraph"/>
        <w:numPr>
          <w:ilvl w:val="0"/>
          <w:numId w:val="1"/>
        </w:numPr>
      </w:pPr>
      <w:r>
        <w:t>Cyberbullying- red and blue pill</w:t>
      </w:r>
    </w:p>
    <w:p w14:paraId="4BD7D067" w14:textId="3CE0136E" w:rsidR="00112FDD" w:rsidRDefault="00112FDD" w:rsidP="00CE4228">
      <w:pPr>
        <w:pStyle w:val="ListParagraph"/>
        <w:numPr>
          <w:ilvl w:val="0"/>
          <w:numId w:val="1"/>
        </w:numPr>
      </w:pPr>
      <w:r>
        <w:t>Negat</w:t>
      </w:r>
      <w:r w:rsidR="00542962">
        <w:t>ive influences from social media</w:t>
      </w:r>
    </w:p>
    <w:p w14:paraId="3353B995" w14:textId="4E08EDB0" w:rsidR="00542962" w:rsidRDefault="00542962" w:rsidP="00CE4228">
      <w:pPr>
        <w:pStyle w:val="ListParagraph"/>
        <w:numPr>
          <w:ilvl w:val="0"/>
          <w:numId w:val="1"/>
        </w:numPr>
      </w:pPr>
      <w:r>
        <w:t>Loneliness/ isolation</w:t>
      </w:r>
    </w:p>
    <w:p w14:paraId="7B0F0020" w14:textId="0D2BAEEB" w:rsidR="00542962" w:rsidRDefault="00542962" w:rsidP="00CE4228">
      <w:pPr>
        <w:pStyle w:val="ListParagraph"/>
        <w:numPr>
          <w:ilvl w:val="0"/>
          <w:numId w:val="1"/>
        </w:numPr>
      </w:pPr>
      <w:r>
        <w:t>Peer pressure</w:t>
      </w:r>
    </w:p>
    <w:p w14:paraId="2C3B924B" w14:textId="5551D46D" w:rsidR="009C6A9B" w:rsidRDefault="00542962" w:rsidP="00A61546">
      <w:pPr>
        <w:pStyle w:val="ListParagraph"/>
        <w:numPr>
          <w:ilvl w:val="0"/>
          <w:numId w:val="1"/>
        </w:numPr>
      </w:pPr>
      <w:r>
        <w:t>K</w:t>
      </w:r>
      <w:r w:rsidR="006F0E6F">
        <w:t>nife c</w:t>
      </w:r>
      <w:r w:rsidR="006F36B3">
        <w:t>rime</w:t>
      </w:r>
    </w:p>
    <w:p w14:paraId="0975BA10" w14:textId="19242BE2" w:rsidR="0016702A" w:rsidRDefault="00F84804">
      <w:pPr>
        <w:rPr>
          <w:u w:val="single"/>
        </w:rPr>
      </w:pPr>
      <w:r w:rsidRPr="00A61546">
        <w:rPr>
          <w:u w:val="single"/>
        </w:rPr>
        <w:t>How these issues a</w:t>
      </w:r>
      <w:r w:rsidR="000872C6" w:rsidRPr="00A61546">
        <w:rPr>
          <w:u w:val="single"/>
        </w:rPr>
        <w:t>ffect young people</w:t>
      </w:r>
    </w:p>
    <w:p w14:paraId="13ADACD8" w14:textId="0B809580" w:rsidR="00D06A93" w:rsidRDefault="002E0056">
      <w:r>
        <w:t>Bullying has a detrimental effect on young propane can cause issues like</w:t>
      </w:r>
      <w:r w:rsidR="00B81DE2">
        <w:t xml:space="preserve">; anxiety, depression, affects sleep, </w:t>
      </w:r>
      <w:r w:rsidR="00930509">
        <w:t>self-esteem</w:t>
      </w:r>
      <w:r w:rsidR="00032093">
        <w:t>, more likely to smoke/use other sense substances</w:t>
      </w:r>
      <w:r w:rsidR="006928F7">
        <w:t xml:space="preserve"> and more health issues. All of these will affect the young persons</w:t>
      </w:r>
      <w:r w:rsidR="00930509">
        <w:t xml:space="preserve"> educational attainment</w:t>
      </w:r>
      <w:r w:rsidR="000705A4">
        <w:t xml:space="preserve"> (stopbullying.gov, 2025)</w:t>
      </w:r>
      <w:r w:rsidR="00930509">
        <w:t>. In adolescence we can see that the result of Jamie getting bullied made him have lower grades and the teachers noticed a change in behaviour</w:t>
      </w:r>
      <w:r w:rsidR="00607B3F">
        <w:t>.</w:t>
      </w:r>
      <w:r w:rsidR="00D06A93">
        <w:t xml:space="preserve"> However, even though the teachers noticed his grades and behaviour were chan</w:t>
      </w:r>
      <w:r w:rsidR="00CB3E77">
        <w:t xml:space="preserve">ging thy did nothing to help find the cause, if there was some form of intervention then maybe the </w:t>
      </w:r>
      <w:r w:rsidR="000E1E90">
        <w:t>murder never would have happened. Another issue that affected the young people in adolescence is impulsivity, as the brain doesn’t f</w:t>
      </w:r>
      <w:r w:rsidR="00F114E9">
        <w:t>ully develop until 25 they act more on their emotions than logic</w:t>
      </w:r>
      <w:r w:rsidR="00220A49">
        <w:t xml:space="preserve"> </w:t>
      </w:r>
      <w:r w:rsidR="005E7522">
        <w:t>(Cleveland clinic, 2025). We can see a lot of impulsi</w:t>
      </w:r>
      <w:r w:rsidR="00F26EE8">
        <w:t>vity in this show, from Jamie stabbing Katie to Katie’s friend starting fights in school. Hav</w:t>
      </w:r>
      <w:r w:rsidR="00674C9A">
        <w:t xml:space="preserve">ing negative influences from social media like Andrew tate can give young </w:t>
      </w:r>
      <w:r w:rsidR="00351F51">
        <w:t>people negative views on people. It seems like there was an issue with boys in the school being inf</w:t>
      </w:r>
      <w:r w:rsidR="00E152FD">
        <w:t>luenced by Andrew Tate who has very negative views towards women, this can also be seen in Jamie. I</w:t>
      </w:r>
      <w:r w:rsidR="0088461F">
        <w:t>n young people peer pressure is more prevalent as they are still deve</w:t>
      </w:r>
      <w:r w:rsidR="006E3FA8">
        <w:t>l</w:t>
      </w:r>
      <w:r w:rsidR="0088461F">
        <w:t>opi</w:t>
      </w:r>
      <w:r w:rsidR="006E3FA8">
        <w:t>n</w:t>
      </w:r>
      <w:r w:rsidR="0088461F">
        <w:t xml:space="preserve">g and want to fit in, this </w:t>
      </w:r>
      <w:r w:rsidR="00EC0721">
        <w:t xml:space="preserve">is evident in </w:t>
      </w:r>
      <w:r w:rsidR="006E3FA8">
        <w:t>adolescence</w:t>
      </w:r>
      <w:r w:rsidR="00EC0721">
        <w:t xml:space="preserve"> as Jamie’s friend gave Jamie the knife as he asked for it, he did not think of the </w:t>
      </w:r>
      <w:r w:rsidR="006E3FA8">
        <w:t>consequences of that.</w:t>
      </w:r>
    </w:p>
    <w:p w14:paraId="31BF6371" w14:textId="21C16789" w:rsidR="00E929B3" w:rsidRPr="00D06A93" w:rsidRDefault="000872C6">
      <w:r w:rsidRPr="00A61546">
        <w:rPr>
          <w:u w:val="single"/>
        </w:rPr>
        <w:t xml:space="preserve">How these issues affect </w:t>
      </w:r>
      <w:r w:rsidR="00E929B3" w:rsidRPr="00A61546">
        <w:rPr>
          <w:u w:val="single"/>
        </w:rPr>
        <w:t xml:space="preserve">the families </w:t>
      </w:r>
    </w:p>
    <w:p w14:paraId="6E665A5E" w14:textId="14BA1A22" w:rsidR="00215820" w:rsidRDefault="00DE276C">
      <w:r>
        <w:t>The murder Jamie committed affected Katie’s family the most</w:t>
      </w:r>
      <w:r w:rsidR="004E23F3">
        <w:t xml:space="preserve"> as they had lost their daughter in such a brutal way. </w:t>
      </w:r>
      <w:r w:rsidR="008123A5">
        <w:t>It also affected Jamie’s family, they have to try cope with knowing he is a murderer. They also have people in the community vandalising their car</w:t>
      </w:r>
      <w:r w:rsidR="00D2018F">
        <w:t>, and giving them weird looks, almost blaming them for his actions</w:t>
      </w:r>
      <w:r w:rsidR="004768FA">
        <w:t xml:space="preserve"> even though there are multiple influences.</w:t>
      </w:r>
    </w:p>
    <w:p w14:paraId="2EECC610" w14:textId="4109D7A4" w:rsidR="000D2D27" w:rsidRDefault="00292060">
      <w:pPr>
        <w:rPr>
          <w:u w:val="single"/>
        </w:rPr>
      </w:pPr>
      <w:r w:rsidRPr="00A61546">
        <w:rPr>
          <w:u w:val="single"/>
        </w:rPr>
        <w:lastRenderedPageBreak/>
        <w:t xml:space="preserve">How these issues affect the communities </w:t>
      </w:r>
    </w:p>
    <w:p w14:paraId="7607D76F" w14:textId="494F2EAB" w:rsidR="002A0D29" w:rsidRDefault="00102AFE">
      <w:r>
        <w:t>People</w:t>
      </w:r>
      <w:r w:rsidR="00F5542A">
        <w:t xml:space="preserve"> may assume that when a crime happens only the victim </w:t>
      </w:r>
      <w:bookmarkStart w:id="0" w:name="_Int_9g7X8ZLT"/>
      <w:r w:rsidR="00F5542A">
        <w:t>is affected</w:t>
      </w:r>
      <w:bookmarkEnd w:id="0"/>
      <w:r w:rsidR="00F5542A">
        <w:t xml:space="preserve">, in adolescence we can see that this is not the case. </w:t>
      </w:r>
      <w:r w:rsidR="0069274A">
        <w:t>This</w:t>
      </w:r>
      <w:r w:rsidR="00B850A5">
        <w:t xml:space="preserve"> can be described as the ripple effect</w:t>
      </w:r>
      <w:r w:rsidR="0069660D">
        <w:t>,</w:t>
      </w:r>
      <w:r w:rsidR="00A932F0">
        <w:t xml:space="preserve"> in the middle is the victim which in this </w:t>
      </w:r>
      <w:r w:rsidR="00AA3163">
        <w:t xml:space="preserve">instance it is </w:t>
      </w:r>
      <w:r w:rsidR="00A932F0">
        <w:t>Katie</w:t>
      </w:r>
      <w:r w:rsidR="0069274A">
        <w:t xml:space="preserve"> as she was murdered. In</w:t>
      </w:r>
      <w:r w:rsidR="00A932F0">
        <w:t xml:space="preserve"> the</w:t>
      </w:r>
      <w:r w:rsidR="00FF2765">
        <w:t xml:space="preserve"> next ripple is Katie’s and Jamie’s family as they have been affected by this crime</w:t>
      </w:r>
      <w:r w:rsidR="0069274A">
        <w:t>, Katie’s family h</w:t>
      </w:r>
      <w:r w:rsidR="00A049D5">
        <w:t xml:space="preserve">ave </w:t>
      </w:r>
      <w:r w:rsidR="0069274A">
        <w:t>to deal with the loss of their daughter and Jamie’s family need to find a way to cope with what their son did</w:t>
      </w:r>
      <w:r w:rsidR="00FF2765">
        <w:t>. Then you have in the next ripple people like the police, neighbours</w:t>
      </w:r>
      <w:r w:rsidR="005A6611">
        <w:t>, teachers</w:t>
      </w:r>
      <w:r w:rsidR="00FF2765">
        <w:t xml:space="preserve"> and </w:t>
      </w:r>
      <w:r w:rsidR="00A049D5">
        <w:t>overall,</w:t>
      </w:r>
      <w:r w:rsidR="00FF2765">
        <w:t xml:space="preserve"> everyone in the community</w:t>
      </w:r>
      <w:r w:rsidR="005A6611">
        <w:t xml:space="preserve">. In adolescence we can see that the community is affected by the murder as </w:t>
      </w:r>
      <w:r w:rsidR="00AA3163">
        <w:t>they have gathered to lay flowers where Katie was murdered</w:t>
      </w:r>
      <w:r w:rsidR="00A049D5">
        <w:t xml:space="preserve">, teachers talk about how much of a </w:t>
      </w:r>
      <w:r w:rsidR="00277030">
        <w:t>bright girl Katie was and there is obvious outrage by everyone that Jamie could do something like that.</w:t>
      </w:r>
      <w:r w:rsidR="005A4B4C">
        <w:t xml:space="preserve"> When big crimes like this happen in a community there may also be a lot of fear of what happened and what could happen.</w:t>
      </w:r>
    </w:p>
    <w:p w14:paraId="6ABBA71A" w14:textId="5385CDB6" w:rsidR="0043571F" w:rsidRDefault="0043571F">
      <w:pPr>
        <w:rPr>
          <w:u w:val="single"/>
        </w:rPr>
      </w:pPr>
      <w:r w:rsidRPr="00181BCB">
        <w:rPr>
          <w:u w:val="single"/>
        </w:rPr>
        <w:t>Youth work inventions</w:t>
      </w:r>
    </w:p>
    <w:p w14:paraId="52D53A79" w14:textId="5B8E7765" w:rsidR="00181BCB" w:rsidRDefault="001E4F2D" w:rsidP="001E4F2D">
      <w:pPr>
        <w:pStyle w:val="ListParagraph"/>
        <w:numPr>
          <w:ilvl w:val="0"/>
          <w:numId w:val="2"/>
        </w:numPr>
      </w:pPr>
      <w:r>
        <w:t>Non fo</w:t>
      </w:r>
      <w:r w:rsidR="00FC259B">
        <w:t>rmal and informal education</w:t>
      </w:r>
    </w:p>
    <w:p w14:paraId="765E8315" w14:textId="1C18D948" w:rsidR="00FC259B" w:rsidRDefault="00FC259B" w:rsidP="001E4F2D">
      <w:pPr>
        <w:pStyle w:val="ListParagraph"/>
        <w:numPr>
          <w:ilvl w:val="0"/>
          <w:numId w:val="2"/>
        </w:numPr>
      </w:pPr>
      <w:proofErr w:type="spellStart"/>
      <w:r>
        <w:t>Residentials</w:t>
      </w:r>
      <w:proofErr w:type="spellEnd"/>
      <w:r>
        <w:t xml:space="preserve"> </w:t>
      </w:r>
    </w:p>
    <w:p w14:paraId="3F65B1D7" w14:textId="59B95123" w:rsidR="00FC259B" w:rsidRDefault="00FC259B" w:rsidP="001E4F2D">
      <w:pPr>
        <w:pStyle w:val="ListParagraph"/>
        <w:numPr>
          <w:ilvl w:val="0"/>
          <w:numId w:val="2"/>
        </w:numPr>
      </w:pPr>
      <w:r>
        <w:t xml:space="preserve">Workshops </w:t>
      </w:r>
    </w:p>
    <w:p w14:paraId="55D9C47E" w14:textId="3ADC7764" w:rsidR="00FC259B" w:rsidRDefault="00465B86" w:rsidP="001E4F2D">
      <w:pPr>
        <w:pStyle w:val="ListParagraph"/>
        <w:numPr>
          <w:ilvl w:val="0"/>
          <w:numId w:val="2"/>
        </w:numPr>
      </w:pPr>
      <w:r>
        <w:t xml:space="preserve">Activities- sports, arts and crafts, games etc </w:t>
      </w:r>
    </w:p>
    <w:p w14:paraId="56703841" w14:textId="0F32BD7C" w:rsidR="00465B86" w:rsidRDefault="00A770F2" w:rsidP="001E4F2D">
      <w:pPr>
        <w:pStyle w:val="ListParagraph"/>
        <w:numPr>
          <w:ilvl w:val="0"/>
          <w:numId w:val="2"/>
        </w:numPr>
      </w:pPr>
      <w:r>
        <w:t>Learning new skills- confidence, teamwork</w:t>
      </w:r>
    </w:p>
    <w:p w14:paraId="2B20946C" w14:textId="52BFDFDB" w:rsidR="00F61D8E" w:rsidRPr="00181BCB" w:rsidRDefault="00FC1B4E" w:rsidP="00FC1B4E">
      <w:r>
        <w:t>(National Youth agency, no date)</w:t>
      </w:r>
    </w:p>
    <w:p w14:paraId="06F9F357" w14:textId="501E9FA3" w:rsidR="00292060" w:rsidRDefault="00DD773F">
      <w:pPr>
        <w:rPr>
          <w:u w:val="single"/>
        </w:rPr>
      </w:pPr>
      <w:r w:rsidRPr="00443809">
        <w:rPr>
          <w:u w:val="single"/>
        </w:rPr>
        <w:t>The three main</w:t>
      </w:r>
      <w:r w:rsidR="0050112C" w:rsidRPr="00443809">
        <w:rPr>
          <w:u w:val="single"/>
        </w:rPr>
        <w:t xml:space="preserve"> transitions young people experience</w:t>
      </w:r>
    </w:p>
    <w:p w14:paraId="73C54E78" w14:textId="7C2B441C" w:rsidR="00CD495C" w:rsidRPr="00343F15" w:rsidRDefault="00B75C3C">
      <w:r w:rsidRPr="00343F15">
        <w:rPr>
          <w:rFonts w:eastAsia="Times New Roman"/>
          <w:color w:val="1B1B1B"/>
          <w:shd w:val="clear" w:color="auto" w:fill="FFFFFF"/>
        </w:rPr>
        <w:t>‘Adolescence is the developmental epoch during which children become adults – intellectually, physically, hormonally, and socially. Adolescence is a tumultuous time, full of changes and transformations.’ (</w:t>
      </w:r>
      <w:proofErr w:type="spellStart"/>
      <w:r w:rsidR="005C23FD" w:rsidRPr="00343F15">
        <w:rPr>
          <w:rFonts w:eastAsia="Times New Roman"/>
          <w:color w:val="1B1B1B"/>
          <w:shd w:val="clear" w:color="auto" w:fill="FFFFFF"/>
        </w:rPr>
        <w:t>Ar</w:t>
      </w:r>
      <w:r w:rsidR="00FA2792" w:rsidRPr="00343F15">
        <w:rPr>
          <w:rFonts w:eastAsia="Times New Roman"/>
          <w:color w:val="1B1B1B"/>
          <w:shd w:val="clear" w:color="auto" w:fill="FFFFFF"/>
        </w:rPr>
        <w:t>ain</w:t>
      </w:r>
      <w:proofErr w:type="spellEnd"/>
      <w:r w:rsidR="00FA2792" w:rsidRPr="00343F15">
        <w:rPr>
          <w:rFonts w:eastAsia="Times New Roman"/>
          <w:color w:val="1B1B1B"/>
          <w:shd w:val="clear" w:color="auto" w:fill="FFFFFF"/>
        </w:rPr>
        <w:t xml:space="preserve"> et al,</w:t>
      </w:r>
      <w:r w:rsidR="00682304" w:rsidRPr="00343F15">
        <w:rPr>
          <w:rFonts w:eastAsia="Times New Roman"/>
          <w:color w:val="1B1B1B"/>
          <w:shd w:val="clear" w:color="auto" w:fill="FFFFFF"/>
        </w:rPr>
        <w:t xml:space="preserve"> 2013</w:t>
      </w:r>
      <w:r w:rsidR="005348AE">
        <w:rPr>
          <w:rFonts w:eastAsia="Times New Roman"/>
          <w:color w:val="1B1B1B"/>
          <w:shd w:val="clear" w:color="auto" w:fill="FFFFFF"/>
        </w:rPr>
        <w:t xml:space="preserve">). </w:t>
      </w:r>
      <w:r w:rsidR="00EC1217" w:rsidRPr="00343F15">
        <w:t xml:space="preserve">The world </w:t>
      </w:r>
      <w:r w:rsidR="00E5072A" w:rsidRPr="00343F15">
        <w:t xml:space="preserve">health organisation </w:t>
      </w:r>
      <w:r w:rsidR="003D06E3" w:rsidRPr="00343F15">
        <w:t>(</w:t>
      </w:r>
      <w:r w:rsidR="00576958" w:rsidRPr="00343F15">
        <w:t>2025)</w:t>
      </w:r>
      <w:r w:rsidR="001C1163" w:rsidRPr="00343F15">
        <w:t xml:space="preserve"> states that</w:t>
      </w:r>
      <w:r w:rsidR="00A11398" w:rsidRPr="00343F15">
        <w:t xml:space="preserve"> the stages of develo</w:t>
      </w:r>
      <w:r w:rsidR="00D8070E" w:rsidRPr="00343F15">
        <w:t>pment</w:t>
      </w:r>
      <w:r w:rsidR="00EA03A8" w:rsidRPr="00343F15">
        <w:t xml:space="preserve"> occurs from the ages 10 to 19</w:t>
      </w:r>
      <w:r w:rsidR="00D920C6" w:rsidRPr="00343F15">
        <w:t>.</w:t>
      </w:r>
      <w:r w:rsidR="008F4D6A" w:rsidRPr="00343F15">
        <w:t xml:space="preserve"> </w:t>
      </w:r>
      <w:r w:rsidR="00465234" w:rsidRPr="00343F15">
        <w:t xml:space="preserve">These stages of </w:t>
      </w:r>
      <w:r w:rsidR="0049476A" w:rsidRPr="00343F15">
        <w:t xml:space="preserve">development </w:t>
      </w:r>
      <w:r w:rsidR="00FC7475" w:rsidRPr="00343F15">
        <w:t>are foundations of good heal</w:t>
      </w:r>
      <w:r w:rsidR="002E55DA" w:rsidRPr="00343F15">
        <w:t xml:space="preserve">th. </w:t>
      </w:r>
      <w:r w:rsidR="00A204A1" w:rsidRPr="00343F15">
        <w:t xml:space="preserve">The three main transitions of </w:t>
      </w:r>
      <w:r w:rsidR="004F14F5" w:rsidRPr="00343F15">
        <w:t>adolescence</w:t>
      </w:r>
      <w:r w:rsidR="00A204A1" w:rsidRPr="00343F15">
        <w:t xml:space="preserve"> are physical, cognitive and social. These transitions affect how young people decision make, interact with other and how they feel.</w:t>
      </w:r>
      <w:r w:rsidR="002C4D68" w:rsidRPr="00343F15">
        <w:t xml:space="preserve"> </w:t>
      </w:r>
      <w:r w:rsidR="00401137" w:rsidRPr="00343F15">
        <w:t xml:space="preserve">Young people need to be informed </w:t>
      </w:r>
      <w:r w:rsidR="0069342A" w:rsidRPr="00343F15">
        <w:t>about sexuality, ways to improv</w:t>
      </w:r>
      <w:r w:rsidR="00D1210A" w:rsidRPr="00343F15">
        <w:t>e</w:t>
      </w:r>
      <w:r w:rsidR="0069342A" w:rsidRPr="00343F15">
        <w:t xml:space="preserve"> life skills, education on health services, interventions to help mental health and informing them on their rights.</w:t>
      </w:r>
      <w:r w:rsidR="00132ABE" w:rsidRPr="00343F15">
        <w:t xml:space="preserve"> </w:t>
      </w:r>
      <w:r w:rsidR="003724E1" w:rsidRPr="00343F15">
        <w:t>Youth work provides young people with this information through informal and non-formal education.</w:t>
      </w:r>
      <w:r w:rsidR="00003D47" w:rsidRPr="00343F15">
        <w:t xml:space="preserve"> Principles and purposes (2022) </w:t>
      </w:r>
      <w:r w:rsidR="00603E7C" w:rsidRPr="00343F15">
        <w:t>define</w:t>
      </w:r>
      <w:r w:rsidR="00B86916" w:rsidRPr="00343F15">
        <w:t xml:space="preserve"> the purpose of youth work as helping young people to develop young peoples personal, social and educational skills. </w:t>
      </w:r>
      <w:r w:rsidR="0043445C" w:rsidRPr="00343F15">
        <w:t>There is</w:t>
      </w:r>
      <w:r w:rsidR="00603E7C" w:rsidRPr="00343F15">
        <w:t xml:space="preserve"> 3 stages of ad</w:t>
      </w:r>
      <w:r w:rsidR="008B3DB4" w:rsidRPr="00343F15">
        <w:t>olescence</w:t>
      </w:r>
      <w:r w:rsidR="00FE62B7" w:rsidRPr="00343F15">
        <w:t xml:space="preserve">; </w:t>
      </w:r>
      <w:r w:rsidR="001A28EF" w:rsidRPr="00343F15">
        <w:t>early adolescence which is between 10-13,</w:t>
      </w:r>
      <w:r w:rsidR="00FE62B7" w:rsidRPr="00343F15">
        <w:t xml:space="preserve"> this is it start of puberty and the changes in s</w:t>
      </w:r>
      <w:r w:rsidR="00315B52" w:rsidRPr="00343F15">
        <w:t xml:space="preserve">ocial relationships. Middle </w:t>
      </w:r>
      <w:r w:rsidR="0043445C" w:rsidRPr="00343F15">
        <w:t>adolescence,</w:t>
      </w:r>
      <w:r w:rsidR="00315B52" w:rsidRPr="00343F15">
        <w:t xml:space="preserve"> which is between the ages of 14-17, this is when a </w:t>
      </w:r>
      <w:r w:rsidR="00FF43F9" w:rsidRPr="00343F15">
        <w:t xml:space="preserve">young person has more independence and is able to think more </w:t>
      </w:r>
      <w:r w:rsidR="00047202" w:rsidRPr="00343F15">
        <w:t xml:space="preserve">complex. </w:t>
      </w:r>
      <w:r w:rsidR="0043445C" w:rsidRPr="00343F15">
        <w:t>Finally,</w:t>
      </w:r>
      <w:r w:rsidR="00047202" w:rsidRPr="00343F15">
        <w:t xml:space="preserve"> we have late adolescence which occurs between the ages </w:t>
      </w:r>
      <w:r w:rsidR="002C4A56" w:rsidRPr="00343F15">
        <w:t>of 18-21, this is when a young person has a better sense of identity</w:t>
      </w:r>
      <w:r w:rsidR="0043445C" w:rsidRPr="00343F15">
        <w:t xml:space="preserve"> (Armstrong, </w:t>
      </w:r>
      <w:r w:rsidR="00ED3D1B" w:rsidRPr="00343F15">
        <w:t>2025)</w:t>
      </w:r>
      <w:r w:rsidR="002C4A56" w:rsidRPr="00343F15">
        <w:t xml:space="preserve">. </w:t>
      </w:r>
    </w:p>
    <w:p w14:paraId="510E9E2D" w14:textId="77777777" w:rsidR="001F117D" w:rsidRDefault="00AD1F81" w:rsidP="001F117D">
      <w:pPr>
        <w:rPr>
          <w:u w:val="single"/>
        </w:rPr>
      </w:pPr>
      <w:r w:rsidRPr="00DE702D">
        <w:rPr>
          <w:u w:val="single"/>
        </w:rPr>
        <w:lastRenderedPageBreak/>
        <w:t>Biological transition</w:t>
      </w:r>
    </w:p>
    <w:p w14:paraId="59AE1242" w14:textId="560CB99D" w:rsidR="007D30D4" w:rsidRPr="001F117D" w:rsidRDefault="007D30D4" w:rsidP="001F117D">
      <w:pPr>
        <w:rPr>
          <w:u w:val="single"/>
        </w:rPr>
      </w:pPr>
      <w:r w:rsidRPr="007D30D4">
        <w:rPr>
          <w:color w:val="000000" w:themeColor="text1"/>
        </w:rPr>
        <w:t xml:space="preserve">The biological transition that occurs during adolescence </w:t>
      </w:r>
      <w:r w:rsidR="00166C8D">
        <w:rPr>
          <w:color w:val="000000" w:themeColor="text1"/>
        </w:rPr>
        <w:t>is</w:t>
      </w:r>
      <w:r w:rsidRPr="007D30D4">
        <w:rPr>
          <w:color w:val="000000" w:themeColor="text1"/>
        </w:rPr>
        <w:t xml:space="preserve"> puberty, which has been described as one of the most significant biological changes in a person’s life (Best and Ban, 2021). Puberty begins with the release of hormones in the </w:t>
      </w:r>
      <w:bookmarkStart w:id="1" w:name="_Int_hSxzpH8h"/>
      <w:r w:rsidRPr="007D30D4">
        <w:rPr>
          <w:color w:val="000000" w:themeColor="text1"/>
        </w:rPr>
        <w:t>brain</w:t>
      </w:r>
      <w:r w:rsidR="005D7A62">
        <w:rPr>
          <w:color w:val="000000" w:themeColor="text1"/>
        </w:rPr>
        <w:t>,</w:t>
      </w:r>
      <w:bookmarkEnd w:id="1"/>
      <w:r w:rsidR="005D7A62">
        <w:rPr>
          <w:color w:val="000000" w:themeColor="text1"/>
        </w:rPr>
        <w:t xml:space="preserve"> </w:t>
      </w:r>
      <w:r w:rsidRPr="007D30D4">
        <w:rPr>
          <w:color w:val="000000" w:themeColor="text1"/>
        </w:rPr>
        <w:t>different hormone levels result in different physical outcomes for males and females. This process marks the shift from childhood to adulthood and gives young people the biological ability to reproduce.</w:t>
      </w:r>
      <w:r w:rsidR="001F117D">
        <w:rPr>
          <w:color w:val="000000" w:themeColor="text1"/>
        </w:rPr>
        <w:t xml:space="preserve"> </w:t>
      </w:r>
      <w:r w:rsidRPr="007D30D4">
        <w:rPr>
          <w:color w:val="000000" w:themeColor="text1"/>
        </w:rPr>
        <w:t>Many of the changes that occur during puberty are highly visible, while others take place internally. One of the most noticeable changes for both sexes is the rapid growth in height and weight</w:t>
      </w:r>
      <w:r w:rsidR="00BC5E38">
        <w:rPr>
          <w:color w:val="000000" w:themeColor="text1"/>
        </w:rPr>
        <w:t xml:space="preserve"> (OASH, no date)</w:t>
      </w:r>
      <w:r w:rsidRPr="007D30D4">
        <w:rPr>
          <w:color w:val="000000" w:themeColor="text1"/>
        </w:rPr>
        <w:t>. During this time, bones lengthen and muscles strengthen, contributing to increased physical capability. As a result, adolescents are often able to perform tasks that were more challenging in childhood, reflecting their progression towards physical maturity. Puberty is also characterised by the development of secondary sexual characteristics, including increased body hair, skin changes such as acne, and voice changes (Best and Ban, 2021).</w:t>
      </w:r>
      <w:r w:rsidR="001F117D">
        <w:rPr>
          <w:color w:val="000000" w:themeColor="text1"/>
        </w:rPr>
        <w:t xml:space="preserve"> </w:t>
      </w:r>
      <w:r w:rsidRPr="007D30D4">
        <w:rPr>
          <w:color w:val="000000" w:themeColor="text1"/>
        </w:rPr>
        <w:t xml:space="preserve">There are also sex-specific developments that </w:t>
      </w:r>
      <w:r w:rsidR="00452C1D">
        <w:rPr>
          <w:color w:val="000000" w:themeColor="text1"/>
        </w:rPr>
        <w:t>happen</w:t>
      </w:r>
      <w:r w:rsidRPr="007D30D4">
        <w:rPr>
          <w:color w:val="000000" w:themeColor="text1"/>
        </w:rPr>
        <w:t xml:space="preserve">. In females, puberty involves breast development, widening of the hips, and the beginning of menstruation. The onset of menstruation is a significant milestone, </w:t>
      </w:r>
      <w:r w:rsidR="0092149A">
        <w:rPr>
          <w:color w:val="000000" w:themeColor="text1"/>
        </w:rPr>
        <w:t>but</w:t>
      </w:r>
      <w:r w:rsidRPr="007D30D4">
        <w:rPr>
          <w:color w:val="000000" w:themeColor="text1"/>
        </w:rPr>
        <w:t xml:space="preserve"> cycles may initially be irregular and influenced by factors such as stress or illness. In males, puberty includes the enlargement of the testes and penis, broader shoulders, increased muscle mass, deepening of the voice, and the onset of erections and ejaculations. These changes reflect the body’s movement towards sexual maturity.</w:t>
      </w:r>
      <w:r w:rsidR="001F117D">
        <w:rPr>
          <w:color w:val="000000" w:themeColor="text1"/>
        </w:rPr>
        <w:t xml:space="preserve"> </w:t>
      </w:r>
      <w:r w:rsidRPr="007D30D4">
        <w:rPr>
          <w:color w:val="000000" w:themeColor="text1"/>
        </w:rPr>
        <w:t xml:space="preserve">However, the timing of these physical developments can vary considerably between individuals, which can affect how adolescents are perceived and treated. Young people who </w:t>
      </w:r>
      <w:r w:rsidR="00F06DB4">
        <w:rPr>
          <w:color w:val="000000" w:themeColor="text1"/>
        </w:rPr>
        <w:t>develop</w:t>
      </w:r>
      <w:r w:rsidRPr="007D30D4">
        <w:rPr>
          <w:color w:val="000000" w:themeColor="text1"/>
        </w:rPr>
        <w:t xml:space="preserve"> earlier than their peers may be viewed as older and expected to behave with greater maturity, even if their emotional and cognitive development </w:t>
      </w:r>
      <w:r w:rsidR="001835F1">
        <w:rPr>
          <w:color w:val="000000" w:themeColor="text1"/>
        </w:rPr>
        <w:t xml:space="preserve">isn’t </w:t>
      </w:r>
      <w:r w:rsidR="00C01553">
        <w:rPr>
          <w:color w:val="000000" w:themeColor="text1"/>
        </w:rPr>
        <w:t>as mature as others</w:t>
      </w:r>
      <w:r w:rsidRPr="007D30D4">
        <w:rPr>
          <w:color w:val="000000" w:themeColor="text1"/>
        </w:rPr>
        <w:t>. In contrast, those who develop later may be treated as younger than their actual age. According to OASH (no date), earlier physical development has been linked to a higher likelihood of engaging in risk-taking behaviours, while later development may increase the risk of bullying. Therefore, the biological transition of puberty not only transforms the body but can also influence adolescents’ social experiences</w:t>
      </w:r>
      <w:r w:rsidR="00320049">
        <w:rPr>
          <w:color w:val="000000" w:themeColor="text1"/>
        </w:rPr>
        <w:t xml:space="preserve">. </w:t>
      </w:r>
    </w:p>
    <w:p w14:paraId="762B434B" w14:textId="77777777" w:rsidR="00CC7EC8" w:rsidRPr="007D30D4" w:rsidRDefault="00CC7EC8">
      <w:pPr>
        <w:rPr>
          <w:color w:val="000000" w:themeColor="text1"/>
          <w:u w:val="single"/>
        </w:rPr>
      </w:pPr>
    </w:p>
    <w:p w14:paraId="64DE4476" w14:textId="3F1C8427" w:rsidR="00A94796" w:rsidRDefault="00A94796">
      <w:pPr>
        <w:rPr>
          <w:u w:val="single"/>
        </w:rPr>
      </w:pPr>
      <w:r>
        <w:rPr>
          <w:u w:val="single"/>
        </w:rPr>
        <w:t xml:space="preserve">Cognitive transition </w:t>
      </w:r>
    </w:p>
    <w:p w14:paraId="6989062E" w14:textId="1FC9A786" w:rsidR="00A94796" w:rsidRDefault="00A94796">
      <w:pPr>
        <w:pStyle w:val="NormalWeb"/>
        <w:rPr>
          <w:rFonts w:asciiTheme="minorHAnsi" w:hAnsiTheme="minorHAnsi"/>
          <w:color w:val="000000" w:themeColor="text1"/>
        </w:rPr>
      </w:pPr>
      <w:r w:rsidRPr="00F770C9">
        <w:rPr>
          <w:rFonts w:asciiTheme="minorHAnsi" w:hAnsiTheme="minorHAnsi"/>
          <w:color w:val="000000" w:themeColor="text1"/>
        </w:rPr>
        <w:t xml:space="preserve">Adolescent behaviour </w:t>
      </w:r>
      <w:bookmarkStart w:id="2" w:name="_Int_9Iu2EmUD"/>
      <w:r w:rsidRPr="00F770C9">
        <w:rPr>
          <w:rFonts w:asciiTheme="minorHAnsi" w:hAnsiTheme="minorHAnsi"/>
          <w:color w:val="000000" w:themeColor="text1"/>
        </w:rPr>
        <w:t>is often described</w:t>
      </w:r>
      <w:bookmarkEnd w:id="2"/>
      <w:r w:rsidRPr="00F770C9">
        <w:rPr>
          <w:rFonts w:asciiTheme="minorHAnsi" w:hAnsiTheme="minorHAnsi"/>
          <w:color w:val="000000" w:themeColor="text1"/>
        </w:rPr>
        <w:t xml:space="preserve"> negatively. Teenagers </w:t>
      </w:r>
      <w:bookmarkStart w:id="3" w:name="_Int_tCCRItMN"/>
      <w:r w:rsidRPr="00F770C9">
        <w:rPr>
          <w:rFonts w:asciiTheme="minorHAnsi" w:hAnsiTheme="minorHAnsi"/>
          <w:color w:val="000000" w:themeColor="text1"/>
        </w:rPr>
        <w:t>are</w:t>
      </w:r>
      <w:r w:rsidR="00B14338">
        <w:rPr>
          <w:rFonts w:asciiTheme="minorHAnsi" w:hAnsiTheme="minorHAnsi"/>
          <w:color w:val="000000" w:themeColor="text1"/>
        </w:rPr>
        <w:t xml:space="preserve"> </w:t>
      </w:r>
      <w:r w:rsidRPr="00F770C9">
        <w:rPr>
          <w:rFonts w:asciiTheme="minorHAnsi" w:hAnsiTheme="minorHAnsi"/>
          <w:color w:val="000000" w:themeColor="text1"/>
        </w:rPr>
        <w:t>labelled</w:t>
      </w:r>
      <w:bookmarkEnd w:id="3"/>
      <w:r w:rsidRPr="00F770C9">
        <w:rPr>
          <w:rFonts w:asciiTheme="minorHAnsi" w:hAnsiTheme="minorHAnsi"/>
          <w:color w:val="000000" w:themeColor="text1"/>
        </w:rPr>
        <w:t xml:space="preserve"> as risk-takers, awkward, impulsive, and self-centred, which can suggest that they ar</w:t>
      </w:r>
      <w:r w:rsidR="005C3EB9">
        <w:rPr>
          <w:rFonts w:asciiTheme="minorHAnsi" w:hAnsiTheme="minorHAnsi"/>
          <w:color w:val="000000" w:themeColor="text1"/>
        </w:rPr>
        <w:t xml:space="preserve">e </w:t>
      </w:r>
      <w:r w:rsidRPr="00F770C9">
        <w:rPr>
          <w:rFonts w:asciiTheme="minorHAnsi" w:hAnsiTheme="minorHAnsi"/>
          <w:color w:val="000000" w:themeColor="text1"/>
        </w:rPr>
        <w:t>choosing to behave in problematic ways. However, this perspective ignores the fact that adolescence is natural and</w:t>
      </w:r>
      <w:r w:rsidR="008B5C28">
        <w:rPr>
          <w:rFonts w:asciiTheme="minorHAnsi" w:hAnsiTheme="minorHAnsi"/>
          <w:color w:val="000000" w:themeColor="text1"/>
        </w:rPr>
        <w:t xml:space="preserve"> an</w:t>
      </w:r>
      <w:r w:rsidRPr="00F770C9">
        <w:rPr>
          <w:rFonts w:asciiTheme="minorHAnsi" w:hAnsiTheme="minorHAnsi"/>
          <w:color w:val="000000" w:themeColor="text1"/>
        </w:rPr>
        <w:t xml:space="preserve"> essential stage of development.</w:t>
      </w:r>
      <w:r w:rsidR="00C972F9">
        <w:rPr>
          <w:rFonts w:asciiTheme="minorHAnsi" w:hAnsiTheme="minorHAnsi"/>
          <w:color w:val="000000" w:themeColor="text1"/>
        </w:rPr>
        <w:t xml:space="preserve"> </w:t>
      </w:r>
      <w:r w:rsidRPr="00F770C9">
        <w:rPr>
          <w:rFonts w:asciiTheme="minorHAnsi" w:hAnsiTheme="minorHAnsi"/>
          <w:color w:val="000000" w:themeColor="text1"/>
        </w:rPr>
        <w:t xml:space="preserve">Although the physical changes that occur during puberty are clearly visible, significant changes are also taking place in the brain. Brain development continues throughout adolescence and into early adulthood. Understanding these changes is important so that adolescents </w:t>
      </w:r>
      <w:r w:rsidRPr="00F770C9">
        <w:rPr>
          <w:rFonts w:asciiTheme="minorHAnsi" w:hAnsiTheme="minorHAnsi"/>
          <w:color w:val="000000" w:themeColor="text1"/>
        </w:rPr>
        <w:lastRenderedPageBreak/>
        <w:t xml:space="preserve">can </w:t>
      </w:r>
      <w:bookmarkStart w:id="4" w:name="_Int_gTk5z8Cg"/>
      <w:r w:rsidRPr="00F770C9">
        <w:rPr>
          <w:rFonts w:asciiTheme="minorHAnsi" w:hAnsiTheme="minorHAnsi"/>
          <w:color w:val="000000" w:themeColor="text1"/>
        </w:rPr>
        <w:t>be properly supported</w:t>
      </w:r>
      <w:bookmarkEnd w:id="4"/>
      <w:r w:rsidRPr="00F770C9">
        <w:rPr>
          <w:rFonts w:asciiTheme="minorHAnsi" w:hAnsiTheme="minorHAnsi"/>
          <w:color w:val="000000" w:themeColor="text1"/>
        </w:rPr>
        <w:t xml:space="preserve">, feel heard, and feel comfortable expressing their emotions. While this stage of development can involve increased vulnerability and risk, it also </w:t>
      </w:r>
      <w:r w:rsidR="00CA6CE9">
        <w:rPr>
          <w:rFonts w:asciiTheme="minorHAnsi" w:hAnsiTheme="minorHAnsi"/>
          <w:color w:val="000000" w:themeColor="text1"/>
        </w:rPr>
        <w:t xml:space="preserve">gives </w:t>
      </w:r>
      <w:r w:rsidRPr="00F770C9">
        <w:rPr>
          <w:rFonts w:asciiTheme="minorHAnsi" w:hAnsiTheme="minorHAnsi"/>
          <w:color w:val="000000" w:themeColor="text1"/>
        </w:rPr>
        <w:t>valuable opportunities to positively influence a</w:t>
      </w:r>
      <w:r w:rsidR="00E90011">
        <w:rPr>
          <w:rFonts w:asciiTheme="minorHAnsi" w:hAnsiTheme="minorHAnsi"/>
          <w:color w:val="000000" w:themeColor="text1"/>
        </w:rPr>
        <w:t xml:space="preserve"> young </w:t>
      </w:r>
      <w:r w:rsidR="00BD183A">
        <w:rPr>
          <w:rFonts w:asciiTheme="minorHAnsi" w:hAnsiTheme="minorHAnsi"/>
          <w:color w:val="000000" w:themeColor="text1"/>
        </w:rPr>
        <w:t>person's</w:t>
      </w:r>
      <w:r w:rsidRPr="00F770C9">
        <w:rPr>
          <w:rFonts w:asciiTheme="minorHAnsi" w:hAnsiTheme="minorHAnsi"/>
          <w:color w:val="000000" w:themeColor="text1"/>
        </w:rPr>
        <w:t xml:space="preserve"> long-term wellbeing and success.</w:t>
      </w:r>
      <w:r w:rsidR="00C972F9">
        <w:rPr>
          <w:rFonts w:asciiTheme="minorHAnsi" w:hAnsiTheme="minorHAnsi"/>
          <w:color w:val="000000" w:themeColor="text1"/>
        </w:rPr>
        <w:t xml:space="preserve"> </w:t>
      </w:r>
      <w:r w:rsidRPr="00F770C9">
        <w:rPr>
          <w:rFonts w:asciiTheme="minorHAnsi" w:hAnsiTheme="minorHAnsi"/>
          <w:color w:val="000000" w:themeColor="text1"/>
        </w:rPr>
        <w:t>Research</w:t>
      </w:r>
      <w:r w:rsidR="007B3EDB">
        <w:rPr>
          <w:rFonts w:asciiTheme="minorHAnsi" w:hAnsiTheme="minorHAnsi"/>
          <w:color w:val="000000" w:themeColor="text1"/>
        </w:rPr>
        <w:t xml:space="preserve"> done with MRI scans show that the </w:t>
      </w:r>
      <w:r w:rsidR="00BD183A">
        <w:rPr>
          <w:rFonts w:asciiTheme="minorHAnsi" w:hAnsiTheme="minorHAnsi"/>
          <w:color w:val="000000" w:themeColor="text1"/>
        </w:rPr>
        <w:t>adolescent</w:t>
      </w:r>
      <w:r w:rsidR="007B3EDB">
        <w:rPr>
          <w:rFonts w:asciiTheme="minorHAnsi" w:hAnsiTheme="minorHAnsi"/>
          <w:color w:val="000000" w:themeColor="text1"/>
        </w:rPr>
        <w:t xml:space="preserve"> brain </w:t>
      </w:r>
      <w:r w:rsidR="00BD183A">
        <w:rPr>
          <w:rFonts w:asciiTheme="minorHAnsi" w:hAnsiTheme="minorHAnsi"/>
          <w:color w:val="000000" w:themeColor="text1"/>
        </w:rPr>
        <w:t>develops</w:t>
      </w:r>
      <w:r w:rsidR="007B3EDB">
        <w:rPr>
          <w:rFonts w:asciiTheme="minorHAnsi" w:hAnsiTheme="minorHAnsi"/>
          <w:color w:val="000000" w:themeColor="text1"/>
        </w:rPr>
        <w:t xml:space="preserve"> back to fron</w:t>
      </w:r>
      <w:r w:rsidR="001C6C7A">
        <w:rPr>
          <w:rFonts w:asciiTheme="minorHAnsi" w:hAnsiTheme="minorHAnsi"/>
          <w:color w:val="000000" w:themeColor="text1"/>
        </w:rPr>
        <w:t>t</w:t>
      </w:r>
      <w:r w:rsidR="009735D0">
        <w:rPr>
          <w:rFonts w:asciiTheme="minorHAnsi" w:hAnsiTheme="minorHAnsi"/>
          <w:color w:val="000000" w:themeColor="text1"/>
        </w:rPr>
        <w:t>, meaning the prefrontal cortex develops last</w:t>
      </w:r>
      <w:r w:rsidR="00D90C26">
        <w:rPr>
          <w:rFonts w:asciiTheme="minorHAnsi" w:hAnsiTheme="minorHAnsi"/>
          <w:color w:val="000000" w:themeColor="text1"/>
        </w:rPr>
        <w:t xml:space="preserve"> (</w:t>
      </w:r>
      <w:proofErr w:type="spellStart"/>
      <w:r w:rsidR="00D90C26">
        <w:rPr>
          <w:rFonts w:asciiTheme="minorHAnsi" w:hAnsiTheme="minorHAnsi"/>
          <w:color w:val="000000" w:themeColor="text1"/>
        </w:rPr>
        <w:t>Arain</w:t>
      </w:r>
      <w:proofErr w:type="spellEnd"/>
      <w:r w:rsidR="00D90C26">
        <w:rPr>
          <w:rFonts w:asciiTheme="minorHAnsi" w:hAnsiTheme="minorHAnsi"/>
          <w:color w:val="000000" w:themeColor="text1"/>
        </w:rPr>
        <w:t xml:space="preserve"> et al, 2013)</w:t>
      </w:r>
      <w:r w:rsidRPr="00F770C9">
        <w:rPr>
          <w:rFonts w:asciiTheme="minorHAnsi" w:hAnsiTheme="minorHAnsi"/>
          <w:color w:val="000000" w:themeColor="text1"/>
        </w:rPr>
        <w:t>.</w:t>
      </w:r>
      <w:r w:rsidR="0020362F">
        <w:rPr>
          <w:rFonts w:asciiTheme="minorHAnsi" w:hAnsiTheme="minorHAnsi"/>
          <w:color w:val="000000" w:themeColor="text1"/>
        </w:rPr>
        <w:t xml:space="preserve"> The functions of the prefrontal </w:t>
      </w:r>
      <w:r w:rsidR="00BD183A">
        <w:rPr>
          <w:rFonts w:asciiTheme="minorHAnsi" w:hAnsiTheme="minorHAnsi"/>
          <w:color w:val="000000" w:themeColor="text1"/>
        </w:rPr>
        <w:t>cortex</w:t>
      </w:r>
      <w:r w:rsidR="0020362F">
        <w:rPr>
          <w:rFonts w:asciiTheme="minorHAnsi" w:hAnsiTheme="minorHAnsi"/>
          <w:color w:val="000000" w:themeColor="text1"/>
        </w:rPr>
        <w:t xml:space="preserve"> are </w:t>
      </w:r>
      <w:r w:rsidR="000E2712">
        <w:rPr>
          <w:rFonts w:asciiTheme="minorHAnsi" w:hAnsiTheme="minorHAnsi"/>
          <w:color w:val="000000" w:themeColor="text1"/>
        </w:rPr>
        <w:t>attention, self control and decision making.</w:t>
      </w:r>
      <w:r w:rsidR="001E2C0F">
        <w:rPr>
          <w:rFonts w:asciiTheme="minorHAnsi" w:hAnsiTheme="minorHAnsi"/>
          <w:color w:val="000000" w:themeColor="text1"/>
        </w:rPr>
        <w:t xml:space="preserve"> It also helps manage emotions and behaviours</w:t>
      </w:r>
      <w:r w:rsidR="000541FC">
        <w:rPr>
          <w:rFonts w:asciiTheme="minorHAnsi" w:hAnsiTheme="minorHAnsi"/>
          <w:color w:val="000000" w:themeColor="text1"/>
        </w:rPr>
        <w:t xml:space="preserve"> (</w:t>
      </w:r>
      <w:r w:rsidR="00BD183A">
        <w:rPr>
          <w:rFonts w:asciiTheme="minorHAnsi" w:hAnsiTheme="minorHAnsi"/>
          <w:color w:val="000000" w:themeColor="text1"/>
        </w:rPr>
        <w:t>Cleveland</w:t>
      </w:r>
      <w:r w:rsidR="00273610">
        <w:rPr>
          <w:rFonts w:asciiTheme="minorHAnsi" w:hAnsiTheme="minorHAnsi"/>
          <w:color w:val="000000" w:themeColor="text1"/>
        </w:rPr>
        <w:t xml:space="preserve"> Clinic, 2025)</w:t>
      </w:r>
      <w:r w:rsidRPr="00F770C9">
        <w:rPr>
          <w:rFonts w:asciiTheme="minorHAnsi" w:hAnsiTheme="minorHAnsi"/>
          <w:color w:val="000000" w:themeColor="text1"/>
        </w:rPr>
        <w:t xml:space="preserve"> In early childhood, particularly between the ages of three and five, there is rapid brain growth. By around the age of nine, the basic structure and foundations of the brain are </w:t>
      </w:r>
      <w:bookmarkStart w:id="5" w:name="_Int_eNRuPARm"/>
      <w:r w:rsidR="00BD183A" w:rsidRPr="00F770C9">
        <w:rPr>
          <w:rFonts w:asciiTheme="minorHAnsi" w:hAnsiTheme="minorHAnsi"/>
          <w:color w:val="000000" w:themeColor="text1"/>
        </w:rPr>
        <w:t>established</w:t>
      </w:r>
      <w:bookmarkEnd w:id="5"/>
      <w:r w:rsidR="00BD183A">
        <w:rPr>
          <w:rFonts w:asciiTheme="minorHAnsi" w:hAnsiTheme="minorHAnsi"/>
          <w:color w:val="000000" w:themeColor="text1"/>
        </w:rPr>
        <w:t>,</w:t>
      </w:r>
      <w:r w:rsidR="00BD183A" w:rsidRPr="00F770C9">
        <w:rPr>
          <w:rFonts w:asciiTheme="minorHAnsi" w:hAnsiTheme="minorHAnsi"/>
          <w:color w:val="000000" w:themeColor="text1"/>
        </w:rPr>
        <w:t xml:space="preserve"> and</w:t>
      </w:r>
      <w:r w:rsidRPr="00F770C9">
        <w:rPr>
          <w:rFonts w:asciiTheme="minorHAnsi" w:hAnsiTheme="minorHAnsi"/>
          <w:color w:val="000000" w:themeColor="text1"/>
        </w:rPr>
        <w:t xml:space="preserve"> this process continues throughout adolescence until </w:t>
      </w:r>
      <w:r w:rsidR="00E87A38" w:rsidRPr="00F770C9">
        <w:rPr>
          <w:rFonts w:asciiTheme="minorHAnsi" w:hAnsiTheme="minorHAnsi"/>
          <w:color w:val="000000" w:themeColor="text1"/>
        </w:rPr>
        <w:t>the</w:t>
      </w:r>
      <w:r w:rsidRPr="00F770C9">
        <w:rPr>
          <w:rFonts w:asciiTheme="minorHAnsi" w:hAnsiTheme="minorHAnsi"/>
          <w:color w:val="000000" w:themeColor="text1"/>
        </w:rPr>
        <w:t xml:space="preserve"> age of 25.</w:t>
      </w:r>
      <w:r w:rsidR="003875D6">
        <w:rPr>
          <w:rFonts w:asciiTheme="minorHAnsi" w:hAnsiTheme="minorHAnsi"/>
          <w:color w:val="000000" w:themeColor="text1"/>
        </w:rPr>
        <w:t xml:space="preserve"> </w:t>
      </w:r>
      <w:r w:rsidRPr="00F770C9">
        <w:rPr>
          <w:rFonts w:asciiTheme="minorHAnsi" w:hAnsiTheme="minorHAnsi"/>
          <w:color w:val="000000" w:themeColor="text1"/>
        </w:rPr>
        <w:t xml:space="preserve"> As a result, young people may be able to think logically when they are calm, but in emotionally intense situations the more developed, impulsive parts of the brain can take over. This can sometimes lead to difficulties in relationships, engagement in risky behaviours such as substance use, and in some cases even suicide. At the same time, the adolescent brain is highly adaptable and capable of learning quickly, which can help build resilience and support a more successful transition into adulthood.</w:t>
      </w:r>
      <w:r w:rsidR="0076141E">
        <w:rPr>
          <w:rFonts w:asciiTheme="minorHAnsi" w:hAnsiTheme="minorHAnsi"/>
          <w:color w:val="000000" w:themeColor="text1"/>
        </w:rPr>
        <w:t xml:space="preserve"> A theory that helps explain the cognitive development </w:t>
      </w:r>
      <w:r w:rsidR="00457621">
        <w:rPr>
          <w:rFonts w:asciiTheme="minorHAnsi" w:hAnsiTheme="minorHAnsi"/>
          <w:color w:val="000000" w:themeColor="text1"/>
        </w:rPr>
        <w:t xml:space="preserve">proposed </w:t>
      </w:r>
      <w:r w:rsidR="0076141E">
        <w:rPr>
          <w:rFonts w:asciiTheme="minorHAnsi" w:hAnsiTheme="minorHAnsi"/>
          <w:color w:val="000000" w:themeColor="text1"/>
        </w:rPr>
        <w:t xml:space="preserve">by </w:t>
      </w:r>
      <w:r w:rsidR="00C50BF8">
        <w:rPr>
          <w:rFonts w:asciiTheme="minorHAnsi" w:hAnsiTheme="minorHAnsi"/>
          <w:color w:val="000000" w:themeColor="text1"/>
        </w:rPr>
        <w:t xml:space="preserve">Lev </w:t>
      </w:r>
      <w:proofErr w:type="spellStart"/>
      <w:r w:rsidR="00C50BF8">
        <w:rPr>
          <w:rFonts w:asciiTheme="minorHAnsi" w:hAnsiTheme="minorHAnsi"/>
          <w:color w:val="000000" w:themeColor="text1"/>
        </w:rPr>
        <w:t>Vygotsky</w:t>
      </w:r>
      <w:proofErr w:type="spellEnd"/>
      <w:r w:rsidR="00C50BF8">
        <w:rPr>
          <w:rFonts w:asciiTheme="minorHAnsi" w:hAnsiTheme="minorHAnsi"/>
          <w:color w:val="000000" w:themeColor="text1"/>
        </w:rPr>
        <w:t xml:space="preserve"> stated that cognitive development </w:t>
      </w:r>
      <w:bookmarkStart w:id="6" w:name="_Int_B4wVa6gU"/>
      <w:r w:rsidR="00C50BF8">
        <w:rPr>
          <w:rFonts w:asciiTheme="minorHAnsi" w:hAnsiTheme="minorHAnsi"/>
          <w:color w:val="000000" w:themeColor="text1"/>
        </w:rPr>
        <w:t>is shaped</w:t>
      </w:r>
      <w:bookmarkEnd w:id="6"/>
      <w:r w:rsidR="00C50BF8">
        <w:rPr>
          <w:rFonts w:asciiTheme="minorHAnsi" w:hAnsiTheme="minorHAnsi"/>
          <w:color w:val="000000" w:themeColor="text1"/>
        </w:rPr>
        <w:t xml:space="preserve"> by social and cultural interactions</w:t>
      </w:r>
      <w:r w:rsidR="00AD1035">
        <w:rPr>
          <w:rFonts w:asciiTheme="minorHAnsi" w:hAnsiTheme="minorHAnsi"/>
          <w:color w:val="000000" w:themeColor="text1"/>
        </w:rPr>
        <w:t xml:space="preserve"> (McLeod, 2025).</w:t>
      </w:r>
    </w:p>
    <w:p w14:paraId="59B3671E" w14:textId="3A46E403" w:rsidR="00693197" w:rsidRDefault="00A57EE3">
      <w:pPr>
        <w:pStyle w:val="NormalWeb"/>
        <w:rPr>
          <w:rFonts w:asciiTheme="minorHAnsi" w:hAnsiTheme="minorHAnsi"/>
          <w:color w:val="000000" w:themeColor="text1"/>
          <w:u w:val="single"/>
        </w:rPr>
      </w:pPr>
      <w:r>
        <w:rPr>
          <w:rFonts w:asciiTheme="minorHAnsi" w:hAnsiTheme="minorHAnsi"/>
          <w:color w:val="000000" w:themeColor="text1"/>
          <w:u w:val="single"/>
        </w:rPr>
        <w:t>Social Transition</w:t>
      </w:r>
    </w:p>
    <w:p w14:paraId="40CFF076" w14:textId="2300994A" w:rsidR="00A204A1" w:rsidRPr="00FF0D65" w:rsidRDefault="006B33FE" w:rsidP="00FF0D65">
      <w:pPr>
        <w:pStyle w:val="NormalWeb"/>
        <w:rPr>
          <w:rFonts w:asciiTheme="minorHAnsi" w:hAnsiTheme="minorHAnsi"/>
          <w:color w:val="000000" w:themeColor="text1"/>
        </w:rPr>
      </w:pPr>
      <w:r w:rsidRPr="00FF0D65">
        <w:rPr>
          <w:rFonts w:asciiTheme="minorHAnsi" w:hAnsiTheme="minorHAnsi"/>
          <w:color w:val="000000" w:themeColor="text1"/>
        </w:rPr>
        <w:t xml:space="preserve">Social development is a key transition during adolescence, as it moves young people from the limited roles of childhood to the broader and more complex roles of adulthood. One of the main changes during this time is the expansion of social circles. In childhood, relationships </w:t>
      </w:r>
      <w:bookmarkStart w:id="7" w:name="_Int_r2kTk2k2"/>
      <w:r w:rsidRPr="00FF0D65">
        <w:rPr>
          <w:rFonts w:asciiTheme="minorHAnsi" w:hAnsiTheme="minorHAnsi"/>
          <w:color w:val="000000" w:themeColor="text1"/>
        </w:rPr>
        <w:t xml:space="preserve">are </w:t>
      </w:r>
      <w:r w:rsidR="00990182" w:rsidRPr="00FF0D65">
        <w:rPr>
          <w:rFonts w:asciiTheme="minorHAnsi" w:hAnsiTheme="minorHAnsi"/>
          <w:color w:val="000000" w:themeColor="text1"/>
        </w:rPr>
        <w:t>centred</w:t>
      </w:r>
      <w:bookmarkEnd w:id="7"/>
      <w:r w:rsidRPr="00FF0D65">
        <w:rPr>
          <w:rFonts w:asciiTheme="minorHAnsi" w:hAnsiTheme="minorHAnsi"/>
          <w:color w:val="000000" w:themeColor="text1"/>
        </w:rPr>
        <w:t xml:space="preserve"> around family. As young people enter school, their networks begin to grow, and by adolescence they may include peers from school, sports teams, student organisations, part-time jobs, and other activities. As these circles expand, adolescents often spend less time with their families and place greater importance on peer relationships. They also begin to form stronger connections with adults outside of their family, who may take on supportive or mentoring roles.</w:t>
      </w:r>
      <w:r w:rsidR="00DD7C84">
        <w:rPr>
          <w:rFonts w:asciiTheme="minorHAnsi" w:hAnsiTheme="minorHAnsi"/>
          <w:color w:val="000000" w:themeColor="text1"/>
        </w:rPr>
        <w:t xml:space="preserve"> </w:t>
      </w:r>
      <w:r w:rsidRPr="00FF0D65">
        <w:rPr>
          <w:rFonts w:asciiTheme="minorHAnsi" w:hAnsiTheme="minorHAnsi"/>
          <w:color w:val="000000" w:themeColor="text1"/>
        </w:rPr>
        <w:t>Another important aspect of social development is the expansion of social roles. Changes in the brain, emotions, and body prepare adolescents to take on greater responsibility. As their cognitive and emotional abilities develop, young people are able to have deeper conversations and express their emotions more clearly. Physical development can also signal increasing maturity, which may lead to greater trust and responsibility from others. During this stage, adolescents may take on new roles such as leadership positions in school or community groups, becoming a confidante to friends, or entering romantic relationships.</w:t>
      </w:r>
      <w:r w:rsidR="00DD7C84">
        <w:rPr>
          <w:rFonts w:asciiTheme="minorHAnsi" w:hAnsiTheme="minorHAnsi"/>
          <w:color w:val="000000" w:themeColor="text1"/>
        </w:rPr>
        <w:t xml:space="preserve"> </w:t>
      </w:r>
      <w:r w:rsidRPr="00FF0D65">
        <w:rPr>
          <w:rFonts w:asciiTheme="minorHAnsi" w:hAnsiTheme="minorHAnsi"/>
          <w:color w:val="000000" w:themeColor="text1"/>
        </w:rPr>
        <w:t xml:space="preserve">Developing connections outside of the family and forming an individual identity is a normal and healthy part of adolescence. Through interacting with different people, young people learn how to build and </w:t>
      </w:r>
      <w:bookmarkStart w:id="8" w:name="_Int_rN1SDsxl"/>
      <w:r w:rsidRPr="00FF0D65">
        <w:rPr>
          <w:rFonts w:asciiTheme="minorHAnsi" w:hAnsiTheme="minorHAnsi"/>
          <w:color w:val="000000" w:themeColor="text1"/>
        </w:rPr>
        <w:t>maintain</w:t>
      </w:r>
      <w:bookmarkEnd w:id="8"/>
      <w:r w:rsidRPr="00FF0D65">
        <w:rPr>
          <w:rFonts w:asciiTheme="minorHAnsi" w:hAnsiTheme="minorHAnsi"/>
          <w:color w:val="000000" w:themeColor="text1"/>
        </w:rPr>
        <w:t xml:space="preserve"> relationships and begin to understand the roles they can play within their wider community. However, adolescents still </w:t>
      </w:r>
      <w:r w:rsidR="00EB6C88" w:rsidRPr="00FF0D65">
        <w:rPr>
          <w:rFonts w:asciiTheme="minorHAnsi" w:hAnsiTheme="minorHAnsi"/>
          <w:color w:val="000000" w:themeColor="text1"/>
        </w:rPr>
        <w:t>need</w:t>
      </w:r>
      <w:r w:rsidRPr="00FF0D65">
        <w:rPr>
          <w:rFonts w:asciiTheme="minorHAnsi" w:hAnsiTheme="minorHAnsi"/>
          <w:color w:val="000000" w:themeColor="text1"/>
        </w:rPr>
        <w:t xml:space="preserve"> guidance and support from caring adults as they navigate these new experiences.</w:t>
      </w:r>
      <w:r w:rsidR="00DD7C84">
        <w:rPr>
          <w:rFonts w:asciiTheme="minorHAnsi" w:hAnsiTheme="minorHAnsi"/>
          <w:color w:val="000000" w:themeColor="text1"/>
        </w:rPr>
        <w:t xml:space="preserve"> </w:t>
      </w:r>
      <w:r w:rsidRPr="00FF0D65">
        <w:rPr>
          <w:rFonts w:asciiTheme="minorHAnsi" w:hAnsiTheme="minorHAnsi"/>
          <w:color w:val="000000" w:themeColor="text1"/>
        </w:rPr>
        <w:t xml:space="preserve">The social development of adolescents </w:t>
      </w:r>
      <w:bookmarkStart w:id="9" w:name="_Int_QMXBqLaX"/>
      <w:r w:rsidRPr="00FF0D65">
        <w:rPr>
          <w:rFonts w:asciiTheme="minorHAnsi" w:hAnsiTheme="minorHAnsi"/>
          <w:color w:val="000000" w:themeColor="text1"/>
        </w:rPr>
        <w:t>is strongly influenced</w:t>
      </w:r>
      <w:bookmarkEnd w:id="9"/>
      <w:r w:rsidRPr="00FF0D65">
        <w:rPr>
          <w:rFonts w:asciiTheme="minorHAnsi" w:hAnsiTheme="minorHAnsi"/>
          <w:color w:val="000000" w:themeColor="text1"/>
        </w:rPr>
        <w:t xml:space="preserve"> by their environment. Factors such as community safety, school experiences, and exposure to trauma can affect how young people cope and interact socially. As a result, adolescents of the same age may differ significantly in their ability to manage social </w:t>
      </w:r>
      <w:r w:rsidRPr="00FF0D65">
        <w:rPr>
          <w:rFonts w:asciiTheme="minorHAnsi" w:hAnsiTheme="minorHAnsi"/>
          <w:color w:val="000000" w:themeColor="text1"/>
        </w:rPr>
        <w:lastRenderedPageBreak/>
        <w:t>situations, highlighting the importance of supportive environments during this transitional stage.</w:t>
      </w:r>
      <w:r w:rsidR="00921624">
        <w:rPr>
          <w:rFonts w:asciiTheme="minorHAnsi" w:hAnsiTheme="minorHAnsi"/>
          <w:color w:val="000000" w:themeColor="text1"/>
        </w:rPr>
        <w:t xml:space="preserve"> </w:t>
      </w:r>
      <w:r w:rsidR="00C8626F">
        <w:rPr>
          <w:rFonts w:asciiTheme="minorHAnsi" w:hAnsiTheme="minorHAnsi"/>
          <w:color w:val="000000" w:themeColor="text1"/>
        </w:rPr>
        <w:t>(</w:t>
      </w:r>
      <w:r w:rsidR="00E34274">
        <w:rPr>
          <w:rFonts w:asciiTheme="minorHAnsi" w:hAnsiTheme="minorHAnsi"/>
          <w:color w:val="000000" w:themeColor="text1"/>
        </w:rPr>
        <w:t>OASH, no date)</w:t>
      </w:r>
    </w:p>
    <w:p w14:paraId="16A0A405" w14:textId="53B2241F" w:rsidR="00544B72" w:rsidRDefault="00D920C6">
      <w:r>
        <w:t xml:space="preserve">Reference list </w:t>
      </w:r>
    </w:p>
    <w:p w14:paraId="40CF9AD8" w14:textId="1391B062" w:rsidR="001D189C" w:rsidRPr="001D189C" w:rsidRDefault="001D189C" w:rsidP="001D189C">
      <w:pPr>
        <w:spacing w:before="100" w:beforeAutospacing="1" w:after="100" w:afterAutospacing="1" w:line="240" w:lineRule="auto"/>
        <w:rPr>
          <w:rFonts w:cs="Times New Roman"/>
          <w:color w:val="000000" w:themeColor="text1"/>
          <w:kern w:val="0"/>
          <w:sz w:val="20"/>
          <w:szCs w:val="20"/>
          <w14:ligatures w14:val="none"/>
        </w:rPr>
      </w:pPr>
      <w:proofErr w:type="spellStart"/>
      <w:r w:rsidRPr="001D189C">
        <w:rPr>
          <w:rFonts w:cs="Times New Roman"/>
          <w:color w:val="000000" w:themeColor="text1"/>
          <w:kern w:val="0"/>
          <w:sz w:val="20"/>
          <w:szCs w:val="20"/>
          <w14:ligatures w14:val="none"/>
        </w:rPr>
        <w:t>Arain</w:t>
      </w:r>
      <w:proofErr w:type="spellEnd"/>
      <w:r w:rsidRPr="001D189C">
        <w:rPr>
          <w:rFonts w:cs="Times New Roman"/>
          <w:color w:val="000000" w:themeColor="text1"/>
          <w:kern w:val="0"/>
          <w:sz w:val="20"/>
          <w:szCs w:val="20"/>
          <w14:ligatures w14:val="none"/>
        </w:rPr>
        <w:t xml:space="preserve">, M., </w:t>
      </w:r>
      <w:proofErr w:type="spellStart"/>
      <w:r w:rsidRPr="001D189C">
        <w:rPr>
          <w:rFonts w:cs="Times New Roman"/>
          <w:color w:val="000000" w:themeColor="text1"/>
          <w:kern w:val="0"/>
          <w:sz w:val="20"/>
          <w:szCs w:val="20"/>
          <w14:ligatures w14:val="none"/>
        </w:rPr>
        <w:t>Haque</w:t>
      </w:r>
      <w:proofErr w:type="spellEnd"/>
      <w:r w:rsidRPr="001D189C">
        <w:rPr>
          <w:rFonts w:cs="Times New Roman"/>
          <w:color w:val="000000" w:themeColor="text1"/>
          <w:kern w:val="0"/>
          <w:sz w:val="20"/>
          <w:szCs w:val="20"/>
          <w14:ligatures w14:val="none"/>
        </w:rPr>
        <w:t xml:space="preserve">, M., </w:t>
      </w:r>
      <w:proofErr w:type="spellStart"/>
      <w:r w:rsidRPr="001D189C">
        <w:rPr>
          <w:rFonts w:cs="Times New Roman"/>
          <w:color w:val="000000" w:themeColor="text1"/>
          <w:kern w:val="0"/>
          <w:sz w:val="20"/>
          <w:szCs w:val="20"/>
          <w14:ligatures w14:val="none"/>
        </w:rPr>
        <w:t>Johal</w:t>
      </w:r>
      <w:proofErr w:type="spellEnd"/>
      <w:r w:rsidRPr="001D189C">
        <w:rPr>
          <w:rFonts w:cs="Times New Roman"/>
          <w:color w:val="000000" w:themeColor="text1"/>
          <w:kern w:val="0"/>
          <w:sz w:val="20"/>
          <w:szCs w:val="20"/>
          <w14:ligatures w14:val="none"/>
        </w:rPr>
        <w:t xml:space="preserve">, L., Margot, P., </w:t>
      </w:r>
      <w:proofErr w:type="spellStart"/>
      <w:r w:rsidRPr="001D189C">
        <w:rPr>
          <w:rFonts w:cs="Times New Roman"/>
          <w:color w:val="000000" w:themeColor="text1"/>
          <w:kern w:val="0"/>
          <w:sz w:val="20"/>
          <w:szCs w:val="20"/>
          <w14:ligatures w14:val="none"/>
        </w:rPr>
        <w:t>Nel</w:t>
      </w:r>
      <w:proofErr w:type="spellEnd"/>
      <w:r w:rsidRPr="001D189C">
        <w:rPr>
          <w:rFonts w:cs="Times New Roman"/>
          <w:color w:val="000000" w:themeColor="text1"/>
          <w:kern w:val="0"/>
          <w:sz w:val="20"/>
          <w:szCs w:val="20"/>
          <w14:ligatures w14:val="none"/>
        </w:rPr>
        <w:t xml:space="preserve">, W., </w:t>
      </w:r>
      <w:proofErr w:type="spellStart"/>
      <w:r w:rsidRPr="001D189C">
        <w:rPr>
          <w:rFonts w:cs="Times New Roman"/>
          <w:color w:val="000000" w:themeColor="text1"/>
          <w:kern w:val="0"/>
          <w:sz w:val="20"/>
          <w:szCs w:val="20"/>
          <w14:ligatures w14:val="none"/>
        </w:rPr>
        <w:t>Rais</w:t>
      </w:r>
      <w:proofErr w:type="spellEnd"/>
      <w:r w:rsidRPr="001D189C">
        <w:rPr>
          <w:rFonts w:cs="Times New Roman"/>
          <w:color w:val="000000" w:themeColor="text1"/>
          <w:kern w:val="0"/>
          <w:sz w:val="20"/>
          <w:szCs w:val="20"/>
          <w14:ligatures w14:val="none"/>
        </w:rPr>
        <w:t xml:space="preserve">, A., </w:t>
      </w:r>
      <w:proofErr w:type="spellStart"/>
      <w:r w:rsidRPr="001D189C">
        <w:rPr>
          <w:rFonts w:cs="Times New Roman"/>
          <w:color w:val="000000" w:themeColor="text1"/>
          <w:kern w:val="0"/>
          <w:sz w:val="20"/>
          <w:szCs w:val="20"/>
          <w14:ligatures w14:val="none"/>
        </w:rPr>
        <w:t>Sandhu</w:t>
      </w:r>
      <w:proofErr w:type="spellEnd"/>
      <w:r w:rsidRPr="001D189C">
        <w:rPr>
          <w:rFonts w:cs="Times New Roman"/>
          <w:color w:val="000000" w:themeColor="text1"/>
          <w:kern w:val="0"/>
          <w:sz w:val="20"/>
          <w:szCs w:val="20"/>
          <w14:ligatures w14:val="none"/>
        </w:rPr>
        <w:t xml:space="preserve">, R., Sharma, S. (2013) ‘Maturation of the adolescent brain’ </w:t>
      </w:r>
      <w:proofErr w:type="spellStart"/>
      <w:r w:rsidRPr="001D189C">
        <w:rPr>
          <w:rFonts w:cs="Times New Roman"/>
          <w:color w:val="000000" w:themeColor="text1"/>
          <w:kern w:val="0"/>
          <w:sz w:val="20"/>
          <w:szCs w:val="20"/>
          <w14:ligatures w14:val="none"/>
        </w:rPr>
        <w:t>Neuropsychiatr</w:t>
      </w:r>
      <w:proofErr w:type="spellEnd"/>
      <w:r w:rsidRPr="001D189C">
        <w:rPr>
          <w:rFonts w:cs="Times New Roman"/>
          <w:color w:val="000000" w:themeColor="text1"/>
          <w:kern w:val="0"/>
          <w:sz w:val="20"/>
          <w:szCs w:val="20"/>
          <w14:ligatures w14:val="none"/>
        </w:rPr>
        <w:t xml:space="preserve"> Dis Treat, 13 (9), pp. 449-461. Available at: </w:t>
      </w:r>
      <w:hyperlink r:id="rId5" w:tgtFrame="_new" w:history="1">
        <w:r w:rsidRPr="001D189C">
          <w:rPr>
            <w:rFonts w:cs="Times New Roman"/>
            <w:color w:val="000000" w:themeColor="text1"/>
            <w:kern w:val="0"/>
            <w:sz w:val="20"/>
            <w:szCs w:val="20"/>
            <w:u w:val="single"/>
            <w14:ligatures w14:val="none"/>
          </w:rPr>
          <w:t>https://doi.org/10.2147/NDT.S39776</w:t>
        </w:r>
      </w:hyperlink>
      <w:r w:rsidR="00C8626F">
        <w:rPr>
          <w:rFonts w:cs="Times New Roman"/>
          <w:color w:val="000000" w:themeColor="text1"/>
          <w:kern w:val="0"/>
          <w:sz w:val="20"/>
          <w:szCs w:val="20"/>
          <w14:ligatures w14:val="none"/>
        </w:rPr>
        <w:t xml:space="preserve"> </w:t>
      </w:r>
    </w:p>
    <w:p w14:paraId="77741C11" w14:textId="408C5D80" w:rsidR="001D189C" w:rsidRPr="001D189C" w:rsidRDefault="001D189C" w:rsidP="001D189C">
      <w:pPr>
        <w:spacing w:before="100" w:beforeAutospacing="1" w:after="100" w:afterAutospacing="1" w:line="240" w:lineRule="auto"/>
        <w:rPr>
          <w:rFonts w:cs="Times New Roman"/>
          <w:color w:val="000000" w:themeColor="text1"/>
          <w:kern w:val="0"/>
          <w:sz w:val="20"/>
          <w:szCs w:val="20"/>
          <w14:ligatures w14:val="none"/>
        </w:rPr>
      </w:pPr>
      <w:r w:rsidRPr="001D189C">
        <w:rPr>
          <w:rFonts w:cs="Times New Roman"/>
          <w:color w:val="000000" w:themeColor="text1"/>
          <w:kern w:val="0"/>
          <w:sz w:val="20"/>
          <w:szCs w:val="20"/>
          <w14:ligatures w14:val="none"/>
        </w:rPr>
        <w:t>Armstrong, L. (2025) ‘Adolescent development’ Mentalhealth.com. Available at: </w:t>
      </w:r>
      <w:hyperlink r:id="rId6" w:tgtFrame="_new" w:history="1">
        <w:r w:rsidRPr="001D189C">
          <w:rPr>
            <w:rFonts w:cs="Times New Roman"/>
            <w:color w:val="000000" w:themeColor="text1"/>
            <w:kern w:val="0"/>
            <w:sz w:val="20"/>
            <w:szCs w:val="20"/>
            <w:u w:val="single"/>
            <w14:ligatures w14:val="none"/>
          </w:rPr>
          <w:t>https://www.mentalhealth.com/library/education-development</w:t>
        </w:r>
      </w:hyperlink>
      <w:r w:rsidRPr="001D189C">
        <w:rPr>
          <w:rFonts w:cs="Times New Roman"/>
          <w:color w:val="000000" w:themeColor="text1"/>
          <w:kern w:val="0"/>
          <w:sz w:val="20"/>
          <w:szCs w:val="20"/>
          <w14:ligatures w14:val="none"/>
        </w:rPr>
        <w:t> (Accessed on: 18 February 2026)</w:t>
      </w:r>
    </w:p>
    <w:p w14:paraId="3C65C2F2" w14:textId="77777777" w:rsidR="001D189C" w:rsidRPr="001D189C" w:rsidRDefault="001D189C" w:rsidP="001D189C">
      <w:pPr>
        <w:spacing w:before="100" w:beforeAutospacing="1" w:after="100" w:afterAutospacing="1" w:line="240" w:lineRule="auto"/>
        <w:rPr>
          <w:rFonts w:cs="Times New Roman"/>
          <w:color w:val="000000" w:themeColor="text1"/>
          <w:kern w:val="0"/>
          <w:sz w:val="20"/>
          <w:szCs w:val="20"/>
          <w14:ligatures w14:val="none"/>
        </w:rPr>
      </w:pPr>
      <w:r w:rsidRPr="001D189C">
        <w:rPr>
          <w:rFonts w:cs="Times New Roman"/>
          <w:color w:val="000000" w:themeColor="text1"/>
          <w:kern w:val="0"/>
          <w:sz w:val="20"/>
          <w:szCs w:val="20"/>
          <w14:ligatures w14:val="none"/>
        </w:rPr>
        <w:t>Cleveland Clinic (2025) ‘Prefrontal cortex’ Available at: </w:t>
      </w:r>
      <w:hyperlink r:id="rId7" w:tgtFrame="_new" w:history="1">
        <w:r w:rsidRPr="001D189C">
          <w:rPr>
            <w:rFonts w:cs="Times New Roman"/>
            <w:color w:val="000000" w:themeColor="text1"/>
            <w:kern w:val="0"/>
            <w:sz w:val="20"/>
            <w:szCs w:val="20"/>
            <w:u w:val="single"/>
            <w14:ligatures w14:val="none"/>
          </w:rPr>
          <w:t>https://my.clevelandclinic.org/health/body/prefrontal-cortex</w:t>
        </w:r>
      </w:hyperlink>
      <w:r w:rsidRPr="001D189C">
        <w:rPr>
          <w:rFonts w:cs="Times New Roman"/>
          <w:color w:val="000000" w:themeColor="text1"/>
          <w:kern w:val="0"/>
          <w:sz w:val="20"/>
          <w:szCs w:val="20"/>
          <w14:ligatures w14:val="none"/>
        </w:rPr>
        <w:t>(accessed on: 18 February 2026)</w:t>
      </w:r>
    </w:p>
    <w:p w14:paraId="26F480AD" w14:textId="77777777" w:rsidR="001D189C" w:rsidRPr="001D189C" w:rsidRDefault="001D189C" w:rsidP="001D189C">
      <w:pPr>
        <w:spacing w:before="100" w:beforeAutospacing="1" w:after="100" w:afterAutospacing="1" w:line="240" w:lineRule="auto"/>
        <w:rPr>
          <w:rFonts w:cs="Times New Roman"/>
          <w:color w:val="000000" w:themeColor="text1"/>
          <w:kern w:val="0"/>
          <w:sz w:val="20"/>
          <w:szCs w:val="20"/>
          <w14:ligatures w14:val="none"/>
        </w:rPr>
      </w:pPr>
      <w:r w:rsidRPr="001D189C">
        <w:rPr>
          <w:rFonts w:cs="Times New Roman"/>
          <w:color w:val="000000" w:themeColor="text1"/>
          <w:kern w:val="0"/>
          <w:sz w:val="20"/>
          <w:szCs w:val="20"/>
          <w14:ligatures w14:val="none"/>
        </w:rPr>
        <w:t>McLeod, S. (2025) ‘</w:t>
      </w:r>
      <w:proofErr w:type="spellStart"/>
      <w:r w:rsidRPr="001D189C">
        <w:rPr>
          <w:rFonts w:cs="Times New Roman"/>
          <w:color w:val="000000" w:themeColor="text1"/>
          <w:kern w:val="0"/>
          <w:sz w:val="20"/>
          <w:szCs w:val="20"/>
          <w14:ligatures w14:val="none"/>
        </w:rPr>
        <w:t>Vygotsky’s</w:t>
      </w:r>
      <w:proofErr w:type="spellEnd"/>
      <w:r w:rsidRPr="001D189C">
        <w:rPr>
          <w:rFonts w:cs="Times New Roman"/>
          <w:color w:val="000000" w:themeColor="text1"/>
          <w:kern w:val="0"/>
          <w:sz w:val="20"/>
          <w:szCs w:val="20"/>
          <w14:ligatures w14:val="none"/>
        </w:rPr>
        <w:t xml:space="preserve"> theory of cognitive development’ simply psychology. Available at: </w:t>
      </w:r>
      <w:hyperlink r:id="rId8" w:tgtFrame="_new" w:history="1">
        <w:r w:rsidRPr="001D189C">
          <w:rPr>
            <w:rFonts w:cs="Times New Roman"/>
            <w:color w:val="000000" w:themeColor="text1"/>
            <w:kern w:val="0"/>
            <w:sz w:val="20"/>
            <w:szCs w:val="20"/>
            <w:u w:val="single"/>
            <w14:ligatures w14:val="none"/>
          </w:rPr>
          <w:t>https://www.simplypsychology.org/vygotsky.html</w:t>
        </w:r>
      </w:hyperlink>
      <w:r w:rsidRPr="001D189C">
        <w:rPr>
          <w:rFonts w:cs="Times New Roman"/>
          <w:color w:val="000000" w:themeColor="text1"/>
          <w:kern w:val="0"/>
          <w:sz w:val="20"/>
          <w:szCs w:val="20"/>
          <w14:ligatures w14:val="none"/>
        </w:rPr>
        <w:t> (accessed on: 18 February 2026)</w:t>
      </w:r>
    </w:p>
    <w:p w14:paraId="0CF9409F" w14:textId="77777777" w:rsidR="001D189C" w:rsidRPr="001D189C" w:rsidRDefault="001D189C" w:rsidP="001D189C">
      <w:pPr>
        <w:spacing w:before="100" w:beforeAutospacing="1" w:after="100" w:afterAutospacing="1" w:line="240" w:lineRule="auto"/>
        <w:rPr>
          <w:rFonts w:cs="Times New Roman"/>
          <w:color w:val="000000" w:themeColor="text1"/>
          <w:kern w:val="0"/>
          <w:sz w:val="20"/>
          <w:szCs w:val="20"/>
          <w14:ligatures w14:val="none"/>
        </w:rPr>
      </w:pPr>
      <w:r w:rsidRPr="001D189C">
        <w:rPr>
          <w:rFonts w:cs="Times New Roman"/>
          <w:color w:val="000000" w:themeColor="text1"/>
          <w:kern w:val="0"/>
          <w:sz w:val="20"/>
          <w:szCs w:val="20"/>
          <w14:ligatures w14:val="none"/>
        </w:rPr>
        <w:t>National youth agency (no date) ‘National youth work curriculum’ available at: </w:t>
      </w:r>
      <w:hyperlink r:id="rId9" w:tgtFrame="_new" w:history="1">
        <w:r w:rsidRPr="001D189C">
          <w:rPr>
            <w:rFonts w:cs="Times New Roman"/>
            <w:color w:val="000000" w:themeColor="text1"/>
            <w:kern w:val="0"/>
            <w:sz w:val="20"/>
            <w:szCs w:val="20"/>
            <w:u w:val="single"/>
            <w14:ligatures w14:val="none"/>
          </w:rPr>
          <w:t>https://nya.org.uk/national-youth-work-curriculum/</w:t>
        </w:r>
      </w:hyperlink>
      <w:r w:rsidRPr="001D189C">
        <w:rPr>
          <w:rFonts w:cs="Times New Roman"/>
          <w:color w:val="000000" w:themeColor="text1"/>
          <w:kern w:val="0"/>
          <w:sz w:val="20"/>
          <w:szCs w:val="20"/>
          <w14:ligatures w14:val="none"/>
        </w:rPr>
        <w:t> (Accessed: 23 February 2026)</w:t>
      </w:r>
    </w:p>
    <w:p w14:paraId="5130CA16" w14:textId="77777777" w:rsidR="001D189C" w:rsidRPr="001D189C" w:rsidRDefault="001D189C" w:rsidP="001D189C">
      <w:pPr>
        <w:spacing w:before="100" w:beforeAutospacing="1" w:after="100" w:afterAutospacing="1" w:line="240" w:lineRule="auto"/>
        <w:rPr>
          <w:rFonts w:cs="Times New Roman"/>
          <w:color w:val="000000" w:themeColor="text1"/>
          <w:kern w:val="0"/>
          <w:sz w:val="20"/>
          <w:szCs w:val="20"/>
          <w14:ligatures w14:val="none"/>
        </w:rPr>
      </w:pPr>
      <w:r w:rsidRPr="001D189C">
        <w:rPr>
          <w:rFonts w:cs="Times New Roman"/>
          <w:color w:val="000000" w:themeColor="text1"/>
          <w:kern w:val="0"/>
          <w:sz w:val="20"/>
          <w:szCs w:val="20"/>
          <w14:ligatures w14:val="none"/>
        </w:rPr>
        <w:t>OASH (no date) ‘Adolescent development explained’. Available at: </w:t>
      </w:r>
      <w:hyperlink r:id="rId10" w:tgtFrame="_new" w:history="1">
        <w:r w:rsidRPr="001D189C">
          <w:rPr>
            <w:rFonts w:cs="Times New Roman"/>
            <w:color w:val="000000" w:themeColor="text1"/>
            <w:kern w:val="0"/>
            <w:sz w:val="20"/>
            <w:szCs w:val="20"/>
            <w:u w:val="single"/>
            <w14:ligatures w14:val="none"/>
          </w:rPr>
          <w:t>https://opa.hhs.gov/adolescent-health/adolescent-development-explained</w:t>
        </w:r>
      </w:hyperlink>
      <w:r w:rsidRPr="001D189C">
        <w:rPr>
          <w:rFonts w:cs="Times New Roman"/>
          <w:color w:val="000000" w:themeColor="text1"/>
          <w:kern w:val="0"/>
          <w:sz w:val="20"/>
          <w:szCs w:val="20"/>
          <w14:ligatures w14:val="none"/>
        </w:rPr>
        <w:t> (Accessed on: 20 February 2026)</w:t>
      </w:r>
    </w:p>
    <w:p w14:paraId="57C57BEB" w14:textId="77777777" w:rsidR="001D189C" w:rsidRPr="001D189C" w:rsidRDefault="001D189C" w:rsidP="001D189C">
      <w:pPr>
        <w:spacing w:before="100" w:beforeAutospacing="1" w:after="100" w:afterAutospacing="1" w:line="240" w:lineRule="auto"/>
        <w:rPr>
          <w:rFonts w:cs="Times New Roman"/>
          <w:color w:val="000000" w:themeColor="text1"/>
          <w:kern w:val="0"/>
          <w:sz w:val="20"/>
          <w:szCs w:val="20"/>
          <w14:ligatures w14:val="none"/>
        </w:rPr>
      </w:pPr>
      <w:r w:rsidRPr="001D189C">
        <w:rPr>
          <w:rFonts w:cs="Times New Roman"/>
          <w:color w:val="000000" w:themeColor="text1"/>
          <w:kern w:val="0"/>
          <w:sz w:val="20"/>
          <w:szCs w:val="20"/>
          <w14:ligatures w14:val="none"/>
        </w:rPr>
        <w:t>Plymouth safeguarding children partnership (2026) ‘adolescent development and attachment' Available at: </w:t>
      </w:r>
      <w:hyperlink r:id="rId11" w:tgtFrame="_new" w:history="1">
        <w:r w:rsidRPr="001D189C">
          <w:rPr>
            <w:rFonts w:cs="Times New Roman"/>
            <w:color w:val="000000" w:themeColor="text1"/>
            <w:kern w:val="0"/>
            <w:sz w:val="20"/>
            <w:szCs w:val="20"/>
            <w:u w:val="single"/>
            <w14:ligatures w14:val="none"/>
          </w:rPr>
          <w:t>https://plymouthscb.co.uk/adolescent-development-and-attachment/</w:t>
        </w:r>
      </w:hyperlink>
      <w:r w:rsidRPr="001D189C">
        <w:rPr>
          <w:rFonts w:cs="Times New Roman"/>
          <w:color w:val="000000" w:themeColor="text1"/>
          <w:kern w:val="0"/>
          <w:sz w:val="20"/>
          <w:szCs w:val="20"/>
          <w14:ligatures w14:val="none"/>
        </w:rPr>
        <w:t> (accessed on: 18 February 2026)</w:t>
      </w:r>
    </w:p>
    <w:p w14:paraId="4E2FBC9D" w14:textId="77777777" w:rsidR="001D189C" w:rsidRPr="001D189C" w:rsidRDefault="001D189C" w:rsidP="001D189C">
      <w:pPr>
        <w:spacing w:before="100" w:beforeAutospacing="1" w:after="100" w:afterAutospacing="1" w:line="240" w:lineRule="auto"/>
        <w:rPr>
          <w:rFonts w:cs="Times New Roman"/>
          <w:color w:val="000000" w:themeColor="text1"/>
          <w:kern w:val="0"/>
          <w:sz w:val="20"/>
          <w:szCs w:val="20"/>
          <w14:ligatures w14:val="none"/>
        </w:rPr>
      </w:pPr>
      <w:r w:rsidRPr="001D189C">
        <w:rPr>
          <w:rFonts w:cs="Times New Roman"/>
          <w:color w:val="000000" w:themeColor="text1"/>
          <w:kern w:val="0"/>
          <w:sz w:val="20"/>
          <w:szCs w:val="20"/>
          <w14:ligatures w14:val="none"/>
        </w:rPr>
        <w:t>Stopbullying.gov (2025) ‘Long term effects of bullying’ available at: </w:t>
      </w:r>
      <w:hyperlink r:id="rId12" w:tgtFrame="_new" w:history="1">
        <w:r w:rsidRPr="001D189C">
          <w:rPr>
            <w:rFonts w:cs="Times New Roman"/>
            <w:color w:val="000000" w:themeColor="text1"/>
            <w:kern w:val="0"/>
            <w:sz w:val="20"/>
            <w:szCs w:val="20"/>
            <w:u w:val="single"/>
            <w14:ligatures w14:val="none"/>
          </w:rPr>
          <w:t>https://www.stopbullying.gov/bullying/effects</w:t>
        </w:r>
      </w:hyperlink>
      <w:r w:rsidRPr="001D189C">
        <w:rPr>
          <w:rFonts w:cs="Times New Roman"/>
          <w:color w:val="000000" w:themeColor="text1"/>
          <w:kern w:val="0"/>
          <w:sz w:val="20"/>
          <w:szCs w:val="20"/>
          <w14:ligatures w14:val="none"/>
        </w:rPr>
        <w:t>(Accessed:23 February 2026)</w:t>
      </w:r>
    </w:p>
    <w:p w14:paraId="1863AF80" w14:textId="77777777" w:rsidR="001D189C" w:rsidRPr="001D189C" w:rsidRDefault="001D189C" w:rsidP="001D189C">
      <w:pPr>
        <w:spacing w:before="100" w:beforeAutospacing="1" w:after="100" w:afterAutospacing="1" w:line="240" w:lineRule="auto"/>
        <w:rPr>
          <w:rFonts w:cs="Times New Roman"/>
          <w:color w:val="000000" w:themeColor="text1"/>
          <w:kern w:val="0"/>
          <w:sz w:val="20"/>
          <w:szCs w:val="20"/>
          <w14:ligatures w14:val="none"/>
        </w:rPr>
      </w:pPr>
      <w:r w:rsidRPr="001D189C">
        <w:rPr>
          <w:rFonts w:cs="Times New Roman"/>
          <w:color w:val="000000" w:themeColor="text1"/>
          <w:kern w:val="0"/>
          <w:sz w:val="20"/>
          <w:szCs w:val="20"/>
          <w14:ligatures w14:val="none"/>
        </w:rPr>
        <w:t>World Health Organisation (2025) ‘Adolescent health’. Available at: </w:t>
      </w:r>
      <w:hyperlink r:id="rId13" w:anchor="tab=tab_1" w:tgtFrame="_new" w:history="1">
        <w:r w:rsidRPr="001D189C">
          <w:rPr>
            <w:rFonts w:cs="Times New Roman"/>
            <w:color w:val="000000" w:themeColor="text1"/>
            <w:kern w:val="0"/>
            <w:sz w:val="20"/>
            <w:szCs w:val="20"/>
            <w:u w:val="single"/>
            <w14:ligatures w14:val="none"/>
          </w:rPr>
          <w:t>https://www.who.int/health-topics/adolescent-health#tab=tab_1</w:t>
        </w:r>
      </w:hyperlink>
      <w:r w:rsidRPr="001D189C">
        <w:rPr>
          <w:rFonts w:cs="Times New Roman"/>
          <w:color w:val="000000" w:themeColor="text1"/>
          <w:kern w:val="0"/>
          <w:sz w:val="20"/>
          <w:szCs w:val="20"/>
          <w14:ligatures w14:val="none"/>
        </w:rPr>
        <w:t> (Accessed on: 18 February 2026)</w:t>
      </w:r>
    </w:p>
    <w:p w14:paraId="43507A85" w14:textId="77777777" w:rsidR="001D189C" w:rsidRPr="001D189C" w:rsidRDefault="001D189C" w:rsidP="001D189C">
      <w:pPr>
        <w:spacing w:before="100" w:beforeAutospacing="1" w:after="100" w:afterAutospacing="1" w:line="240" w:lineRule="auto"/>
        <w:rPr>
          <w:rFonts w:ascii="Times New Roman" w:hAnsi="Times New Roman" w:cs="Times New Roman"/>
          <w:color w:val="FFFFFF"/>
          <w:kern w:val="0"/>
          <w14:ligatures w14:val="none"/>
        </w:rPr>
      </w:pPr>
      <w:r w:rsidRPr="001D189C">
        <w:rPr>
          <w:rFonts w:cs="Times New Roman"/>
          <w:color w:val="000000" w:themeColor="text1"/>
          <w:kern w:val="0"/>
          <w:sz w:val="20"/>
          <w:szCs w:val="20"/>
          <w14:ligatures w14:val="none"/>
        </w:rPr>
        <w:t>Youth Work in Wales Review Group (2022) Youth Work in Wales: Principles and Purposes. Cardiff: Youth Work in Wales Review Group. Available at: </w:t>
      </w:r>
      <w:hyperlink r:id="rId14" w:tgtFrame="_new" w:history="1">
        <w:r w:rsidRPr="001D189C">
          <w:rPr>
            <w:rFonts w:cs="Times New Roman"/>
            <w:color w:val="000000" w:themeColor="text1"/>
            <w:kern w:val="0"/>
            <w:sz w:val="20"/>
            <w:szCs w:val="20"/>
            <w:u w:val="single"/>
            <w14:ligatures w14:val="none"/>
          </w:rPr>
          <w:t>https://www.cwvys.org.uk/wp-content/uploads/2022/10/YOUTH-WORK-IN-WALES-2022-ENGLISH.pdf</w:t>
        </w:r>
      </w:hyperlink>
      <w:r w:rsidRPr="001D189C">
        <w:rPr>
          <w:rFonts w:ascii="Times New Roman" w:hAnsi="Times New Roman" w:cs="Times New Roman"/>
          <w:color w:val="FFFFFF"/>
          <w:kern w:val="0"/>
          <w14:ligatures w14:val="none"/>
        </w:rPr>
        <w:t> (Accessed: 18 February 2026).</w:t>
      </w:r>
    </w:p>
    <w:p w14:paraId="429DB964" w14:textId="052A0540" w:rsidR="00FC1B4E" w:rsidRPr="00133BE0" w:rsidRDefault="00FC1B4E"/>
    <w:sectPr w:rsidR="00FC1B4E" w:rsidRPr="00133B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eNRuPARm" int2:invalidationBookmarkName="" int2:hashCode="VRyAVr/dM977IK" int2:id="6Ya4e4ab">
      <int2:state int2:value="Rejected" int2:type="style"/>
    </int2:bookmark>
    <int2:bookmark int2:bookmarkName="_Int_9Iu2EmUD" int2:invalidationBookmarkName="" int2:hashCode="3CyC8GXor4Qo3l" int2:id="fvPyIFFC">
      <int2:state int2:value="Rejected" int2:type="style"/>
    </int2:bookmark>
    <int2:bookmark int2:bookmarkName="_Int_tCCRItMN" int2:invalidationBookmarkName="" int2:hashCode="u7n1IPJwv9oCs0" int2:id="940OMMj4">
      <int2:state int2:value="Rejected" int2:type="style"/>
    </int2:bookmark>
    <int2:bookmark int2:bookmarkName="_Int_gTk5z8Cg" int2:invalidationBookmarkName="" int2:hashCode="fNn476fdWrzHQ9" int2:id="MumlYAhc">
      <int2:state int2:value="Rejected" int2:type="style"/>
    </int2:bookmark>
    <int2:bookmark int2:bookmarkName="_Int_B4wVa6gU" int2:invalidationBookmarkName="" int2:hashCode="QyMHtVzhlTy+I2" int2:id="nLpcvxoX">
      <int2:state int2:value="Rejected" int2:type="style"/>
    </int2:bookmark>
    <int2:bookmark int2:bookmarkName="_Int_r2kTk2k2" int2:invalidationBookmarkName="" int2:hashCode="rgmHTFG9LQgInN" int2:id="lVAS7XT2">
      <int2:state int2:value="Rejected" int2:type="style"/>
    </int2:bookmark>
    <int2:bookmark int2:bookmarkName="_Int_QMXBqLaX" int2:invalidationBookmarkName="" int2:hashCode="dbam9brA68QmED" int2:id="odWwB9tf">
      <int2:state int2:value="Rejected" int2:type="style"/>
    </int2:bookmark>
    <int2:bookmark int2:bookmarkName="_Int_rN1SDsxl" int2:invalidationBookmarkName="" int2:hashCode="6xX40Nbu8SUY24" int2:id="KmxfZSiU">
      <int2:state int2:value="Rejected" int2:type="style"/>
    </int2:bookmark>
    <int2:bookmark int2:bookmarkName="_Int_hSxzpH8h" int2:invalidationBookmarkName="" int2:hashCode="xe0z9ibwrlzaSv" int2:id="xBr6hLEl">
      <int2:state int2:value="Rejected" int2:type="gram"/>
    </int2:bookmark>
    <int2:bookmark int2:bookmarkName="_Int_9g7X8ZLT" int2:invalidationBookmarkName="" int2:hashCode="88myBX03XWz+qx" int2:id="cWJwYUxW">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EF3633"/>
    <w:multiLevelType w:val="hybridMultilevel"/>
    <w:tmpl w:val="EEE2073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394E14AC"/>
    <w:multiLevelType w:val="hybridMultilevel"/>
    <w:tmpl w:val="84F63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4769065">
    <w:abstractNumId w:val="0"/>
  </w:num>
  <w:num w:numId="2" w16cid:durableId="4568006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48C"/>
    <w:rsid w:val="00003D47"/>
    <w:rsid w:val="00032093"/>
    <w:rsid w:val="00047202"/>
    <w:rsid w:val="000541FC"/>
    <w:rsid w:val="000703D4"/>
    <w:rsid w:val="000705A4"/>
    <w:rsid w:val="000872C6"/>
    <w:rsid w:val="000D2D27"/>
    <w:rsid w:val="000D6D88"/>
    <w:rsid w:val="000E1E90"/>
    <w:rsid w:val="000E2712"/>
    <w:rsid w:val="000E36B3"/>
    <w:rsid w:val="00102AFE"/>
    <w:rsid w:val="00112FDD"/>
    <w:rsid w:val="00132ABE"/>
    <w:rsid w:val="00133BE0"/>
    <w:rsid w:val="00134C51"/>
    <w:rsid w:val="00137A45"/>
    <w:rsid w:val="00166C8D"/>
    <w:rsid w:val="0016702A"/>
    <w:rsid w:val="001673CA"/>
    <w:rsid w:val="00181BCB"/>
    <w:rsid w:val="001835F1"/>
    <w:rsid w:val="001A28EF"/>
    <w:rsid w:val="001B205A"/>
    <w:rsid w:val="001C1163"/>
    <w:rsid w:val="001C6C7A"/>
    <w:rsid w:val="001D189C"/>
    <w:rsid w:val="001D2937"/>
    <w:rsid w:val="001E2C0F"/>
    <w:rsid w:val="001E37B8"/>
    <w:rsid w:val="001E4308"/>
    <w:rsid w:val="001E4F2D"/>
    <w:rsid w:val="001F117D"/>
    <w:rsid w:val="00202568"/>
    <w:rsid w:val="0020362F"/>
    <w:rsid w:val="00215820"/>
    <w:rsid w:val="00220A49"/>
    <w:rsid w:val="002335D2"/>
    <w:rsid w:val="00273610"/>
    <w:rsid w:val="00277030"/>
    <w:rsid w:val="00292060"/>
    <w:rsid w:val="002A0D29"/>
    <w:rsid w:val="002A4AC0"/>
    <w:rsid w:val="002C1A4F"/>
    <w:rsid w:val="002C4A56"/>
    <w:rsid w:val="002C4D68"/>
    <w:rsid w:val="002D1EE6"/>
    <w:rsid w:val="002D24A2"/>
    <w:rsid w:val="002D3B78"/>
    <w:rsid w:val="002E0056"/>
    <w:rsid w:val="002E1464"/>
    <w:rsid w:val="002E2C4F"/>
    <w:rsid w:val="002E55DA"/>
    <w:rsid w:val="002F0BBF"/>
    <w:rsid w:val="00302A1F"/>
    <w:rsid w:val="00315B52"/>
    <w:rsid w:val="00320049"/>
    <w:rsid w:val="00325911"/>
    <w:rsid w:val="00334F14"/>
    <w:rsid w:val="00343F15"/>
    <w:rsid w:val="00351F51"/>
    <w:rsid w:val="00360247"/>
    <w:rsid w:val="003724E1"/>
    <w:rsid w:val="003778A3"/>
    <w:rsid w:val="003875D6"/>
    <w:rsid w:val="003911DA"/>
    <w:rsid w:val="003A52C6"/>
    <w:rsid w:val="003D06E3"/>
    <w:rsid w:val="003F2458"/>
    <w:rsid w:val="00401137"/>
    <w:rsid w:val="0043445C"/>
    <w:rsid w:val="0043571F"/>
    <w:rsid w:val="00443809"/>
    <w:rsid w:val="00452C1D"/>
    <w:rsid w:val="00457621"/>
    <w:rsid w:val="00465234"/>
    <w:rsid w:val="00465B86"/>
    <w:rsid w:val="004768FA"/>
    <w:rsid w:val="0049476A"/>
    <w:rsid w:val="004A6444"/>
    <w:rsid w:val="004A6CBA"/>
    <w:rsid w:val="004C0B9C"/>
    <w:rsid w:val="004E23F3"/>
    <w:rsid w:val="004F14F5"/>
    <w:rsid w:val="004F71CB"/>
    <w:rsid w:val="0050112C"/>
    <w:rsid w:val="005126E6"/>
    <w:rsid w:val="005348AE"/>
    <w:rsid w:val="00540AA8"/>
    <w:rsid w:val="00542962"/>
    <w:rsid w:val="00544B72"/>
    <w:rsid w:val="00576958"/>
    <w:rsid w:val="00586997"/>
    <w:rsid w:val="005A3194"/>
    <w:rsid w:val="005A4B4C"/>
    <w:rsid w:val="005A6611"/>
    <w:rsid w:val="005C11F6"/>
    <w:rsid w:val="005C23FD"/>
    <w:rsid w:val="005C3EB9"/>
    <w:rsid w:val="005D7A62"/>
    <w:rsid w:val="005E7522"/>
    <w:rsid w:val="00603E7C"/>
    <w:rsid w:val="00607B3F"/>
    <w:rsid w:val="00615724"/>
    <w:rsid w:val="00634927"/>
    <w:rsid w:val="006433ED"/>
    <w:rsid w:val="00651605"/>
    <w:rsid w:val="0065420B"/>
    <w:rsid w:val="00674C9A"/>
    <w:rsid w:val="00675C33"/>
    <w:rsid w:val="00682304"/>
    <w:rsid w:val="0069274A"/>
    <w:rsid w:val="006928F7"/>
    <w:rsid w:val="00693197"/>
    <w:rsid w:val="0069342A"/>
    <w:rsid w:val="0069660D"/>
    <w:rsid w:val="006B33FE"/>
    <w:rsid w:val="006B50DB"/>
    <w:rsid w:val="006B5ED1"/>
    <w:rsid w:val="006D1F52"/>
    <w:rsid w:val="006E0691"/>
    <w:rsid w:val="006E3FA8"/>
    <w:rsid w:val="006F0E6F"/>
    <w:rsid w:val="006F36B3"/>
    <w:rsid w:val="0076141E"/>
    <w:rsid w:val="007747F3"/>
    <w:rsid w:val="00781AAC"/>
    <w:rsid w:val="007A5FCF"/>
    <w:rsid w:val="007A6D36"/>
    <w:rsid w:val="007B103B"/>
    <w:rsid w:val="007B3EDB"/>
    <w:rsid w:val="007D30D4"/>
    <w:rsid w:val="007E2CC8"/>
    <w:rsid w:val="00801CB4"/>
    <w:rsid w:val="008123A5"/>
    <w:rsid w:val="00854D1F"/>
    <w:rsid w:val="00867A4A"/>
    <w:rsid w:val="00880643"/>
    <w:rsid w:val="0088461F"/>
    <w:rsid w:val="00896ED3"/>
    <w:rsid w:val="008A0717"/>
    <w:rsid w:val="008B3DB4"/>
    <w:rsid w:val="008B5C28"/>
    <w:rsid w:val="008C1E55"/>
    <w:rsid w:val="008F4D6A"/>
    <w:rsid w:val="0092149A"/>
    <w:rsid w:val="00921624"/>
    <w:rsid w:val="00930509"/>
    <w:rsid w:val="009438E9"/>
    <w:rsid w:val="00956303"/>
    <w:rsid w:val="00961AEB"/>
    <w:rsid w:val="00972DD7"/>
    <w:rsid w:val="009735D0"/>
    <w:rsid w:val="0097782B"/>
    <w:rsid w:val="009850AC"/>
    <w:rsid w:val="00990182"/>
    <w:rsid w:val="009B4C6A"/>
    <w:rsid w:val="009C6A9B"/>
    <w:rsid w:val="00A049D5"/>
    <w:rsid w:val="00A11398"/>
    <w:rsid w:val="00A13790"/>
    <w:rsid w:val="00A204A1"/>
    <w:rsid w:val="00A23368"/>
    <w:rsid w:val="00A5048C"/>
    <w:rsid w:val="00A57EE3"/>
    <w:rsid w:val="00A60007"/>
    <w:rsid w:val="00A61546"/>
    <w:rsid w:val="00A731E3"/>
    <w:rsid w:val="00A770F2"/>
    <w:rsid w:val="00A8506D"/>
    <w:rsid w:val="00A9222B"/>
    <w:rsid w:val="00A932F0"/>
    <w:rsid w:val="00A94796"/>
    <w:rsid w:val="00AA1539"/>
    <w:rsid w:val="00AA3163"/>
    <w:rsid w:val="00AC590C"/>
    <w:rsid w:val="00AD1035"/>
    <w:rsid w:val="00AD1F81"/>
    <w:rsid w:val="00AD6DB4"/>
    <w:rsid w:val="00AF3BAF"/>
    <w:rsid w:val="00B14338"/>
    <w:rsid w:val="00B35A9D"/>
    <w:rsid w:val="00B57B98"/>
    <w:rsid w:val="00B72CEB"/>
    <w:rsid w:val="00B747DF"/>
    <w:rsid w:val="00B75C3C"/>
    <w:rsid w:val="00B81DE2"/>
    <w:rsid w:val="00B850A5"/>
    <w:rsid w:val="00B86916"/>
    <w:rsid w:val="00BC5E38"/>
    <w:rsid w:val="00BD183A"/>
    <w:rsid w:val="00BE088A"/>
    <w:rsid w:val="00C01553"/>
    <w:rsid w:val="00C07D17"/>
    <w:rsid w:val="00C27349"/>
    <w:rsid w:val="00C50BF8"/>
    <w:rsid w:val="00C8626F"/>
    <w:rsid w:val="00C926FE"/>
    <w:rsid w:val="00C972F9"/>
    <w:rsid w:val="00CA0F63"/>
    <w:rsid w:val="00CA6CE9"/>
    <w:rsid w:val="00CB3E77"/>
    <w:rsid w:val="00CC7EC8"/>
    <w:rsid w:val="00CD3683"/>
    <w:rsid w:val="00CD495C"/>
    <w:rsid w:val="00CE4228"/>
    <w:rsid w:val="00CE793B"/>
    <w:rsid w:val="00D06A93"/>
    <w:rsid w:val="00D1210A"/>
    <w:rsid w:val="00D12C74"/>
    <w:rsid w:val="00D13394"/>
    <w:rsid w:val="00D2018F"/>
    <w:rsid w:val="00D37BAB"/>
    <w:rsid w:val="00D66C05"/>
    <w:rsid w:val="00D8070E"/>
    <w:rsid w:val="00D90C26"/>
    <w:rsid w:val="00D920C6"/>
    <w:rsid w:val="00DA3475"/>
    <w:rsid w:val="00DC2CCE"/>
    <w:rsid w:val="00DD773F"/>
    <w:rsid w:val="00DD7C84"/>
    <w:rsid w:val="00DE1A84"/>
    <w:rsid w:val="00DE276C"/>
    <w:rsid w:val="00DE702D"/>
    <w:rsid w:val="00DF6808"/>
    <w:rsid w:val="00E12037"/>
    <w:rsid w:val="00E152FD"/>
    <w:rsid w:val="00E3239B"/>
    <w:rsid w:val="00E34274"/>
    <w:rsid w:val="00E5072A"/>
    <w:rsid w:val="00E67FB2"/>
    <w:rsid w:val="00E87A38"/>
    <w:rsid w:val="00E90011"/>
    <w:rsid w:val="00E929B3"/>
    <w:rsid w:val="00EA03A8"/>
    <w:rsid w:val="00EA11A7"/>
    <w:rsid w:val="00EB6C88"/>
    <w:rsid w:val="00EC0721"/>
    <w:rsid w:val="00EC0DFB"/>
    <w:rsid w:val="00EC1217"/>
    <w:rsid w:val="00EC2859"/>
    <w:rsid w:val="00ED3D1B"/>
    <w:rsid w:val="00ED7F4C"/>
    <w:rsid w:val="00F06DB4"/>
    <w:rsid w:val="00F114E9"/>
    <w:rsid w:val="00F26EE8"/>
    <w:rsid w:val="00F5542A"/>
    <w:rsid w:val="00F61D8E"/>
    <w:rsid w:val="00F640E6"/>
    <w:rsid w:val="00F76CCA"/>
    <w:rsid w:val="00F770C9"/>
    <w:rsid w:val="00F80B68"/>
    <w:rsid w:val="00F84804"/>
    <w:rsid w:val="00F84B7E"/>
    <w:rsid w:val="00F86AA3"/>
    <w:rsid w:val="00FA2792"/>
    <w:rsid w:val="00FC1B4E"/>
    <w:rsid w:val="00FC259B"/>
    <w:rsid w:val="00FC7475"/>
    <w:rsid w:val="00FE571A"/>
    <w:rsid w:val="00FE62B7"/>
    <w:rsid w:val="00FF0AC2"/>
    <w:rsid w:val="00FF0D65"/>
    <w:rsid w:val="00FF2765"/>
    <w:rsid w:val="00FF43F9"/>
    <w:rsid w:val="00FF4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1735A9"/>
  <w15:chartTrackingRefBased/>
  <w15:docId w15:val="{4E5186DB-F6CC-8E4F-97F1-2564C6C65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04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04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04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04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04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04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04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04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04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4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04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04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04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04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04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04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04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048C"/>
    <w:rPr>
      <w:rFonts w:eastAsiaTheme="majorEastAsia" w:cstheme="majorBidi"/>
      <w:color w:val="272727" w:themeColor="text1" w:themeTint="D8"/>
    </w:rPr>
  </w:style>
  <w:style w:type="paragraph" w:styleId="Title">
    <w:name w:val="Title"/>
    <w:basedOn w:val="Normal"/>
    <w:next w:val="Normal"/>
    <w:link w:val="TitleChar"/>
    <w:uiPriority w:val="10"/>
    <w:qFormat/>
    <w:rsid w:val="00A504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04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04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04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048C"/>
    <w:pPr>
      <w:spacing w:before="160"/>
      <w:jc w:val="center"/>
    </w:pPr>
    <w:rPr>
      <w:i/>
      <w:iCs/>
      <w:color w:val="404040" w:themeColor="text1" w:themeTint="BF"/>
    </w:rPr>
  </w:style>
  <w:style w:type="character" w:customStyle="1" w:styleId="QuoteChar">
    <w:name w:val="Quote Char"/>
    <w:basedOn w:val="DefaultParagraphFont"/>
    <w:link w:val="Quote"/>
    <w:uiPriority w:val="29"/>
    <w:rsid w:val="00A5048C"/>
    <w:rPr>
      <w:i/>
      <w:iCs/>
      <w:color w:val="404040" w:themeColor="text1" w:themeTint="BF"/>
    </w:rPr>
  </w:style>
  <w:style w:type="paragraph" w:styleId="ListParagraph">
    <w:name w:val="List Paragraph"/>
    <w:basedOn w:val="Normal"/>
    <w:uiPriority w:val="34"/>
    <w:qFormat/>
    <w:rsid w:val="00A5048C"/>
    <w:pPr>
      <w:ind w:left="720"/>
      <w:contextualSpacing/>
    </w:pPr>
  </w:style>
  <w:style w:type="character" w:styleId="IntenseEmphasis">
    <w:name w:val="Intense Emphasis"/>
    <w:basedOn w:val="DefaultParagraphFont"/>
    <w:uiPriority w:val="21"/>
    <w:qFormat/>
    <w:rsid w:val="00A5048C"/>
    <w:rPr>
      <w:i/>
      <w:iCs/>
      <w:color w:val="0F4761" w:themeColor="accent1" w:themeShade="BF"/>
    </w:rPr>
  </w:style>
  <w:style w:type="paragraph" w:styleId="IntenseQuote">
    <w:name w:val="Intense Quote"/>
    <w:basedOn w:val="Normal"/>
    <w:next w:val="Normal"/>
    <w:link w:val="IntenseQuoteChar"/>
    <w:uiPriority w:val="30"/>
    <w:qFormat/>
    <w:rsid w:val="00A504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048C"/>
    <w:rPr>
      <w:i/>
      <w:iCs/>
      <w:color w:val="0F4761" w:themeColor="accent1" w:themeShade="BF"/>
    </w:rPr>
  </w:style>
  <w:style w:type="character" w:styleId="IntenseReference">
    <w:name w:val="Intense Reference"/>
    <w:basedOn w:val="DefaultParagraphFont"/>
    <w:uiPriority w:val="32"/>
    <w:qFormat/>
    <w:rsid w:val="00A5048C"/>
    <w:rPr>
      <w:b/>
      <w:bCs/>
      <w:smallCaps/>
      <w:color w:val="0F4761" w:themeColor="accent1" w:themeShade="BF"/>
      <w:spacing w:val="5"/>
    </w:rPr>
  </w:style>
  <w:style w:type="character" w:styleId="Hyperlink">
    <w:name w:val="Hyperlink"/>
    <w:basedOn w:val="DefaultParagraphFont"/>
    <w:uiPriority w:val="99"/>
    <w:unhideWhenUsed/>
    <w:rsid w:val="00544B72"/>
    <w:rPr>
      <w:color w:val="467886" w:themeColor="hyperlink"/>
      <w:u w:val="single"/>
    </w:rPr>
  </w:style>
  <w:style w:type="character" w:styleId="UnresolvedMention">
    <w:name w:val="Unresolved Mention"/>
    <w:basedOn w:val="DefaultParagraphFont"/>
    <w:uiPriority w:val="99"/>
    <w:semiHidden/>
    <w:unhideWhenUsed/>
    <w:rsid w:val="00544B72"/>
    <w:rPr>
      <w:color w:val="605E5C"/>
      <w:shd w:val="clear" w:color="auto" w:fill="E1DFDD"/>
    </w:rPr>
  </w:style>
  <w:style w:type="paragraph" w:styleId="NormalWeb">
    <w:name w:val="Normal (Web)"/>
    <w:basedOn w:val="Normal"/>
    <w:uiPriority w:val="99"/>
    <w:unhideWhenUsed/>
    <w:rsid w:val="00A94796"/>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1D18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vygotsky.html" TargetMode="External"/><Relationship Id="rId13" Type="http://schemas.openxmlformats.org/officeDocument/2006/relationships/hyperlink" Target="https://www.who.int/health-topics/adolescent-health" TargetMode="External"/><Relationship Id="rId3" Type="http://schemas.openxmlformats.org/officeDocument/2006/relationships/settings" Target="settings.xml"/><Relationship Id="rId7" Type="http://schemas.openxmlformats.org/officeDocument/2006/relationships/hyperlink" Target="https://my.clevelandclinic.org/health/body/prefrontal-cortex" TargetMode="External"/><Relationship Id="rId12" Type="http://schemas.openxmlformats.org/officeDocument/2006/relationships/hyperlink" Target="https://www.stopbullying.gov/bullying/effects" TargetMode="External"/><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mentalhealth.com/library/education-development" TargetMode="External"/><Relationship Id="rId11" Type="http://schemas.openxmlformats.org/officeDocument/2006/relationships/hyperlink" Target="https://plymouthscb.co.uk/adolescent-development-and-attachment/" TargetMode="External"/><Relationship Id="rId5" Type="http://schemas.openxmlformats.org/officeDocument/2006/relationships/hyperlink" Target="https://doi.org/10.2147/NDT.S39776" TargetMode="External"/><Relationship Id="rId15" Type="http://schemas.openxmlformats.org/officeDocument/2006/relationships/fontTable" Target="fontTable.xml"/><Relationship Id="rId10" Type="http://schemas.openxmlformats.org/officeDocument/2006/relationships/hyperlink" Target="https://opa.hhs.gov/adolescent-health/adolescent-development-explained" TargetMode="External"/><Relationship Id="rId4" Type="http://schemas.openxmlformats.org/officeDocument/2006/relationships/webSettings" Target="webSettings.xml"/><Relationship Id="rId9" Type="http://schemas.openxmlformats.org/officeDocument/2006/relationships/hyperlink" Target="https://nya.org.uk/national-youth-work-curriculum/" TargetMode="External"/><Relationship Id="rId14" Type="http://schemas.openxmlformats.org/officeDocument/2006/relationships/hyperlink" Target="https://www.cwvys.org.uk/wp-content/uploads/2022/10/YOUTH-WORK-IN-WALES-2022-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1112</TotalTime>
  <Pages>5</Pages>
  <Words>2146</Words>
  <Characters>12237</Characters>
  <Application>Microsoft Office Word</Application>
  <DocSecurity>0</DocSecurity>
  <Lines>101</Lines>
  <Paragraphs>28</Paragraphs>
  <ScaleCrop>false</ScaleCrop>
  <Company/>
  <LinksUpToDate>false</LinksUpToDate>
  <CharactersWithSpaces>14355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Thomas (2502324)</dc:creator>
  <cp:keywords/>
  <dc:description/>
  <cp:lastModifiedBy>Jessica Thomas (2502324)</cp:lastModifiedBy>
  <cp:revision>265</cp:revision>
  <dcterms:created xsi:type="dcterms:W3CDTF">2026-03-02T11:05:00Z</dcterms:created>
  <dcterms:modified xsi:type="dcterms:W3CDTF">2026-03-05T11:46:00Z</dcterms:modified>
</cp:coreProperties>
</file>