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0FD94" w14:textId="77777777" w:rsidR="00C16DA9" w:rsidRPr="0015377B" w:rsidRDefault="00B434BD" w:rsidP="0015377B">
      <w:pPr>
        <w:spacing w:line="360" w:lineRule="auto"/>
        <w:jc w:val="right"/>
        <w:rPr>
          <w:rFonts w:eastAsia="Times New Roman"/>
        </w:rPr>
      </w:pPr>
      <w:r w:rsidRPr="0015377B">
        <w:rPr>
          <w:rFonts w:eastAsia="Times New Roman"/>
          <w:noProof/>
          <w:lang w:val="en-IN"/>
        </w:rPr>
        <w:drawing>
          <wp:inline distT="114300" distB="114300" distL="114300" distR="114300" wp14:anchorId="1626EC2E" wp14:editId="6E3F69FD">
            <wp:extent cx="1724025" cy="723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24025" cy="723900"/>
                    </a:xfrm>
                    <a:prstGeom prst="rect">
                      <a:avLst/>
                    </a:prstGeom>
                    <a:ln/>
                  </pic:spPr>
                </pic:pic>
              </a:graphicData>
            </a:graphic>
          </wp:inline>
        </w:drawing>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7320"/>
      </w:tblGrid>
      <w:tr w:rsidR="00C16DA9" w:rsidRPr="0015377B" w14:paraId="36A90E3A" w14:textId="77777777">
        <w:tc>
          <w:tcPr>
            <w:tcW w:w="2040" w:type="dxa"/>
            <w:tcMar>
              <w:top w:w="100" w:type="dxa"/>
              <w:left w:w="100" w:type="dxa"/>
              <w:bottom w:w="100" w:type="dxa"/>
              <w:right w:w="100" w:type="dxa"/>
            </w:tcMar>
          </w:tcPr>
          <w:p w14:paraId="388D0775"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Student Name</w:t>
            </w:r>
          </w:p>
        </w:tc>
        <w:tc>
          <w:tcPr>
            <w:tcW w:w="7320" w:type="dxa"/>
            <w:tcMar>
              <w:top w:w="100" w:type="dxa"/>
              <w:left w:w="100" w:type="dxa"/>
              <w:bottom w:w="100" w:type="dxa"/>
              <w:right w:w="100" w:type="dxa"/>
            </w:tcMar>
          </w:tcPr>
          <w:p w14:paraId="1563F48A" w14:textId="6530EDEC" w:rsidR="00C16DA9" w:rsidRPr="0015377B" w:rsidRDefault="0077343F" w:rsidP="0077343F">
            <w:pPr>
              <w:widowControl w:val="0"/>
              <w:pBdr>
                <w:top w:val="nil"/>
                <w:left w:val="nil"/>
                <w:bottom w:val="nil"/>
                <w:right w:val="nil"/>
                <w:between w:val="nil"/>
              </w:pBdr>
              <w:spacing w:line="360" w:lineRule="auto"/>
              <w:rPr>
                <w:rFonts w:eastAsia="Times New Roman"/>
                <w:b/>
                <w:bCs/>
              </w:rPr>
            </w:pPr>
            <w:r>
              <w:rPr>
                <w:rFonts w:eastAsia="Times New Roman"/>
                <w:b/>
                <w:bCs/>
              </w:rPr>
              <w:t>Patel Manasvi Vipulbhai</w:t>
            </w:r>
          </w:p>
        </w:tc>
      </w:tr>
      <w:tr w:rsidR="00C16DA9" w:rsidRPr="0015377B" w14:paraId="5EB83EF7" w14:textId="77777777">
        <w:tc>
          <w:tcPr>
            <w:tcW w:w="2040" w:type="dxa"/>
            <w:tcMar>
              <w:top w:w="100" w:type="dxa"/>
              <w:left w:w="100" w:type="dxa"/>
              <w:bottom w:w="100" w:type="dxa"/>
              <w:right w:w="100" w:type="dxa"/>
            </w:tcMar>
          </w:tcPr>
          <w:p w14:paraId="0E939479"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Student Number</w:t>
            </w:r>
          </w:p>
        </w:tc>
        <w:tc>
          <w:tcPr>
            <w:tcW w:w="7320" w:type="dxa"/>
            <w:tcMar>
              <w:top w:w="100" w:type="dxa"/>
              <w:left w:w="100" w:type="dxa"/>
              <w:bottom w:w="100" w:type="dxa"/>
              <w:right w:w="100" w:type="dxa"/>
            </w:tcMar>
          </w:tcPr>
          <w:p w14:paraId="4EB3B1C9" w14:textId="217FC114" w:rsidR="00C16DA9" w:rsidRPr="0015377B" w:rsidRDefault="0077343F" w:rsidP="0077343F">
            <w:pPr>
              <w:widowControl w:val="0"/>
              <w:pBdr>
                <w:top w:val="nil"/>
                <w:left w:val="nil"/>
                <w:bottom w:val="nil"/>
                <w:right w:val="nil"/>
                <w:between w:val="nil"/>
              </w:pBdr>
              <w:spacing w:line="360" w:lineRule="auto"/>
              <w:rPr>
                <w:rFonts w:eastAsia="Times New Roman"/>
                <w:b/>
                <w:bCs/>
              </w:rPr>
            </w:pPr>
            <w:r>
              <w:rPr>
                <w:rFonts w:eastAsia="Times New Roman"/>
                <w:b/>
                <w:bCs/>
              </w:rPr>
              <w:t>2520168</w:t>
            </w:r>
          </w:p>
        </w:tc>
      </w:tr>
      <w:tr w:rsidR="00C16DA9" w:rsidRPr="0015377B" w14:paraId="5B41A63E" w14:textId="77777777">
        <w:tc>
          <w:tcPr>
            <w:tcW w:w="2040" w:type="dxa"/>
            <w:tcMar>
              <w:top w:w="100" w:type="dxa"/>
              <w:left w:w="100" w:type="dxa"/>
              <w:bottom w:w="100" w:type="dxa"/>
              <w:right w:w="100" w:type="dxa"/>
            </w:tcMar>
          </w:tcPr>
          <w:p w14:paraId="5D54667D"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Module Title</w:t>
            </w:r>
          </w:p>
        </w:tc>
        <w:tc>
          <w:tcPr>
            <w:tcW w:w="7320" w:type="dxa"/>
            <w:tcMar>
              <w:top w:w="100" w:type="dxa"/>
              <w:left w:w="100" w:type="dxa"/>
              <w:bottom w:w="100" w:type="dxa"/>
              <w:right w:w="100" w:type="dxa"/>
            </w:tcMar>
          </w:tcPr>
          <w:p w14:paraId="09ECC4AC" w14:textId="77777777" w:rsidR="00C16DA9" w:rsidRPr="0015377B" w:rsidRDefault="00B434BD" w:rsidP="0015377B">
            <w:pPr>
              <w:widowControl w:val="0"/>
              <w:pBdr>
                <w:top w:val="nil"/>
                <w:left w:val="nil"/>
                <w:bottom w:val="nil"/>
                <w:right w:val="nil"/>
                <w:between w:val="nil"/>
              </w:pBdr>
              <w:spacing w:line="360" w:lineRule="auto"/>
              <w:rPr>
                <w:rFonts w:eastAsia="Times New Roman"/>
                <w:b/>
                <w:bCs/>
              </w:rPr>
            </w:pPr>
            <w:r w:rsidRPr="0015377B">
              <w:rPr>
                <w:rFonts w:eastAsia="Times New Roman"/>
                <w:b/>
                <w:bCs/>
              </w:rPr>
              <w:t>Health Care System Organisation and Leadership</w:t>
            </w:r>
          </w:p>
        </w:tc>
      </w:tr>
      <w:tr w:rsidR="00C16DA9" w:rsidRPr="0015377B" w14:paraId="046B8C86" w14:textId="77777777">
        <w:tc>
          <w:tcPr>
            <w:tcW w:w="2040" w:type="dxa"/>
            <w:tcMar>
              <w:top w:w="100" w:type="dxa"/>
              <w:left w:w="100" w:type="dxa"/>
              <w:bottom w:w="100" w:type="dxa"/>
              <w:right w:w="100" w:type="dxa"/>
            </w:tcMar>
          </w:tcPr>
          <w:p w14:paraId="0093755D"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Module Code</w:t>
            </w:r>
          </w:p>
        </w:tc>
        <w:tc>
          <w:tcPr>
            <w:tcW w:w="7320" w:type="dxa"/>
            <w:tcMar>
              <w:top w:w="100" w:type="dxa"/>
              <w:left w:w="100" w:type="dxa"/>
              <w:bottom w:w="100" w:type="dxa"/>
              <w:right w:w="100" w:type="dxa"/>
            </w:tcMar>
          </w:tcPr>
          <w:p w14:paraId="340A2649" w14:textId="77777777" w:rsidR="00C16DA9" w:rsidRPr="0015377B" w:rsidRDefault="00B434BD" w:rsidP="0015377B">
            <w:pPr>
              <w:widowControl w:val="0"/>
              <w:pBdr>
                <w:top w:val="nil"/>
                <w:left w:val="nil"/>
                <w:bottom w:val="nil"/>
                <w:right w:val="nil"/>
                <w:between w:val="nil"/>
              </w:pBdr>
              <w:spacing w:line="360" w:lineRule="auto"/>
              <w:rPr>
                <w:rFonts w:eastAsia="Times New Roman"/>
                <w:b/>
                <w:bCs/>
              </w:rPr>
            </w:pPr>
            <w:r w:rsidRPr="0015377B">
              <w:rPr>
                <w:rFonts w:eastAsia="Times New Roman"/>
                <w:b/>
                <w:bCs/>
              </w:rPr>
              <w:t>LCHS7002</w:t>
            </w:r>
          </w:p>
        </w:tc>
      </w:tr>
      <w:tr w:rsidR="00C16DA9" w:rsidRPr="0015377B" w14:paraId="02F5E0A2" w14:textId="77777777">
        <w:tc>
          <w:tcPr>
            <w:tcW w:w="2040" w:type="dxa"/>
            <w:tcMar>
              <w:top w:w="100" w:type="dxa"/>
              <w:left w:w="100" w:type="dxa"/>
              <w:bottom w:w="100" w:type="dxa"/>
              <w:right w:w="100" w:type="dxa"/>
            </w:tcMar>
          </w:tcPr>
          <w:p w14:paraId="2CFAB308"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Lecturer’s Name</w:t>
            </w:r>
          </w:p>
        </w:tc>
        <w:tc>
          <w:tcPr>
            <w:tcW w:w="7320" w:type="dxa"/>
            <w:tcMar>
              <w:top w:w="100" w:type="dxa"/>
              <w:left w:w="100" w:type="dxa"/>
              <w:bottom w:w="100" w:type="dxa"/>
              <w:right w:w="100" w:type="dxa"/>
            </w:tcMar>
          </w:tcPr>
          <w:p w14:paraId="28B2FA89" w14:textId="77777777" w:rsidR="00C16DA9" w:rsidRPr="0015377B" w:rsidRDefault="00B434BD" w:rsidP="0015377B">
            <w:pPr>
              <w:widowControl w:val="0"/>
              <w:pBdr>
                <w:top w:val="nil"/>
                <w:left w:val="nil"/>
                <w:bottom w:val="nil"/>
                <w:right w:val="nil"/>
                <w:between w:val="nil"/>
              </w:pBdr>
              <w:spacing w:line="360" w:lineRule="auto"/>
              <w:rPr>
                <w:rFonts w:eastAsia="Times New Roman"/>
                <w:b/>
                <w:bCs/>
              </w:rPr>
            </w:pPr>
            <w:r w:rsidRPr="0015377B">
              <w:rPr>
                <w:rFonts w:eastAsia="Times New Roman"/>
                <w:b/>
                <w:bCs/>
              </w:rPr>
              <w:t xml:space="preserve">Shaila Hussain </w:t>
            </w:r>
          </w:p>
          <w:p w14:paraId="75421393" w14:textId="77777777" w:rsidR="00C16DA9" w:rsidRPr="0015377B" w:rsidRDefault="00B434BD" w:rsidP="0015377B">
            <w:pPr>
              <w:widowControl w:val="0"/>
              <w:pBdr>
                <w:top w:val="nil"/>
                <w:left w:val="nil"/>
                <w:bottom w:val="nil"/>
                <w:right w:val="nil"/>
                <w:between w:val="nil"/>
              </w:pBdr>
              <w:spacing w:line="360" w:lineRule="auto"/>
              <w:rPr>
                <w:rFonts w:eastAsia="Times New Roman"/>
                <w:b/>
                <w:bCs/>
              </w:rPr>
            </w:pPr>
            <w:r w:rsidRPr="0015377B">
              <w:rPr>
                <w:rFonts w:eastAsia="Times New Roman"/>
                <w:b/>
                <w:bCs/>
              </w:rPr>
              <w:t xml:space="preserve">Tonia Babalola </w:t>
            </w:r>
          </w:p>
        </w:tc>
      </w:tr>
      <w:tr w:rsidR="00C16DA9" w:rsidRPr="0015377B" w14:paraId="737644A6" w14:textId="77777777">
        <w:tc>
          <w:tcPr>
            <w:tcW w:w="2040" w:type="dxa"/>
            <w:tcMar>
              <w:top w:w="100" w:type="dxa"/>
              <w:left w:w="100" w:type="dxa"/>
              <w:bottom w:w="100" w:type="dxa"/>
              <w:right w:w="100" w:type="dxa"/>
            </w:tcMar>
          </w:tcPr>
          <w:p w14:paraId="2DB76A37" w14:textId="77777777" w:rsidR="00C16DA9" w:rsidRPr="0015377B" w:rsidRDefault="00B434BD" w:rsidP="0015377B">
            <w:pPr>
              <w:widowControl w:val="0"/>
              <w:pBdr>
                <w:top w:val="nil"/>
                <w:left w:val="nil"/>
                <w:bottom w:val="nil"/>
                <w:right w:val="nil"/>
                <w:between w:val="nil"/>
              </w:pBdr>
              <w:spacing w:line="360" w:lineRule="auto"/>
              <w:jc w:val="center"/>
              <w:rPr>
                <w:rFonts w:eastAsia="Times New Roman"/>
                <w:b/>
                <w:bCs/>
              </w:rPr>
            </w:pPr>
            <w:r w:rsidRPr="0015377B">
              <w:rPr>
                <w:rFonts w:eastAsia="Times New Roman"/>
                <w:b/>
                <w:bCs/>
              </w:rPr>
              <w:t>Assignment Title</w:t>
            </w:r>
          </w:p>
        </w:tc>
        <w:tc>
          <w:tcPr>
            <w:tcW w:w="7320" w:type="dxa"/>
            <w:tcMar>
              <w:top w:w="100" w:type="dxa"/>
              <w:left w:w="100" w:type="dxa"/>
              <w:bottom w:w="100" w:type="dxa"/>
              <w:right w:w="100" w:type="dxa"/>
            </w:tcMar>
          </w:tcPr>
          <w:p w14:paraId="70727EC5" w14:textId="636F33E0" w:rsidR="0077343F" w:rsidRPr="0015377B" w:rsidRDefault="00B434BD" w:rsidP="0015377B">
            <w:pPr>
              <w:widowControl w:val="0"/>
              <w:pBdr>
                <w:top w:val="nil"/>
                <w:left w:val="nil"/>
                <w:bottom w:val="nil"/>
                <w:right w:val="nil"/>
                <w:between w:val="nil"/>
              </w:pBdr>
              <w:spacing w:line="360" w:lineRule="auto"/>
              <w:rPr>
                <w:rFonts w:eastAsia="Times New Roman"/>
                <w:b/>
                <w:bCs/>
              </w:rPr>
            </w:pPr>
            <w:r w:rsidRPr="0015377B">
              <w:rPr>
                <w:rFonts w:eastAsia="Times New Roman"/>
                <w:b/>
                <w:bCs/>
              </w:rPr>
              <w:t>Case Study Analysis Report</w:t>
            </w:r>
          </w:p>
        </w:tc>
      </w:tr>
    </w:tbl>
    <w:p w14:paraId="340302F1" w14:textId="77777777" w:rsidR="005E3715" w:rsidRPr="0015377B" w:rsidRDefault="005E3715" w:rsidP="0015377B">
      <w:pPr>
        <w:spacing w:line="360" w:lineRule="auto"/>
        <w:jc w:val="both"/>
        <w:rPr>
          <w:rFonts w:eastAsia="Times New Roman"/>
          <w:b/>
          <w:bCs/>
        </w:rPr>
      </w:pPr>
    </w:p>
    <w:p w14:paraId="4A162127" w14:textId="77777777" w:rsidR="005E3715" w:rsidRPr="0015377B" w:rsidRDefault="005E3715" w:rsidP="0015377B">
      <w:pPr>
        <w:spacing w:line="360" w:lineRule="auto"/>
        <w:rPr>
          <w:rFonts w:eastAsia="Times New Roman"/>
          <w:b/>
          <w:bCs/>
        </w:rPr>
      </w:pPr>
      <w:r w:rsidRPr="0015377B">
        <w:rPr>
          <w:rFonts w:eastAsia="Times New Roman"/>
          <w:b/>
          <w:bCs/>
        </w:rPr>
        <w:br w:type="page"/>
      </w:r>
    </w:p>
    <w:sdt>
      <w:sdtPr>
        <w:rPr>
          <w:rFonts w:ascii="Arial" w:eastAsia="Arial" w:hAnsi="Arial" w:cs="Arial"/>
          <w:color w:val="auto"/>
          <w:sz w:val="22"/>
          <w:szCs w:val="22"/>
          <w:lang w:val="en" w:eastAsia="en-IN"/>
        </w:rPr>
        <w:id w:val="228893704"/>
        <w:docPartObj>
          <w:docPartGallery w:val="Table of Contents"/>
          <w:docPartUnique/>
        </w:docPartObj>
      </w:sdtPr>
      <w:sdtEndPr>
        <w:rPr>
          <w:b/>
          <w:bCs/>
          <w:noProof/>
          <w:lang w:val="en-GB"/>
        </w:rPr>
      </w:sdtEndPr>
      <w:sdtContent>
        <w:p w14:paraId="42AE077B" w14:textId="062C27DA" w:rsidR="005E3715" w:rsidRPr="0015377B" w:rsidRDefault="005E3715" w:rsidP="0015377B">
          <w:pPr>
            <w:pStyle w:val="TOCHeading"/>
            <w:spacing w:line="360" w:lineRule="auto"/>
            <w:jc w:val="center"/>
            <w:rPr>
              <w:rFonts w:ascii="Arial" w:hAnsi="Arial" w:cs="Arial"/>
              <w:color w:val="auto"/>
              <w:sz w:val="22"/>
              <w:szCs w:val="22"/>
              <w:lang w:val="en-GB"/>
            </w:rPr>
          </w:pPr>
          <w:r w:rsidRPr="0015377B">
            <w:rPr>
              <w:rFonts w:ascii="Arial" w:hAnsi="Arial" w:cs="Arial"/>
              <w:b/>
              <w:color w:val="auto"/>
              <w:sz w:val="22"/>
              <w:szCs w:val="22"/>
            </w:rPr>
            <w:t>Table of Contents</w:t>
          </w:r>
        </w:p>
        <w:p w14:paraId="35AB4EFF" w14:textId="1D73E1D6" w:rsidR="007B5339" w:rsidRPr="0015377B" w:rsidRDefault="005E3715" w:rsidP="0015377B">
          <w:pPr>
            <w:pStyle w:val="TOC1"/>
            <w:tabs>
              <w:tab w:val="right" w:leader="dot" w:pos="9350"/>
            </w:tabs>
            <w:spacing w:line="360" w:lineRule="auto"/>
            <w:jc w:val="both"/>
            <w:rPr>
              <w:rFonts w:eastAsiaTheme="minorEastAsia"/>
              <w:noProof/>
              <w:lang w:val="en-IN"/>
            </w:rPr>
          </w:pPr>
          <w:r w:rsidRPr="0015377B">
            <w:fldChar w:fldCharType="begin"/>
          </w:r>
          <w:r w:rsidRPr="0015377B">
            <w:instrText xml:space="preserve"> TOC \o "1-3" \h \z \u </w:instrText>
          </w:r>
          <w:r w:rsidRPr="0015377B">
            <w:fldChar w:fldCharType="separate"/>
          </w:r>
          <w:hyperlink w:anchor="_Toc226197627" w:history="1">
            <w:r w:rsidR="007B5339" w:rsidRPr="0015377B">
              <w:rPr>
                <w:rStyle w:val="Hyperlink"/>
                <w:noProof/>
                <w:color w:val="auto"/>
              </w:rPr>
              <w:t>1. Introduction</w:t>
            </w:r>
            <w:r w:rsidR="007B5339" w:rsidRPr="0015377B">
              <w:rPr>
                <w:noProof/>
                <w:webHidden/>
              </w:rPr>
              <w:tab/>
            </w:r>
            <w:r w:rsidR="007B5339" w:rsidRPr="0015377B">
              <w:rPr>
                <w:noProof/>
                <w:webHidden/>
              </w:rPr>
              <w:fldChar w:fldCharType="begin"/>
            </w:r>
            <w:r w:rsidR="007B5339" w:rsidRPr="0015377B">
              <w:rPr>
                <w:noProof/>
                <w:webHidden/>
              </w:rPr>
              <w:instrText xml:space="preserve"> PAGEREF _Toc226197627 \h </w:instrText>
            </w:r>
            <w:r w:rsidR="007B5339" w:rsidRPr="0015377B">
              <w:rPr>
                <w:noProof/>
                <w:webHidden/>
              </w:rPr>
            </w:r>
            <w:r w:rsidR="007B5339" w:rsidRPr="0015377B">
              <w:rPr>
                <w:noProof/>
                <w:webHidden/>
              </w:rPr>
              <w:fldChar w:fldCharType="separate"/>
            </w:r>
            <w:r w:rsidR="00752523">
              <w:rPr>
                <w:noProof/>
                <w:webHidden/>
              </w:rPr>
              <w:t>4</w:t>
            </w:r>
            <w:r w:rsidR="007B5339" w:rsidRPr="0015377B">
              <w:rPr>
                <w:noProof/>
                <w:webHidden/>
              </w:rPr>
              <w:fldChar w:fldCharType="end"/>
            </w:r>
          </w:hyperlink>
        </w:p>
        <w:p w14:paraId="08024FED" w14:textId="7C703B44" w:rsidR="007B5339" w:rsidRPr="0015377B" w:rsidRDefault="007B5339" w:rsidP="0015377B">
          <w:pPr>
            <w:pStyle w:val="TOC1"/>
            <w:tabs>
              <w:tab w:val="right" w:leader="dot" w:pos="9350"/>
            </w:tabs>
            <w:spacing w:line="360" w:lineRule="auto"/>
            <w:jc w:val="both"/>
            <w:rPr>
              <w:rFonts w:eastAsiaTheme="minorEastAsia"/>
              <w:noProof/>
              <w:lang w:val="en-IN"/>
            </w:rPr>
          </w:pPr>
          <w:hyperlink w:anchor="_Toc226197628" w:history="1">
            <w:r w:rsidRPr="0015377B">
              <w:rPr>
                <w:rStyle w:val="Hyperlink"/>
                <w:noProof/>
                <w:color w:val="auto"/>
              </w:rPr>
              <w:t>2. Main Body and Analysis</w:t>
            </w:r>
            <w:r w:rsidRPr="0015377B">
              <w:rPr>
                <w:noProof/>
                <w:webHidden/>
              </w:rPr>
              <w:tab/>
            </w:r>
            <w:r w:rsidRPr="0015377B">
              <w:rPr>
                <w:noProof/>
                <w:webHidden/>
              </w:rPr>
              <w:fldChar w:fldCharType="begin"/>
            </w:r>
            <w:r w:rsidRPr="0015377B">
              <w:rPr>
                <w:noProof/>
                <w:webHidden/>
              </w:rPr>
              <w:instrText xml:space="preserve"> PAGEREF _Toc226197628 \h </w:instrText>
            </w:r>
            <w:r w:rsidRPr="0015377B">
              <w:rPr>
                <w:noProof/>
                <w:webHidden/>
              </w:rPr>
            </w:r>
            <w:r w:rsidRPr="0015377B">
              <w:rPr>
                <w:noProof/>
                <w:webHidden/>
              </w:rPr>
              <w:fldChar w:fldCharType="separate"/>
            </w:r>
            <w:r w:rsidR="00752523">
              <w:rPr>
                <w:noProof/>
                <w:webHidden/>
              </w:rPr>
              <w:t>5</w:t>
            </w:r>
            <w:r w:rsidRPr="0015377B">
              <w:rPr>
                <w:noProof/>
                <w:webHidden/>
              </w:rPr>
              <w:fldChar w:fldCharType="end"/>
            </w:r>
          </w:hyperlink>
        </w:p>
        <w:p w14:paraId="5BC0EEEB" w14:textId="41AAB354" w:rsidR="007B5339" w:rsidRPr="0015377B" w:rsidRDefault="007B5339" w:rsidP="0015377B">
          <w:pPr>
            <w:pStyle w:val="TOC2"/>
            <w:tabs>
              <w:tab w:val="right" w:leader="dot" w:pos="9350"/>
            </w:tabs>
            <w:spacing w:line="360" w:lineRule="auto"/>
            <w:jc w:val="both"/>
            <w:rPr>
              <w:rFonts w:eastAsiaTheme="minorEastAsia"/>
              <w:noProof/>
              <w:lang w:val="en-IN"/>
            </w:rPr>
          </w:pPr>
          <w:hyperlink w:anchor="_Toc226197629" w:history="1">
            <w:r w:rsidRPr="0015377B">
              <w:rPr>
                <w:rStyle w:val="Hyperlink"/>
                <w:noProof/>
                <w:color w:val="auto"/>
              </w:rPr>
              <w:t>a. Identification of the Problem Using Systems Thinking</w:t>
            </w:r>
            <w:r w:rsidRPr="0015377B">
              <w:rPr>
                <w:noProof/>
                <w:webHidden/>
              </w:rPr>
              <w:tab/>
            </w:r>
            <w:r w:rsidRPr="0015377B">
              <w:rPr>
                <w:noProof/>
                <w:webHidden/>
              </w:rPr>
              <w:fldChar w:fldCharType="begin"/>
            </w:r>
            <w:r w:rsidRPr="0015377B">
              <w:rPr>
                <w:noProof/>
                <w:webHidden/>
              </w:rPr>
              <w:instrText xml:space="preserve"> PAGEREF _Toc226197629 \h </w:instrText>
            </w:r>
            <w:r w:rsidRPr="0015377B">
              <w:rPr>
                <w:noProof/>
                <w:webHidden/>
              </w:rPr>
            </w:r>
            <w:r w:rsidRPr="0015377B">
              <w:rPr>
                <w:noProof/>
                <w:webHidden/>
              </w:rPr>
              <w:fldChar w:fldCharType="separate"/>
            </w:r>
            <w:r w:rsidR="00752523">
              <w:rPr>
                <w:noProof/>
                <w:webHidden/>
              </w:rPr>
              <w:t>5</w:t>
            </w:r>
            <w:r w:rsidRPr="0015377B">
              <w:rPr>
                <w:noProof/>
                <w:webHidden/>
              </w:rPr>
              <w:fldChar w:fldCharType="end"/>
            </w:r>
          </w:hyperlink>
        </w:p>
        <w:p w14:paraId="139A9394" w14:textId="6A375670" w:rsidR="007B5339" w:rsidRPr="0015377B" w:rsidRDefault="007B5339" w:rsidP="0015377B">
          <w:pPr>
            <w:pStyle w:val="TOC2"/>
            <w:tabs>
              <w:tab w:val="right" w:leader="dot" w:pos="9350"/>
            </w:tabs>
            <w:spacing w:line="360" w:lineRule="auto"/>
            <w:jc w:val="both"/>
            <w:rPr>
              <w:rFonts w:eastAsiaTheme="minorEastAsia"/>
              <w:noProof/>
              <w:lang w:val="en-IN"/>
            </w:rPr>
          </w:pPr>
          <w:hyperlink w:anchor="_Toc226197630" w:history="1">
            <w:r w:rsidRPr="0015377B">
              <w:rPr>
                <w:rStyle w:val="Hyperlink"/>
                <w:noProof/>
                <w:color w:val="auto"/>
              </w:rPr>
              <w:t>b. Centralisation vs. Decentralisation</w:t>
            </w:r>
            <w:r w:rsidRPr="0015377B">
              <w:rPr>
                <w:noProof/>
                <w:webHidden/>
              </w:rPr>
              <w:tab/>
            </w:r>
            <w:r w:rsidRPr="0015377B">
              <w:rPr>
                <w:noProof/>
                <w:webHidden/>
              </w:rPr>
              <w:fldChar w:fldCharType="begin"/>
            </w:r>
            <w:r w:rsidRPr="0015377B">
              <w:rPr>
                <w:noProof/>
                <w:webHidden/>
              </w:rPr>
              <w:instrText xml:space="preserve"> PAGEREF _Toc226197630 \h </w:instrText>
            </w:r>
            <w:r w:rsidRPr="0015377B">
              <w:rPr>
                <w:noProof/>
                <w:webHidden/>
              </w:rPr>
            </w:r>
            <w:r w:rsidRPr="0015377B">
              <w:rPr>
                <w:noProof/>
                <w:webHidden/>
              </w:rPr>
              <w:fldChar w:fldCharType="separate"/>
            </w:r>
            <w:r w:rsidR="00752523">
              <w:rPr>
                <w:noProof/>
                <w:webHidden/>
              </w:rPr>
              <w:t>10</w:t>
            </w:r>
            <w:r w:rsidRPr="0015377B">
              <w:rPr>
                <w:noProof/>
                <w:webHidden/>
              </w:rPr>
              <w:fldChar w:fldCharType="end"/>
            </w:r>
          </w:hyperlink>
        </w:p>
        <w:p w14:paraId="2C1C3EF4" w14:textId="2BE13178" w:rsidR="007B5339" w:rsidRPr="0015377B" w:rsidRDefault="007B5339" w:rsidP="0015377B">
          <w:pPr>
            <w:pStyle w:val="TOC2"/>
            <w:tabs>
              <w:tab w:val="right" w:leader="dot" w:pos="9350"/>
            </w:tabs>
            <w:spacing w:line="360" w:lineRule="auto"/>
            <w:jc w:val="both"/>
            <w:rPr>
              <w:rFonts w:eastAsiaTheme="minorEastAsia"/>
              <w:noProof/>
              <w:lang w:val="en-IN"/>
            </w:rPr>
          </w:pPr>
          <w:hyperlink w:anchor="_Toc226197631" w:history="1">
            <w:r w:rsidRPr="0015377B">
              <w:rPr>
                <w:rStyle w:val="Hyperlink"/>
                <w:noProof/>
                <w:color w:val="auto"/>
              </w:rPr>
              <w:t>c. Application of Leadership Theories</w:t>
            </w:r>
            <w:r w:rsidRPr="0015377B">
              <w:rPr>
                <w:noProof/>
                <w:webHidden/>
              </w:rPr>
              <w:tab/>
            </w:r>
            <w:r w:rsidRPr="0015377B">
              <w:rPr>
                <w:noProof/>
                <w:webHidden/>
              </w:rPr>
              <w:fldChar w:fldCharType="begin"/>
            </w:r>
            <w:r w:rsidRPr="0015377B">
              <w:rPr>
                <w:noProof/>
                <w:webHidden/>
              </w:rPr>
              <w:instrText xml:space="preserve"> PAGEREF _Toc226197631 \h </w:instrText>
            </w:r>
            <w:r w:rsidRPr="0015377B">
              <w:rPr>
                <w:noProof/>
                <w:webHidden/>
              </w:rPr>
            </w:r>
            <w:r w:rsidRPr="0015377B">
              <w:rPr>
                <w:noProof/>
                <w:webHidden/>
              </w:rPr>
              <w:fldChar w:fldCharType="separate"/>
            </w:r>
            <w:r w:rsidR="00752523">
              <w:rPr>
                <w:noProof/>
                <w:webHidden/>
              </w:rPr>
              <w:t>12</w:t>
            </w:r>
            <w:r w:rsidRPr="0015377B">
              <w:rPr>
                <w:noProof/>
                <w:webHidden/>
              </w:rPr>
              <w:fldChar w:fldCharType="end"/>
            </w:r>
          </w:hyperlink>
        </w:p>
        <w:p w14:paraId="52A7D43B" w14:textId="5D5671DA" w:rsidR="007B5339" w:rsidRPr="0015377B" w:rsidRDefault="007B5339" w:rsidP="0015377B">
          <w:pPr>
            <w:pStyle w:val="TOC2"/>
            <w:tabs>
              <w:tab w:val="right" w:leader="dot" w:pos="9350"/>
            </w:tabs>
            <w:spacing w:line="360" w:lineRule="auto"/>
            <w:jc w:val="both"/>
            <w:rPr>
              <w:rFonts w:eastAsiaTheme="minorEastAsia"/>
              <w:noProof/>
              <w:lang w:val="en-IN"/>
            </w:rPr>
          </w:pPr>
          <w:hyperlink w:anchor="_Toc226197632" w:history="1">
            <w:r w:rsidRPr="0015377B">
              <w:rPr>
                <w:rStyle w:val="Hyperlink"/>
                <w:noProof/>
                <w:color w:val="auto"/>
              </w:rPr>
              <w:t>d. Improvement and Lessons Learned</w:t>
            </w:r>
            <w:r w:rsidRPr="0015377B">
              <w:rPr>
                <w:noProof/>
                <w:webHidden/>
              </w:rPr>
              <w:tab/>
            </w:r>
            <w:r w:rsidRPr="0015377B">
              <w:rPr>
                <w:noProof/>
                <w:webHidden/>
              </w:rPr>
              <w:fldChar w:fldCharType="begin"/>
            </w:r>
            <w:r w:rsidRPr="0015377B">
              <w:rPr>
                <w:noProof/>
                <w:webHidden/>
              </w:rPr>
              <w:instrText xml:space="preserve"> PAGEREF _Toc226197632 \h </w:instrText>
            </w:r>
            <w:r w:rsidRPr="0015377B">
              <w:rPr>
                <w:noProof/>
                <w:webHidden/>
              </w:rPr>
            </w:r>
            <w:r w:rsidRPr="0015377B">
              <w:rPr>
                <w:noProof/>
                <w:webHidden/>
              </w:rPr>
              <w:fldChar w:fldCharType="separate"/>
            </w:r>
            <w:r w:rsidR="00752523">
              <w:rPr>
                <w:noProof/>
                <w:webHidden/>
              </w:rPr>
              <w:t>16</w:t>
            </w:r>
            <w:r w:rsidRPr="0015377B">
              <w:rPr>
                <w:noProof/>
                <w:webHidden/>
              </w:rPr>
              <w:fldChar w:fldCharType="end"/>
            </w:r>
          </w:hyperlink>
        </w:p>
        <w:p w14:paraId="0B85C11D" w14:textId="201DB221" w:rsidR="007B5339" w:rsidRPr="0015377B" w:rsidRDefault="007B5339" w:rsidP="0015377B">
          <w:pPr>
            <w:pStyle w:val="TOC1"/>
            <w:tabs>
              <w:tab w:val="right" w:leader="dot" w:pos="9350"/>
            </w:tabs>
            <w:spacing w:line="360" w:lineRule="auto"/>
            <w:jc w:val="both"/>
            <w:rPr>
              <w:rFonts w:eastAsiaTheme="minorEastAsia"/>
              <w:noProof/>
              <w:lang w:val="en-IN"/>
            </w:rPr>
          </w:pPr>
          <w:hyperlink w:anchor="_Toc226197633" w:history="1">
            <w:r w:rsidRPr="0015377B">
              <w:rPr>
                <w:rStyle w:val="Hyperlink"/>
                <w:noProof/>
                <w:color w:val="auto"/>
              </w:rPr>
              <w:t>3. Recommendations</w:t>
            </w:r>
            <w:r w:rsidRPr="0015377B">
              <w:rPr>
                <w:noProof/>
                <w:webHidden/>
              </w:rPr>
              <w:tab/>
            </w:r>
            <w:r w:rsidRPr="0015377B">
              <w:rPr>
                <w:noProof/>
                <w:webHidden/>
              </w:rPr>
              <w:fldChar w:fldCharType="begin"/>
            </w:r>
            <w:r w:rsidRPr="0015377B">
              <w:rPr>
                <w:noProof/>
                <w:webHidden/>
              </w:rPr>
              <w:instrText xml:space="preserve"> PAGEREF _Toc226197633 \h </w:instrText>
            </w:r>
            <w:r w:rsidRPr="0015377B">
              <w:rPr>
                <w:noProof/>
                <w:webHidden/>
              </w:rPr>
            </w:r>
            <w:r w:rsidRPr="0015377B">
              <w:rPr>
                <w:noProof/>
                <w:webHidden/>
              </w:rPr>
              <w:fldChar w:fldCharType="separate"/>
            </w:r>
            <w:r w:rsidR="00752523">
              <w:rPr>
                <w:noProof/>
                <w:webHidden/>
              </w:rPr>
              <w:t>18</w:t>
            </w:r>
            <w:r w:rsidRPr="0015377B">
              <w:rPr>
                <w:noProof/>
                <w:webHidden/>
              </w:rPr>
              <w:fldChar w:fldCharType="end"/>
            </w:r>
          </w:hyperlink>
        </w:p>
        <w:p w14:paraId="254E3BAC" w14:textId="1D608B20" w:rsidR="007B5339" w:rsidRPr="0015377B" w:rsidRDefault="007B5339" w:rsidP="0015377B">
          <w:pPr>
            <w:pStyle w:val="TOC1"/>
            <w:tabs>
              <w:tab w:val="right" w:leader="dot" w:pos="9350"/>
            </w:tabs>
            <w:spacing w:line="360" w:lineRule="auto"/>
            <w:jc w:val="both"/>
            <w:rPr>
              <w:rFonts w:eastAsiaTheme="minorEastAsia"/>
              <w:noProof/>
              <w:lang w:val="en-IN"/>
            </w:rPr>
          </w:pPr>
          <w:hyperlink w:anchor="_Toc226197634" w:history="1">
            <w:r w:rsidRPr="0015377B">
              <w:rPr>
                <w:rStyle w:val="Hyperlink"/>
                <w:noProof/>
                <w:color w:val="auto"/>
              </w:rPr>
              <w:t>4. Conclusion</w:t>
            </w:r>
            <w:r w:rsidRPr="0015377B">
              <w:rPr>
                <w:noProof/>
                <w:webHidden/>
              </w:rPr>
              <w:tab/>
            </w:r>
            <w:r w:rsidRPr="0015377B">
              <w:rPr>
                <w:noProof/>
                <w:webHidden/>
              </w:rPr>
              <w:fldChar w:fldCharType="begin"/>
            </w:r>
            <w:r w:rsidRPr="0015377B">
              <w:rPr>
                <w:noProof/>
                <w:webHidden/>
              </w:rPr>
              <w:instrText xml:space="preserve"> PAGEREF _Toc226197634 \h </w:instrText>
            </w:r>
            <w:r w:rsidRPr="0015377B">
              <w:rPr>
                <w:noProof/>
                <w:webHidden/>
              </w:rPr>
            </w:r>
            <w:r w:rsidRPr="0015377B">
              <w:rPr>
                <w:noProof/>
                <w:webHidden/>
              </w:rPr>
              <w:fldChar w:fldCharType="separate"/>
            </w:r>
            <w:r w:rsidR="00752523">
              <w:rPr>
                <w:noProof/>
                <w:webHidden/>
              </w:rPr>
              <w:t>20</w:t>
            </w:r>
            <w:r w:rsidRPr="0015377B">
              <w:rPr>
                <w:noProof/>
                <w:webHidden/>
              </w:rPr>
              <w:fldChar w:fldCharType="end"/>
            </w:r>
          </w:hyperlink>
        </w:p>
        <w:p w14:paraId="4553E98F" w14:textId="129E569D" w:rsidR="007B5339" w:rsidRPr="0015377B" w:rsidRDefault="007B5339" w:rsidP="0015377B">
          <w:pPr>
            <w:pStyle w:val="TOC1"/>
            <w:tabs>
              <w:tab w:val="right" w:leader="dot" w:pos="9350"/>
            </w:tabs>
            <w:spacing w:line="360" w:lineRule="auto"/>
            <w:jc w:val="both"/>
            <w:rPr>
              <w:rFonts w:eastAsiaTheme="minorEastAsia"/>
              <w:noProof/>
              <w:lang w:val="en-IN"/>
            </w:rPr>
          </w:pPr>
          <w:hyperlink w:anchor="_Toc226197635" w:history="1">
            <w:r w:rsidRPr="0015377B">
              <w:rPr>
                <w:rStyle w:val="Hyperlink"/>
                <w:noProof/>
                <w:color w:val="auto"/>
              </w:rPr>
              <w:t>References</w:t>
            </w:r>
            <w:r w:rsidRPr="0015377B">
              <w:rPr>
                <w:noProof/>
                <w:webHidden/>
              </w:rPr>
              <w:tab/>
            </w:r>
            <w:r w:rsidRPr="0015377B">
              <w:rPr>
                <w:noProof/>
                <w:webHidden/>
              </w:rPr>
              <w:fldChar w:fldCharType="begin"/>
            </w:r>
            <w:r w:rsidRPr="0015377B">
              <w:rPr>
                <w:noProof/>
                <w:webHidden/>
              </w:rPr>
              <w:instrText xml:space="preserve"> PAGEREF _Toc226197635 \h </w:instrText>
            </w:r>
            <w:r w:rsidRPr="0015377B">
              <w:rPr>
                <w:noProof/>
                <w:webHidden/>
              </w:rPr>
            </w:r>
            <w:r w:rsidRPr="0015377B">
              <w:rPr>
                <w:noProof/>
                <w:webHidden/>
              </w:rPr>
              <w:fldChar w:fldCharType="separate"/>
            </w:r>
            <w:r w:rsidR="00752523">
              <w:rPr>
                <w:noProof/>
                <w:webHidden/>
              </w:rPr>
              <w:t>21</w:t>
            </w:r>
            <w:r w:rsidRPr="0015377B">
              <w:rPr>
                <w:noProof/>
                <w:webHidden/>
              </w:rPr>
              <w:fldChar w:fldCharType="end"/>
            </w:r>
          </w:hyperlink>
        </w:p>
        <w:p w14:paraId="3F33F601" w14:textId="2EACD391" w:rsidR="007B5339" w:rsidRPr="0015377B" w:rsidRDefault="007B5339" w:rsidP="0015377B">
          <w:pPr>
            <w:pStyle w:val="TOC1"/>
            <w:tabs>
              <w:tab w:val="right" w:leader="dot" w:pos="9350"/>
            </w:tabs>
            <w:spacing w:line="360" w:lineRule="auto"/>
            <w:jc w:val="both"/>
            <w:rPr>
              <w:rFonts w:eastAsiaTheme="minorEastAsia"/>
              <w:noProof/>
              <w:lang w:val="en-IN"/>
            </w:rPr>
          </w:pPr>
          <w:hyperlink w:anchor="_Toc226197636" w:history="1">
            <w:r w:rsidRPr="0015377B">
              <w:rPr>
                <w:rStyle w:val="Hyperlink"/>
                <w:noProof/>
                <w:color w:val="auto"/>
              </w:rPr>
              <w:t>Appendix</w:t>
            </w:r>
            <w:r w:rsidRPr="0015377B">
              <w:rPr>
                <w:noProof/>
                <w:webHidden/>
              </w:rPr>
              <w:tab/>
            </w:r>
            <w:r w:rsidRPr="0015377B">
              <w:rPr>
                <w:noProof/>
                <w:webHidden/>
              </w:rPr>
              <w:fldChar w:fldCharType="begin"/>
            </w:r>
            <w:r w:rsidRPr="0015377B">
              <w:rPr>
                <w:noProof/>
                <w:webHidden/>
              </w:rPr>
              <w:instrText xml:space="preserve"> PAGEREF _Toc226197636 \h </w:instrText>
            </w:r>
            <w:r w:rsidRPr="0015377B">
              <w:rPr>
                <w:noProof/>
                <w:webHidden/>
              </w:rPr>
            </w:r>
            <w:r w:rsidRPr="0015377B">
              <w:rPr>
                <w:noProof/>
                <w:webHidden/>
              </w:rPr>
              <w:fldChar w:fldCharType="separate"/>
            </w:r>
            <w:r w:rsidR="00752523">
              <w:rPr>
                <w:noProof/>
                <w:webHidden/>
              </w:rPr>
              <w:t>28</w:t>
            </w:r>
            <w:r w:rsidRPr="0015377B">
              <w:rPr>
                <w:noProof/>
                <w:webHidden/>
              </w:rPr>
              <w:fldChar w:fldCharType="end"/>
            </w:r>
          </w:hyperlink>
        </w:p>
        <w:p w14:paraId="2961BFE5" w14:textId="557CF40C" w:rsidR="005E3715" w:rsidRPr="0015377B" w:rsidRDefault="005E3715" w:rsidP="0015377B">
          <w:pPr>
            <w:spacing w:line="360" w:lineRule="auto"/>
            <w:jc w:val="both"/>
          </w:pPr>
          <w:r w:rsidRPr="0015377B">
            <w:rPr>
              <w:b/>
              <w:bCs/>
              <w:noProof/>
            </w:rPr>
            <w:fldChar w:fldCharType="end"/>
          </w:r>
        </w:p>
      </w:sdtContent>
    </w:sdt>
    <w:p w14:paraId="5629469B" w14:textId="77777777" w:rsidR="005E3715" w:rsidRPr="0015377B" w:rsidRDefault="005E3715" w:rsidP="0015377B">
      <w:pPr>
        <w:spacing w:line="360" w:lineRule="auto"/>
        <w:rPr>
          <w:rFonts w:eastAsia="Times New Roman"/>
          <w:b/>
          <w:bCs/>
        </w:rPr>
      </w:pPr>
      <w:r w:rsidRPr="0015377B">
        <w:rPr>
          <w:rFonts w:eastAsia="Times New Roman"/>
          <w:b/>
          <w:bCs/>
        </w:rPr>
        <w:br w:type="page"/>
      </w:r>
    </w:p>
    <w:p w14:paraId="361F33EF" w14:textId="3C90A000" w:rsidR="00726176" w:rsidRPr="0015377B" w:rsidRDefault="00726176" w:rsidP="0015377B">
      <w:pPr>
        <w:pStyle w:val="TableofFigures"/>
        <w:tabs>
          <w:tab w:val="right" w:leader="dot" w:pos="9350"/>
        </w:tabs>
        <w:spacing w:line="360" w:lineRule="auto"/>
        <w:jc w:val="center"/>
        <w:rPr>
          <w:rFonts w:eastAsia="Times New Roman"/>
          <w:b/>
          <w:bCs/>
        </w:rPr>
      </w:pPr>
      <w:r w:rsidRPr="0015377B">
        <w:rPr>
          <w:rFonts w:eastAsia="Times New Roman"/>
          <w:b/>
          <w:bCs/>
        </w:rPr>
        <w:lastRenderedPageBreak/>
        <w:t>List of Figures</w:t>
      </w:r>
    </w:p>
    <w:p w14:paraId="4DA04255" w14:textId="6CF2B539" w:rsidR="00726176" w:rsidRPr="0015377B" w:rsidRDefault="00726176" w:rsidP="0015377B">
      <w:pPr>
        <w:pStyle w:val="TableofFigures"/>
        <w:tabs>
          <w:tab w:val="right" w:leader="dot" w:pos="9350"/>
        </w:tabs>
        <w:spacing w:line="360" w:lineRule="auto"/>
        <w:jc w:val="both"/>
        <w:rPr>
          <w:noProof/>
        </w:rPr>
      </w:pPr>
      <w:r w:rsidRPr="0015377B">
        <w:rPr>
          <w:rFonts w:eastAsia="Times New Roman"/>
          <w:b/>
          <w:bCs/>
        </w:rPr>
        <w:fldChar w:fldCharType="begin"/>
      </w:r>
      <w:r w:rsidRPr="0015377B">
        <w:rPr>
          <w:rFonts w:eastAsia="Times New Roman"/>
          <w:b/>
          <w:bCs/>
        </w:rPr>
        <w:instrText xml:space="preserve"> TOC \f F \h \z \t "Heading 4" \c </w:instrText>
      </w:r>
      <w:r w:rsidRPr="0015377B">
        <w:rPr>
          <w:rFonts w:eastAsia="Times New Roman"/>
          <w:b/>
          <w:bCs/>
        </w:rPr>
        <w:fldChar w:fldCharType="separate"/>
      </w:r>
      <w:hyperlink w:anchor="_Toc226197887" w:history="1">
        <w:r w:rsidRPr="0015377B">
          <w:rPr>
            <w:rStyle w:val="Hyperlink"/>
            <w:noProof/>
          </w:rPr>
          <w:t>Figure 1: Prevalence rate of the preventable medication-related harm by regions</w:t>
        </w:r>
        <w:r w:rsidRPr="0015377B">
          <w:rPr>
            <w:noProof/>
            <w:webHidden/>
          </w:rPr>
          <w:tab/>
        </w:r>
        <w:r w:rsidRPr="0015377B">
          <w:rPr>
            <w:noProof/>
            <w:webHidden/>
          </w:rPr>
          <w:fldChar w:fldCharType="begin"/>
        </w:r>
        <w:r w:rsidRPr="0015377B">
          <w:rPr>
            <w:noProof/>
            <w:webHidden/>
          </w:rPr>
          <w:instrText xml:space="preserve"> PAGEREF _Toc226197887 \h </w:instrText>
        </w:r>
        <w:r w:rsidRPr="0015377B">
          <w:rPr>
            <w:noProof/>
            <w:webHidden/>
          </w:rPr>
        </w:r>
        <w:r w:rsidRPr="0015377B">
          <w:rPr>
            <w:noProof/>
            <w:webHidden/>
          </w:rPr>
          <w:fldChar w:fldCharType="separate"/>
        </w:r>
        <w:r w:rsidRPr="0015377B">
          <w:rPr>
            <w:noProof/>
            <w:webHidden/>
          </w:rPr>
          <w:t>6</w:t>
        </w:r>
        <w:r w:rsidRPr="0015377B">
          <w:rPr>
            <w:noProof/>
            <w:webHidden/>
          </w:rPr>
          <w:fldChar w:fldCharType="end"/>
        </w:r>
      </w:hyperlink>
    </w:p>
    <w:p w14:paraId="181DA254" w14:textId="4E6BF233" w:rsidR="00726176" w:rsidRPr="0015377B" w:rsidRDefault="00726176" w:rsidP="0015377B">
      <w:pPr>
        <w:pStyle w:val="TableofFigures"/>
        <w:tabs>
          <w:tab w:val="right" w:leader="dot" w:pos="9350"/>
        </w:tabs>
        <w:spacing w:line="360" w:lineRule="auto"/>
        <w:jc w:val="both"/>
        <w:rPr>
          <w:noProof/>
        </w:rPr>
      </w:pPr>
      <w:hyperlink w:anchor="_Toc226197888" w:history="1">
        <w:r w:rsidRPr="0015377B">
          <w:rPr>
            <w:rStyle w:val="Hyperlink"/>
            <w:noProof/>
          </w:rPr>
          <w:t>Figure 2: Prevalence of medication-related harm globally</w:t>
        </w:r>
        <w:r w:rsidRPr="0015377B">
          <w:rPr>
            <w:noProof/>
            <w:webHidden/>
          </w:rPr>
          <w:tab/>
        </w:r>
        <w:r w:rsidRPr="0015377B">
          <w:rPr>
            <w:noProof/>
            <w:webHidden/>
          </w:rPr>
          <w:fldChar w:fldCharType="begin"/>
        </w:r>
        <w:r w:rsidRPr="0015377B">
          <w:rPr>
            <w:noProof/>
            <w:webHidden/>
          </w:rPr>
          <w:instrText xml:space="preserve"> PAGEREF _Toc226197888 \h </w:instrText>
        </w:r>
        <w:r w:rsidRPr="0015377B">
          <w:rPr>
            <w:noProof/>
            <w:webHidden/>
          </w:rPr>
        </w:r>
        <w:r w:rsidRPr="0015377B">
          <w:rPr>
            <w:noProof/>
            <w:webHidden/>
          </w:rPr>
          <w:fldChar w:fldCharType="separate"/>
        </w:r>
        <w:r w:rsidRPr="0015377B">
          <w:rPr>
            <w:noProof/>
            <w:webHidden/>
          </w:rPr>
          <w:t>6</w:t>
        </w:r>
        <w:r w:rsidRPr="0015377B">
          <w:rPr>
            <w:noProof/>
            <w:webHidden/>
          </w:rPr>
          <w:fldChar w:fldCharType="end"/>
        </w:r>
      </w:hyperlink>
    </w:p>
    <w:p w14:paraId="43E93620" w14:textId="0C3D6227" w:rsidR="00726176" w:rsidRPr="0015377B" w:rsidRDefault="00726176" w:rsidP="0015377B">
      <w:pPr>
        <w:pStyle w:val="TableofFigures"/>
        <w:tabs>
          <w:tab w:val="right" w:leader="dot" w:pos="9350"/>
        </w:tabs>
        <w:spacing w:line="360" w:lineRule="auto"/>
        <w:jc w:val="both"/>
        <w:rPr>
          <w:noProof/>
        </w:rPr>
      </w:pPr>
      <w:hyperlink w:anchor="_Toc226197889" w:history="1">
        <w:r w:rsidRPr="0015377B">
          <w:rPr>
            <w:rStyle w:val="Hyperlink"/>
            <w:noProof/>
          </w:rPr>
          <w:t>Figure 3: Medication errors experienced by the UK patients</w:t>
        </w:r>
        <w:r w:rsidRPr="0015377B">
          <w:rPr>
            <w:noProof/>
            <w:webHidden/>
          </w:rPr>
          <w:tab/>
        </w:r>
        <w:r w:rsidRPr="0015377B">
          <w:rPr>
            <w:noProof/>
            <w:webHidden/>
          </w:rPr>
          <w:fldChar w:fldCharType="begin"/>
        </w:r>
        <w:r w:rsidRPr="0015377B">
          <w:rPr>
            <w:noProof/>
            <w:webHidden/>
          </w:rPr>
          <w:instrText xml:space="preserve"> PAGEREF _Toc226197889 \h </w:instrText>
        </w:r>
        <w:r w:rsidRPr="0015377B">
          <w:rPr>
            <w:noProof/>
            <w:webHidden/>
          </w:rPr>
        </w:r>
        <w:r w:rsidRPr="0015377B">
          <w:rPr>
            <w:noProof/>
            <w:webHidden/>
          </w:rPr>
          <w:fldChar w:fldCharType="separate"/>
        </w:r>
        <w:r w:rsidRPr="0015377B">
          <w:rPr>
            <w:noProof/>
            <w:webHidden/>
          </w:rPr>
          <w:t>7</w:t>
        </w:r>
        <w:r w:rsidRPr="0015377B">
          <w:rPr>
            <w:noProof/>
            <w:webHidden/>
          </w:rPr>
          <w:fldChar w:fldCharType="end"/>
        </w:r>
      </w:hyperlink>
    </w:p>
    <w:p w14:paraId="64CE39A6" w14:textId="03038955" w:rsidR="00726176" w:rsidRPr="0015377B" w:rsidRDefault="00726176" w:rsidP="0015377B">
      <w:pPr>
        <w:pStyle w:val="TableofFigures"/>
        <w:tabs>
          <w:tab w:val="right" w:leader="dot" w:pos="9350"/>
        </w:tabs>
        <w:spacing w:line="360" w:lineRule="auto"/>
        <w:jc w:val="both"/>
        <w:rPr>
          <w:noProof/>
        </w:rPr>
      </w:pPr>
      <w:hyperlink w:anchor="_Toc226197890" w:history="1">
        <w:r w:rsidRPr="0015377B">
          <w:rPr>
            <w:rStyle w:val="Hyperlink"/>
            <w:noProof/>
          </w:rPr>
          <w:t>Figure 4: RICH picture diagram of Len’s case</w:t>
        </w:r>
        <w:r w:rsidRPr="0015377B">
          <w:rPr>
            <w:noProof/>
            <w:webHidden/>
          </w:rPr>
          <w:tab/>
        </w:r>
        <w:r w:rsidRPr="0015377B">
          <w:rPr>
            <w:noProof/>
            <w:webHidden/>
          </w:rPr>
          <w:fldChar w:fldCharType="begin"/>
        </w:r>
        <w:r w:rsidRPr="0015377B">
          <w:rPr>
            <w:noProof/>
            <w:webHidden/>
          </w:rPr>
          <w:instrText xml:space="preserve"> PAGEREF _Toc226197890 \h </w:instrText>
        </w:r>
        <w:r w:rsidRPr="0015377B">
          <w:rPr>
            <w:noProof/>
            <w:webHidden/>
          </w:rPr>
        </w:r>
        <w:r w:rsidRPr="0015377B">
          <w:rPr>
            <w:noProof/>
            <w:webHidden/>
          </w:rPr>
          <w:fldChar w:fldCharType="separate"/>
        </w:r>
        <w:r w:rsidRPr="0015377B">
          <w:rPr>
            <w:noProof/>
            <w:webHidden/>
          </w:rPr>
          <w:t>9</w:t>
        </w:r>
        <w:r w:rsidRPr="0015377B">
          <w:rPr>
            <w:noProof/>
            <w:webHidden/>
          </w:rPr>
          <w:fldChar w:fldCharType="end"/>
        </w:r>
      </w:hyperlink>
    </w:p>
    <w:p w14:paraId="56866ED8" w14:textId="78662F2F" w:rsidR="00726176" w:rsidRPr="0015377B" w:rsidRDefault="00726176" w:rsidP="0015377B">
      <w:pPr>
        <w:pStyle w:val="TableofFigures"/>
        <w:tabs>
          <w:tab w:val="right" w:leader="dot" w:pos="9350"/>
        </w:tabs>
        <w:spacing w:line="360" w:lineRule="auto"/>
        <w:jc w:val="both"/>
        <w:rPr>
          <w:noProof/>
        </w:rPr>
      </w:pPr>
      <w:hyperlink w:anchor="_Toc226197891" w:history="1">
        <w:r w:rsidRPr="0015377B">
          <w:rPr>
            <w:rStyle w:val="Hyperlink"/>
            <w:noProof/>
          </w:rPr>
          <w:t>Figure 5: Ways to manage emergency planning in the UK community care</w:t>
        </w:r>
        <w:r w:rsidRPr="0015377B">
          <w:rPr>
            <w:noProof/>
            <w:webHidden/>
          </w:rPr>
          <w:tab/>
        </w:r>
        <w:r w:rsidRPr="0015377B">
          <w:rPr>
            <w:noProof/>
            <w:webHidden/>
          </w:rPr>
          <w:fldChar w:fldCharType="begin"/>
        </w:r>
        <w:r w:rsidRPr="0015377B">
          <w:rPr>
            <w:noProof/>
            <w:webHidden/>
          </w:rPr>
          <w:instrText xml:space="preserve"> PAGEREF _Toc226197891 \h </w:instrText>
        </w:r>
        <w:r w:rsidRPr="0015377B">
          <w:rPr>
            <w:noProof/>
            <w:webHidden/>
          </w:rPr>
        </w:r>
        <w:r w:rsidRPr="0015377B">
          <w:rPr>
            <w:noProof/>
            <w:webHidden/>
          </w:rPr>
          <w:fldChar w:fldCharType="separate"/>
        </w:r>
        <w:r w:rsidRPr="0015377B">
          <w:rPr>
            <w:noProof/>
            <w:webHidden/>
          </w:rPr>
          <w:t>10</w:t>
        </w:r>
        <w:r w:rsidRPr="0015377B">
          <w:rPr>
            <w:noProof/>
            <w:webHidden/>
          </w:rPr>
          <w:fldChar w:fldCharType="end"/>
        </w:r>
      </w:hyperlink>
    </w:p>
    <w:p w14:paraId="7E5730A1" w14:textId="223F4C40" w:rsidR="00726176" w:rsidRPr="0015377B" w:rsidRDefault="00726176" w:rsidP="0015377B">
      <w:pPr>
        <w:pStyle w:val="TableofFigures"/>
        <w:tabs>
          <w:tab w:val="right" w:leader="dot" w:pos="9350"/>
        </w:tabs>
        <w:spacing w:line="360" w:lineRule="auto"/>
        <w:jc w:val="both"/>
        <w:rPr>
          <w:noProof/>
        </w:rPr>
      </w:pPr>
      <w:hyperlink w:anchor="_Toc226197892" w:history="1">
        <w:r w:rsidRPr="0015377B">
          <w:rPr>
            <w:rStyle w:val="Hyperlink"/>
            <w:noProof/>
          </w:rPr>
          <w:t>Figure 6: Doctor’s reasons behind medication errors in the UK</w:t>
        </w:r>
        <w:r w:rsidRPr="0015377B">
          <w:rPr>
            <w:noProof/>
            <w:webHidden/>
          </w:rPr>
          <w:tab/>
        </w:r>
        <w:r w:rsidRPr="0015377B">
          <w:rPr>
            <w:noProof/>
            <w:webHidden/>
          </w:rPr>
          <w:fldChar w:fldCharType="begin"/>
        </w:r>
        <w:r w:rsidRPr="0015377B">
          <w:rPr>
            <w:noProof/>
            <w:webHidden/>
          </w:rPr>
          <w:instrText xml:space="preserve"> PAGEREF _Toc226197892 \h </w:instrText>
        </w:r>
        <w:r w:rsidRPr="0015377B">
          <w:rPr>
            <w:noProof/>
            <w:webHidden/>
          </w:rPr>
        </w:r>
        <w:r w:rsidRPr="0015377B">
          <w:rPr>
            <w:noProof/>
            <w:webHidden/>
          </w:rPr>
          <w:fldChar w:fldCharType="separate"/>
        </w:r>
        <w:r w:rsidRPr="0015377B">
          <w:rPr>
            <w:noProof/>
            <w:webHidden/>
          </w:rPr>
          <w:t>11</w:t>
        </w:r>
        <w:r w:rsidRPr="0015377B">
          <w:rPr>
            <w:noProof/>
            <w:webHidden/>
          </w:rPr>
          <w:fldChar w:fldCharType="end"/>
        </w:r>
      </w:hyperlink>
    </w:p>
    <w:p w14:paraId="71F17A5C" w14:textId="44B6A816" w:rsidR="00726176" w:rsidRPr="0015377B" w:rsidRDefault="00726176" w:rsidP="0015377B">
      <w:pPr>
        <w:pStyle w:val="TableofFigures"/>
        <w:tabs>
          <w:tab w:val="right" w:leader="dot" w:pos="9350"/>
        </w:tabs>
        <w:spacing w:line="360" w:lineRule="auto"/>
        <w:jc w:val="both"/>
        <w:rPr>
          <w:noProof/>
        </w:rPr>
      </w:pPr>
      <w:hyperlink w:anchor="_Toc226197893" w:history="1">
        <w:r w:rsidRPr="0015377B">
          <w:rPr>
            <w:rStyle w:val="Hyperlink"/>
            <w:noProof/>
          </w:rPr>
          <w:t>Figure 7: Health education to deliver safe patient care</w:t>
        </w:r>
        <w:r w:rsidRPr="0015377B">
          <w:rPr>
            <w:noProof/>
            <w:webHidden/>
          </w:rPr>
          <w:tab/>
        </w:r>
        <w:r w:rsidRPr="0015377B">
          <w:rPr>
            <w:noProof/>
            <w:webHidden/>
          </w:rPr>
          <w:fldChar w:fldCharType="begin"/>
        </w:r>
        <w:r w:rsidRPr="0015377B">
          <w:rPr>
            <w:noProof/>
            <w:webHidden/>
          </w:rPr>
          <w:instrText xml:space="preserve"> PAGEREF _Toc226197893 \h </w:instrText>
        </w:r>
        <w:r w:rsidRPr="0015377B">
          <w:rPr>
            <w:noProof/>
            <w:webHidden/>
          </w:rPr>
        </w:r>
        <w:r w:rsidRPr="0015377B">
          <w:rPr>
            <w:noProof/>
            <w:webHidden/>
          </w:rPr>
          <w:fldChar w:fldCharType="separate"/>
        </w:r>
        <w:r w:rsidRPr="0015377B">
          <w:rPr>
            <w:noProof/>
            <w:webHidden/>
          </w:rPr>
          <w:t>13</w:t>
        </w:r>
        <w:r w:rsidRPr="0015377B">
          <w:rPr>
            <w:noProof/>
            <w:webHidden/>
          </w:rPr>
          <w:fldChar w:fldCharType="end"/>
        </w:r>
      </w:hyperlink>
    </w:p>
    <w:p w14:paraId="57F00E96" w14:textId="0593920A" w:rsidR="00726176" w:rsidRPr="0015377B" w:rsidRDefault="00726176" w:rsidP="0015377B">
      <w:pPr>
        <w:pStyle w:val="TableofFigures"/>
        <w:tabs>
          <w:tab w:val="right" w:leader="dot" w:pos="9350"/>
        </w:tabs>
        <w:spacing w:line="360" w:lineRule="auto"/>
        <w:jc w:val="both"/>
        <w:rPr>
          <w:noProof/>
        </w:rPr>
      </w:pPr>
      <w:hyperlink w:anchor="_Toc226197894" w:history="1">
        <w:r w:rsidRPr="0015377B">
          <w:rPr>
            <w:rStyle w:val="Hyperlink"/>
            <w:noProof/>
          </w:rPr>
          <w:t>Figure 8: Vacancies in the NHS workforce</w:t>
        </w:r>
        <w:r w:rsidRPr="0015377B">
          <w:rPr>
            <w:noProof/>
            <w:webHidden/>
          </w:rPr>
          <w:tab/>
        </w:r>
        <w:r w:rsidRPr="0015377B">
          <w:rPr>
            <w:noProof/>
            <w:webHidden/>
          </w:rPr>
          <w:fldChar w:fldCharType="begin"/>
        </w:r>
        <w:r w:rsidRPr="0015377B">
          <w:rPr>
            <w:noProof/>
            <w:webHidden/>
          </w:rPr>
          <w:instrText xml:space="preserve"> PAGEREF _Toc226197894 \h </w:instrText>
        </w:r>
        <w:r w:rsidRPr="0015377B">
          <w:rPr>
            <w:noProof/>
            <w:webHidden/>
          </w:rPr>
        </w:r>
        <w:r w:rsidRPr="0015377B">
          <w:rPr>
            <w:noProof/>
            <w:webHidden/>
          </w:rPr>
          <w:fldChar w:fldCharType="separate"/>
        </w:r>
        <w:r w:rsidRPr="0015377B">
          <w:rPr>
            <w:noProof/>
            <w:webHidden/>
          </w:rPr>
          <w:t>14</w:t>
        </w:r>
        <w:r w:rsidRPr="0015377B">
          <w:rPr>
            <w:noProof/>
            <w:webHidden/>
          </w:rPr>
          <w:fldChar w:fldCharType="end"/>
        </w:r>
      </w:hyperlink>
    </w:p>
    <w:p w14:paraId="2F6C7160" w14:textId="3ED0D7C7" w:rsidR="00726176" w:rsidRPr="0015377B" w:rsidRDefault="00726176" w:rsidP="0015377B">
      <w:pPr>
        <w:pStyle w:val="TableofFigures"/>
        <w:tabs>
          <w:tab w:val="right" w:leader="dot" w:pos="9350"/>
        </w:tabs>
        <w:spacing w:line="360" w:lineRule="auto"/>
        <w:jc w:val="both"/>
        <w:rPr>
          <w:noProof/>
        </w:rPr>
      </w:pPr>
      <w:hyperlink w:anchor="_Toc226197895" w:history="1">
        <w:r w:rsidRPr="0015377B">
          <w:rPr>
            <w:rStyle w:val="Hyperlink"/>
            <w:noProof/>
          </w:rPr>
          <w:t>Figure 9: NHS staff responses to their work environment</w:t>
        </w:r>
        <w:r w:rsidRPr="0015377B">
          <w:rPr>
            <w:noProof/>
            <w:webHidden/>
          </w:rPr>
          <w:tab/>
        </w:r>
        <w:r w:rsidRPr="0015377B">
          <w:rPr>
            <w:noProof/>
            <w:webHidden/>
          </w:rPr>
          <w:fldChar w:fldCharType="begin"/>
        </w:r>
        <w:r w:rsidRPr="0015377B">
          <w:rPr>
            <w:noProof/>
            <w:webHidden/>
          </w:rPr>
          <w:instrText xml:space="preserve"> PAGEREF _Toc226197895 \h </w:instrText>
        </w:r>
        <w:r w:rsidRPr="0015377B">
          <w:rPr>
            <w:noProof/>
            <w:webHidden/>
          </w:rPr>
        </w:r>
        <w:r w:rsidRPr="0015377B">
          <w:rPr>
            <w:noProof/>
            <w:webHidden/>
          </w:rPr>
          <w:fldChar w:fldCharType="separate"/>
        </w:r>
        <w:r w:rsidRPr="0015377B">
          <w:rPr>
            <w:noProof/>
            <w:webHidden/>
          </w:rPr>
          <w:t>15</w:t>
        </w:r>
        <w:r w:rsidRPr="0015377B">
          <w:rPr>
            <w:noProof/>
            <w:webHidden/>
          </w:rPr>
          <w:fldChar w:fldCharType="end"/>
        </w:r>
      </w:hyperlink>
    </w:p>
    <w:p w14:paraId="51E411D6" w14:textId="5E3E1DF1" w:rsidR="008241BF" w:rsidRPr="0015377B" w:rsidRDefault="00726176" w:rsidP="0015377B">
      <w:pPr>
        <w:spacing w:line="360" w:lineRule="auto"/>
        <w:jc w:val="both"/>
        <w:rPr>
          <w:rFonts w:eastAsia="Times New Roman"/>
        </w:rPr>
      </w:pPr>
      <w:r w:rsidRPr="0015377B">
        <w:rPr>
          <w:rFonts w:eastAsia="Times New Roman"/>
          <w:b/>
          <w:bCs/>
        </w:rPr>
        <w:fldChar w:fldCharType="end"/>
      </w:r>
      <w:r w:rsidR="008241BF" w:rsidRPr="0015377B">
        <w:rPr>
          <w:rFonts w:eastAsia="Times New Roman"/>
          <w:b/>
          <w:bCs/>
        </w:rPr>
        <w:br w:type="page"/>
      </w:r>
    </w:p>
    <w:p w14:paraId="481AEB5E" w14:textId="30C35D6E" w:rsidR="00C16DA9" w:rsidRPr="0015377B" w:rsidRDefault="008241BF" w:rsidP="0015377B">
      <w:pPr>
        <w:pStyle w:val="Heading1"/>
        <w:rPr>
          <w:szCs w:val="22"/>
        </w:rPr>
      </w:pPr>
      <w:bookmarkStart w:id="0" w:name="_Toc226197627"/>
      <w:r w:rsidRPr="0015377B">
        <w:rPr>
          <w:szCs w:val="22"/>
        </w:rPr>
        <w:lastRenderedPageBreak/>
        <w:t>1. Introduction</w:t>
      </w:r>
      <w:bookmarkEnd w:id="0"/>
    </w:p>
    <w:p w14:paraId="4BC4428D" w14:textId="77777777" w:rsidR="00C16DA9" w:rsidRPr="0015377B" w:rsidRDefault="00B434BD" w:rsidP="0015377B">
      <w:pPr>
        <w:spacing w:line="360" w:lineRule="auto"/>
        <w:jc w:val="both"/>
        <w:rPr>
          <w:rFonts w:eastAsia="Times New Roman"/>
          <w:b/>
          <w:bCs/>
        </w:rPr>
      </w:pPr>
      <w:r w:rsidRPr="0015377B">
        <w:rPr>
          <w:rFonts w:eastAsia="Times New Roman"/>
          <w:b/>
          <w:bCs/>
        </w:rPr>
        <w:t>Case Background</w:t>
      </w:r>
    </w:p>
    <w:p w14:paraId="4339E70D" w14:textId="2B7A76E4" w:rsidR="00C16DA9" w:rsidRPr="0015377B" w:rsidRDefault="00B434BD" w:rsidP="0015377B">
      <w:pPr>
        <w:spacing w:line="360" w:lineRule="auto"/>
        <w:jc w:val="both"/>
        <w:rPr>
          <w:rFonts w:eastAsia="Times New Roman"/>
        </w:rPr>
      </w:pPr>
      <w:r w:rsidRPr="0015377B">
        <w:rPr>
          <w:rFonts w:eastAsia="Times New Roman"/>
        </w:rPr>
        <w:t>In a healthcare organisation, leadership failure adversely affects fundamental care and increases patients' risk (Pattison and Corser, 2023). In this context, the case highlights the poor leadership practice of healthcare professionals which is the primary cause of a patient's death. Len, an 89 years old retired engineer suffered from CMT (Charcot-Marie-Tooth) disease along with falls and experienced chest pain with breathlessness. After a contract with the GP practice, he started to take oral morphine sulphate solution but its overdose caused death. In order to the emergency team’s responses, Len’s death certificate stated his respiratory failure, pneumonia and impact of CMT (HSSIB, 2022). The purpose of the report is to improve patient safety within the health and social care organisations and highlight the necessity of a system-based healthcare approach to avoid unnecessary consequences of the identified problem</w:t>
      </w:r>
      <w:r w:rsidR="009B2EDB">
        <w:rPr>
          <w:rFonts w:eastAsia="Times New Roman"/>
        </w:rPr>
        <w:t xml:space="preserve"> </w:t>
      </w:r>
      <w:r w:rsidR="009B2EDB" w:rsidRPr="0015377B">
        <w:rPr>
          <w:rFonts w:eastAsia="Times New Roman"/>
        </w:rPr>
        <w:t>(H</w:t>
      </w:r>
      <w:r w:rsidR="009B2EDB">
        <w:rPr>
          <w:rFonts w:eastAsia="Times New Roman"/>
        </w:rPr>
        <w:t>SSIB, 2022).</w:t>
      </w:r>
      <w:r w:rsidRPr="0015377B">
        <w:rPr>
          <w:rFonts w:eastAsia="Times New Roman"/>
        </w:rPr>
        <w:t xml:space="preserve"> </w:t>
      </w:r>
    </w:p>
    <w:p w14:paraId="1F61B0AC" w14:textId="77777777" w:rsidR="00C16DA9" w:rsidRPr="0015377B" w:rsidRDefault="00B434BD" w:rsidP="0015377B">
      <w:pPr>
        <w:spacing w:line="360" w:lineRule="auto"/>
        <w:jc w:val="both"/>
        <w:rPr>
          <w:rFonts w:eastAsia="Times New Roman"/>
          <w:b/>
          <w:bCs/>
        </w:rPr>
      </w:pPr>
      <w:r w:rsidRPr="0015377B">
        <w:rPr>
          <w:rFonts w:eastAsia="Times New Roman"/>
          <w:b/>
          <w:bCs/>
        </w:rPr>
        <w:t xml:space="preserve">Leadership Definition </w:t>
      </w:r>
    </w:p>
    <w:p w14:paraId="01C36CE3" w14:textId="359F68B8" w:rsidR="00C16DA9" w:rsidRPr="0015377B" w:rsidRDefault="00B434BD" w:rsidP="0015377B">
      <w:pPr>
        <w:spacing w:line="360" w:lineRule="auto"/>
        <w:jc w:val="both"/>
        <w:rPr>
          <w:rFonts w:eastAsia="Times New Roman"/>
        </w:rPr>
      </w:pPr>
      <w:r w:rsidRPr="0015377B">
        <w:rPr>
          <w:rFonts w:eastAsia="Times New Roman"/>
        </w:rPr>
        <w:t xml:space="preserve">It is defined as a process where an individual motivates a group of people through collective direction and influences them to achieve a shared goal (Wilson, 2023). Therefore, effective leadership practice in the healthcare field is a crucial aspect to improve patient outcomes and accomplish organisational success through team collaboration and strategic decision-making choices. </w:t>
      </w:r>
      <w:r w:rsidR="009B2EDB">
        <w:rPr>
          <w:rFonts w:eastAsia="Times New Roman"/>
        </w:rPr>
        <w:t>Healthcare</w:t>
      </w:r>
      <w:r w:rsidRPr="0015377B">
        <w:rPr>
          <w:rFonts w:eastAsia="Times New Roman"/>
        </w:rPr>
        <w:t xml:space="preserve"> leaders are accountable to ensure patient safety through delivering coordinated and patient-centred care</w:t>
      </w:r>
      <w:r w:rsidR="009B2EDB">
        <w:rPr>
          <w:rFonts w:eastAsia="Times New Roman"/>
        </w:rPr>
        <w:t xml:space="preserve"> (Tedla and Hamid, 2022).</w:t>
      </w:r>
      <w:r w:rsidRPr="0015377B">
        <w:rPr>
          <w:rFonts w:eastAsia="Times New Roman"/>
        </w:rPr>
        <w:t xml:space="preserve"> </w:t>
      </w:r>
    </w:p>
    <w:p w14:paraId="4134EEFF" w14:textId="77777777" w:rsidR="00C16DA9" w:rsidRPr="0015377B" w:rsidRDefault="00B434BD" w:rsidP="0015377B">
      <w:pPr>
        <w:spacing w:line="360" w:lineRule="auto"/>
        <w:jc w:val="both"/>
        <w:rPr>
          <w:rFonts w:eastAsia="Times New Roman"/>
          <w:b/>
          <w:bCs/>
        </w:rPr>
      </w:pPr>
      <w:r w:rsidRPr="0015377B">
        <w:rPr>
          <w:rFonts w:eastAsia="Times New Roman"/>
          <w:b/>
          <w:bCs/>
        </w:rPr>
        <w:t>Centralisation and Decentralisation</w:t>
      </w:r>
    </w:p>
    <w:p w14:paraId="26C17EC3" w14:textId="77777777" w:rsidR="00C16DA9" w:rsidRPr="0015377B" w:rsidRDefault="00B434BD" w:rsidP="0015377B">
      <w:pPr>
        <w:spacing w:line="360" w:lineRule="auto"/>
        <w:jc w:val="both"/>
        <w:rPr>
          <w:rFonts w:eastAsia="Times New Roman"/>
        </w:rPr>
      </w:pPr>
      <w:r w:rsidRPr="0015377B">
        <w:rPr>
          <w:rFonts w:eastAsia="Times New Roman"/>
        </w:rPr>
        <w:t>Centralisation is demonstrated as a process where healthcare regarding decisions are made by the national or sub-national level authorities (Sreeramareddy and Sathyanarayana, 2019). Alternatively, decentralisation reflects as a mechanism that reforms the health system by delegating healthcare institutions' authority from higher-level to lower-level management. It signifies the established mechanism to empower local communities' decision-making capabilities through delivering regionalised healthcare services (Sapkota et al., 2023).</w:t>
      </w:r>
    </w:p>
    <w:p w14:paraId="6828CC50" w14:textId="77777777" w:rsidR="00C16DA9" w:rsidRPr="0015377B" w:rsidRDefault="00B434BD" w:rsidP="0015377B">
      <w:pPr>
        <w:spacing w:line="360" w:lineRule="auto"/>
        <w:jc w:val="both"/>
        <w:rPr>
          <w:rFonts w:eastAsia="Times New Roman"/>
          <w:b/>
          <w:bCs/>
        </w:rPr>
      </w:pPr>
      <w:r w:rsidRPr="0015377B">
        <w:rPr>
          <w:rFonts w:eastAsia="Times New Roman"/>
          <w:b/>
          <w:bCs/>
        </w:rPr>
        <w:t>Leadership Theories</w:t>
      </w:r>
    </w:p>
    <w:p w14:paraId="0033123A" w14:textId="1200E2BA" w:rsidR="00C16DA9" w:rsidRPr="0015377B" w:rsidRDefault="00B434BD" w:rsidP="0015377B">
      <w:pPr>
        <w:spacing w:line="360" w:lineRule="auto"/>
        <w:jc w:val="both"/>
        <w:rPr>
          <w:rFonts w:eastAsia="Times New Roman"/>
        </w:rPr>
      </w:pPr>
      <w:r w:rsidRPr="0015377B">
        <w:rPr>
          <w:rFonts w:eastAsia="Times New Roman"/>
        </w:rPr>
        <w:t xml:space="preserve">In the healthcare environment, as a critical aspect leadership is not only responsible for optimising organisational performance but also enhancing patient care quality. Within the context, leadership theories provide practical insight into healthcare professionals' roles to improve patient outcomes and ensure safety (Sikalgar et al., 2025). From the Trait theory (transformational and transactional) to functional and situational leadership will be critically demonstrated to evaluate the primary cause of patient death where Len suffered from CMT diseases and certified as dead </w:t>
      </w:r>
      <w:r w:rsidRPr="0015377B">
        <w:rPr>
          <w:rFonts w:eastAsia="Times New Roman"/>
        </w:rPr>
        <w:lastRenderedPageBreak/>
        <w:t>due to res</w:t>
      </w:r>
      <w:r w:rsidR="009B2EDB">
        <w:rPr>
          <w:rFonts w:eastAsia="Times New Roman"/>
        </w:rPr>
        <w:t xml:space="preserve">piratory failure and pneumonia. </w:t>
      </w:r>
      <w:r w:rsidRPr="0015377B">
        <w:rPr>
          <w:rFonts w:eastAsia="Times New Roman"/>
        </w:rPr>
        <w:t>Some potential facts will also be analysed that contribute to increasing patient safety for future context</w:t>
      </w:r>
      <w:r w:rsidR="009B2EDB">
        <w:rPr>
          <w:rFonts w:eastAsia="Times New Roman"/>
        </w:rPr>
        <w:t xml:space="preserve"> </w:t>
      </w:r>
      <w:r w:rsidR="009B2EDB" w:rsidRPr="0015377B">
        <w:rPr>
          <w:rFonts w:eastAsia="Times New Roman"/>
        </w:rPr>
        <w:t>(HSSIB, 2022).</w:t>
      </w:r>
    </w:p>
    <w:p w14:paraId="424EE388" w14:textId="77777777" w:rsidR="00C16DA9" w:rsidRPr="0015377B" w:rsidRDefault="00B434BD" w:rsidP="0015377B">
      <w:pPr>
        <w:spacing w:line="360" w:lineRule="auto"/>
        <w:jc w:val="both"/>
        <w:rPr>
          <w:rFonts w:eastAsia="Times New Roman"/>
          <w:b/>
          <w:bCs/>
        </w:rPr>
      </w:pPr>
      <w:r w:rsidRPr="0015377B">
        <w:rPr>
          <w:rFonts w:eastAsia="Times New Roman"/>
          <w:b/>
          <w:bCs/>
        </w:rPr>
        <w:t>Importance of Leadership</w:t>
      </w:r>
    </w:p>
    <w:p w14:paraId="677BB58B" w14:textId="77777777" w:rsidR="00C16DA9" w:rsidRPr="0015377B" w:rsidRDefault="00B434BD" w:rsidP="0015377B">
      <w:pPr>
        <w:spacing w:line="360" w:lineRule="auto"/>
        <w:jc w:val="both"/>
        <w:rPr>
          <w:rFonts w:eastAsia="Times New Roman"/>
        </w:rPr>
      </w:pPr>
      <w:r w:rsidRPr="0015377B">
        <w:rPr>
          <w:rFonts w:eastAsia="Times New Roman"/>
        </w:rPr>
        <w:t xml:space="preserve">Effective leadership practice of healthcare professionals plays a pivotal role in strengthening quality and care integration. With the help of a correct leadership style, a healthcare organisation not only measures health outcomes as a core component but also boosts high productivity levels (Sfantou et al., 2017). However, poor leadership practice results in patient dissatisfaction and reduces the efficiency of healthcare staff (Ghiasipour et al., 2017).  </w:t>
      </w:r>
    </w:p>
    <w:p w14:paraId="0FF07542" w14:textId="77777777" w:rsidR="00C16DA9" w:rsidRPr="0015377B" w:rsidRDefault="00B434BD" w:rsidP="0015377B">
      <w:pPr>
        <w:spacing w:line="360" w:lineRule="auto"/>
        <w:jc w:val="both"/>
        <w:rPr>
          <w:rFonts w:eastAsia="Times New Roman"/>
          <w:b/>
          <w:bCs/>
        </w:rPr>
      </w:pPr>
      <w:r w:rsidRPr="0015377B">
        <w:rPr>
          <w:rFonts w:eastAsia="Times New Roman"/>
          <w:b/>
          <w:bCs/>
        </w:rPr>
        <w:t>Report Structure</w:t>
      </w:r>
    </w:p>
    <w:p w14:paraId="16CF1DB3" w14:textId="77777777" w:rsidR="00C16DA9" w:rsidRPr="0015377B" w:rsidRDefault="00B434BD" w:rsidP="0015377B">
      <w:pPr>
        <w:spacing w:line="360" w:lineRule="auto"/>
        <w:jc w:val="both"/>
        <w:rPr>
          <w:rFonts w:eastAsia="Times New Roman"/>
        </w:rPr>
      </w:pPr>
      <w:r w:rsidRPr="0015377B">
        <w:rPr>
          <w:rFonts w:eastAsia="Times New Roman"/>
        </w:rPr>
        <w:t xml:space="preserve">Within the context of Len’s death, the report will investigate the problem of medication errors by using systems thinking and demonstrate whether the case study follows a centralised or decentralised healthcare system. The application of leadership theories will also be evaluated and critically discuss the impact of leadership governance on producing the case study outcomes. Moreover, recommendations will be synthesised to sustain the improvement of NHS England practice. </w:t>
      </w:r>
    </w:p>
    <w:p w14:paraId="4D49584C" w14:textId="3803675D" w:rsidR="00C16DA9" w:rsidRPr="0015377B" w:rsidRDefault="00B434BD" w:rsidP="0015377B">
      <w:pPr>
        <w:pStyle w:val="Heading1"/>
        <w:rPr>
          <w:szCs w:val="22"/>
        </w:rPr>
      </w:pPr>
      <w:bookmarkStart w:id="1" w:name="_Toc226197628"/>
      <w:r w:rsidRPr="0015377B">
        <w:rPr>
          <w:szCs w:val="22"/>
        </w:rPr>
        <w:t>2. Main Body and Analysis</w:t>
      </w:r>
      <w:bookmarkEnd w:id="1"/>
    </w:p>
    <w:p w14:paraId="75DB3662" w14:textId="186E1C4B" w:rsidR="00C16DA9" w:rsidRPr="0015377B" w:rsidRDefault="00B434BD" w:rsidP="0015377B">
      <w:pPr>
        <w:pStyle w:val="Heading2"/>
        <w:rPr>
          <w:szCs w:val="22"/>
        </w:rPr>
      </w:pPr>
      <w:bookmarkStart w:id="2" w:name="_Toc226197629"/>
      <w:r w:rsidRPr="0015377B">
        <w:rPr>
          <w:szCs w:val="22"/>
        </w:rPr>
        <w:t>a. Identification of the Pr</w:t>
      </w:r>
      <w:r w:rsidR="00AA117E" w:rsidRPr="0015377B">
        <w:rPr>
          <w:szCs w:val="22"/>
        </w:rPr>
        <w:t>oblem Using Systems Thinking</w:t>
      </w:r>
      <w:bookmarkEnd w:id="2"/>
    </w:p>
    <w:p w14:paraId="75C2439C" w14:textId="77777777" w:rsidR="00C16DA9" w:rsidRPr="0015377B" w:rsidRDefault="00B434BD" w:rsidP="0015377B">
      <w:pPr>
        <w:spacing w:line="360" w:lineRule="auto"/>
        <w:jc w:val="both"/>
        <w:rPr>
          <w:rFonts w:eastAsia="Times New Roman"/>
          <w:b/>
          <w:bCs/>
        </w:rPr>
      </w:pPr>
      <w:r w:rsidRPr="0015377B">
        <w:rPr>
          <w:rFonts w:eastAsia="Times New Roman"/>
          <w:b/>
          <w:bCs/>
        </w:rPr>
        <w:t>Problem Identification</w:t>
      </w:r>
    </w:p>
    <w:p w14:paraId="38A8BB2C" w14:textId="2DF505BD" w:rsidR="00C16DA9" w:rsidRPr="0015377B" w:rsidRDefault="00B434BD" w:rsidP="0015377B">
      <w:pPr>
        <w:spacing w:line="360" w:lineRule="auto"/>
        <w:jc w:val="both"/>
        <w:rPr>
          <w:rFonts w:eastAsia="Times New Roman"/>
        </w:rPr>
      </w:pPr>
      <w:r w:rsidRPr="0015377B">
        <w:rPr>
          <w:rFonts w:eastAsia="Times New Roman"/>
        </w:rPr>
        <w:t>The case study reflects a systemic medication failure (overdose of morphine sulphate solution) that caused the death of Len who is diagnosed with CMT which adversely affects his nervous system. Len and his wife’s lack of healthcare education also caused the problem as well as the poor oversight of healthcare leaders affects patient safety across the healthcare system (HSSIB, 2022). It determines that fatal medication overdose to inadequate leadership oversight and low health literacy ultimately cause the problem and disrupts health organisations' patient-centred care</w:t>
      </w:r>
      <w:r w:rsidR="009B2EDB">
        <w:rPr>
          <w:rFonts w:eastAsia="Times New Roman"/>
        </w:rPr>
        <w:t xml:space="preserve"> </w:t>
      </w:r>
      <w:r w:rsidR="009B2EDB" w:rsidRPr="0015377B">
        <w:rPr>
          <w:rFonts w:eastAsia="Times New Roman"/>
        </w:rPr>
        <w:t>(HSSIB, 2022)</w:t>
      </w:r>
      <w:r w:rsidRPr="0015377B">
        <w:rPr>
          <w:rFonts w:eastAsia="Times New Roman"/>
        </w:rPr>
        <w:t>.</w:t>
      </w:r>
    </w:p>
    <w:p w14:paraId="3C21586F" w14:textId="77777777" w:rsidR="00C16DA9" w:rsidRPr="0015377B" w:rsidRDefault="00B434BD" w:rsidP="0015377B">
      <w:pPr>
        <w:spacing w:line="360" w:lineRule="auto"/>
        <w:jc w:val="both"/>
        <w:rPr>
          <w:rFonts w:eastAsia="Times New Roman"/>
          <w:b/>
          <w:bCs/>
        </w:rPr>
      </w:pPr>
      <w:r w:rsidRPr="0015377B">
        <w:rPr>
          <w:rFonts w:eastAsia="Times New Roman"/>
          <w:b/>
          <w:bCs/>
        </w:rPr>
        <w:t>Usage of National and International Data</w:t>
      </w:r>
    </w:p>
    <w:p w14:paraId="664A5ECF" w14:textId="3F861BFB" w:rsidR="00C16DA9" w:rsidRPr="0015377B" w:rsidRDefault="00B434BD" w:rsidP="0015377B">
      <w:pPr>
        <w:spacing w:line="360" w:lineRule="auto"/>
        <w:jc w:val="both"/>
        <w:rPr>
          <w:rFonts w:eastAsia="Times New Roman"/>
        </w:rPr>
      </w:pPr>
      <w:r w:rsidRPr="0015377B">
        <w:rPr>
          <w:rFonts w:eastAsia="Times New Roman"/>
          <w:b/>
          <w:bCs/>
          <w:i/>
          <w:iCs/>
        </w:rPr>
        <w:t>World Health Organisation (WHO)</w:t>
      </w:r>
      <w:r w:rsidRPr="0015377B">
        <w:rPr>
          <w:rFonts w:eastAsia="Times New Roman"/>
          <w:b/>
          <w:bCs/>
        </w:rPr>
        <w:t>:</w:t>
      </w:r>
      <w:r w:rsidRPr="0015377B">
        <w:rPr>
          <w:rFonts w:eastAsia="Times New Roman"/>
        </w:rPr>
        <w:t xml:space="preserve"> Multiple factors disrupt patients’ safety that cause patient harm such as medication errors, diagnostic failures, misidentification of patient problems and others. One in every 10 patients experiences unsafe healthcare practices which causes over three million deaths globally. Inadequate healthcare practice is determined as a root cause of many problems such as patient deaths and immensely affects the healthcare provision</w:t>
      </w:r>
      <w:r w:rsidR="009B2EDB">
        <w:rPr>
          <w:rFonts w:eastAsia="Times New Roman"/>
        </w:rPr>
        <w:t xml:space="preserve"> </w:t>
      </w:r>
      <w:r w:rsidR="009B2EDB" w:rsidRPr="0015377B">
        <w:rPr>
          <w:rFonts w:eastAsia="Times New Roman"/>
        </w:rPr>
        <w:t>(WHO, 2023</w:t>
      </w:r>
      <w:r w:rsidR="009B2EDB">
        <w:rPr>
          <w:rFonts w:eastAsia="Times New Roman"/>
        </w:rPr>
        <w:t>)</w:t>
      </w:r>
      <w:r w:rsidRPr="0015377B">
        <w:rPr>
          <w:rFonts w:eastAsia="Times New Roman"/>
        </w:rPr>
        <w:t xml:space="preserve">. </w:t>
      </w:r>
    </w:p>
    <w:p w14:paraId="4E2405C9" w14:textId="77777777" w:rsidR="00C16DA9" w:rsidRPr="0015377B" w:rsidRDefault="00B434BD" w:rsidP="0015377B">
      <w:pPr>
        <w:spacing w:line="360" w:lineRule="auto"/>
        <w:jc w:val="center"/>
        <w:rPr>
          <w:rFonts w:eastAsia="Times New Roman"/>
        </w:rPr>
      </w:pPr>
      <w:r w:rsidRPr="0015377B">
        <w:rPr>
          <w:rFonts w:eastAsia="Times New Roman"/>
          <w:noProof/>
          <w:lang w:val="en-IN"/>
        </w:rPr>
        <w:lastRenderedPageBreak/>
        <w:drawing>
          <wp:inline distT="114300" distB="114300" distL="114300" distR="114300" wp14:anchorId="48E45E38" wp14:editId="7BFF66CE">
            <wp:extent cx="5943600" cy="2628900"/>
            <wp:effectExtent l="25400" t="25400" r="25400" b="2540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943600" cy="2628900"/>
                    </a:xfrm>
                    <a:prstGeom prst="rect">
                      <a:avLst/>
                    </a:prstGeom>
                    <a:ln w="25400">
                      <a:solidFill>
                        <a:srgbClr val="000000"/>
                      </a:solidFill>
                      <a:prstDash val="solid"/>
                    </a:ln>
                  </pic:spPr>
                </pic:pic>
              </a:graphicData>
            </a:graphic>
          </wp:inline>
        </w:drawing>
      </w:r>
    </w:p>
    <w:p w14:paraId="56FEE103" w14:textId="77777777" w:rsidR="00C16DA9" w:rsidRPr="0015377B" w:rsidRDefault="00B434BD" w:rsidP="0015377B">
      <w:pPr>
        <w:pStyle w:val="Heading4"/>
        <w:rPr>
          <w:szCs w:val="22"/>
        </w:rPr>
      </w:pPr>
      <w:bookmarkStart w:id="3" w:name="_Toc226197887"/>
      <w:r w:rsidRPr="0015377B">
        <w:rPr>
          <w:szCs w:val="22"/>
        </w:rPr>
        <w:t>Figure 1: Prevalence rate of the preventable medication-related harm by regions</w:t>
      </w:r>
      <w:bookmarkEnd w:id="3"/>
    </w:p>
    <w:p w14:paraId="0B0B06A3" w14:textId="77777777" w:rsidR="00C16DA9" w:rsidRPr="0015377B" w:rsidRDefault="00B434BD" w:rsidP="0015377B">
      <w:pPr>
        <w:spacing w:line="360" w:lineRule="auto"/>
        <w:jc w:val="center"/>
        <w:rPr>
          <w:rFonts w:eastAsia="Times New Roman"/>
        </w:rPr>
      </w:pPr>
      <w:r w:rsidRPr="0015377B">
        <w:rPr>
          <w:rFonts w:eastAsia="Times New Roman"/>
        </w:rPr>
        <w:t>(Source, WHO, 2023a)</w:t>
      </w:r>
    </w:p>
    <w:p w14:paraId="410A46D3" w14:textId="60DAF749" w:rsidR="00C16DA9" w:rsidRPr="0015377B" w:rsidRDefault="003228E7" w:rsidP="0015377B">
      <w:pPr>
        <w:spacing w:line="360" w:lineRule="auto"/>
        <w:jc w:val="both"/>
        <w:rPr>
          <w:rFonts w:eastAsia="Times New Roman"/>
        </w:rPr>
      </w:pPr>
      <w:r>
        <w:rPr>
          <w:rFonts w:eastAsia="Times New Roman"/>
        </w:rPr>
        <w:t>According to Figure 1</w:t>
      </w:r>
      <w:r w:rsidR="00B434BD" w:rsidRPr="0015377B">
        <w:rPr>
          <w:rFonts w:eastAsia="Times New Roman"/>
        </w:rPr>
        <w:t xml:space="preserve">, African people are mostly affected by improper medication management. Therefore, patients face a higher risk of physical injuries or loss of their lives (WHO, 2023a). Due to poor quality care more than 5.7 to 8.4 million deaths occurred in the LMICs (Low and Middle Income Countries) worldwide. It determines that these deaths are not only considered as the non-unavoidable consequences of illnesses but also result in systemic failure globally </w:t>
      </w:r>
      <w:r w:rsidR="009B2EDB" w:rsidRPr="0015377B">
        <w:rPr>
          <w:rFonts w:eastAsia="Times New Roman"/>
        </w:rPr>
        <w:t>(WHO, 2025)</w:t>
      </w:r>
      <w:r w:rsidR="009B2EDB" w:rsidRPr="0015377B">
        <w:rPr>
          <w:rFonts w:eastAsia="Times New Roman"/>
          <w:b/>
          <w:bCs/>
        </w:rPr>
        <w:t xml:space="preserve"> </w:t>
      </w:r>
      <w:r w:rsidR="00B434BD" w:rsidRPr="0015377B">
        <w:rPr>
          <w:rFonts w:eastAsia="Times New Roman"/>
          <w:b/>
          <w:bCs/>
        </w:rPr>
        <w:t>[</w:t>
      </w:r>
      <w:r w:rsidR="00B434BD" w:rsidRPr="0015377B">
        <w:rPr>
          <w:rFonts w:eastAsia="Times New Roman"/>
          <w:b/>
          <w:bCs/>
          <w:i/>
          <w:iCs/>
        </w:rPr>
        <w:t>Refer to Appendix</w:t>
      </w:r>
      <w:r w:rsidR="00B434BD" w:rsidRPr="0015377B">
        <w:rPr>
          <w:rFonts w:eastAsia="Times New Roman"/>
          <w:b/>
          <w:bCs/>
        </w:rPr>
        <w:t>]</w:t>
      </w:r>
      <w:r w:rsidR="00B434BD" w:rsidRPr="0015377B">
        <w:rPr>
          <w:rFonts w:eastAsia="Times New Roman"/>
        </w:rPr>
        <w:t xml:space="preserve">. </w:t>
      </w:r>
    </w:p>
    <w:p w14:paraId="424BDB8D"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1017DA9C" wp14:editId="7E2A4A31">
            <wp:extent cx="5363957" cy="2654796"/>
            <wp:effectExtent l="25400" t="25400" r="25400" b="25400"/>
            <wp:docPr id="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0"/>
                    <a:srcRect/>
                    <a:stretch>
                      <a:fillRect/>
                    </a:stretch>
                  </pic:blipFill>
                  <pic:spPr>
                    <a:xfrm>
                      <a:off x="0" y="0"/>
                      <a:ext cx="5363957" cy="2654796"/>
                    </a:xfrm>
                    <a:prstGeom prst="rect">
                      <a:avLst/>
                    </a:prstGeom>
                    <a:ln w="25400">
                      <a:solidFill>
                        <a:srgbClr val="000000"/>
                      </a:solidFill>
                      <a:prstDash val="solid"/>
                    </a:ln>
                  </pic:spPr>
                </pic:pic>
              </a:graphicData>
            </a:graphic>
          </wp:inline>
        </w:drawing>
      </w:r>
    </w:p>
    <w:p w14:paraId="73329453" w14:textId="77777777" w:rsidR="00C16DA9" w:rsidRPr="0015377B" w:rsidRDefault="00B434BD" w:rsidP="0015377B">
      <w:pPr>
        <w:pStyle w:val="Heading4"/>
        <w:rPr>
          <w:szCs w:val="22"/>
        </w:rPr>
      </w:pPr>
      <w:bookmarkStart w:id="4" w:name="_Toc226197888"/>
      <w:r w:rsidRPr="0015377B">
        <w:rPr>
          <w:szCs w:val="22"/>
        </w:rPr>
        <w:t>Figure 2: Prevalence of medication-related harm globally</w:t>
      </w:r>
      <w:bookmarkEnd w:id="4"/>
    </w:p>
    <w:p w14:paraId="767127C4" w14:textId="77777777" w:rsidR="00C16DA9" w:rsidRPr="0015377B" w:rsidRDefault="00B434BD" w:rsidP="0015377B">
      <w:pPr>
        <w:spacing w:line="360" w:lineRule="auto"/>
        <w:jc w:val="center"/>
        <w:rPr>
          <w:rFonts w:eastAsia="Times New Roman"/>
        </w:rPr>
      </w:pPr>
      <w:r w:rsidRPr="0015377B">
        <w:rPr>
          <w:rFonts w:eastAsia="Times New Roman"/>
        </w:rPr>
        <w:t>(Source: WHO, 2023a)</w:t>
      </w:r>
    </w:p>
    <w:p w14:paraId="6E0F6E88" w14:textId="340B397D" w:rsidR="00C16DA9" w:rsidRPr="0015377B" w:rsidRDefault="003228E7" w:rsidP="0015377B">
      <w:pPr>
        <w:spacing w:line="360" w:lineRule="auto"/>
        <w:jc w:val="both"/>
        <w:rPr>
          <w:rFonts w:eastAsia="Times New Roman"/>
        </w:rPr>
      </w:pPr>
      <w:r>
        <w:rPr>
          <w:rFonts w:eastAsia="Times New Roman"/>
        </w:rPr>
        <w:lastRenderedPageBreak/>
        <w:t>Figure 2 depicts that b</w:t>
      </w:r>
      <w:r w:rsidR="00B434BD" w:rsidRPr="0015377B">
        <w:rPr>
          <w:rFonts w:eastAsia="Times New Roman"/>
        </w:rPr>
        <w:t xml:space="preserve">etween 2020 and 2022, the prevalence rate of medication-based harm increased and reach 28.09%. This upward trend highlights that patients are suffering due to any physical disabilities or have lost their lives (WHO, 2023a). </w:t>
      </w:r>
    </w:p>
    <w:p w14:paraId="611039A3" w14:textId="0F72E573" w:rsidR="00C16DA9" w:rsidRPr="0015377B" w:rsidRDefault="00B434BD" w:rsidP="0015377B">
      <w:pPr>
        <w:spacing w:line="360" w:lineRule="auto"/>
        <w:jc w:val="both"/>
        <w:rPr>
          <w:rFonts w:eastAsia="Times New Roman"/>
        </w:rPr>
      </w:pPr>
      <w:r w:rsidRPr="0015377B">
        <w:rPr>
          <w:rFonts w:eastAsia="Times New Roman"/>
          <w:b/>
          <w:bCs/>
          <w:i/>
          <w:iCs/>
        </w:rPr>
        <w:t>National Health Service (NHS)</w:t>
      </w:r>
      <w:r w:rsidRPr="0015377B">
        <w:rPr>
          <w:rFonts w:eastAsia="Times New Roman"/>
          <w:b/>
          <w:bCs/>
        </w:rPr>
        <w:t>:</w:t>
      </w:r>
      <w:r w:rsidRPr="0015377B">
        <w:rPr>
          <w:rFonts w:eastAsia="Times New Roman"/>
        </w:rPr>
        <w:t xml:space="preserve"> In the UK healthcare setting, a significant patient safety concern is medication errors. </w:t>
      </w:r>
      <w:r w:rsidR="009B2EDB">
        <w:rPr>
          <w:rFonts w:eastAsia="Times New Roman"/>
        </w:rPr>
        <w:t>The</w:t>
      </w:r>
      <w:r w:rsidRPr="0015377B">
        <w:rPr>
          <w:rFonts w:eastAsia="Times New Roman"/>
        </w:rPr>
        <w:t xml:space="preserve"> problem is described as a preventable event which causes patient harm while disproportionate mediation is taken by patients or prescribing the healthcare professionals</w:t>
      </w:r>
      <w:r w:rsidR="009B2EDB">
        <w:rPr>
          <w:rFonts w:eastAsia="Times New Roman"/>
        </w:rPr>
        <w:t xml:space="preserve"> (Alrowily et al., 2025)</w:t>
      </w:r>
      <w:r w:rsidRPr="0015377B">
        <w:rPr>
          <w:rFonts w:eastAsia="Times New Roman"/>
        </w:rPr>
        <w:t xml:space="preserve"> </w:t>
      </w:r>
    </w:p>
    <w:p w14:paraId="46800126"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376D2A7E" wp14:editId="720404CE">
            <wp:extent cx="4772025" cy="2409825"/>
            <wp:effectExtent l="25400" t="25400" r="25400" b="25400"/>
            <wp:docPr id="2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772025" cy="2409825"/>
                    </a:xfrm>
                    <a:prstGeom prst="rect">
                      <a:avLst/>
                    </a:prstGeom>
                    <a:ln w="25400">
                      <a:solidFill>
                        <a:srgbClr val="000000"/>
                      </a:solidFill>
                      <a:prstDash val="solid"/>
                    </a:ln>
                  </pic:spPr>
                </pic:pic>
              </a:graphicData>
            </a:graphic>
          </wp:inline>
        </w:drawing>
      </w:r>
    </w:p>
    <w:p w14:paraId="37B8EDF7" w14:textId="77777777" w:rsidR="00C16DA9" w:rsidRPr="0015377B" w:rsidRDefault="00B434BD" w:rsidP="0015377B">
      <w:pPr>
        <w:pStyle w:val="Heading4"/>
        <w:rPr>
          <w:szCs w:val="22"/>
        </w:rPr>
      </w:pPr>
      <w:bookmarkStart w:id="5" w:name="_Toc226197889"/>
      <w:r w:rsidRPr="0015377B">
        <w:rPr>
          <w:szCs w:val="22"/>
        </w:rPr>
        <w:t>Figure 3: Medication errors experienced by the UK patients</w:t>
      </w:r>
      <w:bookmarkEnd w:id="5"/>
    </w:p>
    <w:p w14:paraId="4C8DEA6E" w14:textId="77777777" w:rsidR="00C16DA9" w:rsidRPr="0015377B" w:rsidRDefault="00B434BD" w:rsidP="0015377B">
      <w:pPr>
        <w:spacing w:line="360" w:lineRule="auto"/>
        <w:jc w:val="center"/>
        <w:rPr>
          <w:rFonts w:eastAsia="Times New Roman"/>
        </w:rPr>
      </w:pPr>
      <w:r w:rsidRPr="0015377B">
        <w:rPr>
          <w:rFonts w:eastAsia="Times New Roman"/>
        </w:rPr>
        <w:t>(Source: NHS Resolution, 2022)</w:t>
      </w:r>
    </w:p>
    <w:p w14:paraId="7B6765A9" w14:textId="7EAC9633" w:rsidR="00C16DA9" w:rsidRPr="0015377B" w:rsidRDefault="00830580" w:rsidP="0015377B">
      <w:pPr>
        <w:spacing w:line="360" w:lineRule="auto"/>
        <w:jc w:val="both"/>
        <w:rPr>
          <w:rFonts w:eastAsia="Times New Roman"/>
        </w:rPr>
      </w:pPr>
      <w:r>
        <w:rPr>
          <w:rFonts w:eastAsia="Times New Roman"/>
        </w:rPr>
        <w:t xml:space="preserve">As per figure 3, </w:t>
      </w:r>
      <w:r w:rsidR="00B434BD" w:rsidRPr="0015377B">
        <w:rPr>
          <w:rFonts w:eastAsia="Times New Roman"/>
        </w:rPr>
        <w:t xml:space="preserve">27% of UK patients receive the wrong dose as per their required medication whereas 18% patients are treated the wrong way due to a lack of healthcare professionals' administrations </w:t>
      </w:r>
      <w:r>
        <w:rPr>
          <w:rFonts w:eastAsia="Times New Roman"/>
        </w:rPr>
        <w:t xml:space="preserve">in 2022 </w:t>
      </w:r>
      <w:r w:rsidR="00B434BD" w:rsidRPr="0015377B">
        <w:rPr>
          <w:rFonts w:eastAsia="Times New Roman"/>
        </w:rPr>
        <w:t xml:space="preserve">(NHS Resolution, 2022). In addition, approximately 27 million medication errors occur in NHS England every year. It indicates that inadequate medication may create worse conditions for patients or even death </w:t>
      </w:r>
      <w:r w:rsidR="009B2EDB" w:rsidRPr="0015377B">
        <w:rPr>
          <w:rFonts w:eastAsia="Times New Roman"/>
        </w:rPr>
        <w:t>(CQC, 2022</w:t>
      </w:r>
      <w:r w:rsidR="009B2EDB">
        <w:rPr>
          <w:rFonts w:eastAsia="Times New Roman"/>
        </w:rPr>
        <w:t>)</w:t>
      </w:r>
      <w:r w:rsidR="009B2EDB" w:rsidRPr="0015377B">
        <w:rPr>
          <w:rFonts w:eastAsia="Times New Roman"/>
          <w:b/>
          <w:bCs/>
        </w:rPr>
        <w:t xml:space="preserve"> </w:t>
      </w:r>
      <w:r w:rsidR="00B434BD" w:rsidRPr="0015377B">
        <w:rPr>
          <w:rFonts w:eastAsia="Times New Roman"/>
          <w:b/>
          <w:bCs/>
        </w:rPr>
        <w:t>[</w:t>
      </w:r>
      <w:r w:rsidR="00B434BD" w:rsidRPr="0015377B">
        <w:rPr>
          <w:rFonts w:eastAsia="Times New Roman"/>
          <w:b/>
          <w:bCs/>
          <w:i/>
          <w:iCs/>
        </w:rPr>
        <w:t>Refer to Appendix</w:t>
      </w:r>
      <w:r w:rsidR="00B434BD" w:rsidRPr="0015377B">
        <w:rPr>
          <w:rFonts w:eastAsia="Times New Roman"/>
          <w:b/>
          <w:bCs/>
        </w:rPr>
        <w:t>]</w:t>
      </w:r>
      <w:r w:rsidR="00B434BD" w:rsidRPr="0015377B">
        <w:rPr>
          <w:rFonts w:eastAsia="Times New Roman"/>
        </w:rPr>
        <w:t>.</w:t>
      </w:r>
    </w:p>
    <w:p w14:paraId="48B3ED38" w14:textId="05FEA9B8" w:rsidR="00C16DA9" w:rsidRPr="0015377B" w:rsidRDefault="00B434BD" w:rsidP="0015377B">
      <w:pPr>
        <w:spacing w:line="360" w:lineRule="auto"/>
        <w:jc w:val="both"/>
        <w:rPr>
          <w:rFonts w:eastAsia="Times New Roman"/>
        </w:rPr>
      </w:pPr>
      <w:r w:rsidRPr="0015377B">
        <w:rPr>
          <w:rFonts w:eastAsia="Times New Roman"/>
          <w:b/>
          <w:bCs/>
          <w:i/>
          <w:iCs/>
        </w:rPr>
        <w:t>Institute for Healthcare Improvement (IHI)</w:t>
      </w:r>
      <w:r w:rsidRPr="0015377B">
        <w:rPr>
          <w:rFonts w:eastAsia="Times New Roman"/>
          <w:b/>
          <w:bCs/>
        </w:rPr>
        <w:t>:</w:t>
      </w:r>
      <w:r w:rsidRPr="0015377B">
        <w:rPr>
          <w:rFonts w:eastAsia="Times New Roman"/>
        </w:rPr>
        <w:t xml:space="preserve"> Medical error not only affects the patients but also creates a long-term worse situation for their families. </w:t>
      </w:r>
      <w:r w:rsidR="009B2EDB">
        <w:rPr>
          <w:rFonts w:eastAsia="Times New Roman"/>
        </w:rPr>
        <w:t>P</w:t>
      </w:r>
      <w:r w:rsidRPr="0015377B">
        <w:rPr>
          <w:rFonts w:eastAsia="Times New Roman"/>
        </w:rPr>
        <w:t>atients and family members are not only affected by the emotional toll of serious harmful events but also go through post-traumatic psychological distress</w:t>
      </w:r>
      <w:r w:rsidR="009B2EDB">
        <w:rPr>
          <w:rFonts w:eastAsia="Times New Roman"/>
        </w:rPr>
        <w:t xml:space="preserve"> (Bell, 2019)</w:t>
      </w:r>
      <w:r w:rsidRPr="0015377B">
        <w:rPr>
          <w:rFonts w:eastAsia="Times New Roman"/>
        </w:rPr>
        <w:t xml:space="preserve">. Based on the IHI National Survey 2017, around 73% of patients experience harmful events which also creates psychological impact like depression, suicidal ideation, trust erosion or leads to anger and anxiety. It is determined that medical errors carry long-term consequences for both patients and their families who need appropriate care and psychological support to overcome this burden </w:t>
      </w:r>
      <w:r w:rsidR="009B2EDB" w:rsidRPr="0015377B">
        <w:rPr>
          <w:rFonts w:eastAsia="Times New Roman"/>
        </w:rPr>
        <w:t>(Bell, 2019</w:t>
      </w:r>
      <w:r w:rsidR="009B2EDB">
        <w:rPr>
          <w:rFonts w:eastAsia="Times New Roman"/>
        </w:rPr>
        <w:t>)</w:t>
      </w:r>
      <w:r w:rsidR="009B2EDB" w:rsidRPr="0015377B">
        <w:rPr>
          <w:rFonts w:eastAsia="Times New Roman"/>
          <w:b/>
          <w:bCs/>
        </w:rPr>
        <w:t xml:space="preserve"> </w:t>
      </w:r>
      <w:r w:rsidRPr="0015377B">
        <w:rPr>
          <w:rFonts w:eastAsia="Times New Roman"/>
          <w:b/>
          <w:bCs/>
        </w:rPr>
        <w:t>[</w:t>
      </w:r>
      <w:r w:rsidRPr="0015377B">
        <w:rPr>
          <w:rFonts w:eastAsia="Times New Roman"/>
          <w:b/>
          <w:bCs/>
          <w:i/>
          <w:iCs/>
        </w:rPr>
        <w:t>Refer to Appendix</w:t>
      </w:r>
      <w:r w:rsidRPr="0015377B">
        <w:rPr>
          <w:rFonts w:eastAsia="Times New Roman"/>
          <w:b/>
          <w:bCs/>
        </w:rPr>
        <w:t>]</w:t>
      </w:r>
      <w:r w:rsidRPr="0015377B">
        <w:rPr>
          <w:rFonts w:eastAsia="Times New Roman"/>
        </w:rPr>
        <w:t xml:space="preserve">. </w:t>
      </w:r>
    </w:p>
    <w:p w14:paraId="39A05BAE" w14:textId="77777777" w:rsidR="00C16DA9" w:rsidRPr="0015377B" w:rsidRDefault="00B434BD" w:rsidP="0015377B">
      <w:pPr>
        <w:spacing w:line="360" w:lineRule="auto"/>
        <w:jc w:val="both"/>
        <w:rPr>
          <w:rFonts w:eastAsia="Times New Roman"/>
          <w:b/>
          <w:bCs/>
        </w:rPr>
      </w:pPr>
      <w:r w:rsidRPr="0015377B">
        <w:rPr>
          <w:rFonts w:eastAsia="Times New Roman"/>
          <w:b/>
          <w:bCs/>
        </w:rPr>
        <w:t>Investigation of Systemic Weaknesses</w:t>
      </w:r>
    </w:p>
    <w:p w14:paraId="57E9EFFC" w14:textId="115C2751" w:rsidR="00C16DA9" w:rsidRPr="0015377B" w:rsidRDefault="00B434BD" w:rsidP="0015377B">
      <w:pPr>
        <w:spacing w:line="360" w:lineRule="auto"/>
        <w:jc w:val="both"/>
        <w:rPr>
          <w:rFonts w:eastAsia="Times New Roman"/>
        </w:rPr>
      </w:pPr>
      <w:r w:rsidRPr="0015377B">
        <w:rPr>
          <w:rFonts w:eastAsia="Times New Roman"/>
        </w:rPr>
        <w:lastRenderedPageBreak/>
        <w:t>The case of Len’s reflects that the misunderstanding of medication intake, poor quality health checkup and lack of patient education highlight the systemic weakness instead of individual error. It is found that Len and his wife fail to understand the label of morphine liquid which is prescribed by the GP as a primary healthcare process. Therefore, the patient consumed an overdose of the medicine which led to his death (HSSIB, 2022). It is determined the lack of patients' healthcare education is another barrier faced by Len and his wife. They are unable to open the morphine bottle which is packaged with a child-resistant lid (HSSIB, 2022). It needs community pharmacy support for accessing medication therapy management and improving the health education of patients and their famili</w:t>
      </w:r>
      <w:r w:rsidR="009B2EDB">
        <w:rPr>
          <w:rFonts w:eastAsia="Times New Roman"/>
        </w:rPr>
        <w:t>es. T</w:t>
      </w:r>
      <w:r w:rsidRPr="0015377B">
        <w:rPr>
          <w:rFonts w:eastAsia="Times New Roman"/>
        </w:rPr>
        <w:t>he UK community pharmacy faces a crisis of workforce shortage. Thus, around 138 pharmacies closed their operation from the business landscape and immensely affected the healthcare literacy of patients</w:t>
      </w:r>
      <w:r w:rsidR="009B2EDB">
        <w:rPr>
          <w:rFonts w:eastAsia="Times New Roman"/>
        </w:rPr>
        <w:t xml:space="preserve"> (Connelly, 2023).</w:t>
      </w:r>
    </w:p>
    <w:p w14:paraId="44A88537" w14:textId="2C89A239" w:rsidR="00C16DA9" w:rsidRPr="0015377B" w:rsidRDefault="00B434BD" w:rsidP="0015377B">
      <w:pPr>
        <w:spacing w:line="360" w:lineRule="auto"/>
        <w:jc w:val="both"/>
        <w:rPr>
          <w:rFonts w:eastAsia="Times New Roman"/>
        </w:rPr>
      </w:pPr>
      <w:r w:rsidRPr="0015377B">
        <w:rPr>
          <w:rFonts w:eastAsia="Times New Roman"/>
        </w:rPr>
        <w:t xml:space="preserve">Secondly, exceeding the recommended therapeutic doses may create life-threatening conditions for patients. The consumption of morphine liquid overdoses plays a significant role in causing Len's respiratory issues. Since 2016, drug poisoning deaths have increased to around 3,744 where 69% of the UK population are facing life-threatening experiences due to misuse of medicines (Local Government Association, 2026). It depicts that the overdoses of drugs also increased the risks of lingering illness such as renal dysfunction or respiratory diseases (Khan et al., 2024). Furthermore, inadequate leadership monitoring plays an immense role in causing the serious cases where Len needs emergency treatment to treat the worsening condition of CMT (HSSIB, 2022). </w:t>
      </w:r>
      <w:r w:rsidR="009B2EDB">
        <w:rPr>
          <w:rFonts w:eastAsia="Times New Roman"/>
        </w:rPr>
        <w:t>It</w:t>
      </w:r>
      <w:r w:rsidRPr="0015377B">
        <w:rPr>
          <w:rFonts w:eastAsia="Times New Roman"/>
        </w:rPr>
        <w:t xml:space="preserve"> is a group of inherited neurological disorders which affect the peripheral nerves of humans and cause progressive weakness especially in the legs and arms. As a common nerve disorder one in 2,500 people in the UK suffer from CMT who need proper pain management strategies and psychological support from healthcare professionals such as doctors and nurses. It highlights the presence of leaders fragmentated multi-disciplinary care that is delayed to optimise effective clinical intervention</w:t>
      </w:r>
      <w:r w:rsidR="009B2EDB">
        <w:rPr>
          <w:rFonts w:eastAsia="Times New Roman"/>
        </w:rPr>
        <w:t xml:space="preserve"> (Royal Bucks, </w:t>
      </w:r>
      <w:r w:rsidR="009B2EDB" w:rsidRPr="0015377B">
        <w:rPr>
          <w:rFonts w:eastAsia="Times New Roman"/>
        </w:rPr>
        <w:t>2025</w:t>
      </w:r>
      <w:r w:rsidR="009B2EDB">
        <w:rPr>
          <w:rFonts w:eastAsia="Times New Roman"/>
        </w:rPr>
        <w:t>)</w:t>
      </w:r>
      <w:r w:rsidRPr="0015377B">
        <w:rPr>
          <w:rFonts w:eastAsia="Times New Roman"/>
        </w:rPr>
        <w:t xml:space="preserve">. </w:t>
      </w:r>
    </w:p>
    <w:p w14:paraId="100B73B0" w14:textId="77777777" w:rsidR="00C16DA9" w:rsidRPr="0015377B" w:rsidRDefault="00B434BD" w:rsidP="0015377B">
      <w:pPr>
        <w:spacing w:line="360" w:lineRule="auto"/>
        <w:jc w:val="both"/>
        <w:rPr>
          <w:rFonts w:eastAsia="Times New Roman"/>
          <w:b/>
          <w:bCs/>
        </w:rPr>
      </w:pPr>
      <w:r w:rsidRPr="0015377B">
        <w:rPr>
          <w:rFonts w:eastAsia="Times New Roman"/>
          <w:b/>
          <w:bCs/>
        </w:rPr>
        <w:t xml:space="preserve">Identification of Governance Level </w:t>
      </w:r>
    </w:p>
    <w:p w14:paraId="2261DF36" w14:textId="77777777" w:rsidR="00C16DA9" w:rsidRPr="0015377B" w:rsidRDefault="00B434BD" w:rsidP="0015377B">
      <w:pPr>
        <w:spacing w:line="360" w:lineRule="auto"/>
        <w:jc w:val="both"/>
        <w:rPr>
          <w:rFonts w:eastAsia="Times New Roman"/>
          <w:b/>
          <w:bCs/>
        </w:rPr>
      </w:pPr>
      <w:r w:rsidRPr="0015377B">
        <w:rPr>
          <w:rFonts w:eastAsia="Times New Roman"/>
        </w:rPr>
        <w:t xml:space="preserve">Several governance factors influence the primary cause of medication error that led to the death of Len. From the local to regional and national level healthcare setting not only determines the accessibility and quality of care but also highlights poor governance practice which is a major driver of mortality (WHO, 2025). </w:t>
      </w:r>
    </w:p>
    <w:p w14:paraId="1FBCDDE8" w14:textId="77777777" w:rsidR="00C16DA9" w:rsidRPr="0015377B" w:rsidRDefault="00B434BD" w:rsidP="0015377B">
      <w:pPr>
        <w:spacing w:line="360" w:lineRule="auto"/>
        <w:jc w:val="both"/>
        <w:rPr>
          <w:rFonts w:eastAsia="Times New Roman"/>
        </w:rPr>
      </w:pPr>
      <w:r w:rsidRPr="0015377B">
        <w:rPr>
          <w:rFonts w:eastAsia="Times New Roman"/>
          <w:b/>
          <w:bCs/>
          <w:i/>
          <w:iCs/>
        </w:rPr>
        <w:t>Local</w:t>
      </w:r>
      <w:r w:rsidRPr="0015377B">
        <w:rPr>
          <w:rFonts w:eastAsia="Times New Roman"/>
          <w:b/>
          <w:bCs/>
        </w:rPr>
        <w:t xml:space="preserve">: </w:t>
      </w:r>
      <w:r w:rsidRPr="0015377B">
        <w:rPr>
          <w:rFonts w:eastAsia="Times New Roman"/>
        </w:rPr>
        <w:t xml:space="preserve">Hospital discharge is defined as a complex procedure for the UK people. 42% responded that they experience disruptive clinical intervention whereas 61% stated that their delayed discharge is especially perceived by the supply of medicines (Wright et al., 2017). Due to staffing </w:t>
      </w:r>
      <w:r w:rsidRPr="0015377B">
        <w:rPr>
          <w:rFonts w:eastAsia="Times New Roman"/>
        </w:rPr>
        <w:lastRenderedPageBreak/>
        <w:t>shortages, patient discharge delay is a longstanding problem that adversely affects patient care (Oxtoby et al., 2024).</w:t>
      </w:r>
    </w:p>
    <w:p w14:paraId="2B99C51B" w14:textId="15A7C774" w:rsidR="00C16DA9" w:rsidRPr="0015377B" w:rsidRDefault="00B434BD" w:rsidP="0015377B">
      <w:pPr>
        <w:spacing w:line="360" w:lineRule="auto"/>
        <w:jc w:val="both"/>
        <w:rPr>
          <w:rFonts w:eastAsia="Times New Roman"/>
        </w:rPr>
      </w:pPr>
      <w:r w:rsidRPr="0015377B">
        <w:rPr>
          <w:rFonts w:eastAsia="Times New Roman"/>
          <w:b/>
          <w:bCs/>
          <w:i/>
          <w:iCs/>
        </w:rPr>
        <w:t>Regional</w:t>
      </w:r>
      <w:r w:rsidRPr="0015377B">
        <w:rPr>
          <w:rFonts w:eastAsia="Times New Roman"/>
          <w:b/>
          <w:bCs/>
        </w:rPr>
        <w:t>:</w:t>
      </w:r>
      <w:r w:rsidRPr="0015377B">
        <w:rPr>
          <w:rFonts w:eastAsia="Times New Roman"/>
        </w:rPr>
        <w:t xml:space="preserve"> Equipment failure is another problem confronted by patients in England. </w:t>
      </w:r>
      <w:r w:rsidR="009B2EDB">
        <w:rPr>
          <w:rFonts w:eastAsia="Times New Roman"/>
        </w:rPr>
        <w:t>N</w:t>
      </w:r>
      <w:r w:rsidRPr="0015377B">
        <w:rPr>
          <w:rFonts w:eastAsia="Times New Roman"/>
        </w:rPr>
        <w:t>early 100 people died and around 4,000 patients experienced inadequate healthcare quality services due to equipment malfunction. These events highlight healthcare professionals' failure to maintain equipment usage for delivering quality care</w:t>
      </w:r>
      <w:r w:rsidR="009B2EDB">
        <w:rPr>
          <w:rFonts w:eastAsia="Times New Roman"/>
        </w:rPr>
        <w:t xml:space="preserve"> (Goodier and Campbell, 2025).</w:t>
      </w:r>
      <w:r w:rsidRPr="0015377B">
        <w:rPr>
          <w:rFonts w:eastAsia="Times New Roman"/>
        </w:rPr>
        <w:t xml:space="preserve"> </w:t>
      </w:r>
    </w:p>
    <w:p w14:paraId="452B5CA6" w14:textId="77777777" w:rsidR="00C16DA9" w:rsidRPr="0015377B" w:rsidRDefault="00B434BD" w:rsidP="0015377B">
      <w:pPr>
        <w:spacing w:line="360" w:lineRule="auto"/>
        <w:jc w:val="both"/>
        <w:rPr>
          <w:rFonts w:eastAsia="Times New Roman"/>
        </w:rPr>
      </w:pPr>
      <w:r w:rsidRPr="0015377B">
        <w:rPr>
          <w:rFonts w:eastAsia="Times New Roman"/>
          <w:b/>
          <w:bCs/>
          <w:i/>
          <w:iCs/>
        </w:rPr>
        <w:t>National</w:t>
      </w:r>
      <w:r w:rsidRPr="0015377B">
        <w:rPr>
          <w:rFonts w:eastAsia="Times New Roman"/>
          <w:b/>
          <w:bCs/>
        </w:rPr>
        <w:t xml:space="preserve">: </w:t>
      </w:r>
      <w:r w:rsidRPr="0015377B">
        <w:rPr>
          <w:rFonts w:eastAsia="Times New Roman"/>
        </w:rPr>
        <w:t xml:space="preserve">In the UK healthcare setting, medication errors create a high risk for patients that harm patients and cause death (Alrowily et al., 2025). As of 2021, 98 hospital trusts of NHS England reported that they are accused of prescription errors by patients. Meanwhile, around 6,000 people lost their lives due to medication errors (Goodier, 2022). </w:t>
      </w:r>
    </w:p>
    <w:p w14:paraId="2B8E1CDB" w14:textId="77777777" w:rsidR="00C16DA9" w:rsidRPr="0015377B" w:rsidRDefault="00B434BD" w:rsidP="0015377B">
      <w:pPr>
        <w:spacing w:line="360" w:lineRule="auto"/>
        <w:jc w:val="both"/>
        <w:rPr>
          <w:rFonts w:eastAsia="Times New Roman"/>
        </w:rPr>
      </w:pPr>
      <w:r w:rsidRPr="0015377B">
        <w:rPr>
          <w:rFonts w:eastAsia="Times New Roman"/>
        </w:rPr>
        <w:t xml:space="preserve">The above discussion outlines that staffing shortage, equipment limitations and high prevalence of medication errors not only influence the medication errors in the UK healthcare setting but also affect the quality of care. </w:t>
      </w:r>
    </w:p>
    <w:p w14:paraId="05F5BB27" w14:textId="77777777" w:rsidR="00C16DA9" w:rsidRPr="0015377B" w:rsidRDefault="00B434BD" w:rsidP="0015377B">
      <w:pPr>
        <w:spacing w:line="360" w:lineRule="auto"/>
        <w:jc w:val="center"/>
        <w:rPr>
          <w:rFonts w:eastAsia="Times New Roman"/>
          <w:b/>
          <w:bCs/>
        </w:rPr>
      </w:pPr>
      <w:r w:rsidRPr="0015377B">
        <w:rPr>
          <w:rFonts w:eastAsia="Times New Roman"/>
          <w:b/>
          <w:bCs/>
          <w:noProof/>
          <w:lang w:val="en-IN"/>
        </w:rPr>
        <w:drawing>
          <wp:inline distT="114300" distB="114300" distL="114300" distR="114300" wp14:anchorId="1F39354B" wp14:editId="26F4838D">
            <wp:extent cx="5300345" cy="3495675"/>
            <wp:effectExtent l="19050" t="19050" r="14605" b="28575"/>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300624" cy="3495859"/>
                    </a:xfrm>
                    <a:prstGeom prst="rect">
                      <a:avLst/>
                    </a:prstGeom>
                    <a:ln w="25400">
                      <a:solidFill>
                        <a:srgbClr val="000000"/>
                      </a:solidFill>
                      <a:prstDash val="solid"/>
                    </a:ln>
                  </pic:spPr>
                </pic:pic>
              </a:graphicData>
            </a:graphic>
          </wp:inline>
        </w:drawing>
      </w:r>
    </w:p>
    <w:p w14:paraId="3F19867C" w14:textId="77777777" w:rsidR="00C16DA9" w:rsidRPr="0015377B" w:rsidRDefault="00B434BD" w:rsidP="0015377B">
      <w:pPr>
        <w:pStyle w:val="Heading4"/>
        <w:rPr>
          <w:szCs w:val="22"/>
        </w:rPr>
      </w:pPr>
      <w:bookmarkStart w:id="6" w:name="_Toc226197890"/>
      <w:r w:rsidRPr="0015377B">
        <w:rPr>
          <w:szCs w:val="22"/>
        </w:rPr>
        <w:t>Figure 4: RICH picture diagram of Len’s case</w:t>
      </w:r>
      <w:bookmarkEnd w:id="6"/>
    </w:p>
    <w:p w14:paraId="5149092E" w14:textId="77777777" w:rsidR="00C16DA9" w:rsidRPr="0015377B" w:rsidRDefault="00B434BD" w:rsidP="0015377B">
      <w:pPr>
        <w:spacing w:line="360" w:lineRule="auto"/>
        <w:jc w:val="center"/>
        <w:rPr>
          <w:rFonts w:eastAsia="Times New Roman"/>
        </w:rPr>
      </w:pPr>
      <w:r w:rsidRPr="0015377B">
        <w:rPr>
          <w:rFonts w:eastAsia="Times New Roman"/>
        </w:rPr>
        <w:t>(Source: Self-created)</w:t>
      </w:r>
    </w:p>
    <w:p w14:paraId="541FC639" w14:textId="32901430" w:rsidR="00AA117E" w:rsidRPr="0015377B" w:rsidRDefault="00645D32" w:rsidP="0015377B">
      <w:pPr>
        <w:spacing w:line="360" w:lineRule="auto"/>
        <w:jc w:val="both"/>
      </w:pPr>
      <w:r>
        <w:rPr>
          <w:rFonts w:eastAsia="Times New Roman"/>
        </w:rPr>
        <w:t>According to figure 4, the</w:t>
      </w:r>
      <w:r w:rsidR="00B434BD" w:rsidRPr="0015377B">
        <w:rPr>
          <w:rFonts w:eastAsia="Times New Roman"/>
        </w:rPr>
        <w:t xml:space="preserve"> RICH picture clarifies the complex issue of Len’s case that demonstrates how people process and structures interact where communication gaps and feedback loops affect </w:t>
      </w:r>
      <w:r w:rsidR="00AA117E" w:rsidRPr="0015377B">
        <w:rPr>
          <w:rFonts w:eastAsia="Times New Roman"/>
        </w:rPr>
        <w:t>the produced</w:t>
      </w:r>
      <w:r w:rsidR="00B434BD" w:rsidRPr="0015377B">
        <w:rPr>
          <w:rFonts w:eastAsia="Times New Roman"/>
        </w:rPr>
        <w:t xml:space="preserve"> outcomes</w:t>
      </w:r>
      <w:r w:rsidR="009B2EDB">
        <w:rPr>
          <w:rFonts w:eastAsia="Times New Roman"/>
        </w:rPr>
        <w:t xml:space="preserve"> (</w:t>
      </w:r>
      <w:r w:rsidR="009B2EDB" w:rsidRPr="0015377B">
        <w:rPr>
          <w:rFonts w:eastAsia="Times New Roman"/>
        </w:rPr>
        <w:t>HSSIB, 2022</w:t>
      </w:r>
      <w:r w:rsidR="009B2EDB">
        <w:rPr>
          <w:rFonts w:eastAsia="Times New Roman"/>
        </w:rPr>
        <w:t>)</w:t>
      </w:r>
      <w:r w:rsidR="00B434BD" w:rsidRPr="0015377B">
        <w:rPr>
          <w:rFonts w:eastAsia="Times New Roman"/>
        </w:rPr>
        <w:t xml:space="preserve">. </w:t>
      </w:r>
    </w:p>
    <w:p w14:paraId="6E4CB6B7" w14:textId="2704B008" w:rsidR="00C16DA9" w:rsidRPr="0015377B" w:rsidRDefault="00B434BD" w:rsidP="0015377B">
      <w:pPr>
        <w:pStyle w:val="Heading2"/>
        <w:rPr>
          <w:szCs w:val="22"/>
        </w:rPr>
      </w:pPr>
      <w:bookmarkStart w:id="7" w:name="_Toc226197630"/>
      <w:r w:rsidRPr="0015377B">
        <w:rPr>
          <w:szCs w:val="22"/>
        </w:rPr>
        <w:lastRenderedPageBreak/>
        <w:t>b. Centralisation vs. Decentralisation</w:t>
      </w:r>
      <w:bookmarkEnd w:id="7"/>
    </w:p>
    <w:p w14:paraId="100A7E8C" w14:textId="722348E3" w:rsidR="00C16DA9" w:rsidRPr="0015377B" w:rsidRDefault="00B434BD" w:rsidP="0015377B">
      <w:pPr>
        <w:spacing w:line="360" w:lineRule="auto"/>
        <w:jc w:val="both"/>
        <w:rPr>
          <w:rFonts w:eastAsia="Times New Roman"/>
        </w:rPr>
      </w:pPr>
      <w:r w:rsidRPr="0015377B">
        <w:rPr>
          <w:rFonts w:eastAsia="Times New Roman"/>
        </w:rPr>
        <w:t>Len’s case operates in both a centralised and a decentralised system. While these two system failures are identified in the case of Len which consists of national medication guidelines, inconsistent communication along with a lack of health literacy among patients' family members</w:t>
      </w:r>
      <w:r w:rsidR="009B2EDB">
        <w:rPr>
          <w:rFonts w:eastAsia="Times New Roman"/>
        </w:rPr>
        <w:t xml:space="preserve"> (</w:t>
      </w:r>
      <w:r w:rsidR="009B2EDB" w:rsidRPr="0015377B">
        <w:rPr>
          <w:rFonts w:eastAsia="Times New Roman"/>
        </w:rPr>
        <w:t>HSSIB, 2022</w:t>
      </w:r>
      <w:r w:rsidR="009B2EDB">
        <w:rPr>
          <w:rFonts w:eastAsia="Times New Roman"/>
        </w:rPr>
        <w:t>)</w:t>
      </w:r>
      <w:r w:rsidRPr="0015377B">
        <w:rPr>
          <w:rFonts w:eastAsia="Times New Roman"/>
        </w:rPr>
        <w:t xml:space="preserve">. </w:t>
      </w:r>
    </w:p>
    <w:p w14:paraId="7DA58245" w14:textId="77777777" w:rsidR="00C16DA9" w:rsidRPr="0015377B" w:rsidRDefault="00B434BD" w:rsidP="0015377B">
      <w:pPr>
        <w:spacing w:line="360" w:lineRule="auto"/>
        <w:jc w:val="both"/>
        <w:rPr>
          <w:rFonts w:eastAsia="Times New Roman"/>
          <w:b/>
          <w:bCs/>
        </w:rPr>
      </w:pPr>
      <w:r w:rsidRPr="0015377B">
        <w:rPr>
          <w:rFonts w:eastAsia="Times New Roman"/>
          <w:b/>
          <w:bCs/>
        </w:rPr>
        <w:t>Centralised systems</w:t>
      </w:r>
    </w:p>
    <w:p w14:paraId="518380DC" w14:textId="56CB5802" w:rsidR="00C16DA9" w:rsidRPr="0015377B" w:rsidRDefault="00B434BD" w:rsidP="0015377B">
      <w:pPr>
        <w:spacing w:line="360" w:lineRule="auto"/>
        <w:jc w:val="both"/>
        <w:rPr>
          <w:rFonts w:eastAsia="Times New Roman"/>
        </w:rPr>
      </w:pPr>
      <w:r w:rsidRPr="0015377B">
        <w:rPr>
          <w:rFonts w:eastAsia="Times New Roman"/>
        </w:rPr>
        <w:t>A highly centralised system defining higher authorities has decision-making capabilities to improve clinical effectiveness and provide standardised care to patients (Krenyacz and Revesz, 2025). The reallocation of responsibilities among members to reorganise the control and planning process immensely depends on the organisational set-up of NHS England (NHS England, 2025). Based on legal compliance, the UK government also strengthens the nation’s emergency planning process for facilitating better risk management and ensuring emergency coordination between healthcare professionals and patients (</w:t>
      </w:r>
      <w:r w:rsidRPr="0015377B">
        <w:rPr>
          <w:rFonts w:eastAsia="Times New Roman"/>
          <w:u w:val="single"/>
        </w:rPr>
        <w:t>GOV.UK</w:t>
      </w:r>
      <w:r w:rsidRPr="0015377B">
        <w:rPr>
          <w:rFonts w:eastAsia="Times New Roman"/>
        </w:rPr>
        <w:t xml:space="preserve">, 2026). </w:t>
      </w:r>
    </w:p>
    <w:p w14:paraId="3CF35210"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204D6D20" wp14:editId="5C826FF3">
            <wp:extent cx="3233420" cy="2838450"/>
            <wp:effectExtent l="19050" t="19050" r="24130" b="1905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233710" cy="2838705"/>
                    </a:xfrm>
                    <a:prstGeom prst="rect">
                      <a:avLst/>
                    </a:prstGeom>
                    <a:ln w="25400">
                      <a:solidFill>
                        <a:srgbClr val="000000"/>
                      </a:solidFill>
                      <a:prstDash val="solid"/>
                    </a:ln>
                  </pic:spPr>
                </pic:pic>
              </a:graphicData>
            </a:graphic>
          </wp:inline>
        </w:drawing>
      </w:r>
    </w:p>
    <w:p w14:paraId="5D9FF6FE" w14:textId="77777777" w:rsidR="00C16DA9" w:rsidRPr="0015377B" w:rsidRDefault="00B434BD" w:rsidP="0015377B">
      <w:pPr>
        <w:pStyle w:val="Heading4"/>
        <w:rPr>
          <w:szCs w:val="22"/>
        </w:rPr>
      </w:pPr>
      <w:bookmarkStart w:id="8" w:name="_Toc226197891"/>
      <w:r w:rsidRPr="0015377B">
        <w:rPr>
          <w:szCs w:val="22"/>
        </w:rPr>
        <w:t>Figure 5: Ways to manage emergency planning in the UK community care</w:t>
      </w:r>
      <w:bookmarkEnd w:id="8"/>
      <w:r w:rsidRPr="0015377B">
        <w:rPr>
          <w:szCs w:val="22"/>
        </w:rPr>
        <w:t xml:space="preserve"> </w:t>
      </w:r>
    </w:p>
    <w:p w14:paraId="5CD35D8A" w14:textId="77777777" w:rsidR="00C16DA9" w:rsidRPr="0015377B" w:rsidRDefault="00B434BD" w:rsidP="0015377B">
      <w:pPr>
        <w:spacing w:line="360" w:lineRule="auto"/>
        <w:jc w:val="center"/>
        <w:rPr>
          <w:rFonts w:eastAsia="Times New Roman"/>
        </w:rPr>
      </w:pPr>
      <w:r w:rsidRPr="0015377B">
        <w:rPr>
          <w:rFonts w:eastAsia="Times New Roman"/>
        </w:rPr>
        <w:t>(Source: Department of Health, 2021)</w:t>
      </w:r>
    </w:p>
    <w:p w14:paraId="33B86D39" w14:textId="7CC208BD" w:rsidR="00C16DA9" w:rsidRPr="0015377B" w:rsidRDefault="00645D32" w:rsidP="0015377B">
      <w:pPr>
        <w:spacing w:line="360" w:lineRule="auto"/>
        <w:jc w:val="both"/>
        <w:rPr>
          <w:rFonts w:eastAsia="Times New Roman"/>
        </w:rPr>
      </w:pPr>
      <w:r>
        <w:rPr>
          <w:rFonts w:eastAsia="Times New Roman"/>
        </w:rPr>
        <w:t xml:space="preserve">Based on figure 5, </w:t>
      </w:r>
      <w:r w:rsidR="00B434BD" w:rsidRPr="0015377B">
        <w:rPr>
          <w:rFonts w:eastAsia="Times New Roman"/>
        </w:rPr>
        <w:t>centralised failure is caused by unclear patient-friendly labelling of medicine and poor communication standards</w:t>
      </w:r>
      <w:r>
        <w:rPr>
          <w:rFonts w:eastAsia="Times New Roman"/>
        </w:rPr>
        <w:t xml:space="preserve"> regarding Len’s death</w:t>
      </w:r>
      <w:r w:rsidR="00B434BD" w:rsidRPr="0015377B">
        <w:rPr>
          <w:rFonts w:eastAsia="Times New Roman"/>
        </w:rPr>
        <w:t>. For instance, in the healthcare process to deliver standardised care, more than 237 million medication errors are made every year in England (Elliott et al., 2021). To avoid these negative consequences, the NHS costs nearly £98 million per year and strives to prevent the consumption of unclear labelling of medicines. Thus, this contribution helps to drive centralised best practice guidance and reduce the ambiguity of medicine usage</w:t>
      </w:r>
      <w:r w:rsidR="009B2EDB">
        <w:rPr>
          <w:rFonts w:eastAsia="Times New Roman"/>
        </w:rPr>
        <w:t xml:space="preserve"> </w:t>
      </w:r>
      <w:r w:rsidR="009B2EDB" w:rsidRPr="0015377B">
        <w:rPr>
          <w:rFonts w:eastAsia="Times New Roman"/>
        </w:rPr>
        <w:t>(Elliott et al., 2021)</w:t>
      </w:r>
      <w:r w:rsidR="00B434BD" w:rsidRPr="0015377B">
        <w:rPr>
          <w:rFonts w:eastAsia="Times New Roman"/>
        </w:rPr>
        <w:t xml:space="preserve">. </w:t>
      </w:r>
    </w:p>
    <w:p w14:paraId="4542E15F" w14:textId="7C532CEC" w:rsidR="00C16DA9" w:rsidRPr="0015377B" w:rsidRDefault="00B434BD" w:rsidP="0015377B">
      <w:pPr>
        <w:spacing w:line="360" w:lineRule="auto"/>
        <w:jc w:val="both"/>
        <w:rPr>
          <w:rFonts w:eastAsia="Times New Roman"/>
        </w:rPr>
      </w:pPr>
      <w:r w:rsidRPr="0015377B">
        <w:rPr>
          <w:rFonts w:eastAsia="Times New Roman"/>
        </w:rPr>
        <w:lastRenderedPageBreak/>
        <w:t xml:space="preserve">In Len’s case, after collaborating with the GP, the patient took morphine liquid from the community pharmacy where the dispensing label was vertically present. However, the patient and his family were unaware of the prescription label of the morphine and Len took an overdose of the oral medicine. Due to this incident, the patient not only went through a deep sleep but also suffered from respiratory collapse (HSSIB, 2022). This event outlines the misalignment of the GP to ensure the proper consumption of oral morphine liquid to treat Len’s chest pain and treat CMT diseases. In the healthcare context, centralised operating systems widely contribute to optimising hospital operations by improving communication and coordination (Grosman-Rimon et al., 2023). However, excessive centralisation of the NHS England limits the flexibility for optimising a streamlined communication between healthcare professionals and the elderly patient, Len. </w:t>
      </w:r>
      <w:r w:rsidR="009B2EDB">
        <w:rPr>
          <w:rFonts w:eastAsia="Times New Roman"/>
        </w:rPr>
        <w:t>C</w:t>
      </w:r>
      <w:r w:rsidRPr="0015377B">
        <w:rPr>
          <w:rFonts w:eastAsia="Times New Roman"/>
        </w:rPr>
        <w:t>ommunication failures of NHS healthcare professionals erode people's trust. Nearly 38% of elderly patients receive incomprehensible information from their clinical experts. Thus, it signifies that Len’s needs were unmet as an elderly patient and causes centralised system failure for delivering quality and standardised care to people</w:t>
      </w:r>
      <w:r w:rsidR="009B2EDB">
        <w:rPr>
          <w:rFonts w:eastAsia="Times New Roman"/>
        </w:rPr>
        <w:t xml:space="preserve"> (Sheldon et al., </w:t>
      </w:r>
      <w:r w:rsidR="009B2EDB" w:rsidRPr="0015377B">
        <w:rPr>
          <w:rFonts w:eastAsia="Times New Roman"/>
        </w:rPr>
        <w:t>2025</w:t>
      </w:r>
      <w:r w:rsidR="009B2EDB">
        <w:rPr>
          <w:rFonts w:eastAsia="Times New Roman"/>
        </w:rPr>
        <w:t>)</w:t>
      </w:r>
      <w:r w:rsidRPr="0015377B">
        <w:rPr>
          <w:rFonts w:eastAsia="Times New Roman"/>
        </w:rPr>
        <w:t xml:space="preserve">. </w:t>
      </w:r>
    </w:p>
    <w:p w14:paraId="31CCE629" w14:textId="77777777" w:rsidR="00C16DA9" w:rsidRPr="0015377B" w:rsidRDefault="00B434BD" w:rsidP="0015377B">
      <w:pPr>
        <w:spacing w:line="360" w:lineRule="auto"/>
        <w:jc w:val="both"/>
        <w:rPr>
          <w:rFonts w:eastAsia="Times New Roman"/>
          <w:b/>
          <w:bCs/>
        </w:rPr>
      </w:pPr>
      <w:r w:rsidRPr="0015377B">
        <w:rPr>
          <w:rFonts w:eastAsia="Times New Roman"/>
          <w:b/>
          <w:bCs/>
        </w:rPr>
        <w:t>Decentralised systems</w:t>
      </w:r>
    </w:p>
    <w:p w14:paraId="1CA674E9" w14:textId="77777777" w:rsidR="00C16DA9" w:rsidRPr="0015377B" w:rsidRDefault="00B434BD" w:rsidP="0015377B">
      <w:pPr>
        <w:spacing w:line="360" w:lineRule="auto"/>
        <w:jc w:val="both"/>
        <w:rPr>
          <w:rFonts w:eastAsia="Times New Roman"/>
        </w:rPr>
      </w:pPr>
      <w:r w:rsidRPr="0015377B">
        <w:rPr>
          <w:rFonts w:eastAsia="Times New Roman"/>
        </w:rPr>
        <w:t xml:space="preserve">Another common health system mechanism is known as decentralisation which prioritises local responses for empowering community engagement (Sapkota et al., 2023). In the case of Len, healthcare staff coordination difficulties arise due to a lack of uniformity and inadequacy of pharmacist dispensing caused the patient’s death. Focusing on the decentralised governance, today’s healthcare setting widely uses telemedicine, electronic consent or remote patient monitoring process which contributes to offering remote healthcare during emergencies (Sparacino and Schmid, 2026). </w:t>
      </w:r>
    </w:p>
    <w:p w14:paraId="38DFC318"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627DEFA2" wp14:editId="56A9C92B">
            <wp:extent cx="4209415" cy="2362200"/>
            <wp:effectExtent l="19050" t="19050" r="19685" b="19050"/>
            <wp:docPr id="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4209568" cy="2362286"/>
                    </a:xfrm>
                    <a:prstGeom prst="rect">
                      <a:avLst/>
                    </a:prstGeom>
                    <a:ln w="25400">
                      <a:solidFill>
                        <a:srgbClr val="000000"/>
                      </a:solidFill>
                      <a:prstDash val="solid"/>
                    </a:ln>
                  </pic:spPr>
                </pic:pic>
              </a:graphicData>
            </a:graphic>
          </wp:inline>
        </w:drawing>
      </w:r>
    </w:p>
    <w:p w14:paraId="7B4C4F40" w14:textId="77777777" w:rsidR="00C16DA9" w:rsidRPr="0015377B" w:rsidRDefault="00B434BD" w:rsidP="0015377B">
      <w:pPr>
        <w:pStyle w:val="Heading4"/>
        <w:rPr>
          <w:szCs w:val="22"/>
        </w:rPr>
      </w:pPr>
      <w:bookmarkStart w:id="9" w:name="_Toc226197892"/>
      <w:r w:rsidRPr="0015377B">
        <w:rPr>
          <w:szCs w:val="22"/>
        </w:rPr>
        <w:t>Figure 6: Doctor’s reasons behind medication errors in the UK</w:t>
      </w:r>
      <w:bookmarkEnd w:id="9"/>
      <w:r w:rsidRPr="0015377B">
        <w:rPr>
          <w:szCs w:val="22"/>
        </w:rPr>
        <w:t xml:space="preserve"> </w:t>
      </w:r>
    </w:p>
    <w:p w14:paraId="39893ACB" w14:textId="77777777" w:rsidR="00C16DA9" w:rsidRPr="0015377B" w:rsidRDefault="00B434BD" w:rsidP="0015377B">
      <w:pPr>
        <w:spacing w:line="360" w:lineRule="auto"/>
        <w:jc w:val="center"/>
        <w:rPr>
          <w:rFonts w:eastAsia="Times New Roman"/>
        </w:rPr>
      </w:pPr>
      <w:r w:rsidRPr="0015377B">
        <w:rPr>
          <w:rFonts w:eastAsia="Times New Roman"/>
        </w:rPr>
        <w:t xml:space="preserve">(Source: Minhas, 2018) </w:t>
      </w:r>
    </w:p>
    <w:p w14:paraId="60A150FD" w14:textId="6457D2F6" w:rsidR="00C16DA9" w:rsidRPr="0015377B" w:rsidRDefault="006D6B63" w:rsidP="0015377B">
      <w:pPr>
        <w:spacing w:line="360" w:lineRule="auto"/>
        <w:jc w:val="both"/>
        <w:rPr>
          <w:rFonts w:eastAsia="Times New Roman"/>
        </w:rPr>
      </w:pPr>
      <w:r>
        <w:rPr>
          <w:rFonts w:eastAsia="Times New Roman"/>
        </w:rPr>
        <w:lastRenderedPageBreak/>
        <w:t xml:space="preserve">Figure 6 outline that </w:t>
      </w:r>
      <w:r w:rsidR="00B434BD" w:rsidRPr="0015377B">
        <w:rPr>
          <w:rFonts w:eastAsia="Times New Roman"/>
        </w:rPr>
        <w:t>one in four patients experiences medical errors when they receive healthcare treatment</w:t>
      </w:r>
      <w:r>
        <w:rPr>
          <w:rFonts w:eastAsia="Times New Roman"/>
        </w:rPr>
        <w:t xml:space="preserve"> in England</w:t>
      </w:r>
      <w:r w:rsidR="00B434BD" w:rsidRPr="0015377B">
        <w:rPr>
          <w:rFonts w:eastAsia="Times New Roman"/>
        </w:rPr>
        <w:t>. Depending on the telemedicine consultant, sometimes patients miss out on access to their required treatment. Due to missed information and medical errors, UK people’s health not only faces risk but also creates frustration and anxiety among family members (Campbell, 2025). 89% of the UK healthcare professionals agreed that a lack of capacity and working pressure is the main reason for making medication errors. It highlights the existence of a gap in continuity of delivering healthcare service</w:t>
      </w:r>
      <w:r w:rsidR="009B2EDB">
        <w:rPr>
          <w:rFonts w:eastAsia="Times New Roman"/>
        </w:rPr>
        <w:t xml:space="preserve"> (Minhas, 2018)</w:t>
      </w:r>
      <w:r w:rsidR="00B434BD" w:rsidRPr="0015377B">
        <w:rPr>
          <w:rFonts w:eastAsia="Times New Roman"/>
        </w:rPr>
        <w:t>.</w:t>
      </w:r>
    </w:p>
    <w:p w14:paraId="27ACF28C" w14:textId="25E9FA67" w:rsidR="00C16DA9" w:rsidRPr="0015377B" w:rsidRDefault="00B434BD" w:rsidP="0015377B">
      <w:pPr>
        <w:spacing w:line="360" w:lineRule="auto"/>
        <w:jc w:val="both"/>
        <w:rPr>
          <w:rFonts w:eastAsia="Times New Roman"/>
        </w:rPr>
      </w:pPr>
      <w:r w:rsidRPr="0015377B">
        <w:rPr>
          <w:rFonts w:eastAsia="Times New Roman"/>
        </w:rPr>
        <w:t xml:space="preserve">Similarly, the consumption of oral morphine liquid put pressure on Len and his family (wife and daughter-in-law). After the GP prescribed morphine, Len’s daughter-in-law was concerned about the consumption of the oral medicine because her father-in-law already suffered from breathing problems (HSSIB, 2022). This fatal medication error creates a decentralised implementation gap to deliver quality and standardised care to patients. The poor pharmacy dispensing practices increase the rate of medication errors and patient death in the UK annually. Moreover, the community pharmacy of the UK declined to participate in the scoping investigation of Len’s case (HSSIB, 2022). </w:t>
      </w:r>
      <w:r w:rsidR="009B2EDB">
        <w:rPr>
          <w:rFonts w:eastAsia="Times New Roman"/>
        </w:rPr>
        <w:t>Over</w:t>
      </w:r>
      <w:r w:rsidRPr="0015377B">
        <w:rPr>
          <w:rFonts w:eastAsia="Times New Roman"/>
        </w:rPr>
        <w:t xml:space="preserve"> 60% pharmacies reported that they have staffing shortages where 21% organisations stated that their pharmacies had closed. It adversely affects the patient's safety risks and causes appalling levels of deaths and harm. It demonstrates that the lack of sufficient frontline staff's opinion and accountability fails to make proper decentralised decisions which leads to unsafe health practices</w:t>
      </w:r>
      <w:r w:rsidR="009B2EDB">
        <w:rPr>
          <w:rFonts w:eastAsia="Times New Roman"/>
        </w:rPr>
        <w:t xml:space="preserve"> (FirstWord Pharma, </w:t>
      </w:r>
      <w:r w:rsidR="009B2EDB" w:rsidRPr="0015377B">
        <w:rPr>
          <w:rFonts w:eastAsia="Times New Roman"/>
        </w:rPr>
        <w:t>2025</w:t>
      </w:r>
      <w:r w:rsidR="009B2EDB">
        <w:rPr>
          <w:rFonts w:eastAsia="Times New Roman"/>
        </w:rPr>
        <w:t>)</w:t>
      </w:r>
      <w:r w:rsidRPr="0015377B">
        <w:rPr>
          <w:rFonts w:eastAsia="Times New Roman"/>
        </w:rPr>
        <w:t xml:space="preserve">. </w:t>
      </w:r>
    </w:p>
    <w:p w14:paraId="30E1A945" w14:textId="09C0D023" w:rsidR="00C16DA9" w:rsidRPr="0015377B" w:rsidRDefault="00B434BD" w:rsidP="0015377B">
      <w:pPr>
        <w:spacing w:line="360" w:lineRule="auto"/>
        <w:jc w:val="both"/>
        <w:rPr>
          <w:rFonts w:eastAsia="Times New Roman"/>
        </w:rPr>
      </w:pPr>
      <w:r w:rsidRPr="0015377B">
        <w:rPr>
          <w:rFonts w:eastAsia="Times New Roman"/>
        </w:rPr>
        <w:t>The above discussion synthesises that the case of Len’s consists of both centralised and decentralised system failures within the NHS context. For centralised structures, unclear labelling information of medication dosage not only disrupts the standardised care but also inadequate collaboration with healthcare professionals affects the patient's safety. Conversely, a lack of coordination of frontline healthcare staff adversely impacts the delivery process of quality care and ensures patient safety. This event suggests that it needs a balanced and effective system integration for meeting decentralised created gaps and ensuring strong governance reinforces clinical practices and avoids failures</w:t>
      </w:r>
      <w:r w:rsidR="009B2EDB">
        <w:rPr>
          <w:rFonts w:eastAsia="Times New Roman"/>
        </w:rPr>
        <w:t xml:space="preserve"> (</w:t>
      </w:r>
      <w:r w:rsidR="009B2EDB" w:rsidRPr="0015377B">
        <w:rPr>
          <w:rFonts w:eastAsia="Times New Roman"/>
        </w:rPr>
        <w:t>HSSIB, 2022</w:t>
      </w:r>
      <w:r w:rsidR="009B2EDB">
        <w:rPr>
          <w:rFonts w:eastAsia="Times New Roman"/>
        </w:rPr>
        <w:t>).</w:t>
      </w:r>
      <w:r w:rsidRPr="0015377B">
        <w:rPr>
          <w:rFonts w:eastAsia="Times New Roman"/>
        </w:rPr>
        <w:t xml:space="preserve"> </w:t>
      </w:r>
    </w:p>
    <w:p w14:paraId="14D5F539" w14:textId="6D64C9FE" w:rsidR="00C16DA9" w:rsidRPr="0015377B" w:rsidRDefault="00B434BD" w:rsidP="0015377B">
      <w:pPr>
        <w:pStyle w:val="Heading2"/>
        <w:rPr>
          <w:szCs w:val="22"/>
        </w:rPr>
      </w:pPr>
      <w:bookmarkStart w:id="10" w:name="_Toc226197631"/>
      <w:r w:rsidRPr="0015377B">
        <w:rPr>
          <w:szCs w:val="22"/>
        </w:rPr>
        <w:t>c. Application of Leadership Theories</w:t>
      </w:r>
      <w:bookmarkEnd w:id="10"/>
    </w:p>
    <w:p w14:paraId="6F2D3F7B" w14:textId="726EF675" w:rsidR="00C16DA9" w:rsidRPr="0015377B" w:rsidRDefault="00B434BD" w:rsidP="0015377B">
      <w:pPr>
        <w:spacing w:line="360" w:lineRule="auto"/>
        <w:jc w:val="both"/>
        <w:rPr>
          <w:rFonts w:eastAsia="Times New Roman"/>
        </w:rPr>
      </w:pPr>
      <w:r w:rsidRPr="0015377B">
        <w:rPr>
          <w:rFonts w:eastAsia="Times New Roman"/>
        </w:rPr>
        <w:t>In the healthcare environment, leadership plays a crucial role in embracing patient outcomes by fostering a constructive structure beyond administrative and bureaucratic levels. Within the case of Len’s death, an appropriate leadership practice is required to drive strategic and value-driven approaches for avoiding serious conditions</w:t>
      </w:r>
      <w:r w:rsidR="009B2EDB">
        <w:rPr>
          <w:rFonts w:eastAsia="Times New Roman"/>
        </w:rPr>
        <w:t xml:space="preserve"> </w:t>
      </w:r>
      <w:r w:rsidR="009B2EDB" w:rsidRPr="0015377B">
        <w:rPr>
          <w:rFonts w:eastAsia="Times New Roman"/>
        </w:rPr>
        <w:t>(Tedla and Hamid, 2022)</w:t>
      </w:r>
      <w:r w:rsidRPr="0015377B">
        <w:rPr>
          <w:rFonts w:eastAsia="Times New Roman"/>
        </w:rPr>
        <w:t xml:space="preserve">. </w:t>
      </w:r>
    </w:p>
    <w:p w14:paraId="35E93F3B" w14:textId="1E8586E6" w:rsidR="00C16DA9" w:rsidRPr="0015377B" w:rsidRDefault="00B434BD" w:rsidP="0015377B">
      <w:pPr>
        <w:spacing w:line="360" w:lineRule="auto"/>
        <w:jc w:val="both"/>
        <w:rPr>
          <w:rFonts w:eastAsia="Times New Roman"/>
        </w:rPr>
      </w:pPr>
      <w:r w:rsidRPr="0015377B">
        <w:rPr>
          <w:rFonts w:eastAsia="Times New Roman"/>
          <w:b/>
          <w:bCs/>
          <w:i/>
          <w:iCs/>
        </w:rPr>
        <w:t>Transformational Leadership</w:t>
      </w:r>
      <w:r w:rsidRPr="0015377B">
        <w:rPr>
          <w:rFonts w:eastAsia="Times New Roman"/>
          <w:b/>
          <w:bCs/>
        </w:rPr>
        <w:t>:</w:t>
      </w:r>
      <w:r w:rsidRPr="0015377B">
        <w:rPr>
          <w:rFonts w:eastAsia="Times New Roman"/>
        </w:rPr>
        <w:t xml:space="preserve"> It is an effective leadership style where leaders are responsible for inspiring others and influencing followers to accomplish shared organisational outcomes (Deng </w:t>
      </w:r>
      <w:r w:rsidRPr="0015377B">
        <w:rPr>
          <w:rFonts w:eastAsia="Times New Roman"/>
        </w:rPr>
        <w:lastRenderedPageBreak/>
        <w:t xml:space="preserve">et al., 2023). In relation to Len’s case, it is necessary for healthcare professionals to ensure the definition of clear statements regarding medication instructions which actively embrace quality care. This strategic planning reflects the proactive approaches of transformational leaders. </w:t>
      </w:r>
      <w:r w:rsidR="009B2EDB">
        <w:rPr>
          <w:rFonts w:eastAsia="Times New Roman"/>
        </w:rPr>
        <w:t>W</w:t>
      </w:r>
      <w:r w:rsidRPr="0015377B">
        <w:rPr>
          <w:rFonts w:eastAsia="Times New Roman"/>
        </w:rPr>
        <w:t>ith the help of transformational leadership practice the UK healthcare setting intends to create a patient safety culture where professional practices contribute to making decisive decisions</w:t>
      </w:r>
      <w:r w:rsidR="009B2EDB">
        <w:rPr>
          <w:rFonts w:eastAsia="Times New Roman"/>
        </w:rPr>
        <w:t xml:space="preserve"> (Seljemo et al., </w:t>
      </w:r>
      <w:r w:rsidR="009B2EDB" w:rsidRPr="0015377B">
        <w:rPr>
          <w:rFonts w:eastAsia="Times New Roman"/>
        </w:rPr>
        <w:t>2020</w:t>
      </w:r>
      <w:r w:rsidR="009B2EDB">
        <w:rPr>
          <w:rFonts w:eastAsia="Times New Roman"/>
        </w:rPr>
        <w:t>)</w:t>
      </w:r>
      <w:r w:rsidRPr="0015377B">
        <w:rPr>
          <w:rFonts w:eastAsia="Times New Roman"/>
        </w:rPr>
        <w:t xml:space="preserve">. NHS England set safeguarding programmes for ensuring every patient’s safety from challenging situations (NHS England, 2026). </w:t>
      </w:r>
    </w:p>
    <w:p w14:paraId="502B837D"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43885778" wp14:editId="60907779">
            <wp:extent cx="5516393" cy="3108275"/>
            <wp:effectExtent l="25400" t="25400" r="25400" b="254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516393" cy="3108275"/>
                    </a:xfrm>
                    <a:prstGeom prst="rect">
                      <a:avLst/>
                    </a:prstGeom>
                    <a:ln w="25400">
                      <a:solidFill>
                        <a:srgbClr val="000000"/>
                      </a:solidFill>
                      <a:prstDash val="solid"/>
                    </a:ln>
                  </pic:spPr>
                </pic:pic>
              </a:graphicData>
            </a:graphic>
          </wp:inline>
        </w:drawing>
      </w:r>
    </w:p>
    <w:p w14:paraId="30603012" w14:textId="77777777" w:rsidR="00C16DA9" w:rsidRPr="0015377B" w:rsidRDefault="00B434BD" w:rsidP="0015377B">
      <w:pPr>
        <w:pStyle w:val="Heading4"/>
        <w:rPr>
          <w:szCs w:val="22"/>
        </w:rPr>
      </w:pPr>
      <w:bookmarkStart w:id="11" w:name="_Toc226197893"/>
      <w:r w:rsidRPr="0015377B">
        <w:rPr>
          <w:szCs w:val="22"/>
        </w:rPr>
        <w:t>Figure 7: Health education to deliver safe patient care</w:t>
      </w:r>
      <w:bookmarkEnd w:id="11"/>
    </w:p>
    <w:p w14:paraId="7520FE53" w14:textId="77777777" w:rsidR="00C16DA9" w:rsidRPr="0015377B" w:rsidRDefault="00B434BD" w:rsidP="0015377B">
      <w:pPr>
        <w:spacing w:line="360" w:lineRule="auto"/>
        <w:jc w:val="center"/>
        <w:rPr>
          <w:rFonts w:eastAsia="Times New Roman"/>
        </w:rPr>
      </w:pPr>
      <w:r w:rsidRPr="0015377B">
        <w:rPr>
          <w:rFonts w:eastAsia="Times New Roman"/>
        </w:rPr>
        <w:t>(Source: NHS England, 2026a)</w:t>
      </w:r>
    </w:p>
    <w:p w14:paraId="0DC9A38D" w14:textId="15C9B2D7" w:rsidR="00C16DA9" w:rsidRPr="0015377B" w:rsidRDefault="006D6B63" w:rsidP="0015377B">
      <w:pPr>
        <w:spacing w:line="360" w:lineRule="auto"/>
        <w:jc w:val="both"/>
        <w:rPr>
          <w:rFonts w:eastAsia="Times New Roman"/>
        </w:rPr>
      </w:pPr>
      <w:r>
        <w:rPr>
          <w:rFonts w:eastAsia="Times New Roman"/>
        </w:rPr>
        <w:t>According to figure 7, f</w:t>
      </w:r>
      <w:r w:rsidR="00B434BD" w:rsidRPr="0015377B">
        <w:rPr>
          <w:rFonts w:eastAsia="Times New Roman"/>
        </w:rPr>
        <w:t xml:space="preserve">or maintaining professional standards and increasing healthcare staff satisfaction, NHS leaders influence the strategic thinking of others and demonstrate the effectiveness of organisational values. This action not only enhances the accountability of staff but also makes an inclusive work environment where patients receive quality care (NHS England, 2026b). </w:t>
      </w:r>
    </w:p>
    <w:p w14:paraId="0B941332" w14:textId="67222D5D" w:rsidR="00C16DA9" w:rsidRPr="0015377B" w:rsidRDefault="00B434BD" w:rsidP="0015377B">
      <w:pPr>
        <w:spacing w:line="360" w:lineRule="auto"/>
        <w:jc w:val="both"/>
        <w:rPr>
          <w:rFonts w:eastAsia="Times New Roman"/>
        </w:rPr>
      </w:pPr>
      <w:r w:rsidRPr="0015377B">
        <w:rPr>
          <w:rFonts w:eastAsia="Times New Roman"/>
        </w:rPr>
        <w:t>However, the absence of this leadership practice creates a communication gap between Len as a patient and healthcare professionals. For instance, due to poor communication with healthcare professionals, one in ten UK patients experience safety incidents which cause medical errors and create life-threatening complications for patients. Similarly, this communication gap creates difficulties for Len and his family to understand the consumption of oral morphine which causes medication error and death of Len</w:t>
      </w:r>
      <w:r w:rsidR="009B2EDB">
        <w:rPr>
          <w:rFonts w:eastAsia="Times New Roman"/>
        </w:rPr>
        <w:t xml:space="preserve"> </w:t>
      </w:r>
      <w:r w:rsidR="009B2EDB" w:rsidRPr="0015377B">
        <w:rPr>
          <w:rFonts w:eastAsia="Times New Roman"/>
        </w:rPr>
        <w:t>(Adetunji, 2025)</w:t>
      </w:r>
      <w:r w:rsidRPr="0015377B">
        <w:rPr>
          <w:rFonts w:eastAsia="Times New Roman"/>
        </w:rPr>
        <w:t xml:space="preserve">. </w:t>
      </w:r>
    </w:p>
    <w:p w14:paraId="4AB116C4" w14:textId="123BE142" w:rsidR="00C16DA9" w:rsidRPr="0015377B" w:rsidRDefault="00B434BD" w:rsidP="0015377B">
      <w:pPr>
        <w:spacing w:line="360" w:lineRule="auto"/>
        <w:jc w:val="both"/>
        <w:rPr>
          <w:rFonts w:eastAsia="Times New Roman"/>
        </w:rPr>
      </w:pPr>
      <w:r w:rsidRPr="0015377B">
        <w:rPr>
          <w:rFonts w:eastAsia="Times New Roman"/>
          <w:b/>
          <w:bCs/>
          <w:i/>
          <w:iCs/>
        </w:rPr>
        <w:lastRenderedPageBreak/>
        <w:t>Transactional Leadership</w:t>
      </w:r>
      <w:r w:rsidRPr="0015377B">
        <w:rPr>
          <w:rFonts w:eastAsia="Times New Roman"/>
          <w:b/>
          <w:bCs/>
        </w:rPr>
        <w:t>:</w:t>
      </w:r>
      <w:r w:rsidRPr="0015377B">
        <w:rPr>
          <w:rFonts w:eastAsia="Times New Roman"/>
        </w:rPr>
        <w:t xml:space="preserve"> Within the field of leadership, transactional leaders prioritise employee motivation for achieving organisational goals by considering reward, power and punishment mechanisms (Dong, 2023). According to the NHS Staff Survey, nearly 58.96% staff stated that they get clinical supervision opportunities under senior leaders who commit to establishing a fair work environment that positively contributes to strengthening employee engagement (White, 2026). This employee development optimises forward-thinking choice of transactional leaders and demonstrates their proactive approaches. In the case of Len’s, the high dependency of leadership practice and legal compliance reduces the effectiveness of the CMT-treated medication errors intervention. It is found that the GP followed the NICE guidelines to prescribe morphine but poor information created negative outcomes (HSSIB, 2022). While transactional leaders prioritise procedural correctness but the poor practice of healthcare professionals makes the environment complex which creates difficulties in optimising patient outcomes. Len’s case does not define the GP’s focus to ensure understanding regarding the patient’s risks (age and poor health condition). Due to this poor communication the primary risk of medica</w:t>
      </w:r>
      <w:r w:rsidR="009B2EDB">
        <w:rPr>
          <w:rFonts w:eastAsia="Times New Roman"/>
        </w:rPr>
        <w:t>l error is not foreseen clearly (HSSIB, 2022).</w:t>
      </w:r>
      <w:r w:rsidRPr="0015377B">
        <w:rPr>
          <w:rFonts w:eastAsia="Times New Roman"/>
        </w:rPr>
        <w:t xml:space="preserve">  </w:t>
      </w:r>
    </w:p>
    <w:p w14:paraId="06C3407D" w14:textId="77777777" w:rsidR="00C16DA9" w:rsidRPr="0015377B" w:rsidRDefault="00B434BD" w:rsidP="0015377B">
      <w:pPr>
        <w:spacing w:line="360" w:lineRule="auto"/>
        <w:jc w:val="center"/>
        <w:rPr>
          <w:rFonts w:eastAsia="Times New Roman"/>
        </w:rPr>
      </w:pPr>
      <w:r w:rsidRPr="0015377B">
        <w:rPr>
          <w:rFonts w:eastAsia="Times New Roman"/>
          <w:noProof/>
          <w:lang w:val="en-IN"/>
        </w:rPr>
        <w:drawing>
          <wp:inline distT="114300" distB="114300" distL="114300" distR="114300" wp14:anchorId="214457D7" wp14:editId="55EAA8BF">
            <wp:extent cx="5114925" cy="3067050"/>
            <wp:effectExtent l="25400" t="25400" r="25400" b="2540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114925" cy="3067050"/>
                    </a:xfrm>
                    <a:prstGeom prst="rect">
                      <a:avLst/>
                    </a:prstGeom>
                    <a:ln w="25400">
                      <a:solidFill>
                        <a:srgbClr val="000000"/>
                      </a:solidFill>
                      <a:prstDash val="solid"/>
                    </a:ln>
                  </pic:spPr>
                </pic:pic>
              </a:graphicData>
            </a:graphic>
          </wp:inline>
        </w:drawing>
      </w:r>
    </w:p>
    <w:p w14:paraId="0B8DA260" w14:textId="77777777" w:rsidR="00C16DA9" w:rsidRPr="0015377B" w:rsidRDefault="00B434BD" w:rsidP="0015377B">
      <w:pPr>
        <w:pStyle w:val="Heading4"/>
        <w:rPr>
          <w:szCs w:val="22"/>
        </w:rPr>
      </w:pPr>
      <w:bookmarkStart w:id="12" w:name="_Toc226197894"/>
      <w:r w:rsidRPr="0015377B">
        <w:rPr>
          <w:szCs w:val="22"/>
        </w:rPr>
        <w:t>Figure 8: Vacancies in the NHS workforce</w:t>
      </w:r>
      <w:bookmarkEnd w:id="12"/>
    </w:p>
    <w:p w14:paraId="539B01BC" w14:textId="77777777" w:rsidR="00C16DA9" w:rsidRPr="0015377B" w:rsidRDefault="00B434BD" w:rsidP="0015377B">
      <w:pPr>
        <w:spacing w:line="360" w:lineRule="auto"/>
        <w:jc w:val="center"/>
        <w:rPr>
          <w:rFonts w:eastAsia="Times New Roman"/>
        </w:rPr>
      </w:pPr>
      <w:r w:rsidRPr="0015377B">
        <w:rPr>
          <w:rFonts w:eastAsia="Times New Roman"/>
        </w:rPr>
        <w:t>(Source: Minhas, 2026)</w:t>
      </w:r>
    </w:p>
    <w:p w14:paraId="7C9E605C" w14:textId="3DC4F570" w:rsidR="00C16DA9" w:rsidRPr="0015377B" w:rsidRDefault="00B434BD" w:rsidP="0015377B">
      <w:pPr>
        <w:spacing w:line="360" w:lineRule="auto"/>
        <w:jc w:val="both"/>
        <w:rPr>
          <w:rFonts w:eastAsia="Times New Roman"/>
        </w:rPr>
      </w:pPr>
      <w:r w:rsidRPr="0015377B">
        <w:rPr>
          <w:rFonts w:eastAsia="Times New Roman"/>
        </w:rPr>
        <w:t>In this relation</w:t>
      </w:r>
      <w:r w:rsidR="006D6B63">
        <w:rPr>
          <w:rFonts w:eastAsia="Times New Roman"/>
        </w:rPr>
        <w:t xml:space="preserve"> figure 8 define that</w:t>
      </w:r>
      <w:r w:rsidRPr="0015377B">
        <w:rPr>
          <w:rFonts w:eastAsia="Times New Roman"/>
        </w:rPr>
        <w:t xml:space="preserve">, WHO emphasised that the staffing shortage plays the most important role in sustaining patient safety challenges (WHO, 2017). As of Q3 in 2024/25, 106,000 vacant positions are present in the workforce of the NHS which determines that a large number of staffing shortages negatively affect the delivery of quality care to patients. Hence, it needs to </w:t>
      </w:r>
      <w:r w:rsidRPr="0015377B">
        <w:rPr>
          <w:rFonts w:eastAsia="Times New Roman"/>
        </w:rPr>
        <w:lastRenderedPageBreak/>
        <w:t>embrace the operational efficiency of the UK healthcare setting by contouring innovative practice and reducing barriers that hinder service provision</w:t>
      </w:r>
      <w:r w:rsidR="009B2EDB">
        <w:rPr>
          <w:rFonts w:eastAsia="Times New Roman"/>
        </w:rPr>
        <w:t xml:space="preserve"> </w:t>
      </w:r>
      <w:r w:rsidR="009B2EDB" w:rsidRPr="0015377B">
        <w:rPr>
          <w:rFonts w:eastAsia="Times New Roman"/>
        </w:rPr>
        <w:t>(Minhas, 2026</w:t>
      </w:r>
      <w:r w:rsidR="009B2EDB">
        <w:rPr>
          <w:rFonts w:eastAsia="Times New Roman"/>
        </w:rPr>
        <w:t>)</w:t>
      </w:r>
      <w:r w:rsidRPr="0015377B">
        <w:rPr>
          <w:rFonts w:eastAsia="Times New Roman"/>
        </w:rPr>
        <w:t xml:space="preserve">. </w:t>
      </w:r>
    </w:p>
    <w:p w14:paraId="62E3AC2C" w14:textId="4476D9A4" w:rsidR="00C16DA9" w:rsidRPr="0015377B" w:rsidRDefault="00B434BD" w:rsidP="0015377B">
      <w:pPr>
        <w:spacing w:line="360" w:lineRule="auto"/>
        <w:jc w:val="both"/>
        <w:rPr>
          <w:rFonts w:eastAsia="Times New Roman"/>
        </w:rPr>
      </w:pPr>
      <w:r w:rsidRPr="0015377B">
        <w:rPr>
          <w:rFonts w:eastAsia="Times New Roman"/>
          <w:b/>
          <w:bCs/>
          <w:i/>
          <w:iCs/>
        </w:rPr>
        <w:t>Situational Leadership</w:t>
      </w:r>
      <w:r w:rsidRPr="0015377B">
        <w:rPr>
          <w:rFonts w:eastAsia="Times New Roman"/>
          <w:b/>
          <w:bCs/>
        </w:rPr>
        <w:t>:</w:t>
      </w:r>
      <w:r w:rsidRPr="0015377B">
        <w:rPr>
          <w:rFonts w:eastAsia="Times New Roman"/>
        </w:rPr>
        <w:t xml:space="preserve"> It is the combination of supportive and directive dimensions of leaders who acknowledge to boost employee engagement and empower organisational efficiency (Mulyana et al., 2022). Focusing on the external environment of the UK, this leadership style prioritises collaborative approaches where employees feel free to share their thoughts and positively handle patient conditions. It emphasises situational leaders' reactive approaches for managing the current unpredictable challenges</w:t>
      </w:r>
      <w:r w:rsidR="009B2EDB">
        <w:rPr>
          <w:rFonts w:eastAsia="Times New Roman"/>
        </w:rPr>
        <w:t xml:space="preserve"> (</w:t>
      </w:r>
      <w:r w:rsidR="009B2EDB" w:rsidRPr="0015377B">
        <w:rPr>
          <w:rFonts w:eastAsia="Times New Roman"/>
        </w:rPr>
        <w:t>Mulyana et al., 2022</w:t>
      </w:r>
      <w:r w:rsidR="009B2EDB">
        <w:rPr>
          <w:rFonts w:eastAsia="Times New Roman"/>
        </w:rPr>
        <w:t>)</w:t>
      </w:r>
      <w:r w:rsidRPr="0015377B">
        <w:rPr>
          <w:rFonts w:eastAsia="Times New Roman"/>
        </w:rPr>
        <w:t xml:space="preserve">. </w:t>
      </w:r>
    </w:p>
    <w:p w14:paraId="5350EC79" w14:textId="77777777" w:rsidR="00C16DA9" w:rsidRPr="0015377B" w:rsidRDefault="00B434BD" w:rsidP="0015377B">
      <w:pPr>
        <w:spacing w:line="360" w:lineRule="auto"/>
        <w:jc w:val="center"/>
        <w:rPr>
          <w:rFonts w:eastAsia="Times New Roman"/>
          <w:b/>
          <w:bCs/>
        </w:rPr>
      </w:pPr>
      <w:r w:rsidRPr="0015377B">
        <w:rPr>
          <w:rFonts w:eastAsia="Times New Roman"/>
          <w:b/>
          <w:bCs/>
          <w:noProof/>
          <w:lang w:val="en-IN"/>
        </w:rPr>
        <w:drawing>
          <wp:inline distT="114300" distB="114300" distL="114300" distR="114300" wp14:anchorId="265898D4" wp14:editId="2FEBD701">
            <wp:extent cx="5741082" cy="2203400"/>
            <wp:effectExtent l="25400" t="25400" r="25400" b="254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41082" cy="2203400"/>
                    </a:xfrm>
                    <a:prstGeom prst="rect">
                      <a:avLst/>
                    </a:prstGeom>
                    <a:ln w="25400">
                      <a:solidFill>
                        <a:srgbClr val="000000"/>
                      </a:solidFill>
                      <a:prstDash val="solid"/>
                    </a:ln>
                  </pic:spPr>
                </pic:pic>
              </a:graphicData>
            </a:graphic>
          </wp:inline>
        </w:drawing>
      </w:r>
    </w:p>
    <w:p w14:paraId="628CCBA6" w14:textId="77777777" w:rsidR="00C16DA9" w:rsidRPr="0015377B" w:rsidRDefault="00B434BD" w:rsidP="0015377B">
      <w:pPr>
        <w:pStyle w:val="Heading4"/>
        <w:rPr>
          <w:szCs w:val="22"/>
        </w:rPr>
      </w:pPr>
      <w:bookmarkStart w:id="13" w:name="_Toc226197895"/>
      <w:r w:rsidRPr="0015377B">
        <w:rPr>
          <w:szCs w:val="22"/>
        </w:rPr>
        <w:t>Figure 9: NHS staff responses to their work environment</w:t>
      </w:r>
      <w:bookmarkEnd w:id="13"/>
    </w:p>
    <w:p w14:paraId="4E6D9C82" w14:textId="77777777" w:rsidR="00C16DA9" w:rsidRPr="0015377B" w:rsidRDefault="00B434BD" w:rsidP="0015377B">
      <w:pPr>
        <w:spacing w:line="360" w:lineRule="auto"/>
        <w:jc w:val="center"/>
        <w:rPr>
          <w:rFonts w:eastAsia="Times New Roman"/>
        </w:rPr>
      </w:pPr>
      <w:r w:rsidRPr="0015377B">
        <w:rPr>
          <w:rFonts w:eastAsia="Times New Roman"/>
        </w:rPr>
        <w:t>(Source: Walsh and Sarandy, 2023)</w:t>
      </w:r>
    </w:p>
    <w:p w14:paraId="5E1A1512" w14:textId="5E7E9665" w:rsidR="00C16DA9" w:rsidRPr="0015377B" w:rsidRDefault="006D6B63" w:rsidP="0015377B">
      <w:pPr>
        <w:spacing w:line="360" w:lineRule="auto"/>
        <w:jc w:val="both"/>
        <w:rPr>
          <w:rFonts w:eastAsia="Times New Roman"/>
        </w:rPr>
      </w:pPr>
      <w:r>
        <w:rPr>
          <w:rFonts w:eastAsia="Times New Roman"/>
        </w:rPr>
        <w:t xml:space="preserve">Figure 9 illustrated that </w:t>
      </w:r>
      <w:r w:rsidR="00B434BD" w:rsidRPr="0015377B">
        <w:rPr>
          <w:rFonts w:eastAsia="Times New Roman"/>
        </w:rPr>
        <w:t xml:space="preserve">52% of staff stated they are unable to raise their voices whereas 48% opinionated leaders’ motivation helps them to share their thoughts or make decisions on different perspectives </w:t>
      </w:r>
      <w:r>
        <w:rPr>
          <w:rFonts w:eastAsia="Times New Roman"/>
        </w:rPr>
        <w:t xml:space="preserve">across the NHS healthcare service </w:t>
      </w:r>
      <w:r w:rsidR="00B434BD" w:rsidRPr="0015377B">
        <w:rPr>
          <w:rFonts w:eastAsia="Times New Roman"/>
        </w:rPr>
        <w:t>(Walsh and Sarandy, 2023). It defines lack of psychological safety as creating a communication gap between leaders and healthcare staff that highlights the existence of leadership failure in the healthcare setting. However, Covid-19 creates a communication gap between patients and healthcare professionals and adversely impacts the patient outcome. In a similar context, the GP of Len prescribed him oral morphine solutions but the patient and his family failed to understand the proper dose of the medicine (HSSIB, 2022). It determines that the lack of communication of the GP as a situational leader creates poor outcomes for treating the health condition of Len by considering the patient's age. Thus, the UK healthcare setting needs to improve its clinical efficiency by assessing situational leaders' guidance and striving to deliver tailored care to patients</w:t>
      </w:r>
      <w:r w:rsidR="009B2EDB">
        <w:rPr>
          <w:rFonts w:eastAsia="Times New Roman"/>
        </w:rPr>
        <w:t xml:space="preserve"> (</w:t>
      </w:r>
      <w:r w:rsidR="009B2EDB" w:rsidRPr="0015377B">
        <w:rPr>
          <w:rFonts w:eastAsia="Times New Roman"/>
        </w:rPr>
        <w:t>HSSIB, 2022</w:t>
      </w:r>
      <w:r w:rsidR="009B2EDB">
        <w:rPr>
          <w:rFonts w:eastAsia="Times New Roman"/>
        </w:rPr>
        <w:t>)</w:t>
      </w:r>
      <w:r w:rsidR="00B434BD" w:rsidRPr="0015377B">
        <w:rPr>
          <w:rFonts w:eastAsia="Times New Roman"/>
        </w:rPr>
        <w:t xml:space="preserve">. </w:t>
      </w:r>
    </w:p>
    <w:p w14:paraId="5832CE1A" w14:textId="77777777" w:rsidR="006D2316" w:rsidRPr="0015377B" w:rsidRDefault="00B434BD" w:rsidP="0015377B">
      <w:pPr>
        <w:spacing w:line="360" w:lineRule="auto"/>
        <w:jc w:val="both"/>
        <w:rPr>
          <w:rFonts w:eastAsia="Times New Roman"/>
        </w:rPr>
      </w:pPr>
      <w:r w:rsidRPr="0015377B">
        <w:rPr>
          <w:rFonts w:eastAsia="Times New Roman"/>
        </w:rPr>
        <w:t xml:space="preserve">In the case of Len’s, the identified leadership style needs proper management for handling the situation. It is found that poor transformational leadership practice creates communication gaps </w:t>
      </w:r>
      <w:r w:rsidRPr="0015377B">
        <w:rPr>
          <w:rFonts w:eastAsia="Times New Roman"/>
        </w:rPr>
        <w:lastRenderedPageBreak/>
        <w:t xml:space="preserve">and causes medication error whereas the presence of transactional leadership leads to procedural compliance. Moreover, the situational leader's lack of understanding fails to address the complexity of Len’s health. Thus, it needs proper care and appropriate understanding to avoid vulnerabilities in the healthcare system and improve patient outcomes. For embracing leadership effectiveness, emotionally intelligent leadership would be the most suitable for understanding the patient risks such as elderly age and health behaviour. As well as this leadership style, acknowledge to foster a supportive environment to handle a critical situation and improve the patient outcome (Cavaness et al., </w:t>
      </w:r>
      <w:bookmarkStart w:id="14" w:name="_Toc226197632"/>
      <w:r w:rsidR="006D2316" w:rsidRPr="0015377B">
        <w:rPr>
          <w:rFonts w:eastAsia="Times New Roman"/>
        </w:rPr>
        <w:t>2020).</w:t>
      </w:r>
    </w:p>
    <w:p w14:paraId="216D35C4" w14:textId="419DA795" w:rsidR="00C16DA9" w:rsidRPr="0015377B" w:rsidRDefault="00B434BD" w:rsidP="0015377B">
      <w:pPr>
        <w:pStyle w:val="Heading2"/>
        <w:rPr>
          <w:rFonts w:eastAsia="Times New Roman"/>
          <w:szCs w:val="22"/>
        </w:rPr>
      </w:pPr>
      <w:r w:rsidRPr="0015377B">
        <w:rPr>
          <w:szCs w:val="22"/>
        </w:rPr>
        <w:t>d. Imp</w:t>
      </w:r>
      <w:r w:rsidR="00AA117E" w:rsidRPr="0015377B">
        <w:rPr>
          <w:szCs w:val="22"/>
        </w:rPr>
        <w:t>rovement and Lessons Learned</w:t>
      </w:r>
      <w:bookmarkEnd w:id="14"/>
    </w:p>
    <w:p w14:paraId="75B45C25" w14:textId="77777777" w:rsidR="00C16DA9" w:rsidRPr="0015377B" w:rsidRDefault="00B434BD" w:rsidP="0015377B">
      <w:pPr>
        <w:spacing w:line="360" w:lineRule="auto"/>
        <w:jc w:val="both"/>
        <w:rPr>
          <w:rFonts w:eastAsia="Times New Roman"/>
          <w:b/>
          <w:bCs/>
        </w:rPr>
      </w:pPr>
      <w:r w:rsidRPr="0015377B">
        <w:rPr>
          <w:rFonts w:eastAsia="Times New Roman"/>
          <w:b/>
          <w:bCs/>
        </w:rPr>
        <w:t>Problem 1</w:t>
      </w:r>
    </w:p>
    <w:p w14:paraId="233FDD45" w14:textId="77777777" w:rsidR="00C16DA9" w:rsidRPr="0015377B" w:rsidRDefault="00B434BD" w:rsidP="0015377B">
      <w:pPr>
        <w:spacing w:line="360" w:lineRule="auto"/>
        <w:jc w:val="both"/>
        <w:rPr>
          <w:rFonts w:eastAsia="Times New Roman"/>
          <w:b/>
          <w:bCs/>
        </w:rPr>
      </w:pPr>
      <w:r w:rsidRPr="0015377B">
        <w:rPr>
          <w:rFonts w:eastAsia="Times New Roman"/>
          <w:b/>
          <w:bCs/>
          <w:i/>
          <w:iCs/>
        </w:rPr>
        <w:t>Problem</w:t>
      </w:r>
      <w:r w:rsidRPr="0015377B">
        <w:rPr>
          <w:rFonts w:eastAsia="Times New Roman"/>
          <w:b/>
          <w:bCs/>
        </w:rPr>
        <w:t>:</w:t>
      </w:r>
      <w:r w:rsidRPr="0015377B">
        <w:rPr>
          <w:rFonts w:eastAsia="Times New Roman"/>
        </w:rPr>
        <w:t xml:space="preserve"> </w:t>
      </w:r>
      <w:r w:rsidRPr="0015377B">
        <w:rPr>
          <w:rFonts w:eastAsia="Times New Roman"/>
          <w:b/>
          <w:bCs/>
        </w:rPr>
        <w:t>Lack of understanding of medication labelling and its packaging</w:t>
      </w:r>
    </w:p>
    <w:p w14:paraId="64187436" w14:textId="77777777" w:rsidR="00C16DA9" w:rsidRPr="0015377B" w:rsidRDefault="00B434BD" w:rsidP="0015377B">
      <w:pPr>
        <w:spacing w:line="360" w:lineRule="auto"/>
        <w:jc w:val="both"/>
        <w:rPr>
          <w:rFonts w:eastAsia="Times New Roman"/>
        </w:rPr>
      </w:pPr>
      <w:r w:rsidRPr="0015377B">
        <w:rPr>
          <w:rFonts w:eastAsia="Times New Roman"/>
          <w:b/>
          <w:bCs/>
          <w:i/>
          <w:iCs/>
        </w:rPr>
        <w:t>Data</w:t>
      </w:r>
      <w:r w:rsidRPr="0015377B">
        <w:rPr>
          <w:rFonts w:eastAsia="Times New Roman"/>
          <w:b/>
          <w:bCs/>
        </w:rPr>
        <w:t>:</w:t>
      </w:r>
      <w:r w:rsidRPr="0015377B">
        <w:rPr>
          <w:rFonts w:eastAsia="Times New Roman"/>
        </w:rPr>
        <w:t xml:space="preserve"> For Len’s death case, it is seen that the patient and his wife misunderstood the label of liquid morphine which is labelled as 10mg in 5ml in the bottle. Their GP suggested Len take a 1.25 to 2.5 ml dose of morphine sulfate as an oral solution two to four times in a day (HSSIB, 2022). Due to a communication gap Len took an overdose of morphine. However, Len experienced breathing difficulties and needed to go to the emergency department to receive appropriate treatment (HSSIB, 2022). This complexity is created due to the leader's lack of understanding of the patient's healthcare condition. Similarly, due to this pharmaceutical poisoning, around 100,000 patients require hospital admission in the emergency department and they need intensive care from healthcare professionals (Cowans et al., 2023). </w:t>
      </w:r>
    </w:p>
    <w:p w14:paraId="192F14C9" w14:textId="1217CA92" w:rsidR="00C16DA9" w:rsidRPr="0015377B" w:rsidRDefault="00B434BD" w:rsidP="0015377B">
      <w:pPr>
        <w:spacing w:line="360" w:lineRule="auto"/>
        <w:jc w:val="both"/>
        <w:rPr>
          <w:rFonts w:eastAsia="Times New Roman"/>
        </w:rPr>
      </w:pPr>
      <w:r w:rsidRPr="0015377B">
        <w:rPr>
          <w:rFonts w:eastAsia="Times New Roman"/>
          <w:b/>
          <w:bCs/>
          <w:i/>
          <w:iCs/>
        </w:rPr>
        <w:t>Improvement</w:t>
      </w:r>
      <w:r w:rsidRPr="0015377B">
        <w:rPr>
          <w:rFonts w:eastAsia="Times New Roman"/>
          <w:b/>
          <w:bCs/>
        </w:rPr>
        <w:t>:</w:t>
      </w:r>
      <w:r w:rsidRPr="0015377B">
        <w:rPr>
          <w:rFonts w:eastAsia="Times New Roman"/>
        </w:rPr>
        <w:t xml:space="preserve"> To avoid this circumstance, it is necessary for community pharmacies to clearly label every medication. Therefore, the medicine dose instructions will be properly visible on the bottle itself. The proper labelling of medicines will be suitable for outlining professional assistance to every patient who can easily understand the contained element of medicines and take the appropriate amount for treating health diseases. However, if the NHS fails to improve the health literacy of patients, it may lose opportunities to prevent medication errors and improve patient outcomes</w:t>
      </w:r>
      <w:r w:rsidR="009B2EDB">
        <w:rPr>
          <w:rFonts w:eastAsia="Times New Roman"/>
        </w:rPr>
        <w:t xml:space="preserve"> </w:t>
      </w:r>
      <w:r w:rsidR="009B2EDB" w:rsidRPr="0015377B">
        <w:rPr>
          <w:rFonts w:eastAsia="Times New Roman"/>
        </w:rPr>
        <w:t>(GOV.UK, 2026a</w:t>
      </w:r>
      <w:r w:rsidR="009B2EDB">
        <w:rPr>
          <w:rFonts w:eastAsia="Times New Roman"/>
        </w:rPr>
        <w:t>)</w:t>
      </w:r>
      <w:r w:rsidRPr="0015377B">
        <w:rPr>
          <w:rFonts w:eastAsia="Times New Roman"/>
        </w:rPr>
        <w:t xml:space="preserve">. </w:t>
      </w:r>
    </w:p>
    <w:p w14:paraId="3E3D1C57" w14:textId="77777777" w:rsidR="00C16DA9" w:rsidRPr="0015377B" w:rsidRDefault="00B434BD" w:rsidP="0015377B">
      <w:pPr>
        <w:spacing w:line="360" w:lineRule="auto"/>
        <w:jc w:val="both"/>
        <w:rPr>
          <w:rFonts w:eastAsia="Times New Roman"/>
          <w:b/>
          <w:bCs/>
        </w:rPr>
      </w:pPr>
      <w:r w:rsidRPr="0015377B">
        <w:rPr>
          <w:rFonts w:eastAsia="Times New Roman"/>
          <w:b/>
          <w:bCs/>
        </w:rPr>
        <w:t>Problem 2</w:t>
      </w:r>
    </w:p>
    <w:p w14:paraId="49750DB9" w14:textId="77777777" w:rsidR="00C16DA9" w:rsidRPr="0015377B" w:rsidRDefault="00B434BD" w:rsidP="0015377B">
      <w:pPr>
        <w:spacing w:line="360" w:lineRule="auto"/>
        <w:jc w:val="both"/>
        <w:rPr>
          <w:rFonts w:eastAsia="Times New Roman"/>
          <w:b/>
          <w:bCs/>
        </w:rPr>
      </w:pPr>
      <w:r w:rsidRPr="0015377B">
        <w:rPr>
          <w:rFonts w:eastAsia="Times New Roman"/>
          <w:b/>
          <w:bCs/>
          <w:i/>
          <w:iCs/>
        </w:rPr>
        <w:t>Problem</w:t>
      </w:r>
      <w:r w:rsidRPr="0015377B">
        <w:rPr>
          <w:rFonts w:eastAsia="Times New Roman"/>
          <w:b/>
          <w:bCs/>
        </w:rPr>
        <w:t>:</w:t>
      </w:r>
      <w:r w:rsidRPr="0015377B">
        <w:rPr>
          <w:rFonts w:eastAsia="Times New Roman"/>
        </w:rPr>
        <w:t xml:space="preserve"> </w:t>
      </w:r>
      <w:r w:rsidRPr="0015377B">
        <w:rPr>
          <w:rFonts w:eastAsia="Times New Roman"/>
          <w:b/>
          <w:bCs/>
        </w:rPr>
        <w:t>Delay in identifying medication errors and weak verification</w:t>
      </w:r>
    </w:p>
    <w:p w14:paraId="2A9C3D10" w14:textId="749E9B5D" w:rsidR="00C16DA9" w:rsidRPr="0015377B" w:rsidRDefault="00B434BD" w:rsidP="0015377B">
      <w:pPr>
        <w:spacing w:line="360" w:lineRule="auto"/>
        <w:jc w:val="both"/>
        <w:rPr>
          <w:rFonts w:eastAsia="Times New Roman"/>
        </w:rPr>
      </w:pPr>
      <w:r w:rsidRPr="0015377B">
        <w:rPr>
          <w:rFonts w:eastAsia="Times New Roman"/>
          <w:b/>
          <w:bCs/>
          <w:i/>
          <w:iCs/>
        </w:rPr>
        <w:t>Data</w:t>
      </w:r>
      <w:r w:rsidRPr="0015377B">
        <w:rPr>
          <w:rFonts w:eastAsia="Times New Roman"/>
          <w:b/>
          <w:bCs/>
        </w:rPr>
        <w:t>:</w:t>
      </w:r>
      <w:r w:rsidRPr="0015377B">
        <w:rPr>
          <w:rFonts w:eastAsia="Times New Roman"/>
        </w:rPr>
        <w:t xml:space="preserve"> Within the case of Len, when the patient felt breathlessness and chest pain he contacted his GP who suggested a strong pain-relieving medication taken by mouth. After the hospital admission, the patient's safety risk increased due to the consumption of morphine overdoses (HSSIB, 2022). Thus, the event signifies that a delay has occurred to identify the medication error of Len and deliver him standardised treatment at the appropriate time. In England, nearly 1.8 </w:t>
      </w:r>
      <w:r w:rsidRPr="0015377B">
        <w:rPr>
          <w:rFonts w:eastAsia="Times New Roman"/>
        </w:rPr>
        <w:lastRenderedPageBreak/>
        <w:t xml:space="preserve">million medication errors were identified annually which occurred </w:t>
      </w:r>
      <w:r w:rsidR="009B2EDB">
        <w:rPr>
          <w:rFonts w:eastAsia="Times New Roman"/>
        </w:rPr>
        <w:t xml:space="preserve">before the hospital transitions. </w:t>
      </w:r>
      <w:r w:rsidRPr="0015377B">
        <w:rPr>
          <w:rFonts w:eastAsia="Times New Roman"/>
        </w:rPr>
        <w:t>It is not only responsible for increasing the mortality rate across the UK but also affects the community setting through primary care burden</w:t>
      </w:r>
      <w:r w:rsidR="009B2EDB">
        <w:rPr>
          <w:rFonts w:eastAsia="Times New Roman"/>
        </w:rPr>
        <w:t xml:space="preserve"> </w:t>
      </w:r>
      <w:r w:rsidR="009B2EDB" w:rsidRPr="0015377B">
        <w:rPr>
          <w:rFonts w:eastAsia="Times New Roman"/>
        </w:rPr>
        <w:t>(UK Parliament, 2023).</w:t>
      </w:r>
      <w:r w:rsidRPr="0015377B">
        <w:rPr>
          <w:rFonts w:eastAsia="Times New Roman"/>
        </w:rPr>
        <w:t xml:space="preserve"> </w:t>
      </w:r>
    </w:p>
    <w:p w14:paraId="46DF53E5" w14:textId="43C828DA" w:rsidR="00C16DA9" w:rsidRPr="0015377B" w:rsidRDefault="00B434BD" w:rsidP="0015377B">
      <w:pPr>
        <w:spacing w:line="360" w:lineRule="auto"/>
        <w:jc w:val="both"/>
        <w:rPr>
          <w:rFonts w:eastAsia="Times New Roman"/>
        </w:rPr>
      </w:pPr>
      <w:r w:rsidRPr="0015377B">
        <w:rPr>
          <w:rFonts w:eastAsia="Times New Roman"/>
          <w:b/>
          <w:bCs/>
          <w:i/>
          <w:iCs/>
        </w:rPr>
        <w:t>Improvement</w:t>
      </w:r>
      <w:r w:rsidRPr="0015377B">
        <w:rPr>
          <w:rFonts w:eastAsia="Times New Roman"/>
          <w:b/>
          <w:bCs/>
        </w:rPr>
        <w:t>:</w:t>
      </w:r>
      <w:r w:rsidRPr="0015377B">
        <w:rPr>
          <w:rFonts w:eastAsia="Times New Roman"/>
        </w:rPr>
        <w:t xml:space="preserve"> Within the context, leaders' application of digital health observation monitoring tools and double-check system-based prescribing tools will be suitable to offer alerts during the high-risk of medications for patients. Additionally, family involvement for medication check-up on a daily basis will help to prevent errors and their acknowledgement ensures the taking of correct medicine and dosage at the right time. </w:t>
      </w:r>
      <w:r w:rsidR="009B2EDB">
        <w:rPr>
          <w:rFonts w:eastAsia="Times New Roman"/>
        </w:rPr>
        <w:t xml:space="preserve">Family </w:t>
      </w:r>
      <w:r w:rsidRPr="0015377B">
        <w:rPr>
          <w:rFonts w:eastAsia="Times New Roman"/>
        </w:rPr>
        <w:t>engagement emphasises the importance of care coordination which is to adhere to patient safety and is responsible for preventing medical errors. through ensuring accuracy in the health information process</w:t>
      </w:r>
      <w:r w:rsidR="009B2EDB">
        <w:rPr>
          <w:rFonts w:eastAsia="Times New Roman"/>
        </w:rPr>
        <w:t xml:space="preserve"> (Kim et al., </w:t>
      </w:r>
      <w:r w:rsidR="009B2EDB" w:rsidRPr="0015377B">
        <w:rPr>
          <w:rFonts w:eastAsia="Times New Roman"/>
        </w:rPr>
        <w:t>2020</w:t>
      </w:r>
      <w:r w:rsidR="009B2EDB">
        <w:rPr>
          <w:rFonts w:eastAsia="Times New Roman"/>
        </w:rPr>
        <w:t>)</w:t>
      </w:r>
      <w:r w:rsidRPr="0015377B">
        <w:rPr>
          <w:rFonts w:eastAsia="Times New Roman"/>
        </w:rPr>
        <w:t>.</w:t>
      </w:r>
    </w:p>
    <w:p w14:paraId="00A2642B" w14:textId="77777777" w:rsidR="00C16DA9" w:rsidRPr="0015377B" w:rsidRDefault="00B434BD" w:rsidP="0015377B">
      <w:pPr>
        <w:spacing w:line="360" w:lineRule="auto"/>
        <w:jc w:val="both"/>
        <w:rPr>
          <w:rFonts w:eastAsia="Times New Roman"/>
          <w:b/>
          <w:bCs/>
        </w:rPr>
      </w:pPr>
      <w:r w:rsidRPr="0015377B">
        <w:rPr>
          <w:rFonts w:eastAsia="Times New Roman"/>
          <w:b/>
          <w:bCs/>
        </w:rPr>
        <w:t>Problem 3</w:t>
      </w:r>
    </w:p>
    <w:p w14:paraId="70E96F47" w14:textId="77777777" w:rsidR="00C16DA9" w:rsidRPr="0015377B" w:rsidRDefault="00B434BD" w:rsidP="0015377B">
      <w:pPr>
        <w:spacing w:line="360" w:lineRule="auto"/>
        <w:jc w:val="both"/>
        <w:rPr>
          <w:rFonts w:eastAsia="Times New Roman"/>
          <w:b/>
          <w:bCs/>
        </w:rPr>
      </w:pPr>
      <w:r w:rsidRPr="0015377B">
        <w:rPr>
          <w:rFonts w:eastAsia="Times New Roman"/>
          <w:b/>
          <w:bCs/>
          <w:i/>
          <w:iCs/>
        </w:rPr>
        <w:t>Problem</w:t>
      </w:r>
      <w:r w:rsidRPr="0015377B">
        <w:rPr>
          <w:rFonts w:eastAsia="Times New Roman"/>
          <w:b/>
          <w:bCs/>
        </w:rPr>
        <w:t>:</w:t>
      </w:r>
      <w:r w:rsidRPr="0015377B">
        <w:rPr>
          <w:rFonts w:eastAsia="Times New Roman"/>
        </w:rPr>
        <w:t xml:space="preserve"> </w:t>
      </w:r>
      <w:r w:rsidRPr="0015377B">
        <w:rPr>
          <w:rFonts w:eastAsia="Times New Roman"/>
          <w:b/>
          <w:bCs/>
        </w:rPr>
        <w:t>Examination of the system learning gap</w:t>
      </w:r>
    </w:p>
    <w:p w14:paraId="465EF6B2" w14:textId="20F3459D" w:rsidR="00C16DA9" w:rsidRPr="0015377B" w:rsidRDefault="00B434BD" w:rsidP="0015377B">
      <w:pPr>
        <w:spacing w:line="360" w:lineRule="auto"/>
        <w:jc w:val="both"/>
        <w:rPr>
          <w:rFonts w:eastAsia="Times New Roman"/>
        </w:rPr>
      </w:pPr>
      <w:r w:rsidRPr="0015377B">
        <w:rPr>
          <w:rFonts w:eastAsia="Times New Roman"/>
          <w:b/>
          <w:bCs/>
          <w:i/>
          <w:iCs/>
        </w:rPr>
        <w:t>Data</w:t>
      </w:r>
      <w:r w:rsidRPr="0015377B">
        <w:rPr>
          <w:rFonts w:eastAsia="Times New Roman"/>
          <w:b/>
          <w:bCs/>
        </w:rPr>
        <w:t>:</w:t>
      </w:r>
      <w:r w:rsidRPr="0015377B">
        <w:rPr>
          <w:rFonts w:eastAsia="Times New Roman"/>
        </w:rPr>
        <w:t xml:space="preserve"> According to the HSIB investigation, it is required to submit a “Yellow Card” report by the healthcare trust of the NHS after proactive identification of adverse morphine reactions on Len’s health (HSSIB, 2022). The “Yellow Card” reflects as a voluntary reporting scheme which is given by healthcare professionals through highlighting the adverse health impact of patients (Medicines and Healthcare </w:t>
      </w:r>
      <w:r w:rsidR="00AA117E" w:rsidRPr="0015377B">
        <w:rPr>
          <w:rFonts w:eastAsia="Times New Roman"/>
        </w:rPr>
        <w:t>Products</w:t>
      </w:r>
      <w:r w:rsidRPr="0015377B">
        <w:rPr>
          <w:rFonts w:eastAsia="Times New Roman"/>
        </w:rPr>
        <w:t xml:space="preserve"> Regulatory Agency, 2022). However, the card has not been submitted which would demonstrate Len’s respiratory issues arose after the intake of morphine sulphate (HSSIB, 2022). Under-reporting outlines that the action hinders the process of detecting serious health conditions of a patient early or </w:t>
      </w:r>
      <w:r w:rsidR="007D225C">
        <w:rPr>
          <w:rFonts w:eastAsia="Times New Roman"/>
        </w:rPr>
        <w:t>preventing deaths. U</w:t>
      </w:r>
      <w:r w:rsidRPr="0015377B">
        <w:rPr>
          <w:rFonts w:eastAsia="Times New Roman"/>
        </w:rPr>
        <w:t>nderreporting of adverse drug events creates harmful reactions for UK patients and increases safety risks</w:t>
      </w:r>
      <w:r w:rsidR="007D225C">
        <w:rPr>
          <w:rFonts w:eastAsia="Times New Roman"/>
        </w:rPr>
        <w:t xml:space="preserve"> (Al Meslamani, </w:t>
      </w:r>
      <w:r w:rsidR="007D225C" w:rsidRPr="0015377B">
        <w:rPr>
          <w:rFonts w:eastAsia="Times New Roman"/>
        </w:rPr>
        <w:t>2023</w:t>
      </w:r>
      <w:r w:rsidR="007D225C">
        <w:rPr>
          <w:rFonts w:eastAsia="Times New Roman"/>
        </w:rPr>
        <w:t>)</w:t>
      </w:r>
      <w:r w:rsidRPr="0015377B">
        <w:rPr>
          <w:rFonts w:eastAsia="Times New Roman"/>
        </w:rPr>
        <w:t>.</w:t>
      </w:r>
    </w:p>
    <w:p w14:paraId="442AF271" w14:textId="3046DBBF" w:rsidR="00C16DA9" w:rsidRPr="0015377B" w:rsidRDefault="00B434BD" w:rsidP="0015377B">
      <w:pPr>
        <w:spacing w:line="360" w:lineRule="auto"/>
        <w:jc w:val="both"/>
        <w:rPr>
          <w:rFonts w:eastAsia="Times New Roman"/>
        </w:rPr>
      </w:pPr>
      <w:r w:rsidRPr="0015377B">
        <w:rPr>
          <w:rFonts w:eastAsia="Times New Roman"/>
          <w:b/>
          <w:bCs/>
          <w:i/>
          <w:iCs/>
        </w:rPr>
        <w:t>Improvement</w:t>
      </w:r>
      <w:r w:rsidRPr="0015377B">
        <w:rPr>
          <w:rFonts w:eastAsia="Times New Roman"/>
          <w:b/>
          <w:bCs/>
        </w:rPr>
        <w:t xml:space="preserve">: </w:t>
      </w:r>
      <w:r w:rsidRPr="0015377B">
        <w:rPr>
          <w:rFonts w:eastAsia="Times New Roman"/>
        </w:rPr>
        <w:t>For mitigating the problem, making healthcare reports under the “Yellow Card” will be the most beneficial across the UK healthcare sector. It not only improves patient outcomes through early warning systems but also mandates regulatory actions for managing serious patient hea</w:t>
      </w:r>
      <w:r w:rsidR="007D225C">
        <w:rPr>
          <w:rFonts w:eastAsia="Times New Roman"/>
        </w:rPr>
        <w:t>lth conditions. T</w:t>
      </w:r>
      <w:r w:rsidRPr="0015377B">
        <w:rPr>
          <w:rFonts w:eastAsia="Times New Roman"/>
        </w:rPr>
        <w:t>he utilisation of the “Yellow Card” scheme enables the healthcare setting to promote awareness among the public regarding the usage of required materials and make reports that ensure patient safety. However, if NHS trusts fail to follow the scheme, the organisational actions will be monitored under the regulatory and quality audit of the Care Quality Commission (CQC) along with missed opportunities for gaining clinical trust from patients</w:t>
      </w:r>
      <w:r w:rsidR="007D225C">
        <w:rPr>
          <w:rFonts w:eastAsia="Times New Roman"/>
        </w:rPr>
        <w:t xml:space="preserve"> (GOV.UK, </w:t>
      </w:r>
      <w:r w:rsidR="007D225C" w:rsidRPr="0015377B">
        <w:rPr>
          <w:rFonts w:eastAsia="Times New Roman"/>
        </w:rPr>
        <w:t>2025</w:t>
      </w:r>
      <w:r w:rsidR="007D225C">
        <w:rPr>
          <w:rFonts w:eastAsia="Times New Roman"/>
        </w:rPr>
        <w:t>)</w:t>
      </w:r>
      <w:r w:rsidRPr="0015377B">
        <w:rPr>
          <w:rFonts w:eastAsia="Times New Roman"/>
        </w:rPr>
        <w:t xml:space="preserve">. </w:t>
      </w:r>
    </w:p>
    <w:p w14:paraId="3EA3A27B" w14:textId="77777777" w:rsidR="00C16DA9" w:rsidRPr="0015377B" w:rsidRDefault="00B434BD" w:rsidP="0015377B">
      <w:pPr>
        <w:spacing w:line="360" w:lineRule="auto"/>
        <w:jc w:val="both"/>
        <w:rPr>
          <w:rFonts w:eastAsia="Times New Roman"/>
          <w:b/>
          <w:bCs/>
        </w:rPr>
      </w:pPr>
      <w:r w:rsidRPr="0015377B">
        <w:rPr>
          <w:rFonts w:eastAsia="Times New Roman"/>
          <w:b/>
          <w:bCs/>
        </w:rPr>
        <w:t>Evaluation of Linking All Findings</w:t>
      </w:r>
    </w:p>
    <w:p w14:paraId="269D22D3" w14:textId="75F54E99" w:rsidR="00C16DA9" w:rsidRPr="0015377B" w:rsidRDefault="00B434BD" w:rsidP="0015377B">
      <w:pPr>
        <w:spacing w:line="360" w:lineRule="auto"/>
        <w:jc w:val="both"/>
        <w:rPr>
          <w:rFonts w:eastAsia="Times New Roman"/>
        </w:rPr>
      </w:pPr>
      <w:r w:rsidRPr="0015377B">
        <w:rPr>
          <w:rFonts w:eastAsia="Times New Roman"/>
        </w:rPr>
        <w:t xml:space="preserve">For the case of Len, it is evaluated that the healthcare system is a semi-centralised and fragmented system that consists of the GP’s poor coordination and healthcare professionals' communication gap. These gaps not only highlight the primary cause of medication errors but also define the necessity of fostering a safer healthcare governance system. Similarly, the system </w:t>
      </w:r>
      <w:r w:rsidRPr="0015377B">
        <w:rPr>
          <w:rFonts w:eastAsia="Times New Roman"/>
        </w:rPr>
        <w:lastRenderedPageBreak/>
        <w:t>feedback mechanism of healthcare professionals is not suitable for providing early treatment to Len. These all challenges illustrate poor leadership practice of GP and NHS healthcare professionals</w:t>
      </w:r>
      <w:r w:rsidR="007D225C">
        <w:rPr>
          <w:rFonts w:eastAsia="Times New Roman"/>
        </w:rPr>
        <w:t xml:space="preserve"> </w:t>
      </w:r>
      <w:r w:rsidR="007D225C" w:rsidRPr="0015377B">
        <w:rPr>
          <w:rFonts w:eastAsia="Times New Roman"/>
        </w:rPr>
        <w:t>(HSSIB, 2022</w:t>
      </w:r>
      <w:r w:rsidR="007D225C">
        <w:rPr>
          <w:rFonts w:eastAsia="Times New Roman"/>
        </w:rPr>
        <w:t>)</w:t>
      </w:r>
      <w:r w:rsidRPr="0015377B">
        <w:rPr>
          <w:rFonts w:eastAsia="Times New Roman"/>
        </w:rPr>
        <w:t xml:space="preserve">. </w:t>
      </w:r>
    </w:p>
    <w:p w14:paraId="4BE6F1BB" w14:textId="77777777" w:rsidR="00AA117E" w:rsidRPr="0015377B" w:rsidRDefault="00B434BD" w:rsidP="0015377B">
      <w:pPr>
        <w:spacing w:line="360" w:lineRule="auto"/>
        <w:jc w:val="both"/>
      </w:pPr>
      <w:r w:rsidRPr="0015377B">
        <w:rPr>
          <w:rFonts w:eastAsia="Times New Roman"/>
        </w:rPr>
        <w:t xml:space="preserve">From this case, other healthcare organisations will definitely learn the importance of a structured healthcare system to deliver quality and standardised care. It will also know about the importance of communication for evolving patient healthcare services and understand the appropriate leadership style effectiveness to boost organisational productivity. However, they will learn about the negative impact of a lack of understanding and communication gap which includes reputational issues, patient dissatisfaction and poor staff engagement. Based on the NHS constitution, healthcare professionals’ accountability allows them to make decisive decisions while embracing clinical effectiveness (GOV.UK, 2023). Furthermore, practical evidence and data such as the “Yellow Card” scheme usage will be suitable for understanding the current trends across the UK healthcare setting. With the help of HDRS (Health Data Research Service), NHS continuously strives to improve patient outcomes and access to build a secure environment through proper diagnosis and clinical trials (Diwakar and Vickers, 2025). </w:t>
      </w:r>
    </w:p>
    <w:p w14:paraId="1DC7A572" w14:textId="50A7AEBA" w:rsidR="00C16DA9" w:rsidRPr="0015377B" w:rsidRDefault="00D871AA" w:rsidP="0015377B">
      <w:pPr>
        <w:pStyle w:val="Heading1"/>
        <w:rPr>
          <w:rFonts w:eastAsia="Times New Roman"/>
          <w:bCs/>
          <w:szCs w:val="22"/>
        </w:rPr>
      </w:pPr>
      <w:bookmarkStart w:id="15" w:name="_Toc226197633"/>
      <w:r w:rsidRPr="0015377B">
        <w:rPr>
          <w:szCs w:val="22"/>
        </w:rPr>
        <w:t>3. Recommendations</w:t>
      </w:r>
      <w:bookmarkEnd w:id="15"/>
    </w:p>
    <w:p w14:paraId="0F22C894" w14:textId="77777777" w:rsidR="00C16DA9" w:rsidRPr="0015377B" w:rsidRDefault="00B434BD" w:rsidP="0015377B">
      <w:pPr>
        <w:spacing w:line="360" w:lineRule="auto"/>
        <w:jc w:val="both"/>
        <w:rPr>
          <w:rFonts w:eastAsia="Times New Roman"/>
          <w:b/>
          <w:bCs/>
        </w:rPr>
      </w:pPr>
      <w:r w:rsidRPr="0015377B">
        <w:rPr>
          <w:rFonts w:eastAsia="Times New Roman"/>
          <w:b/>
          <w:bCs/>
        </w:rPr>
        <w:t>Summary for the Future Improvement</w:t>
      </w:r>
    </w:p>
    <w:p w14:paraId="44759827" w14:textId="77777777" w:rsidR="00C16DA9" w:rsidRPr="0015377B" w:rsidRDefault="00B434BD" w:rsidP="0015377B">
      <w:pPr>
        <w:spacing w:line="360" w:lineRule="auto"/>
        <w:jc w:val="both"/>
        <w:rPr>
          <w:rFonts w:eastAsia="Times New Roman"/>
        </w:rPr>
      </w:pPr>
      <w:r w:rsidRPr="0015377B">
        <w:rPr>
          <w:rFonts w:eastAsia="Times New Roman"/>
        </w:rPr>
        <w:t xml:space="preserve">For future improvement and to minimise medical error, the NHS healthcare setting should focus on multiple aspects such as the adoption of transformational leadership practices, empowering the healthcare governance system and facilitating remote monitoring to increase patient involvement. These evidence-based practices will not only sustain improvement on a long-term bae but also avoid the risks of medication errors. </w:t>
      </w:r>
    </w:p>
    <w:p w14:paraId="6E5AE775" w14:textId="02F91C1D" w:rsidR="00C16DA9" w:rsidRPr="0015377B" w:rsidRDefault="00547048" w:rsidP="0015377B">
      <w:pPr>
        <w:spacing w:line="360" w:lineRule="auto"/>
        <w:jc w:val="both"/>
        <w:rPr>
          <w:rFonts w:eastAsia="Times New Roman"/>
          <w:b/>
          <w:bCs/>
        </w:rPr>
      </w:pPr>
      <w:r w:rsidRPr="0015377B">
        <w:rPr>
          <w:rFonts w:eastAsia="Times New Roman"/>
          <w:b/>
          <w:bCs/>
        </w:rPr>
        <w:t>Recommendations</w:t>
      </w:r>
    </w:p>
    <w:p w14:paraId="306E64CC" w14:textId="77777777" w:rsidR="00C16DA9" w:rsidRPr="0015377B" w:rsidRDefault="00B434BD" w:rsidP="0015377B">
      <w:pPr>
        <w:spacing w:line="360" w:lineRule="auto"/>
        <w:jc w:val="both"/>
        <w:rPr>
          <w:rFonts w:eastAsia="Times New Roman"/>
          <w:b/>
          <w:bCs/>
        </w:rPr>
      </w:pPr>
      <w:r w:rsidRPr="0015377B">
        <w:rPr>
          <w:rFonts w:eastAsia="Times New Roman"/>
          <w:b/>
          <w:bCs/>
          <w:i/>
          <w:iCs/>
        </w:rPr>
        <w:t>Recommendation 1</w:t>
      </w:r>
      <w:r w:rsidRPr="0015377B">
        <w:rPr>
          <w:rFonts w:eastAsia="Times New Roman"/>
          <w:b/>
          <w:bCs/>
        </w:rPr>
        <w:t>: Adoption of transformational leadership practices to establish a safety culture.</w:t>
      </w:r>
    </w:p>
    <w:p w14:paraId="161DB22A" w14:textId="3273B07D" w:rsidR="00C16DA9" w:rsidRPr="0015377B" w:rsidRDefault="00B434BD" w:rsidP="0015377B">
      <w:pPr>
        <w:spacing w:line="360" w:lineRule="auto"/>
        <w:jc w:val="both"/>
        <w:rPr>
          <w:rFonts w:eastAsia="Times New Roman"/>
        </w:rPr>
      </w:pPr>
      <w:r w:rsidRPr="0015377B">
        <w:rPr>
          <w:rFonts w:eastAsia="Times New Roman"/>
        </w:rPr>
        <w:t xml:space="preserve">In the healthcare environment, effective leadership practice is a crucial aspect that influences different organisational aspects such as high retention rate, proper resource management and quality care. In this relation, transformational leadership style plays the primary role in motivating others and keeping everyone motivated and productive (Tsapnidou et al., 2024). For creating a safety culture, the NHS should prioritise fair treatment for every staff member and influence everyone to maintain openness whether people can speak up about their strategies to leaders. This action also directly impacts improving patient outcomes which will contribute to avoiding medical issues that are similarly raised in Len's case. </w:t>
      </w:r>
      <w:r w:rsidR="007D225C">
        <w:rPr>
          <w:rFonts w:eastAsia="Times New Roman"/>
        </w:rPr>
        <w:t>The</w:t>
      </w:r>
      <w:r w:rsidRPr="0015377B">
        <w:rPr>
          <w:rFonts w:eastAsia="Times New Roman"/>
        </w:rPr>
        <w:t xml:space="preserve"> organisation deals with more than 1 million patients every 36 hours where healthcare staff’s proper treatment and streamlined </w:t>
      </w:r>
      <w:r w:rsidRPr="0015377B">
        <w:rPr>
          <w:rFonts w:eastAsia="Times New Roman"/>
        </w:rPr>
        <w:lastRenderedPageBreak/>
        <w:t>communication prudently sustain the improvement and evaluate the best practice across the UK healthcare setting</w:t>
      </w:r>
      <w:r w:rsidR="007D225C">
        <w:rPr>
          <w:rFonts w:eastAsia="Times New Roman"/>
        </w:rPr>
        <w:t xml:space="preserve"> (NHS England, 2026c)</w:t>
      </w:r>
      <w:r w:rsidRPr="0015377B">
        <w:rPr>
          <w:rFonts w:eastAsia="Times New Roman"/>
        </w:rPr>
        <w:t>. However, poor coordination between healthcare staff generates adverse outcomes for the transformational leader. A lack of employee engagement creates communication gaps and increases the higher rates of medication errors. Thus, the transformational leadership practice value-driven approaches will minimise communication barriers between healthcare staff and patients</w:t>
      </w:r>
      <w:r w:rsidR="007D225C">
        <w:rPr>
          <w:rFonts w:eastAsia="Times New Roman"/>
        </w:rPr>
        <w:t xml:space="preserve"> (</w:t>
      </w:r>
      <w:r w:rsidR="007D225C" w:rsidRPr="0015377B">
        <w:rPr>
          <w:rFonts w:eastAsia="Times New Roman"/>
        </w:rPr>
        <w:t>Begum, 2025</w:t>
      </w:r>
      <w:r w:rsidR="007D225C">
        <w:rPr>
          <w:rFonts w:eastAsia="Times New Roman"/>
        </w:rPr>
        <w:t>)</w:t>
      </w:r>
      <w:r w:rsidRPr="0015377B">
        <w:rPr>
          <w:rFonts w:eastAsia="Times New Roman"/>
        </w:rPr>
        <w:t xml:space="preserve">. </w:t>
      </w:r>
    </w:p>
    <w:p w14:paraId="0C48B6C0" w14:textId="77777777" w:rsidR="00C16DA9" w:rsidRPr="0015377B" w:rsidRDefault="00B434BD" w:rsidP="0015377B">
      <w:pPr>
        <w:spacing w:line="360" w:lineRule="auto"/>
        <w:jc w:val="both"/>
        <w:rPr>
          <w:rFonts w:eastAsia="Times New Roman"/>
          <w:b/>
          <w:bCs/>
        </w:rPr>
      </w:pPr>
      <w:r w:rsidRPr="0015377B">
        <w:rPr>
          <w:rFonts w:eastAsia="Times New Roman"/>
          <w:b/>
          <w:bCs/>
          <w:i/>
          <w:iCs/>
        </w:rPr>
        <w:t>Recommendation 2</w:t>
      </w:r>
      <w:r w:rsidRPr="0015377B">
        <w:rPr>
          <w:rFonts w:eastAsia="Times New Roman"/>
          <w:b/>
          <w:bCs/>
        </w:rPr>
        <w:t>: Strengthen healthcare governance system by understanding patient needs.</w:t>
      </w:r>
    </w:p>
    <w:p w14:paraId="5C978DC9" w14:textId="320E47D0" w:rsidR="00C16DA9" w:rsidRPr="0015377B" w:rsidRDefault="00B434BD" w:rsidP="0015377B">
      <w:pPr>
        <w:spacing w:line="360" w:lineRule="auto"/>
        <w:jc w:val="both"/>
        <w:rPr>
          <w:rFonts w:eastAsia="Times New Roman"/>
        </w:rPr>
      </w:pPr>
      <w:r w:rsidRPr="0015377B">
        <w:rPr>
          <w:rFonts w:eastAsia="Times New Roman"/>
        </w:rPr>
        <w:t xml:space="preserve">A health governance system is defined as an effective process and structure. It allows a country to oversee the nation’s healthcare system and strengthen stakeholders’ involvement such as fulfilling patient needs and supporting family members during any emergencies (WHO, 2026). Within the context, NHS organisations should prioritise to foster a clinical governance for continuously improving patient care and ensure to deliver high standard healthcare services to the UK population. By including quality in the healthcare governance system, the NHS will not only boost operational performance but also make healthcare professionals accountable to understand patient needs. It ensures that patient safety strategy is maintained by the incident management system (NHS England, 2026). Hence, it will be suitable for the UK healthcare setting to maintain professional standardisation such as offering clearly labelled medicines, describing their proper usage and minimising patient safety-related risks. Conversely, the poor practice of the healthcare governance system may cause medication errors and a lack of understanding of fragmented care coordination. </w:t>
      </w:r>
      <w:r w:rsidR="007D225C">
        <w:rPr>
          <w:rFonts w:eastAsia="Times New Roman"/>
        </w:rPr>
        <w:t>P</w:t>
      </w:r>
      <w:r w:rsidRPr="0015377B">
        <w:rPr>
          <w:rFonts w:eastAsia="Times New Roman"/>
        </w:rPr>
        <w:t>oor coordination between patients and healthcare professionals increases patient dissatisfaction and exacerbates health inequalities in society</w:t>
      </w:r>
      <w:r w:rsidR="007D225C">
        <w:rPr>
          <w:rFonts w:eastAsia="Times New Roman"/>
        </w:rPr>
        <w:t xml:space="preserve"> (Debie et al., 2022).</w:t>
      </w:r>
      <w:r w:rsidRPr="0015377B">
        <w:rPr>
          <w:rFonts w:eastAsia="Times New Roman"/>
        </w:rPr>
        <w:t xml:space="preserve"> </w:t>
      </w:r>
    </w:p>
    <w:p w14:paraId="3D272E0A" w14:textId="77777777" w:rsidR="00C16DA9" w:rsidRPr="0015377B" w:rsidRDefault="00B434BD" w:rsidP="0015377B">
      <w:pPr>
        <w:spacing w:line="360" w:lineRule="auto"/>
        <w:jc w:val="both"/>
        <w:rPr>
          <w:rFonts w:eastAsia="Times New Roman"/>
          <w:b/>
          <w:bCs/>
        </w:rPr>
      </w:pPr>
      <w:r w:rsidRPr="0015377B">
        <w:rPr>
          <w:rFonts w:eastAsia="Times New Roman"/>
          <w:b/>
          <w:bCs/>
          <w:i/>
          <w:iCs/>
        </w:rPr>
        <w:t>Recommendation 3</w:t>
      </w:r>
      <w:r w:rsidRPr="0015377B">
        <w:rPr>
          <w:rFonts w:eastAsia="Times New Roman"/>
          <w:b/>
          <w:bCs/>
        </w:rPr>
        <w:t>: Facilitate remote monitoring for increasing patient involvement and empower digital engagement.</w:t>
      </w:r>
    </w:p>
    <w:p w14:paraId="231DFD31" w14:textId="66CB0D0C" w:rsidR="00C16DA9" w:rsidRPr="0015377B" w:rsidRDefault="00B434BD" w:rsidP="0015377B">
      <w:pPr>
        <w:spacing w:line="360" w:lineRule="auto"/>
        <w:jc w:val="both"/>
        <w:rPr>
          <w:rFonts w:eastAsia="Times New Roman"/>
        </w:rPr>
      </w:pPr>
      <w:r w:rsidRPr="0015377B">
        <w:rPr>
          <w:rFonts w:eastAsia="Times New Roman"/>
        </w:rPr>
        <w:t>Nowadays, RPM (Remote Patient Monitoring) or telemonitoring is an effective way to gather real-time information about a patient's psychological condition (Serrano et al., 2023). Therefore, the NHS UK should facilitate remote monitoring to diagnose every patient's health condition. The usage of health monitoring tools will be effective for people to bring positive changes in their lifestyle and min</w:t>
      </w:r>
      <w:r w:rsidR="007D225C">
        <w:rPr>
          <w:rFonts w:eastAsia="Times New Roman"/>
        </w:rPr>
        <w:t>imise human errors. H</w:t>
      </w:r>
      <w:r w:rsidRPr="0015377B">
        <w:rPr>
          <w:rFonts w:eastAsia="Times New Roman"/>
        </w:rPr>
        <w:t>alf of the UK adults maintain their digital engagement with health monitoring technologies that help to track their lifestyle choices. Hence, the usage of remote monitoring and digital tools will create scope for the NHS to increase patient involvement and improve their health literacy regarding the consumption of medicines at the required level</w:t>
      </w:r>
      <w:r w:rsidR="007D225C">
        <w:rPr>
          <w:rFonts w:eastAsia="Times New Roman"/>
        </w:rPr>
        <w:t xml:space="preserve"> (Fletcher and Gaskell, </w:t>
      </w:r>
      <w:r w:rsidR="007D225C" w:rsidRPr="0015377B">
        <w:rPr>
          <w:rFonts w:eastAsia="Times New Roman"/>
        </w:rPr>
        <w:t>2024</w:t>
      </w:r>
      <w:r w:rsidR="007D225C">
        <w:rPr>
          <w:rFonts w:eastAsia="Times New Roman"/>
        </w:rPr>
        <w:t>)</w:t>
      </w:r>
      <w:r w:rsidRPr="0015377B">
        <w:rPr>
          <w:rFonts w:eastAsia="Times New Roman"/>
        </w:rPr>
        <w:t xml:space="preserve">. </w:t>
      </w:r>
    </w:p>
    <w:p w14:paraId="49D89F7D" w14:textId="3C2A7A36" w:rsidR="00C16DA9" w:rsidRPr="0015377B" w:rsidRDefault="00D871AA" w:rsidP="0015377B">
      <w:pPr>
        <w:pStyle w:val="Heading1"/>
        <w:rPr>
          <w:szCs w:val="22"/>
        </w:rPr>
      </w:pPr>
      <w:bookmarkStart w:id="16" w:name="_Toc226197634"/>
      <w:r w:rsidRPr="0015377B">
        <w:rPr>
          <w:szCs w:val="22"/>
        </w:rPr>
        <w:lastRenderedPageBreak/>
        <w:t>4. Conclusion</w:t>
      </w:r>
      <w:bookmarkEnd w:id="16"/>
    </w:p>
    <w:p w14:paraId="166B5973" w14:textId="77777777" w:rsidR="00C16DA9" w:rsidRPr="0015377B" w:rsidRDefault="00B434BD" w:rsidP="0015377B">
      <w:pPr>
        <w:spacing w:line="360" w:lineRule="auto"/>
        <w:jc w:val="both"/>
        <w:rPr>
          <w:rFonts w:eastAsia="Times New Roman"/>
        </w:rPr>
      </w:pPr>
      <w:r w:rsidRPr="0015377B">
        <w:rPr>
          <w:rFonts w:eastAsia="Times New Roman"/>
        </w:rPr>
        <w:t xml:space="preserve">From the above discussion, it is summarised that the communication gap and leadership failure are the primary causes of Len’s death. It is highlighted that the misunderstanding of oral morphine consumption, due to a lack of proper leadership guidance caused the medication errors in delivering healthcare service to Len and increased the psychological stress of their families. Based on the system thinking analysis, multiple system weaknesses are identified. The workforce crisis hinders the effective delivery process of medication therapy management, patients' lack of healthcare literacy creates life-threatening situations and inadequate leadership practices increase human errors in providing emergency treatment. Moreover, governance structures and leadership approaches play a significant role in influencing the outcome. From the presence of disruptive clinical intervention to prescription errors and equipment malfunction not only hinders the quality of care delivery but also defines that a fragmented governance system causes the medical errors. A lack of leadership accountability and acknowledgement highlights the poor practice of healthcare professionals and generates negative patient outcomes. Furthermore, systems thinking would allow the NHS UK to foster long-term based sustainable plans instead of delivering individual-focused clinical interventions. As evidence–based outcomes adoption of transformational leadership practices would contribute to managing streamlined communication between patients and healthcare professionals, leaders would be capable of understanding patient needs and empower digital engagement.  </w:t>
      </w:r>
      <w:r w:rsidRPr="0015377B">
        <w:br w:type="page"/>
      </w:r>
    </w:p>
    <w:p w14:paraId="2F535EDB" w14:textId="77777777" w:rsidR="00C16DA9" w:rsidRPr="0015377B" w:rsidRDefault="00B434BD" w:rsidP="0015377B">
      <w:pPr>
        <w:pStyle w:val="Heading1"/>
        <w:rPr>
          <w:szCs w:val="22"/>
        </w:rPr>
      </w:pPr>
      <w:bookmarkStart w:id="17" w:name="_Toc226197635"/>
      <w:r w:rsidRPr="0015377B">
        <w:rPr>
          <w:szCs w:val="22"/>
        </w:rPr>
        <w:lastRenderedPageBreak/>
        <w:t>References</w:t>
      </w:r>
      <w:bookmarkEnd w:id="17"/>
    </w:p>
    <w:p w14:paraId="1561E10B" w14:textId="46D02934" w:rsidR="00C115B7" w:rsidRPr="0015377B" w:rsidRDefault="00C115B7" w:rsidP="0015377B">
      <w:pPr>
        <w:spacing w:line="360" w:lineRule="auto"/>
        <w:jc w:val="both"/>
        <w:rPr>
          <w:rFonts w:eastAsia="Times New Roman"/>
        </w:rPr>
      </w:pPr>
      <w:r w:rsidRPr="0015377B">
        <w:rPr>
          <w:rFonts w:eastAsia="Times New Roman"/>
        </w:rPr>
        <w:t>Adetunji, J. (2025)</w:t>
      </w:r>
      <w:r w:rsidR="002463E3">
        <w:rPr>
          <w:rFonts w:eastAsia="Times New Roman"/>
        </w:rPr>
        <w:t>.</w:t>
      </w:r>
      <w:r w:rsidRPr="0015377B">
        <w:rPr>
          <w:rFonts w:eastAsia="Times New Roman"/>
        </w:rPr>
        <w:t xml:space="preserve"> </w:t>
      </w:r>
      <w:r w:rsidRPr="0015377B">
        <w:rPr>
          <w:rFonts w:eastAsia="Times New Roman"/>
          <w:i/>
          <w:iCs/>
        </w:rPr>
        <w:t>One in ten patient safety incidents in hospitals due to poor communication – our new study.</w:t>
      </w:r>
      <w:r w:rsidRPr="0015377B">
        <w:rPr>
          <w:rFonts w:eastAsia="Times New Roman"/>
        </w:rPr>
        <w:t xml:space="preserve"> </w:t>
      </w:r>
      <w:r w:rsidR="002463E3">
        <w:rPr>
          <w:rFonts w:eastAsia="Times New Roman"/>
        </w:rPr>
        <w:t xml:space="preserve">[online] </w:t>
      </w:r>
      <w:r w:rsidRPr="0015377B">
        <w:rPr>
          <w:rFonts w:eastAsia="Times New Roman"/>
        </w:rPr>
        <w:t xml:space="preserve">Available at: </w:t>
      </w:r>
      <w:hyperlink r:id="rId18" w:anchor=":~:text=According%20to%20research%2C%20poor%20communication%20from%20healthcare,about%2048%2C000%20avoidable%20sepsis%20deaths%20each%20year">
        <w:r w:rsidRPr="0015377B">
          <w:rPr>
            <w:rFonts w:eastAsia="Times New Roman"/>
            <w:color w:val="1155CC"/>
            <w:u w:val="single"/>
          </w:rPr>
          <w:t>https://theconversation.com/one-in-ten-patient-safety-incidents-in-hospitals-due-to-poor-communication-our-new-study-252467#:~:text=According%20to%20research%2C%20poor%20communication%20from%20healthcare,about%2048%2C000%20avoidable%20sepsis%20deaths%20each%20year</w:t>
        </w:r>
      </w:hyperlink>
      <w:r w:rsidR="002463E3">
        <w:rPr>
          <w:rFonts w:eastAsia="Times New Roman"/>
        </w:rPr>
        <w:t>. [Accessed</w:t>
      </w:r>
      <w:r w:rsidRPr="0015377B">
        <w:rPr>
          <w:rFonts w:eastAsia="Times New Roman"/>
        </w:rPr>
        <w:t xml:space="preserve"> 28 March</w:t>
      </w:r>
      <w:r w:rsidR="002463E3">
        <w:rPr>
          <w:rFonts w:eastAsia="Times New Roman"/>
        </w:rPr>
        <w:t>. 2026]</w:t>
      </w:r>
      <w:r w:rsidRPr="0015377B">
        <w:rPr>
          <w:rFonts w:eastAsia="Times New Roman"/>
        </w:rPr>
        <w:t>.</w:t>
      </w:r>
    </w:p>
    <w:p w14:paraId="6703248E" w14:textId="6317DEFB" w:rsidR="00C115B7" w:rsidRPr="0015377B" w:rsidRDefault="00C115B7" w:rsidP="0015377B">
      <w:pPr>
        <w:spacing w:line="360" w:lineRule="auto"/>
        <w:jc w:val="both"/>
        <w:rPr>
          <w:rFonts w:eastAsia="Times New Roman"/>
        </w:rPr>
      </w:pPr>
      <w:r w:rsidRPr="0015377B">
        <w:rPr>
          <w:rFonts w:eastAsia="Times New Roman"/>
        </w:rPr>
        <w:t>Al Meslamani, A.Z. (2023)</w:t>
      </w:r>
      <w:r w:rsidR="002463E3">
        <w:rPr>
          <w:rFonts w:eastAsia="Times New Roman"/>
        </w:rPr>
        <w:t>.</w:t>
      </w:r>
      <w:r w:rsidRPr="0015377B">
        <w:rPr>
          <w:rFonts w:eastAsia="Times New Roman"/>
        </w:rPr>
        <w:t xml:space="preserve"> ‘Underreporting of adverse drug events: a look into the extent, causes, and potential solutions’, </w:t>
      </w:r>
      <w:r w:rsidRPr="0015377B">
        <w:rPr>
          <w:rFonts w:eastAsia="Times New Roman"/>
          <w:i/>
          <w:iCs/>
        </w:rPr>
        <w:t>Expert Opinion on Drug Safety</w:t>
      </w:r>
      <w:r w:rsidRPr="0015377B">
        <w:rPr>
          <w:rFonts w:eastAsia="Times New Roman"/>
        </w:rPr>
        <w:t xml:space="preserve">, 22(5), pp.351-354. Available at: </w:t>
      </w:r>
      <w:hyperlink r:id="rId19">
        <w:r w:rsidRPr="0015377B">
          <w:rPr>
            <w:rFonts w:eastAsia="Times New Roman"/>
            <w:color w:val="1155CC"/>
            <w:u w:val="single"/>
          </w:rPr>
          <w:t>https://doi.org/10.1080/14740338.2023.2224558</w:t>
        </w:r>
      </w:hyperlink>
      <w:r w:rsidRPr="0015377B">
        <w:rPr>
          <w:rFonts w:eastAsia="Times New Roman"/>
        </w:rPr>
        <w:t xml:space="preserve"> </w:t>
      </w:r>
    </w:p>
    <w:p w14:paraId="7E9E5950" w14:textId="25D21DEC" w:rsidR="00C115B7" w:rsidRPr="0015377B" w:rsidRDefault="00C115B7" w:rsidP="0015377B">
      <w:pPr>
        <w:spacing w:line="360" w:lineRule="auto"/>
        <w:jc w:val="both"/>
        <w:rPr>
          <w:rFonts w:eastAsia="Times New Roman"/>
        </w:rPr>
      </w:pPr>
      <w:r w:rsidRPr="0015377B">
        <w:rPr>
          <w:rFonts w:eastAsia="Times New Roman"/>
        </w:rPr>
        <w:t>Alrowily, A., Alfaraidy, K., Almutairi, S., Alamri, A., Alrowily, W., Abutaleb, M., Zaitoun, M., Sarawi, W. and Aljead, M. (2025)</w:t>
      </w:r>
      <w:r w:rsidR="002463E3">
        <w:rPr>
          <w:rFonts w:eastAsia="Times New Roman"/>
        </w:rPr>
        <w:t>.</w:t>
      </w:r>
      <w:r w:rsidRPr="0015377B">
        <w:rPr>
          <w:rFonts w:eastAsia="Times New Roman"/>
        </w:rPr>
        <w:t xml:space="preserve"> ‘High-risk medication errors: Insight from the UK National Reporting and learning system’, </w:t>
      </w:r>
      <w:r w:rsidRPr="0015377B">
        <w:rPr>
          <w:rFonts w:eastAsia="Times New Roman"/>
          <w:i/>
          <w:iCs/>
        </w:rPr>
        <w:t>Exploratory Research in Clinical and Social Pharmacy</w:t>
      </w:r>
      <w:r w:rsidRPr="0015377B">
        <w:rPr>
          <w:rFonts w:eastAsia="Times New Roman"/>
        </w:rPr>
        <w:t xml:space="preserve">, 17, p.100531. Available at: </w:t>
      </w:r>
      <w:hyperlink r:id="rId20">
        <w:r w:rsidRPr="0015377B">
          <w:rPr>
            <w:rFonts w:eastAsia="Times New Roman"/>
            <w:color w:val="1155CC"/>
            <w:u w:val="single"/>
          </w:rPr>
          <w:t>https://doi.org/10.1016/j.rcsop.2024.100531</w:t>
        </w:r>
      </w:hyperlink>
      <w:r w:rsidRPr="0015377B">
        <w:rPr>
          <w:rFonts w:eastAsia="Times New Roman"/>
        </w:rPr>
        <w:t xml:space="preserve"> </w:t>
      </w:r>
    </w:p>
    <w:p w14:paraId="1BD54A53" w14:textId="08D2BF4E" w:rsidR="00C115B7" w:rsidRPr="0015377B" w:rsidRDefault="00C115B7" w:rsidP="0015377B">
      <w:pPr>
        <w:spacing w:line="360" w:lineRule="auto"/>
        <w:jc w:val="both"/>
        <w:rPr>
          <w:rFonts w:eastAsia="Times New Roman"/>
        </w:rPr>
      </w:pPr>
      <w:r w:rsidRPr="0015377B">
        <w:rPr>
          <w:rFonts w:eastAsia="Times New Roman"/>
        </w:rPr>
        <w:t>Alrowily, A., Alfaraidy, K., Almutairi, S., Alamri, A., Alrowily, W., Abutaleb, M., Zaitoun, M., Sarawi, W. and Aljead, M. (2025)</w:t>
      </w:r>
      <w:r w:rsidR="002463E3">
        <w:rPr>
          <w:rFonts w:eastAsia="Times New Roman"/>
        </w:rPr>
        <w:t>.</w:t>
      </w:r>
      <w:r w:rsidRPr="0015377B">
        <w:rPr>
          <w:rFonts w:eastAsia="Times New Roman"/>
        </w:rPr>
        <w:t xml:space="preserve"> ‘High-risk medication errors: Insight from the UK National Reporting and learning system’, </w:t>
      </w:r>
      <w:r w:rsidRPr="0015377B">
        <w:rPr>
          <w:rFonts w:eastAsia="Times New Roman"/>
          <w:i/>
          <w:iCs/>
        </w:rPr>
        <w:t>Exploratory Research in Clinical and Social Pharmacy, 17</w:t>
      </w:r>
      <w:r w:rsidRPr="0015377B">
        <w:rPr>
          <w:rFonts w:eastAsia="Times New Roman"/>
        </w:rPr>
        <w:t xml:space="preserve">, p.100531. Available at: </w:t>
      </w:r>
      <w:hyperlink r:id="rId21">
        <w:r w:rsidRPr="0015377B">
          <w:rPr>
            <w:rFonts w:eastAsia="Times New Roman"/>
            <w:color w:val="1155CC"/>
            <w:u w:val="single"/>
          </w:rPr>
          <w:t>https://doi.org/10.1016/j.rcsop.2024.100531</w:t>
        </w:r>
      </w:hyperlink>
      <w:r w:rsidRPr="0015377B">
        <w:rPr>
          <w:rFonts w:eastAsia="Times New Roman"/>
        </w:rPr>
        <w:t xml:space="preserve"> </w:t>
      </w:r>
    </w:p>
    <w:p w14:paraId="60911A28" w14:textId="1801BB47" w:rsidR="00C115B7" w:rsidRPr="0015377B" w:rsidRDefault="00C115B7" w:rsidP="0015377B">
      <w:pPr>
        <w:spacing w:line="360" w:lineRule="auto"/>
        <w:jc w:val="both"/>
        <w:rPr>
          <w:rFonts w:eastAsia="Times New Roman"/>
        </w:rPr>
      </w:pPr>
      <w:r w:rsidRPr="0015377B">
        <w:rPr>
          <w:rFonts w:eastAsia="Times New Roman"/>
        </w:rPr>
        <w:t>Begum, M. (2025)</w:t>
      </w:r>
      <w:r w:rsidR="002463E3">
        <w:rPr>
          <w:rFonts w:eastAsia="Times New Roman"/>
        </w:rPr>
        <w:t>.</w:t>
      </w:r>
      <w:r w:rsidRPr="0015377B">
        <w:rPr>
          <w:rFonts w:eastAsia="Times New Roman"/>
        </w:rPr>
        <w:t xml:space="preserve"> ‘CHALLENGES AND STRATEGY IN ADOPTING TRANSFORMATIONAL LEADERSHIP IN NURSING: A SYSTEMATIC REVIEW’, International Journal of Development Research, Vol. 15, Issue, 10, pp. 69200--69203. Available at: </w:t>
      </w:r>
      <w:hyperlink r:id="rId22">
        <w:r w:rsidRPr="0015377B">
          <w:rPr>
            <w:rFonts w:eastAsia="Times New Roman"/>
            <w:color w:val="1155CC"/>
            <w:u w:val="single"/>
          </w:rPr>
          <w:t>https://doi.org/10.37118/ijdr.30134.10.2025</w:t>
        </w:r>
      </w:hyperlink>
      <w:r w:rsidRPr="0015377B">
        <w:rPr>
          <w:rFonts w:eastAsia="Times New Roman"/>
        </w:rPr>
        <w:t xml:space="preserve"> </w:t>
      </w:r>
    </w:p>
    <w:p w14:paraId="39A55FBA" w14:textId="41653667" w:rsidR="00C115B7" w:rsidRPr="0015377B" w:rsidRDefault="00C115B7" w:rsidP="0015377B">
      <w:pPr>
        <w:spacing w:line="360" w:lineRule="auto"/>
        <w:jc w:val="both"/>
        <w:rPr>
          <w:rFonts w:eastAsia="Times New Roman"/>
        </w:rPr>
      </w:pPr>
      <w:r w:rsidRPr="0015377B">
        <w:rPr>
          <w:rFonts w:eastAsia="Times New Roman"/>
        </w:rPr>
        <w:t>Bell, S. (2019)</w:t>
      </w:r>
      <w:r w:rsidR="002463E3">
        <w:rPr>
          <w:rFonts w:eastAsia="Times New Roman"/>
        </w:rPr>
        <w:t>.</w:t>
      </w:r>
      <w:r w:rsidRPr="0015377B">
        <w:rPr>
          <w:rFonts w:eastAsia="Times New Roman"/>
        </w:rPr>
        <w:t xml:space="preserve"> </w:t>
      </w:r>
      <w:r w:rsidRPr="0015377B">
        <w:rPr>
          <w:rFonts w:eastAsia="Times New Roman"/>
          <w:i/>
          <w:iCs/>
        </w:rPr>
        <w:t>Addressing the Long-Term Impact of Patient Harm</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23">
        <w:r w:rsidRPr="0015377B">
          <w:rPr>
            <w:rFonts w:eastAsia="Times New Roman"/>
            <w:color w:val="1155CC"/>
            <w:u w:val="single"/>
          </w:rPr>
          <w:t>https://www.ihi.org/library/blog/addressing-long-term-impact-patient-harm</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18562B54" w14:textId="62E4F258" w:rsidR="00C115B7" w:rsidRPr="0015377B" w:rsidRDefault="00C115B7" w:rsidP="0015377B">
      <w:pPr>
        <w:spacing w:line="360" w:lineRule="auto"/>
        <w:jc w:val="both"/>
        <w:rPr>
          <w:rFonts w:eastAsia="Times New Roman"/>
        </w:rPr>
      </w:pPr>
      <w:r w:rsidRPr="0015377B">
        <w:rPr>
          <w:rFonts w:eastAsia="Times New Roman"/>
        </w:rPr>
        <w:t>Campbell, D. (2025)</w:t>
      </w:r>
      <w:r w:rsidR="002463E3">
        <w:rPr>
          <w:rFonts w:eastAsia="Times New Roman"/>
        </w:rPr>
        <w:t>.</w:t>
      </w:r>
      <w:r w:rsidRPr="0015377B">
        <w:rPr>
          <w:rFonts w:eastAsia="Times New Roman"/>
        </w:rPr>
        <w:t xml:space="preserve"> </w:t>
      </w:r>
      <w:r w:rsidRPr="0015377B">
        <w:rPr>
          <w:rFonts w:eastAsia="Times New Roman"/>
          <w:i/>
          <w:iCs/>
        </w:rPr>
        <w:t>One in four patients in England find errors in medical records, watchdog says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24">
        <w:r w:rsidRPr="0015377B">
          <w:rPr>
            <w:rFonts w:eastAsia="Times New Roman"/>
            <w:color w:val="1155CC"/>
            <w:u w:val="single"/>
          </w:rPr>
          <w:t>https://www.theguardian.com/society/2025/may/01/one-in-four-patients-in-england-find-errors-in-medical-records-watchdog-says</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3CC8F74E" w14:textId="6F01A64F" w:rsidR="00C115B7" w:rsidRPr="0015377B" w:rsidRDefault="00C115B7" w:rsidP="0015377B">
      <w:pPr>
        <w:spacing w:line="360" w:lineRule="auto"/>
        <w:jc w:val="both"/>
        <w:rPr>
          <w:rFonts w:eastAsia="Times New Roman"/>
        </w:rPr>
      </w:pPr>
      <w:r w:rsidRPr="0015377B">
        <w:rPr>
          <w:rFonts w:eastAsia="Times New Roman"/>
        </w:rPr>
        <w:t>Cavaness, K., Picchioni, A. and Fleshman, J.W. (2020)</w:t>
      </w:r>
      <w:r w:rsidR="002463E3">
        <w:rPr>
          <w:rFonts w:eastAsia="Times New Roman"/>
        </w:rPr>
        <w:t>.</w:t>
      </w:r>
      <w:r w:rsidRPr="0015377B">
        <w:rPr>
          <w:rFonts w:eastAsia="Times New Roman"/>
        </w:rPr>
        <w:t xml:space="preserve"> ‘Linking emotional intelligence to successful health care leadership: the big five model of personality’, </w:t>
      </w:r>
      <w:r w:rsidRPr="0015377B">
        <w:rPr>
          <w:rFonts w:eastAsia="Times New Roman"/>
          <w:i/>
          <w:iCs/>
        </w:rPr>
        <w:t>Clinics in colon and rectal surgery</w:t>
      </w:r>
      <w:r w:rsidRPr="0015377B">
        <w:rPr>
          <w:rFonts w:eastAsia="Times New Roman"/>
        </w:rPr>
        <w:t xml:space="preserve">, 33(04), pp.195-203. Available at: </w:t>
      </w:r>
      <w:hyperlink r:id="rId25">
        <w:r w:rsidRPr="0015377B">
          <w:rPr>
            <w:rFonts w:eastAsia="Times New Roman"/>
            <w:color w:val="1155CC"/>
            <w:u w:val="single"/>
          </w:rPr>
          <w:t>https://doi.org/10.1055/s-0040-1709435</w:t>
        </w:r>
      </w:hyperlink>
      <w:r w:rsidRPr="0015377B">
        <w:rPr>
          <w:rFonts w:eastAsia="Times New Roman"/>
        </w:rPr>
        <w:t xml:space="preserve"> </w:t>
      </w:r>
    </w:p>
    <w:p w14:paraId="04C4313F" w14:textId="04320D83" w:rsidR="00C115B7" w:rsidRPr="0015377B" w:rsidRDefault="00C115B7" w:rsidP="0015377B">
      <w:pPr>
        <w:spacing w:line="360" w:lineRule="auto"/>
        <w:jc w:val="both"/>
        <w:rPr>
          <w:rFonts w:eastAsia="Times New Roman"/>
        </w:rPr>
      </w:pPr>
      <w:r w:rsidRPr="0015377B">
        <w:rPr>
          <w:rFonts w:eastAsia="Times New Roman"/>
        </w:rPr>
        <w:t>Connelly, D. (2023)</w:t>
      </w:r>
      <w:r w:rsidR="002463E3">
        <w:rPr>
          <w:rFonts w:eastAsia="Times New Roman"/>
        </w:rPr>
        <w:t>.</w:t>
      </w:r>
      <w:r w:rsidRPr="0015377B">
        <w:rPr>
          <w:rFonts w:eastAsia="Times New Roman"/>
        </w:rPr>
        <w:t xml:space="preserve"> </w:t>
      </w:r>
      <w:r w:rsidRPr="0015377B">
        <w:rPr>
          <w:rFonts w:eastAsia="Times New Roman"/>
          <w:i/>
          <w:iCs/>
        </w:rPr>
        <w:t>Community pharmacy in Britain: a changing market</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26" w:anchor=":~:text=By%20Dawn%20Connelly,to%2017.0%25%20in%20October%202023">
        <w:r w:rsidRPr="0015377B">
          <w:rPr>
            <w:rFonts w:eastAsia="Times New Roman"/>
            <w:color w:val="1155CC"/>
            <w:u w:val="single"/>
          </w:rPr>
          <w:t>https://pharmaceutical-journal.com/article/feature/community-pharmacy-in-britain-a-changing-</w:t>
        </w:r>
        <w:r w:rsidRPr="0015377B">
          <w:rPr>
            <w:rFonts w:eastAsia="Times New Roman"/>
            <w:color w:val="1155CC"/>
            <w:u w:val="single"/>
          </w:rPr>
          <w:lastRenderedPageBreak/>
          <w:t>market#:~:text=By%20Dawn%20Connelly,to%2017.0%25%20in%20October%202023</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75A2036B" w14:textId="31469EDA" w:rsidR="00C115B7" w:rsidRPr="0015377B" w:rsidRDefault="00C115B7" w:rsidP="0015377B">
      <w:pPr>
        <w:spacing w:line="360" w:lineRule="auto"/>
        <w:jc w:val="both"/>
        <w:rPr>
          <w:rFonts w:eastAsia="Times New Roman"/>
        </w:rPr>
      </w:pPr>
      <w:r w:rsidRPr="0015377B">
        <w:rPr>
          <w:rFonts w:eastAsia="Times New Roman"/>
        </w:rPr>
        <w:t>Cowans, C., Love, A., Tangiisuran, B. and Jacob, S.A. (2023)</w:t>
      </w:r>
      <w:r w:rsidR="002463E3">
        <w:rPr>
          <w:rFonts w:eastAsia="Times New Roman"/>
        </w:rPr>
        <w:t>.</w:t>
      </w:r>
      <w:r w:rsidRPr="0015377B">
        <w:rPr>
          <w:rFonts w:eastAsia="Times New Roman"/>
        </w:rPr>
        <w:t xml:space="preserve"> ‘Uncovering the hidden burden of pharmaceutical poisoning in high-income and low-middle-income countries: a scoping review’, </w:t>
      </w:r>
      <w:r w:rsidRPr="0015377B">
        <w:rPr>
          <w:rFonts w:eastAsia="Times New Roman"/>
          <w:i/>
          <w:iCs/>
        </w:rPr>
        <w:t>Pharmacy</w:t>
      </w:r>
      <w:r w:rsidRPr="0015377B">
        <w:rPr>
          <w:rFonts w:eastAsia="Times New Roman"/>
        </w:rPr>
        <w:t xml:space="preserve">, 11(6), p.184. Available at: </w:t>
      </w:r>
      <w:hyperlink r:id="rId27">
        <w:r w:rsidRPr="0015377B">
          <w:rPr>
            <w:rFonts w:eastAsia="Times New Roman"/>
            <w:color w:val="1155CC"/>
            <w:u w:val="single"/>
          </w:rPr>
          <w:t>https://doi.org/10.3390/pharmacy11060184</w:t>
        </w:r>
      </w:hyperlink>
      <w:r w:rsidRPr="0015377B">
        <w:rPr>
          <w:rFonts w:eastAsia="Times New Roman"/>
        </w:rPr>
        <w:t xml:space="preserve"> </w:t>
      </w:r>
    </w:p>
    <w:p w14:paraId="636A0F4A" w14:textId="3CC6BF03" w:rsidR="00C115B7" w:rsidRPr="0015377B" w:rsidRDefault="00C115B7" w:rsidP="0015377B">
      <w:pPr>
        <w:spacing w:line="360" w:lineRule="auto"/>
        <w:jc w:val="both"/>
        <w:rPr>
          <w:rFonts w:eastAsia="Times New Roman"/>
        </w:rPr>
      </w:pPr>
      <w:r w:rsidRPr="0015377B">
        <w:rPr>
          <w:rFonts w:eastAsia="Times New Roman"/>
        </w:rPr>
        <w:t>CQC (2022)</w:t>
      </w:r>
      <w:r w:rsidR="002463E3">
        <w:rPr>
          <w:rFonts w:eastAsia="Times New Roman"/>
        </w:rPr>
        <w:t>.</w:t>
      </w:r>
      <w:r w:rsidRPr="0015377B">
        <w:rPr>
          <w:rFonts w:eastAsia="Times New Roman"/>
        </w:rPr>
        <w:t xml:space="preserve"> </w:t>
      </w:r>
      <w:r w:rsidRPr="0015377B">
        <w:rPr>
          <w:rFonts w:eastAsia="Times New Roman"/>
          <w:i/>
          <w:iCs/>
        </w:rPr>
        <w:t>CQC Insight 14: Medicines safety in NHS trusts</w:t>
      </w:r>
      <w:r w:rsidRPr="0015377B">
        <w:rPr>
          <w:rFonts w:eastAsia="Times New Roman"/>
        </w:rPr>
        <w:t>.</w:t>
      </w:r>
      <w:r w:rsidR="00610C43" w:rsidRPr="00610C43">
        <w:rPr>
          <w:rFonts w:eastAsia="Times New Roman"/>
        </w:rPr>
        <w:t xml:space="preserve"> </w:t>
      </w:r>
      <w:r w:rsidR="00610C43">
        <w:rPr>
          <w:rFonts w:eastAsia="Times New Roman"/>
        </w:rPr>
        <w:t>[online]</w:t>
      </w:r>
      <w:r w:rsidRPr="0015377B">
        <w:rPr>
          <w:rFonts w:eastAsia="Times New Roman"/>
        </w:rPr>
        <w:t xml:space="preserve"> Available at: </w:t>
      </w:r>
      <w:hyperlink r:id="rId28">
        <w:r w:rsidRPr="0015377B">
          <w:rPr>
            <w:rFonts w:eastAsia="Times New Roman"/>
            <w:color w:val="1155CC"/>
            <w:u w:val="single"/>
          </w:rPr>
          <w:t>https://www.cqc.org.uk/publications/major-reports/cqc-insight-14-medicines-safety-nhs-trusts</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76D9679D" w14:textId="5454625F" w:rsidR="00C115B7" w:rsidRPr="0015377B" w:rsidRDefault="00C115B7" w:rsidP="0015377B">
      <w:pPr>
        <w:spacing w:line="360" w:lineRule="auto"/>
        <w:jc w:val="both"/>
        <w:rPr>
          <w:rFonts w:eastAsia="Times New Roman"/>
        </w:rPr>
      </w:pPr>
      <w:r w:rsidRPr="0015377B">
        <w:rPr>
          <w:rFonts w:eastAsia="Times New Roman"/>
        </w:rPr>
        <w:t>Debie, A., Khatri, R.B. and Assefa, Y. (2022)</w:t>
      </w:r>
      <w:r w:rsidR="002463E3">
        <w:rPr>
          <w:rFonts w:eastAsia="Times New Roman"/>
        </w:rPr>
        <w:t>.</w:t>
      </w:r>
      <w:r w:rsidRPr="0015377B">
        <w:rPr>
          <w:rFonts w:eastAsia="Times New Roman"/>
        </w:rPr>
        <w:t xml:space="preserve"> ‘Successes and challenges of health systems governance towards universal health coverage and global health security: a narrative review and synthesis of the literature’, </w:t>
      </w:r>
      <w:r w:rsidRPr="0015377B">
        <w:rPr>
          <w:rFonts w:eastAsia="Times New Roman"/>
          <w:i/>
          <w:iCs/>
        </w:rPr>
        <w:t>Health research policy and systems</w:t>
      </w:r>
      <w:r w:rsidRPr="0015377B">
        <w:rPr>
          <w:rFonts w:eastAsia="Times New Roman"/>
        </w:rPr>
        <w:t xml:space="preserve">, 20(1), p.50. Available at: </w:t>
      </w:r>
      <w:hyperlink r:id="rId29">
        <w:r w:rsidRPr="0015377B">
          <w:rPr>
            <w:rFonts w:eastAsia="Times New Roman"/>
            <w:color w:val="1155CC"/>
            <w:u w:val="single"/>
          </w:rPr>
          <w:t>https://doi.org/10.1186/s12961-022-00858-7</w:t>
        </w:r>
      </w:hyperlink>
      <w:r w:rsidRPr="0015377B">
        <w:rPr>
          <w:rFonts w:eastAsia="Times New Roman"/>
        </w:rPr>
        <w:t xml:space="preserve"> </w:t>
      </w:r>
    </w:p>
    <w:p w14:paraId="0D68FB28" w14:textId="444EAF60" w:rsidR="00C115B7" w:rsidRPr="0015377B" w:rsidRDefault="00C115B7" w:rsidP="0015377B">
      <w:pPr>
        <w:spacing w:line="360" w:lineRule="auto"/>
        <w:jc w:val="both"/>
        <w:rPr>
          <w:rFonts w:eastAsia="Times New Roman"/>
        </w:rPr>
      </w:pPr>
      <w:r w:rsidRPr="0015377B">
        <w:rPr>
          <w:rFonts w:eastAsia="Times New Roman"/>
        </w:rPr>
        <w:t>Deng, C., Gulseren, D., Isola, C., Grocutt, K. and Turner, N. (2023)</w:t>
      </w:r>
      <w:r w:rsidR="002463E3">
        <w:rPr>
          <w:rFonts w:eastAsia="Times New Roman"/>
        </w:rPr>
        <w:t>.</w:t>
      </w:r>
      <w:r w:rsidRPr="0015377B">
        <w:rPr>
          <w:rFonts w:eastAsia="Times New Roman"/>
        </w:rPr>
        <w:t xml:space="preserve"> ‘Transformational leadership effectiveness: an evidence-based primer’, </w:t>
      </w:r>
      <w:r w:rsidRPr="0015377B">
        <w:rPr>
          <w:rFonts w:eastAsia="Times New Roman"/>
          <w:i/>
          <w:iCs/>
        </w:rPr>
        <w:t>Human Resource Development International</w:t>
      </w:r>
      <w:r w:rsidRPr="0015377B">
        <w:rPr>
          <w:rFonts w:eastAsia="Times New Roman"/>
        </w:rPr>
        <w:t xml:space="preserve">, 26(5), pp.627-641. Available at: </w:t>
      </w:r>
      <w:hyperlink r:id="rId30">
        <w:r w:rsidRPr="0015377B">
          <w:rPr>
            <w:rFonts w:eastAsia="Times New Roman"/>
            <w:color w:val="1155CC"/>
            <w:u w:val="single"/>
          </w:rPr>
          <w:t>https://doi.org/10.1080/13678868.2022.2135938</w:t>
        </w:r>
      </w:hyperlink>
      <w:r w:rsidRPr="0015377B">
        <w:rPr>
          <w:rFonts w:eastAsia="Times New Roman"/>
        </w:rPr>
        <w:t xml:space="preserve"> </w:t>
      </w:r>
    </w:p>
    <w:p w14:paraId="0F77F098" w14:textId="2F9AA644" w:rsidR="00C115B7" w:rsidRPr="0015377B" w:rsidRDefault="00C115B7" w:rsidP="0015377B">
      <w:pPr>
        <w:spacing w:line="360" w:lineRule="auto"/>
        <w:jc w:val="both"/>
        <w:rPr>
          <w:rFonts w:eastAsia="Times New Roman"/>
        </w:rPr>
      </w:pPr>
      <w:r w:rsidRPr="0015377B">
        <w:rPr>
          <w:rFonts w:eastAsia="Times New Roman"/>
        </w:rPr>
        <w:t>Department of Health (2021)</w:t>
      </w:r>
      <w:r w:rsidR="002463E3">
        <w:rPr>
          <w:rFonts w:eastAsia="Times New Roman"/>
        </w:rPr>
        <w:t>.</w:t>
      </w:r>
      <w:r w:rsidRPr="0015377B">
        <w:rPr>
          <w:rFonts w:eastAsia="Times New Roman"/>
        </w:rPr>
        <w:t xml:space="preserve"> </w:t>
      </w:r>
      <w:r w:rsidRPr="0015377B">
        <w:rPr>
          <w:rFonts w:eastAsia="Times New Roman"/>
          <w:i/>
          <w:iCs/>
        </w:rPr>
        <w:t>Health Building Note 11-01: Supplement A – Resilience and emergency planning in primary and community care</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31">
        <w:r w:rsidRPr="0015377B">
          <w:rPr>
            <w:rFonts w:eastAsia="Times New Roman"/>
            <w:color w:val="1155CC"/>
            <w:u w:val="single"/>
          </w:rPr>
          <w:t>https://www.england.nhs.uk/wp-content/uploads/2021/05/HBN_11-01_Supp_A_Final.pdf</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0755C081" w14:textId="5AE93FD1" w:rsidR="00C115B7" w:rsidRPr="0015377B" w:rsidRDefault="00C115B7" w:rsidP="0015377B">
      <w:pPr>
        <w:spacing w:line="360" w:lineRule="auto"/>
        <w:jc w:val="both"/>
        <w:rPr>
          <w:rFonts w:eastAsia="Times New Roman"/>
        </w:rPr>
      </w:pPr>
      <w:r w:rsidRPr="0015377B">
        <w:rPr>
          <w:rFonts w:eastAsia="Times New Roman"/>
        </w:rPr>
        <w:t>Diwakar, V. and Vickers, L. (2025)</w:t>
      </w:r>
      <w:r w:rsidR="002463E3">
        <w:rPr>
          <w:rFonts w:eastAsia="Times New Roman"/>
        </w:rPr>
        <w:t>.</w:t>
      </w:r>
      <w:r w:rsidRPr="0015377B">
        <w:rPr>
          <w:rFonts w:eastAsia="Times New Roman"/>
        </w:rPr>
        <w:t xml:space="preserve"> </w:t>
      </w:r>
      <w:r w:rsidRPr="0015377B">
        <w:rPr>
          <w:rFonts w:eastAsia="Times New Roman"/>
          <w:i/>
          <w:iCs/>
        </w:rPr>
        <w:t>Health Data Research Service – unlocking the potential of health and care data to transform lives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32">
        <w:r w:rsidRPr="0015377B">
          <w:rPr>
            <w:rFonts w:eastAsia="Times New Roman"/>
            <w:color w:val="1155CC"/>
            <w:u w:val="single"/>
          </w:rPr>
          <w:t>https://www.england.nhs.uk/blog/health-data-research-service-unlocking-the-potential-of-health-and-care-data-to-transform-lives/</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7FC6BAB3" w14:textId="50747E71" w:rsidR="00C115B7" w:rsidRPr="0015377B" w:rsidRDefault="00C115B7" w:rsidP="0015377B">
      <w:pPr>
        <w:spacing w:line="360" w:lineRule="auto"/>
        <w:jc w:val="both"/>
        <w:rPr>
          <w:rFonts w:eastAsia="Times New Roman"/>
        </w:rPr>
      </w:pPr>
      <w:r w:rsidRPr="0015377B">
        <w:rPr>
          <w:rFonts w:eastAsia="Times New Roman"/>
        </w:rPr>
        <w:t>Dong, B. (2023)</w:t>
      </w:r>
      <w:r w:rsidR="002463E3">
        <w:rPr>
          <w:rFonts w:eastAsia="Times New Roman"/>
        </w:rPr>
        <w:t>.</w:t>
      </w:r>
      <w:r w:rsidRPr="0015377B">
        <w:rPr>
          <w:rFonts w:eastAsia="Times New Roman"/>
        </w:rPr>
        <w:t xml:space="preserve"> ‘A systematic review of the transactional leadership literature and future outlook’, </w:t>
      </w:r>
      <w:r w:rsidRPr="0015377B">
        <w:rPr>
          <w:rFonts w:eastAsia="Times New Roman"/>
          <w:i/>
          <w:iCs/>
        </w:rPr>
        <w:t>Academic Journal of Management and Social Sciences</w:t>
      </w:r>
      <w:r w:rsidRPr="0015377B">
        <w:rPr>
          <w:rFonts w:eastAsia="Times New Roman"/>
        </w:rPr>
        <w:t xml:space="preserve">, 2(3), pp.21-25. Available at: </w:t>
      </w:r>
      <w:hyperlink r:id="rId33">
        <w:r w:rsidRPr="0015377B">
          <w:rPr>
            <w:rFonts w:eastAsia="Times New Roman"/>
            <w:color w:val="1155CC"/>
            <w:u w:val="single"/>
          </w:rPr>
          <w:t>https://pdfs.semanticscholar.org/8158/5768e874415ebf8b69fee2520929c0e283cb.pdf</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05F55AD2" w14:textId="202388AC" w:rsidR="00C115B7" w:rsidRPr="0015377B" w:rsidRDefault="00C115B7" w:rsidP="0015377B">
      <w:pPr>
        <w:spacing w:line="360" w:lineRule="auto"/>
        <w:jc w:val="both"/>
        <w:rPr>
          <w:rFonts w:eastAsia="Times New Roman"/>
        </w:rPr>
      </w:pPr>
      <w:r w:rsidRPr="0015377B">
        <w:rPr>
          <w:rFonts w:eastAsia="Times New Roman"/>
        </w:rPr>
        <w:t>Elliott, R.A., Camacho, E., Jankovic, D., Sculpher, M.J. and Faria, R. (2021)</w:t>
      </w:r>
      <w:r w:rsidR="002463E3">
        <w:rPr>
          <w:rFonts w:eastAsia="Times New Roman"/>
        </w:rPr>
        <w:t>.</w:t>
      </w:r>
      <w:r w:rsidRPr="0015377B">
        <w:rPr>
          <w:rFonts w:eastAsia="Times New Roman"/>
        </w:rPr>
        <w:t xml:space="preserve"> ‘Economic analysis of the prevalence and clinical and economic burden of medication error in England’, </w:t>
      </w:r>
      <w:r w:rsidRPr="0015377B">
        <w:rPr>
          <w:rFonts w:eastAsia="Times New Roman"/>
          <w:i/>
          <w:iCs/>
        </w:rPr>
        <w:t>BMJ Quality &amp; Safety</w:t>
      </w:r>
      <w:r w:rsidRPr="0015377B">
        <w:rPr>
          <w:rFonts w:eastAsia="Times New Roman"/>
        </w:rPr>
        <w:t xml:space="preserve">, 30(2), pp.96-105. Available at: </w:t>
      </w:r>
      <w:hyperlink r:id="rId34">
        <w:r w:rsidRPr="0015377B">
          <w:rPr>
            <w:rFonts w:eastAsia="Times New Roman"/>
            <w:color w:val="1155CC"/>
            <w:u w:val="single"/>
          </w:rPr>
          <w:t>http://dx.doi.org/10.1136/bmjqs-2019-010206</w:t>
        </w:r>
      </w:hyperlink>
      <w:r w:rsidRPr="0015377B">
        <w:rPr>
          <w:rFonts w:eastAsia="Times New Roman"/>
        </w:rPr>
        <w:t xml:space="preserve"> </w:t>
      </w:r>
    </w:p>
    <w:p w14:paraId="30A9CC15" w14:textId="22AF253A" w:rsidR="00C115B7" w:rsidRPr="0015377B" w:rsidRDefault="00C115B7" w:rsidP="0015377B">
      <w:pPr>
        <w:spacing w:line="360" w:lineRule="auto"/>
        <w:jc w:val="both"/>
        <w:rPr>
          <w:rFonts w:eastAsia="Times New Roman"/>
        </w:rPr>
      </w:pPr>
      <w:r w:rsidRPr="0015377B">
        <w:rPr>
          <w:rFonts w:eastAsia="Times New Roman"/>
        </w:rPr>
        <w:t>FirstWord Pharma (2025)</w:t>
      </w:r>
      <w:r w:rsidR="002463E3">
        <w:rPr>
          <w:rFonts w:eastAsia="Times New Roman"/>
        </w:rPr>
        <w:t>.</w:t>
      </w:r>
      <w:r w:rsidRPr="0015377B">
        <w:rPr>
          <w:rFonts w:eastAsia="Times New Roman"/>
        </w:rPr>
        <w:t xml:space="preserve"> </w:t>
      </w:r>
      <w:r w:rsidRPr="0015377B">
        <w:rPr>
          <w:rFonts w:eastAsia="Times New Roman"/>
          <w:i/>
          <w:iCs/>
        </w:rPr>
        <w:t>Morale at breaking point as pharmacy staffing crisis deepens.</w:t>
      </w:r>
      <w:r w:rsidRPr="0015377B">
        <w:rPr>
          <w:rFonts w:eastAsia="Times New Roman"/>
        </w:rPr>
        <w:t xml:space="preserve"> Available at: </w:t>
      </w:r>
      <w:hyperlink r:id="rId35">
        <w:r w:rsidRPr="0015377B">
          <w:rPr>
            <w:rFonts w:eastAsia="Times New Roman"/>
            <w:color w:val="1155CC"/>
            <w:u w:val="single"/>
          </w:rPr>
          <w:t>https://firstwordpharma.com/story/6528349</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7D071864" w14:textId="0EFFE56A" w:rsidR="00C115B7" w:rsidRPr="0015377B" w:rsidRDefault="00C115B7" w:rsidP="0015377B">
      <w:pPr>
        <w:spacing w:line="360" w:lineRule="auto"/>
        <w:jc w:val="both"/>
        <w:rPr>
          <w:rFonts w:eastAsia="Times New Roman"/>
        </w:rPr>
      </w:pPr>
      <w:r w:rsidRPr="0015377B">
        <w:rPr>
          <w:rFonts w:eastAsia="Times New Roman"/>
        </w:rPr>
        <w:t>Fletcher, S. and Gaskell, A. (2024)</w:t>
      </w:r>
      <w:r w:rsidR="002463E3">
        <w:rPr>
          <w:rFonts w:eastAsia="Times New Roman"/>
        </w:rPr>
        <w:t>.</w:t>
      </w:r>
      <w:r w:rsidRPr="0015377B">
        <w:rPr>
          <w:rFonts w:eastAsia="Times New Roman"/>
        </w:rPr>
        <w:t xml:space="preserve"> </w:t>
      </w:r>
      <w:r w:rsidRPr="0015377B">
        <w:rPr>
          <w:rFonts w:eastAsia="Times New Roman"/>
          <w:i/>
          <w:iCs/>
        </w:rPr>
        <w:t>Cleveland Clinic London Survey: Nearly half of UK Adults Use Health Monitoring Technology</w:t>
      </w:r>
      <w:r w:rsidRPr="0015377B">
        <w:rPr>
          <w:rFonts w:eastAsia="Times New Roman"/>
        </w:rPr>
        <w:t>.</w:t>
      </w:r>
      <w:r w:rsidR="00610C43" w:rsidRPr="00610C43">
        <w:rPr>
          <w:rFonts w:eastAsia="Times New Roman"/>
        </w:rPr>
        <w:t xml:space="preserve"> </w:t>
      </w:r>
      <w:r w:rsidR="00610C43">
        <w:rPr>
          <w:rFonts w:eastAsia="Times New Roman"/>
        </w:rPr>
        <w:t>[online]</w:t>
      </w:r>
      <w:r w:rsidRPr="0015377B">
        <w:rPr>
          <w:rFonts w:eastAsia="Times New Roman"/>
        </w:rPr>
        <w:t xml:space="preserve"> Available at: </w:t>
      </w:r>
      <w:hyperlink r:id="rId36">
        <w:r w:rsidRPr="0015377B">
          <w:rPr>
            <w:rFonts w:eastAsia="Times New Roman"/>
            <w:color w:val="1155CC"/>
            <w:u w:val="single"/>
          </w:rPr>
          <w:t>https://newsroom.clevelandclinic.org/2024/02/20/cleveland-clinic-london-survey-nearly-half-of-uk-adults-use-health-monitoring-technology</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143FC192" w14:textId="15DE317F" w:rsidR="00C115B7" w:rsidRPr="0015377B" w:rsidRDefault="00C115B7" w:rsidP="0015377B">
      <w:pPr>
        <w:spacing w:line="360" w:lineRule="auto"/>
        <w:jc w:val="both"/>
        <w:rPr>
          <w:rFonts w:eastAsia="Times New Roman"/>
        </w:rPr>
      </w:pPr>
      <w:r w:rsidRPr="0015377B">
        <w:rPr>
          <w:rFonts w:eastAsia="Times New Roman"/>
        </w:rPr>
        <w:t>Ghiasipour, M., Mosadeghrad, A.M., Arab, M. and Jaafaripooyan, E. (2017)</w:t>
      </w:r>
      <w:r w:rsidR="002463E3">
        <w:rPr>
          <w:rFonts w:eastAsia="Times New Roman"/>
        </w:rPr>
        <w:t>.</w:t>
      </w:r>
      <w:r w:rsidRPr="0015377B">
        <w:rPr>
          <w:rFonts w:eastAsia="Times New Roman"/>
        </w:rPr>
        <w:t xml:space="preserve"> ‘Leadership challenges in health care organizations: The case of Iranian hospitals’, </w:t>
      </w:r>
      <w:r w:rsidRPr="0015377B">
        <w:rPr>
          <w:rFonts w:eastAsia="Times New Roman"/>
          <w:i/>
          <w:iCs/>
        </w:rPr>
        <w:t>Medical journal of the Islamic Republic of Iran</w:t>
      </w:r>
      <w:r w:rsidRPr="0015377B">
        <w:rPr>
          <w:rFonts w:eastAsia="Times New Roman"/>
        </w:rPr>
        <w:t xml:space="preserve">, 31, p.96. Available at: </w:t>
      </w:r>
      <w:hyperlink r:id="rId37">
        <w:r w:rsidRPr="0015377B">
          <w:rPr>
            <w:rFonts w:eastAsia="Times New Roman"/>
            <w:color w:val="1155CC"/>
            <w:u w:val="single"/>
          </w:rPr>
          <w:t>https://doi.org/10.14196/mjiri.31.96</w:t>
        </w:r>
      </w:hyperlink>
      <w:r w:rsidRPr="0015377B">
        <w:rPr>
          <w:rFonts w:eastAsia="Times New Roman"/>
        </w:rPr>
        <w:t xml:space="preserve"> </w:t>
      </w:r>
    </w:p>
    <w:p w14:paraId="6CF1C0A6" w14:textId="3313828F" w:rsidR="00C115B7" w:rsidRPr="0015377B" w:rsidRDefault="00C115B7" w:rsidP="0015377B">
      <w:pPr>
        <w:spacing w:line="360" w:lineRule="auto"/>
        <w:jc w:val="both"/>
        <w:rPr>
          <w:rFonts w:eastAsia="Times New Roman"/>
        </w:rPr>
      </w:pPr>
      <w:r w:rsidRPr="0015377B">
        <w:rPr>
          <w:rFonts w:eastAsia="Times New Roman"/>
        </w:rPr>
        <w:t>Goodier, M. (2022)</w:t>
      </w:r>
      <w:r w:rsidR="002463E3">
        <w:rPr>
          <w:rFonts w:eastAsia="Times New Roman"/>
        </w:rPr>
        <w:t>.</w:t>
      </w:r>
      <w:r w:rsidRPr="0015377B">
        <w:rPr>
          <w:rFonts w:eastAsia="Times New Roman"/>
        </w:rPr>
        <w:t xml:space="preserve"> </w:t>
      </w:r>
      <w:r w:rsidRPr="0015377B">
        <w:rPr>
          <w:rFonts w:eastAsia="Times New Roman"/>
          <w:i/>
          <w:iCs/>
        </w:rPr>
        <w:t>Almost 6,000 people harmed by prescription errors in NHS last year</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38">
        <w:r w:rsidRPr="0015377B">
          <w:rPr>
            <w:rFonts w:eastAsia="Times New Roman"/>
            <w:color w:val="1155CC"/>
            <w:u w:val="single"/>
          </w:rPr>
          <w:t>https://www.theguardian.com/society/2022/sep/26/almost-6000-people-harmed-by-prescription-errors-in-nhs-last-year</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42BC1D1F" w14:textId="0E8483AA" w:rsidR="002463E3" w:rsidRDefault="00C115B7" w:rsidP="0015377B">
      <w:pPr>
        <w:spacing w:line="360" w:lineRule="auto"/>
        <w:jc w:val="both"/>
        <w:rPr>
          <w:rFonts w:eastAsia="Times New Roman"/>
        </w:rPr>
      </w:pPr>
      <w:r w:rsidRPr="0015377B">
        <w:rPr>
          <w:rFonts w:eastAsia="Times New Roman"/>
        </w:rPr>
        <w:t>Goodier, M. and Campbell, D. (2025)</w:t>
      </w:r>
      <w:r w:rsidR="002463E3">
        <w:rPr>
          <w:rFonts w:eastAsia="Times New Roman"/>
        </w:rPr>
        <w:t>.</w:t>
      </w:r>
      <w:r w:rsidRPr="0015377B">
        <w:rPr>
          <w:rFonts w:eastAsia="Times New Roman"/>
        </w:rPr>
        <w:t xml:space="preserve"> </w:t>
      </w:r>
      <w:r w:rsidRPr="0015377B">
        <w:rPr>
          <w:rFonts w:eastAsia="Times New Roman"/>
          <w:i/>
          <w:iCs/>
        </w:rPr>
        <w:t>Thousands harmed and 87 dead after NHS equipment failures in England</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39">
        <w:r w:rsidRPr="0015377B">
          <w:rPr>
            <w:rFonts w:eastAsia="Times New Roman"/>
            <w:color w:val="1155CC"/>
            <w:u w:val="single"/>
          </w:rPr>
          <w:t>https://www.theguardian.com/society/2025/jun/09/thousands-harmed-and-87-dead-after-nhs-equipment-failures-in-england</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58B2EF6D" w14:textId="0CBBD0D3" w:rsidR="00C115B7" w:rsidRPr="0015377B" w:rsidRDefault="00C115B7" w:rsidP="0015377B">
      <w:pPr>
        <w:spacing w:line="360" w:lineRule="auto"/>
        <w:jc w:val="both"/>
        <w:rPr>
          <w:rFonts w:eastAsia="Times New Roman"/>
        </w:rPr>
      </w:pPr>
      <w:r w:rsidRPr="0015377B">
        <w:rPr>
          <w:rFonts w:eastAsia="Times New Roman"/>
        </w:rPr>
        <w:t>GOV.UK (2023)</w:t>
      </w:r>
      <w:r w:rsidR="002463E3">
        <w:rPr>
          <w:rFonts w:eastAsia="Times New Roman"/>
        </w:rPr>
        <w:t>.</w:t>
      </w:r>
      <w:r w:rsidRPr="0015377B">
        <w:rPr>
          <w:rFonts w:eastAsia="Times New Roman"/>
        </w:rPr>
        <w:t xml:space="preserve"> </w:t>
      </w:r>
      <w:r w:rsidRPr="0015377B">
        <w:rPr>
          <w:rFonts w:eastAsia="Times New Roman"/>
          <w:i/>
          <w:iCs/>
        </w:rPr>
        <w:t>The NHS Constitution for England</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0">
        <w:r w:rsidRPr="0015377B">
          <w:rPr>
            <w:rFonts w:eastAsia="Times New Roman"/>
            <w:color w:val="1155CC"/>
            <w:u w:val="single"/>
          </w:rPr>
          <w:t>https://www.gov.uk/government/publications/the-nhs-constitution-for-england/the-nhs-constitution-for-england</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63981C23" w14:textId="1C46EDBF" w:rsidR="00C115B7" w:rsidRPr="0015377B" w:rsidRDefault="00C115B7" w:rsidP="0015377B">
      <w:pPr>
        <w:spacing w:line="360" w:lineRule="auto"/>
        <w:jc w:val="both"/>
        <w:rPr>
          <w:rFonts w:eastAsia="Times New Roman"/>
        </w:rPr>
      </w:pPr>
      <w:r w:rsidRPr="0015377B">
        <w:rPr>
          <w:rFonts w:eastAsia="Times New Roman"/>
        </w:rPr>
        <w:t>GOV.UK (2025)</w:t>
      </w:r>
      <w:r w:rsidR="002463E3">
        <w:rPr>
          <w:rFonts w:eastAsia="Times New Roman"/>
        </w:rPr>
        <w:t>.</w:t>
      </w:r>
      <w:r w:rsidRPr="0015377B">
        <w:rPr>
          <w:rFonts w:eastAsia="Times New Roman"/>
        </w:rPr>
        <w:t xml:space="preserve"> </w:t>
      </w:r>
      <w:r w:rsidRPr="0015377B">
        <w:rPr>
          <w:rFonts w:eastAsia="Times New Roman"/>
          <w:i/>
          <w:iCs/>
        </w:rPr>
        <w:t>The Yellow Card scheme: guidance for healthcare professionals, patients and the public</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1">
        <w:r w:rsidRPr="0015377B">
          <w:rPr>
            <w:rFonts w:eastAsia="Times New Roman"/>
            <w:color w:val="1155CC"/>
            <w:u w:val="single"/>
          </w:rPr>
          <w:t>https://www.gov.uk/guidance/the-yellow-card-scheme-guidance-for-healthcare-professionals</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5D7C4800" w14:textId="681B699D" w:rsidR="00C115B7" w:rsidRPr="0015377B" w:rsidRDefault="00C115B7" w:rsidP="0015377B">
      <w:pPr>
        <w:spacing w:line="360" w:lineRule="auto"/>
        <w:jc w:val="both"/>
        <w:rPr>
          <w:rFonts w:eastAsia="Times New Roman"/>
        </w:rPr>
      </w:pPr>
      <w:r w:rsidRPr="0015377B">
        <w:rPr>
          <w:rFonts w:eastAsia="Times New Roman"/>
        </w:rPr>
        <w:t>GOV.UK (2026)</w:t>
      </w:r>
      <w:r w:rsidR="002463E3">
        <w:rPr>
          <w:rFonts w:eastAsia="Times New Roman"/>
        </w:rPr>
        <w:t>.</w:t>
      </w:r>
      <w:r w:rsidRPr="0015377B">
        <w:rPr>
          <w:rFonts w:eastAsia="Times New Roman"/>
        </w:rPr>
        <w:t xml:space="preserve"> </w:t>
      </w:r>
      <w:r w:rsidRPr="0015377B">
        <w:rPr>
          <w:rFonts w:eastAsia="Times New Roman"/>
          <w:i/>
          <w:iCs/>
        </w:rPr>
        <w:t>UK government approach to implementing the strategy (England only)</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2">
        <w:r w:rsidRPr="0015377B">
          <w:rPr>
            <w:rFonts w:eastAsia="Times New Roman"/>
            <w:color w:val="1155CC"/>
            <w:u w:val="single"/>
          </w:rPr>
          <w:t>https://www.gov.uk/government/publications/pandemic-preparedness-strategy-building-our-capabilities/uk-government-approach-to-implementing-the-strategy-england-only</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03E30750" w14:textId="7EAF92D5" w:rsidR="00C115B7" w:rsidRPr="0015377B" w:rsidRDefault="00C115B7" w:rsidP="0015377B">
      <w:pPr>
        <w:spacing w:line="360" w:lineRule="auto"/>
        <w:jc w:val="both"/>
        <w:rPr>
          <w:rFonts w:eastAsia="Times New Roman"/>
        </w:rPr>
      </w:pPr>
      <w:r w:rsidRPr="0015377B">
        <w:rPr>
          <w:rFonts w:eastAsia="Times New Roman"/>
        </w:rPr>
        <w:t>GOV.UK (2026a)</w:t>
      </w:r>
      <w:r w:rsidR="002463E3">
        <w:rPr>
          <w:rFonts w:eastAsia="Times New Roman"/>
        </w:rPr>
        <w:t>.</w:t>
      </w:r>
      <w:r w:rsidRPr="0015377B">
        <w:rPr>
          <w:rFonts w:eastAsia="Times New Roman"/>
        </w:rPr>
        <w:t xml:space="preserve"> </w:t>
      </w:r>
      <w:r w:rsidRPr="0015377B">
        <w:rPr>
          <w:rFonts w:eastAsia="Times New Roman"/>
          <w:i/>
          <w:iCs/>
        </w:rPr>
        <w:t>Best practice guidance on the labelling and packaging of medicines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3">
        <w:r w:rsidRPr="0015377B">
          <w:rPr>
            <w:rFonts w:eastAsia="Times New Roman"/>
            <w:color w:val="1155CC"/>
            <w:u w:val="single"/>
          </w:rPr>
          <w:t>https://assets.publishing.service.gov.uk/media/5fe09fa48fa8f51489f14374/Best_practice_guidance_labelling_and_packaging_of_medicines.pdf</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379C3D56" w14:textId="53D5A51A" w:rsidR="00C115B7" w:rsidRPr="0015377B" w:rsidRDefault="00C115B7" w:rsidP="0015377B">
      <w:pPr>
        <w:spacing w:line="360" w:lineRule="auto"/>
        <w:jc w:val="both"/>
        <w:rPr>
          <w:rFonts w:eastAsia="Times New Roman"/>
        </w:rPr>
      </w:pPr>
      <w:r w:rsidRPr="0015377B">
        <w:rPr>
          <w:rFonts w:eastAsia="Times New Roman"/>
        </w:rPr>
        <w:t>Grosman-Rimon, L., Li, D.H., Collins, B.E. and Wegier, P. (2023)</w:t>
      </w:r>
      <w:r w:rsidR="002463E3">
        <w:rPr>
          <w:rFonts w:eastAsia="Times New Roman"/>
        </w:rPr>
        <w:t>.</w:t>
      </w:r>
      <w:r w:rsidRPr="0015377B">
        <w:rPr>
          <w:rFonts w:eastAsia="Times New Roman"/>
        </w:rPr>
        <w:t xml:space="preserve"> ‘Can we improve healthcare with centralized management systems, supported by information technology, predictive analytics, and real-time data?: A review’, </w:t>
      </w:r>
      <w:r w:rsidRPr="0015377B">
        <w:rPr>
          <w:rFonts w:eastAsia="Times New Roman"/>
          <w:i/>
          <w:iCs/>
        </w:rPr>
        <w:t>Medicine</w:t>
      </w:r>
      <w:r w:rsidRPr="0015377B">
        <w:rPr>
          <w:rFonts w:eastAsia="Times New Roman"/>
        </w:rPr>
        <w:t xml:space="preserve">, 102(45), p.e35769. Available at: </w:t>
      </w:r>
      <w:hyperlink r:id="rId44">
        <w:r w:rsidRPr="0015377B">
          <w:rPr>
            <w:rFonts w:eastAsia="Times New Roman"/>
            <w:color w:val="1155CC"/>
            <w:u w:val="single"/>
          </w:rPr>
          <w:t>https://doi.org/10.1097/MD.0000000000035769</w:t>
        </w:r>
      </w:hyperlink>
      <w:r w:rsidRPr="0015377B">
        <w:rPr>
          <w:rFonts w:eastAsia="Times New Roman"/>
        </w:rPr>
        <w:t xml:space="preserve"> </w:t>
      </w:r>
    </w:p>
    <w:p w14:paraId="7FE9EBB2" w14:textId="30A0FDAD" w:rsidR="00C115B7" w:rsidRPr="0015377B" w:rsidRDefault="00C115B7" w:rsidP="0015377B">
      <w:pPr>
        <w:spacing w:line="360" w:lineRule="auto"/>
        <w:jc w:val="both"/>
        <w:rPr>
          <w:rFonts w:eastAsia="Times New Roman"/>
        </w:rPr>
      </w:pPr>
      <w:r w:rsidRPr="0015377B">
        <w:rPr>
          <w:rFonts w:eastAsia="Times New Roman"/>
        </w:rPr>
        <w:t>HSSIB (2022)</w:t>
      </w:r>
      <w:r w:rsidR="002463E3">
        <w:rPr>
          <w:rFonts w:eastAsia="Times New Roman"/>
        </w:rPr>
        <w:t>.</w:t>
      </w:r>
      <w:r w:rsidRPr="0015377B">
        <w:rPr>
          <w:rFonts w:eastAsia="Times New Roman"/>
        </w:rPr>
        <w:t xml:space="preserve"> </w:t>
      </w:r>
      <w:r w:rsidRPr="0015377B">
        <w:rPr>
          <w:rFonts w:eastAsia="Times New Roman"/>
          <w:i/>
          <w:iCs/>
        </w:rPr>
        <w:t>Investigation report: Unintentional overdose of morphine sulfate oral solution</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5">
        <w:r w:rsidRPr="0015377B">
          <w:rPr>
            <w:rFonts w:eastAsia="Times New Roman"/>
            <w:color w:val="1155CC"/>
            <w:u w:val="single"/>
          </w:rPr>
          <w:t>https://www.hssib.org.uk/patient-safety-investigations/unintentional-overdose-of-morphine-sulfate-oral-solution/investigation-report/?utm</w:t>
        </w:r>
      </w:hyperlink>
      <w:r w:rsidR="002463E3">
        <w:rPr>
          <w:rFonts w:eastAsia="Times New Roman"/>
        </w:rPr>
        <w:t xml:space="preserve"> [Accessed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r w:rsidRPr="0015377B">
        <w:br w:type="page"/>
      </w:r>
    </w:p>
    <w:p w14:paraId="4C041B9A" w14:textId="17E62165" w:rsidR="00C115B7" w:rsidRPr="0015377B" w:rsidRDefault="00C115B7" w:rsidP="0015377B">
      <w:pPr>
        <w:spacing w:line="360" w:lineRule="auto"/>
        <w:jc w:val="both"/>
        <w:rPr>
          <w:rFonts w:eastAsia="Times New Roman"/>
        </w:rPr>
      </w:pPr>
      <w:r w:rsidRPr="0015377B">
        <w:rPr>
          <w:rFonts w:eastAsia="Times New Roman"/>
        </w:rPr>
        <w:lastRenderedPageBreak/>
        <w:t>Khan, M., Hu, X., Crabtree, A., Moe, J., Nasmith, T., Daly-Grafstein, D., Brubacher, J.R., Slaunwhite, A.K. and Staples, J.A. (2024)</w:t>
      </w:r>
      <w:r w:rsidR="002463E3">
        <w:rPr>
          <w:rFonts w:eastAsia="Times New Roman"/>
        </w:rPr>
        <w:t>.</w:t>
      </w:r>
      <w:r w:rsidRPr="0015377B">
        <w:rPr>
          <w:rFonts w:eastAsia="Times New Roman"/>
        </w:rPr>
        <w:t xml:space="preserve"> “Before medically advised” departure from hospital and subsequent drug overdose: a population-based cohort study’, </w:t>
      </w:r>
      <w:r w:rsidRPr="0015377B">
        <w:rPr>
          <w:rFonts w:eastAsia="Times New Roman"/>
          <w:i/>
          <w:iCs/>
        </w:rPr>
        <w:t>Canadian Medical Association Journal</w:t>
      </w:r>
      <w:r w:rsidRPr="0015377B">
        <w:rPr>
          <w:rFonts w:eastAsia="Times New Roman"/>
        </w:rPr>
        <w:t>, 196(31), pp.E1066-E1075. Available at: doi: 10.1503/cmaj.240364</w:t>
      </w:r>
    </w:p>
    <w:p w14:paraId="54A3BA3C" w14:textId="729BE4B3" w:rsidR="00C115B7" w:rsidRPr="0015377B" w:rsidRDefault="00C115B7" w:rsidP="0015377B">
      <w:pPr>
        <w:spacing w:line="360" w:lineRule="auto"/>
        <w:jc w:val="both"/>
        <w:rPr>
          <w:rFonts w:eastAsia="Times New Roman"/>
        </w:rPr>
      </w:pPr>
      <w:r w:rsidRPr="0015377B">
        <w:rPr>
          <w:rFonts w:eastAsia="Times New Roman"/>
        </w:rPr>
        <w:t>Kim, Y.S., Kim, H.S., Kim, H.A., Chun, J., Kwak, M.J., Kim, M.S., Hwang, J.I. and Kim, H. (2020)</w:t>
      </w:r>
      <w:r w:rsidR="002463E3">
        <w:rPr>
          <w:rFonts w:eastAsia="Times New Roman"/>
        </w:rPr>
        <w:t>.</w:t>
      </w:r>
      <w:r w:rsidRPr="0015377B">
        <w:rPr>
          <w:rFonts w:eastAsia="Times New Roman"/>
        </w:rPr>
        <w:t xml:space="preserve"> ‘Can patient and family education prevent medical errors? A descriptive study’, </w:t>
      </w:r>
      <w:r w:rsidRPr="0015377B">
        <w:rPr>
          <w:rFonts w:eastAsia="Times New Roman"/>
          <w:i/>
          <w:iCs/>
        </w:rPr>
        <w:t>BMC health services research</w:t>
      </w:r>
      <w:r w:rsidRPr="0015377B">
        <w:rPr>
          <w:rFonts w:eastAsia="Times New Roman"/>
        </w:rPr>
        <w:t xml:space="preserve">, 20(1), p.269. Available at: </w:t>
      </w:r>
      <w:hyperlink r:id="rId46">
        <w:r w:rsidRPr="0015377B">
          <w:rPr>
            <w:rFonts w:eastAsia="Times New Roman"/>
            <w:color w:val="1155CC"/>
            <w:u w:val="single"/>
          </w:rPr>
          <w:t>https://doi.org/10.1186/s12913-020-05083-y</w:t>
        </w:r>
      </w:hyperlink>
      <w:r w:rsidRPr="0015377B">
        <w:rPr>
          <w:rFonts w:eastAsia="Times New Roman"/>
        </w:rPr>
        <w:t xml:space="preserve"> </w:t>
      </w:r>
    </w:p>
    <w:p w14:paraId="282C8117" w14:textId="61A18C07" w:rsidR="00C115B7" w:rsidRPr="0015377B" w:rsidRDefault="00C115B7" w:rsidP="0015377B">
      <w:pPr>
        <w:spacing w:line="360" w:lineRule="auto"/>
        <w:jc w:val="both"/>
        <w:rPr>
          <w:rFonts w:eastAsia="Times New Roman"/>
        </w:rPr>
      </w:pPr>
      <w:r w:rsidRPr="0015377B">
        <w:rPr>
          <w:rFonts w:eastAsia="Times New Roman"/>
        </w:rPr>
        <w:t>Krenyacz, E. and Revesz, E.E. (2025)</w:t>
      </w:r>
      <w:r w:rsidR="002463E3">
        <w:rPr>
          <w:rFonts w:eastAsia="Times New Roman"/>
        </w:rPr>
        <w:t>.</w:t>
      </w:r>
      <w:r w:rsidRPr="0015377B">
        <w:rPr>
          <w:rFonts w:eastAsia="Times New Roman"/>
        </w:rPr>
        <w:t xml:space="preserve"> ‘Consequences of centralized healthcare systems: changing role and autonomy of hospital managers–insights from a Hungarian case’, </w:t>
      </w:r>
      <w:r w:rsidRPr="0015377B">
        <w:rPr>
          <w:rFonts w:eastAsia="Times New Roman"/>
          <w:i/>
          <w:iCs/>
        </w:rPr>
        <w:t>Journal of Health Organization and Management</w:t>
      </w:r>
      <w:r w:rsidRPr="0015377B">
        <w:rPr>
          <w:rFonts w:eastAsia="Times New Roman"/>
        </w:rPr>
        <w:t xml:space="preserve">, 39(9), pp.177-191. Available at: </w:t>
      </w:r>
      <w:hyperlink r:id="rId47">
        <w:r w:rsidRPr="0015377B">
          <w:rPr>
            <w:rFonts w:eastAsia="Times New Roman"/>
            <w:color w:val="1155CC"/>
            <w:u w:val="single"/>
          </w:rPr>
          <w:t>https://doi.org/10.1108/JHOM-08-2024-0358</w:t>
        </w:r>
      </w:hyperlink>
      <w:r w:rsidRPr="0015377B">
        <w:rPr>
          <w:rFonts w:eastAsia="Times New Roman"/>
        </w:rPr>
        <w:t xml:space="preserve"> </w:t>
      </w:r>
    </w:p>
    <w:p w14:paraId="4E611B68" w14:textId="2B3098E9" w:rsidR="00C115B7" w:rsidRPr="0015377B" w:rsidRDefault="00C115B7" w:rsidP="0015377B">
      <w:pPr>
        <w:spacing w:line="360" w:lineRule="auto"/>
        <w:jc w:val="both"/>
        <w:rPr>
          <w:rFonts w:eastAsia="Times New Roman"/>
        </w:rPr>
      </w:pPr>
      <w:r w:rsidRPr="0015377B">
        <w:rPr>
          <w:rFonts w:eastAsia="Times New Roman"/>
        </w:rPr>
        <w:t>Local Government Association (2026)</w:t>
      </w:r>
      <w:r w:rsidRPr="0015377B">
        <w:rPr>
          <w:rFonts w:eastAsia="Times New Roman"/>
          <w:i/>
          <w:iCs/>
        </w:rPr>
        <w:t xml:space="preserve"> Preventing drug related deaths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48">
        <w:r w:rsidRPr="0015377B">
          <w:rPr>
            <w:rFonts w:eastAsia="Times New Roman"/>
            <w:color w:val="1155CC"/>
            <w:u w:val="single"/>
          </w:rPr>
          <w:t>https://www.local.gov.uk/sites/default/files/documents/22.3%20Drug%20related%20deaths_v8.pdf</w:t>
        </w:r>
      </w:hyperlink>
      <w:r w:rsidRPr="0015377B">
        <w:rPr>
          <w:rFonts w:eastAsia="Times New Roman"/>
        </w:rPr>
        <w:t xml:space="preserve"> (Accessed: 28 March 2026).</w:t>
      </w:r>
    </w:p>
    <w:p w14:paraId="7E654CA1" w14:textId="0266EBEE" w:rsidR="00C115B7" w:rsidRPr="0015377B" w:rsidRDefault="002463E3" w:rsidP="0015377B">
      <w:pPr>
        <w:spacing w:line="360" w:lineRule="auto"/>
        <w:jc w:val="both"/>
        <w:rPr>
          <w:rFonts w:eastAsia="Times New Roman"/>
        </w:rPr>
      </w:pPr>
      <w:r>
        <w:rPr>
          <w:rFonts w:eastAsia="Times New Roman"/>
        </w:rPr>
        <w:t>Medicines and Healthcare P</w:t>
      </w:r>
      <w:r w:rsidR="00C115B7" w:rsidRPr="0015377B">
        <w:rPr>
          <w:rFonts w:eastAsia="Times New Roman"/>
        </w:rPr>
        <w:t>roducts Regulatory Agency (2022)</w:t>
      </w:r>
      <w:r>
        <w:rPr>
          <w:rFonts w:eastAsia="Times New Roman"/>
        </w:rPr>
        <w:t>.</w:t>
      </w:r>
      <w:r w:rsidR="00C115B7" w:rsidRPr="0015377B">
        <w:rPr>
          <w:rFonts w:eastAsia="Times New Roman"/>
        </w:rPr>
        <w:t xml:space="preserve"> </w:t>
      </w:r>
      <w:r w:rsidR="00C115B7" w:rsidRPr="0015377B">
        <w:rPr>
          <w:rFonts w:eastAsia="Times New Roman"/>
          <w:i/>
          <w:iCs/>
        </w:rPr>
        <w:t>Yellow Card</w:t>
      </w:r>
      <w:r w:rsidR="00C115B7" w:rsidRPr="0015377B">
        <w:rPr>
          <w:rFonts w:eastAsia="Times New Roman"/>
        </w:rPr>
        <w:t xml:space="preserve">. </w:t>
      </w:r>
      <w:r w:rsidR="00610C43">
        <w:rPr>
          <w:rFonts w:eastAsia="Times New Roman"/>
        </w:rPr>
        <w:t xml:space="preserve">[online] </w:t>
      </w:r>
      <w:r w:rsidR="00C115B7" w:rsidRPr="0015377B">
        <w:rPr>
          <w:rFonts w:eastAsia="Times New Roman"/>
        </w:rPr>
        <w:t xml:space="preserve">Available at: </w:t>
      </w:r>
      <w:hyperlink r:id="rId49">
        <w:r w:rsidR="00C115B7" w:rsidRPr="0015377B">
          <w:rPr>
            <w:rFonts w:eastAsia="Times New Roman"/>
            <w:color w:val="1155CC"/>
            <w:u w:val="single"/>
          </w:rPr>
          <w:t>https://yellowcard.mhra.gov.uk</w:t>
        </w:r>
      </w:hyperlink>
      <w:r>
        <w:rPr>
          <w:rFonts w:eastAsia="Times New Roman"/>
        </w:rPr>
        <w:t xml:space="preserve"> [Accessed</w:t>
      </w:r>
      <w:r w:rsidRPr="0015377B">
        <w:rPr>
          <w:rFonts w:eastAsia="Times New Roman"/>
        </w:rPr>
        <w:t xml:space="preserve"> 28 March</w:t>
      </w:r>
      <w:r>
        <w:rPr>
          <w:rFonts w:eastAsia="Times New Roman"/>
        </w:rPr>
        <w:t>. 2026]</w:t>
      </w:r>
      <w:r w:rsidRPr="0015377B">
        <w:rPr>
          <w:rFonts w:eastAsia="Times New Roman"/>
        </w:rPr>
        <w:t>.</w:t>
      </w:r>
    </w:p>
    <w:p w14:paraId="0F39B341" w14:textId="4175AF4D" w:rsidR="00C115B7" w:rsidRPr="0015377B" w:rsidRDefault="00C115B7" w:rsidP="0015377B">
      <w:pPr>
        <w:spacing w:line="360" w:lineRule="auto"/>
        <w:jc w:val="both"/>
        <w:rPr>
          <w:rFonts w:eastAsia="Times New Roman"/>
        </w:rPr>
      </w:pPr>
      <w:r w:rsidRPr="0015377B">
        <w:rPr>
          <w:rFonts w:eastAsia="Times New Roman"/>
        </w:rPr>
        <w:t>Minhas, A. (2018)</w:t>
      </w:r>
      <w:r w:rsidR="002463E3">
        <w:rPr>
          <w:rFonts w:eastAsia="Times New Roman"/>
        </w:rPr>
        <w:t>.</w:t>
      </w:r>
      <w:r w:rsidRPr="0015377B">
        <w:rPr>
          <w:rFonts w:eastAsia="Times New Roman"/>
        </w:rPr>
        <w:t xml:space="preserve"> </w:t>
      </w:r>
      <w:r w:rsidRPr="0015377B">
        <w:rPr>
          <w:rFonts w:eastAsia="Times New Roman"/>
          <w:i/>
          <w:iCs/>
        </w:rPr>
        <w:t>What would you say are the main reasons you feel you are likely to make errors?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0">
        <w:r w:rsidRPr="0015377B">
          <w:rPr>
            <w:rFonts w:eastAsia="Times New Roman"/>
            <w:color w:val="1155CC"/>
            <w:u w:val="single"/>
          </w:rPr>
          <w:t>https://www.statista.com/statistics/956376/united-kingdom-doctor-s-reasons-for-making-errors/</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339E7458" w14:textId="5AD2EC66" w:rsidR="00C115B7" w:rsidRPr="0015377B" w:rsidRDefault="00C115B7" w:rsidP="0015377B">
      <w:pPr>
        <w:spacing w:line="360" w:lineRule="auto"/>
        <w:jc w:val="both"/>
        <w:rPr>
          <w:rFonts w:eastAsia="Times New Roman"/>
        </w:rPr>
      </w:pPr>
      <w:r w:rsidRPr="0015377B">
        <w:rPr>
          <w:rFonts w:eastAsia="Times New Roman"/>
        </w:rPr>
        <w:t>Minhas, A. (2026)</w:t>
      </w:r>
      <w:r w:rsidR="002463E3">
        <w:rPr>
          <w:rFonts w:eastAsia="Times New Roman"/>
        </w:rPr>
        <w:t>.</w:t>
      </w:r>
      <w:r w:rsidRPr="0015377B">
        <w:rPr>
          <w:rFonts w:eastAsia="Times New Roman"/>
        </w:rPr>
        <w:t xml:space="preserve"> </w:t>
      </w:r>
      <w:r w:rsidRPr="0015377B">
        <w:rPr>
          <w:rFonts w:eastAsia="Times New Roman"/>
          <w:i/>
          <w:iCs/>
        </w:rPr>
        <w:t>Number of vacancies in the NHS workforce in England from Q1 2018/19 to Q3 2024/25, by staff group</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1">
        <w:r w:rsidRPr="0015377B">
          <w:rPr>
            <w:rFonts w:eastAsia="Times New Roman"/>
            <w:color w:val="1155CC"/>
            <w:u w:val="single"/>
          </w:rPr>
          <w:t>https://www.statista.com/statistics/1269306/nhs-england-workforce-vacancies-by-staff-group/?srsltid=AfmBOorl9mACDKIrJZzLYF1gqNI4xJGTy183zLKuBJ4YoP8ApqopNg2T</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60E2227E" w14:textId="7C4EDED8" w:rsidR="00C115B7" w:rsidRPr="0015377B" w:rsidRDefault="00C115B7" w:rsidP="0015377B">
      <w:pPr>
        <w:spacing w:line="360" w:lineRule="auto"/>
        <w:jc w:val="both"/>
        <w:rPr>
          <w:rFonts w:eastAsia="Times New Roman"/>
        </w:rPr>
      </w:pPr>
      <w:r w:rsidRPr="0015377B">
        <w:rPr>
          <w:rFonts w:eastAsia="Times New Roman"/>
        </w:rPr>
        <w:t>Mulyana, A., Ridaryanthi, M., Faridah, S., Umarella, F.H. and Endri, E. (2022)</w:t>
      </w:r>
      <w:r w:rsidR="002463E3">
        <w:rPr>
          <w:rFonts w:eastAsia="Times New Roman"/>
        </w:rPr>
        <w:t>.</w:t>
      </w:r>
      <w:r w:rsidRPr="0015377B">
        <w:rPr>
          <w:rFonts w:eastAsia="Times New Roman"/>
        </w:rPr>
        <w:t xml:space="preserve"> ‘Socio-emotional leadership style as implementation of situational leadership communication in the face of radical change’, </w:t>
      </w:r>
      <w:r w:rsidRPr="0015377B">
        <w:rPr>
          <w:rFonts w:eastAsia="Times New Roman"/>
          <w:i/>
          <w:iCs/>
        </w:rPr>
        <w:t>management</w:t>
      </w:r>
      <w:r w:rsidRPr="0015377B">
        <w:rPr>
          <w:rFonts w:eastAsia="Times New Roman"/>
        </w:rPr>
        <w:t xml:space="preserve">, 11(3), pp.150-161. </w:t>
      </w:r>
    </w:p>
    <w:p w14:paraId="5E522366" w14:textId="68C3E436" w:rsidR="00C115B7" w:rsidRPr="0015377B" w:rsidRDefault="00C115B7" w:rsidP="0015377B">
      <w:pPr>
        <w:spacing w:line="360" w:lineRule="auto"/>
        <w:jc w:val="both"/>
        <w:rPr>
          <w:rFonts w:eastAsia="Times New Roman"/>
        </w:rPr>
      </w:pPr>
      <w:r w:rsidRPr="0015377B">
        <w:rPr>
          <w:rFonts w:eastAsia="Times New Roman"/>
        </w:rPr>
        <w:t>NHS England (2025)</w:t>
      </w:r>
      <w:r w:rsidR="002463E3">
        <w:rPr>
          <w:rFonts w:eastAsia="Times New Roman"/>
        </w:rPr>
        <w:t>.</w:t>
      </w:r>
      <w:r w:rsidRPr="0015377B">
        <w:rPr>
          <w:rFonts w:eastAsia="Times New Roman"/>
        </w:rPr>
        <w:t xml:space="preserve"> </w:t>
      </w:r>
      <w:r w:rsidRPr="0015377B">
        <w:rPr>
          <w:rFonts w:eastAsia="Times New Roman"/>
          <w:i/>
          <w:iCs/>
        </w:rPr>
        <w:t>2025/26 priorities and operational planning guidance</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2">
        <w:r w:rsidRPr="0015377B">
          <w:rPr>
            <w:rFonts w:eastAsia="Times New Roman"/>
            <w:color w:val="1155CC"/>
            <w:u w:val="single"/>
          </w:rPr>
          <w:t>https://www.england.nhs.uk/long-read/2025-26-priorities-and-operational-planning-guidance/</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1024E1EA" w14:textId="3E16DFAE" w:rsidR="00C115B7" w:rsidRPr="0015377B" w:rsidRDefault="00C115B7" w:rsidP="0015377B">
      <w:pPr>
        <w:spacing w:line="360" w:lineRule="auto"/>
        <w:jc w:val="both"/>
        <w:rPr>
          <w:rFonts w:eastAsia="Times New Roman"/>
        </w:rPr>
      </w:pPr>
      <w:r w:rsidRPr="0015377B">
        <w:rPr>
          <w:rFonts w:eastAsia="Times New Roman"/>
        </w:rPr>
        <w:t>NHS England (2026)</w:t>
      </w:r>
      <w:r w:rsidR="002463E3">
        <w:rPr>
          <w:rFonts w:eastAsia="Times New Roman"/>
        </w:rPr>
        <w:t>.</w:t>
      </w:r>
      <w:r w:rsidRPr="0015377B">
        <w:rPr>
          <w:rFonts w:eastAsia="Times New Roman"/>
        </w:rPr>
        <w:t xml:space="preserve"> </w:t>
      </w:r>
      <w:r w:rsidRPr="0015377B">
        <w:rPr>
          <w:rFonts w:eastAsia="Times New Roman"/>
          <w:i/>
          <w:iCs/>
        </w:rPr>
        <w:t>Governance, patient safety and quality</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3">
        <w:r w:rsidRPr="0015377B">
          <w:rPr>
            <w:rFonts w:eastAsia="Times New Roman"/>
            <w:color w:val="1155CC"/>
            <w:u w:val="single"/>
          </w:rPr>
          <w:t>https://www.england.nhs.uk/mat-transformation/matrons-handbook/governance-patient-safety-and-quality/</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71FB8A06" w14:textId="0E8FFDEA" w:rsidR="00C115B7" w:rsidRPr="0015377B" w:rsidRDefault="00C115B7" w:rsidP="0015377B">
      <w:pPr>
        <w:spacing w:line="360" w:lineRule="auto"/>
        <w:jc w:val="both"/>
        <w:rPr>
          <w:rFonts w:eastAsia="Times New Roman"/>
        </w:rPr>
      </w:pPr>
      <w:r w:rsidRPr="0015377B">
        <w:rPr>
          <w:rFonts w:eastAsia="Times New Roman"/>
        </w:rPr>
        <w:lastRenderedPageBreak/>
        <w:t>NHS England (2026a)</w:t>
      </w:r>
      <w:r w:rsidR="002463E3">
        <w:rPr>
          <w:rFonts w:eastAsia="Times New Roman"/>
        </w:rPr>
        <w:t>.</w:t>
      </w:r>
      <w:r w:rsidRPr="0015377B">
        <w:rPr>
          <w:rFonts w:eastAsia="Times New Roman"/>
        </w:rPr>
        <w:t xml:space="preserve"> </w:t>
      </w:r>
      <w:r w:rsidRPr="0015377B">
        <w:rPr>
          <w:rFonts w:eastAsia="Times New Roman"/>
          <w:i/>
          <w:iCs/>
        </w:rPr>
        <w:t>Delivering Patient Safety Through Education, Training and Development.</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4">
        <w:r w:rsidRPr="0015377B">
          <w:rPr>
            <w:rFonts w:eastAsia="Times New Roman"/>
            <w:color w:val="1155CC"/>
            <w:u w:val="single"/>
          </w:rPr>
          <w:t>https://www.hee.nhs.uk/sites/default/files/documents/Strategic%20Response%20to%20Improving%20Safety%20Through%20Education%20Training%20-%20HEE%20-%20July19.pdf</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59EAF4F9" w14:textId="450CBC78" w:rsidR="00C115B7" w:rsidRPr="0015377B" w:rsidRDefault="00C115B7" w:rsidP="0015377B">
      <w:pPr>
        <w:spacing w:line="360" w:lineRule="auto"/>
        <w:jc w:val="both"/>
        <w:rPr>
          <w:rFonts w:eastAsia="Times New Roman"/>
        </w:rPr>
      </w:pPr>
      <w:r w:rsidRPr="0015377B">
        <w:rPr>
          <w:rFonts w:eastAsia="Times New Roman"/>
        </w:rPr>
        <w:t>NHS England (2026b)</w:t>
      </w:r>
      <w:r w:rsidR="002463E3">
        <w:rPr>
          <w:rFonts w:eastAsia="Times New Roman"/>
        </w:rPr>
        <w:t>.</w:t>
      </w:r>
      <w:r w:rsidRPr="0015377B">
        <w:rPr>
          <w:rFonts w:eastAsia="Times New Roman"/>
        </w:rPr>
        <w:t xml:space="preserve"> </w:t>
      </w:r>
      <w:r w:rsidRPr="0015377B">
        <w:rPr>
          <w:rFonts w:eastAsia="Times New Roman"/>
          <w:i/>
          <w:iCs/>
        </w:rPr>
        <w:t>Inclusive leadership, professional standards and accountability</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5">
        <w:r w:rsidRPr="0015377B">
          <w:rPr>
            <w:rFonts w:eastAsia="Times New Roman"/>
            <w:color w:val="1155CC"/>
            <w:u w:val="single"/>
          </w:rPr>
          <w:t>https://www.england.nhs.uk/mat-transformation/matrons-handbook/inclusive-leadership-professional-standards-and-accountability/</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25C4EAC5" w14:textId="14A725DB" w:rsidR="00C115B7" w:rsidRPr="0015377B" w:rsidRDefault="00C115B7" w:rsidP="0015377B">
      <w:pPr>
        <w:spacing w:line="360" w:lineRule="auto"/>
        <w:jc w:val="both"/>
        <w:rPr>
          <w:rFonts w:eastAsia="Times New Roman"/>
        </w:rPr>
      </w:pPr>
      <w:r w:rsidRPr="0015377B">
        <w:rPr>
          <w:rFonts w:eastAsia="Times New Roman"/>
        </w:rPr>
        <w:t>NHS England (2026c)</w:t>
      </w:r>
      <w:r w:rsidR="002463E3">
        <w:rPr>
          <w:rFonts w:eastAsia="Times New Roman"/>
        </w:rPr>
        <w:t>.</w:t>
      </w:r>
      <w:r w:rsidRPr="0015377B">
        <w:rPr>
          <w:rFonts w:eastAsia="Times New Roman"/>
        </w:rPr>
        <w:t xml:space="preserve"> </w:t>
      </w:r>
      <w:r w:rsidRPr="0015377B">
        <w:rPr>
          <w:rFonts w:eastAsia="Times New Roman"/>
          <w:i/>
          <w:iCs/>
        </w:rPr>
        <w:t>Safety culture</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6">
        <w:r w:rsidRPr="0015377B">
          <w:rPr>
            <w:rFonts w:eastAsia="Times New Roman"/>
            <w:color w:val="1155CC"/>
            <w:u w:val="single"/>
          </w:rPr>
          <w:t>https://www.england.nhs.uk/patient-safety/patient-safety-culture/safety-culture/</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0E6F5A24" w14:textId="6B64095D" w:rsidR="00C115B7" w:rsidRPr="0015377B" w:rsidRDefault="00C115B7" w:rsidP="0015377B">
      <w:pPr>
        <w:spacing w:line="360" w:lineRule="auto"/>
        <w:jc w:val="both"/>
        <w:rPr>
          <w:rFonts w:eastAsia="Times New Roman"/>
        </w:rPr>
      </w:pPr>
      <w:r w:rsidRPr="0015377B">
        <w:rPr>
          <w:rFonts w:eastAsia="Times New Roman"/>
        </w:rPr>
        <w:t>NHS Resolution (2022)</w:t>
      </w:r>
      <w:r w:rsidR="002463E3">
        <w:rPr>
          <w:rFonts w:eastAsia="Times New Roman"/>
        </w:rPr>
        <w:t>.</w:t>
      </w:r>
      <w:r w:rsidRPr="0015377B">
        <w:rPr>
          <w:rFonts w:eastAsia="Times New Roman"/>
        </w:rPr>
        <w:t xml:space="preserve"> </w:t>
      </w:r>
      <w:r w:rsidRPr="0015377B">
        <w:rPr>
          <w:rFonts w:eastAsia="Times New Roman"/>
          <w:i/>
          <w:iCs/>
        </w:rPr>
        <w:t>Did you know? Insights into medication errors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7">
        <w:r w:rsidRPr="0015377B">
          <w:rPr>
            <w:rFonts w:eastAsia="Times New Roman"/>
            <w:color w:val="1155CC"/>
            <w:u w:val="single"/>
          </w:rPr>
          <w:t>https://resolution.nhs.uk/wp-content/uploads/2022/03/Did-You-Know-High-Level-Medication-Errors.pdf</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60E1D0FF" w14:textId="77C82792" w:rsidR="00C115B7" w:rsidRPr="0015377B" w:rsidRDefault="00C115B7" w:rsidP="0015377B">
      <w:pPr>
        <w:spacing w:line="360" w:lineRule="auto"/>
        <w:jc w:val="both"/>
        <w:rPr>
          <w:rFonts w:eastAsia="Times New Roman"/>
        </w:rPr>
      </w:pPr>
      <w:r w:rsidRPr="0015377B">
        <w:rPr>
          <w:rFonts w:eastAsia="Times New Roman"/>
        </w:rPr>
        <w:t>Oxtoby, K. (2024)</w:t>
      </w:r>
      <w:r w:rsidR="002463E3">
        <w:rPr>
          <w:rFonts w:eastAsia="Times New Roman"/>
        </w:rPr>
        <w:t>.</w:t>
      </w:r>
      <w:r w:rsidRPr="0015377B">
        <w:rPr>
          <w:rFonts w:eastAsia="Times New Roman"/>
        </w:rPr>
        <w:t xml:space="preserve"> </w:t>
      </w:r>
      <w:r w:rsidRPr="0015377B">
        <w:rPr>
          <w:rFonts w:eastAsia="Times New Roman"/>
          <w:i/>
          <w:iCs/>
        </w:rPr>
        <w:t>How ICBs are tackling delayed hospital discharge and improving patient flow</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58">
        <w:r w:rsidRPr="0015377B">
          <w:rPr>
            <w:rFonts w:eastAsia="Times New Roman"/>
            <w:color w:val="1155CC"/>
            <w:u w:val="single"/>
          </w:rPr>
          <w:t>https://healthcareleadernews.com/insight/how-icbs-are-tackling-delayed-hospital-discharge-and-improving-patient-flow/</w:t>
        </w:r>
      </w:hyperlink>
      <w:r w:rsidRPr="0015377B">
        <w:rPr>
          <w:rFonts w:eastAsia="Times New Roman"/>
        </w:rPr>
        <w:t xml:space="preserve"> </w:t>
      </w:r>
      <w:r w:rsidR="002463E3">
        <w:rPr>
          <w:rFonts w:eastAsia="Times New Roman"/>
        </w:rPr>
        <w:t>[Accessed</w:t>
      </w:r>
      <w:r w:rsidR="002463E3" w:rsidRPr="0015377B">
        <w:rPr>
          <w:rFonts w:eastAsia="Times New Roman"/>
        </w:rPr>
        <w:t xml:space="preserve"> 28 March</w:t>
      </w:r>
      <w:r w:rsidR="002463E3">
        <w:rPr>
          <w:rFonts w:eastAsia="Times New Roman"/>
        </w:rPr>
        <w:t>. 2026]</w:t>
      </w:r>
      <w:r w:rsidR="002463E3" w:rsidRPr="0015377B">
        <w:rPr>
          <w:rFonts w:eastAsia="Times New Roman"/>
        </w:rPr>
        <w:t>.</w:t>
      </w:r>
    </w:p>
    <w:p w14:paraId="521BB023" w14:textId="7F97D8BD" w:rsidR="00C115B7" w:rsidRPr="0015377B" w:rsidRDefault="00C115B7" w:rsidP="0015377B">
      <w:pPr>
        <w:spacing w:line="360" w:lineRule="auto"/>
        <w:jc w:val="both"/>
        <w:rPr>
          <w:rFonts w:eastAsia="Times New Roman"/>
        </w:rPr>
      </w:pPr>
      <w:r w:rsidRPr="0015377B">
        <w:rPr>
          <w:rFonts w:eastAsia="Times New Roman"/>
        </w:rPr>
        <w:t>Pattison, N. and Corser, R. (2023)</w:t>
      </w:r>
      <w:r w:rsidR="002463E3">
        <w:rPr>
          <w:rFonts w:eastAsia="Times New Roman"/>
        </w:rPr>
        <w:t>.</w:t>
      </w:r>
      <w:r w:rsidRPr="0015377B">
        <w:rPr>
          <w:rFonts w:eastAsia="Times New Roman"/>
        </w:rPr>
        <w:t xml:space="preserve"> ‘Compassionate, collective or transformational nursing leadership to ensure fundamentals of care are achieved: A new challenge or non</w:t>
      </w:r>
      <w:r w:rsidRPr="0015377B">
        <w:rPr>
          <w:rFonts w:ascii="Cambria Math" w:eastAsia="Times New Roman" w:hAnsi="Cambria Math" w:cs="Cambria Math"/>
        </w:rPr>
        <w:t>‐</w:t>
      </w:r>
      <w:r w:rsidRPr="0015377B">
        <w:rPr>
          <w:rFonts w:eastAsia="Times New Roman"/>
        </w:rPr>
        <w:t xml:space="preserve">sequitur?’, </w:t>
      </w:r>
      <w:r w:rsidRPr="0015377B">
        <w:rPr>
          <w:rFonts w:eastAsia="Times New Roman"/>
          <w:i/>
          <w:iCs/>
        </w:rPr>
        <w:t>Journal of Advanced Nursing</w:t>
      </w:r>
      <w:r w:rsidRPr="0015377B">
        <w:rPr>
          <w:rFonts w:eastAsia="Times New Roman"/>
        </w:rPr>
        <w:t xml:space="preserve">, 79(3), pp.942-950. Available at: </w:t>
      </w:r>
      <w:hyperlink r:id="rId59">
        <w:r w:rsidRPr="0015377B">
          <w:rPr>
            <w:rFonts w:eastAsia="Times New Roman"/>
            <w:color w:val="1155CC"/>
            <w:u w:val="single"/>
          </w:rPr>
          <w:t>DOI: 10.1111/jan.15202</w:t>
        </w:r>
      </w:hyperlink>
    </w:p>
    <w:p w14:paraId="0B40FEF7" w14:textId="54A316BB" w:rsidR="00C115B7" w:rsidRPr="0015377B" w:rsidRDefault="00C115B7" w:rsidP="0015377B">
      <w:pPr>
        <w:spacing w:line="360" w:lineRule="auto"/>
        <w:jc w:val="both"/>
        <w:rPr>
          <w:rFonts w:eastAsia="Times New Roman"/>
        </w:rPr>
      </w:pPr>
      <w:r w:rsidRPr="0015377B">
        <w:rPr>
          <w:rFonts w:eastAsia="Times New Roman"/>
        </w:rPr>
        <w:t>Royal Bucks (2025)</w:t>
      </w:r>
      <w:r w:rsidR="00610C43">
        <w:rPr>
          <w:rFonts w:eastAsia="Times New Roman"/>
        </w:rPr>
        <w:t>.</w:t>
      </w:r>
      <w:r w:rsidRPr="0015377B">
        <w:rPr>
          <w:rFonts w:eastAsia="Times New Roman"/>
        </w:rPr>
        <w:t xml:space="preserve"> </w:t>
      </w:r>
      <w:r w:rsidRPr="0015377B">
        <w:rPr>
          <w:rFonts w:eastAsia="Times New Roman"/>
          <w:i/>
          <w:iCs/>
        </w:rPr>
        <w:t>Charcot-Marie-Tooth Disease (CMT)</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60">
        <w:r w:rsidRPr="0015377B">
          <w:rPr>
            <w:rFonts w:eastAsia="Times New Roman"/>
            <w:color w:val="1155CC"/>
            <w:u w:val="single"/>
          </w:rPr>
          <w:t>https://www.royalbucks.co.uk/conditions-and-symptoms/charcot-marie-tooth-disease-cmt/</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578211CF" w14:textId="482705C4" w:rsidR="00C115B7" w:rsidRPr="0015377B" w:rsidRDefault="00C115B7" w:rsidP="0015377B">
      <w:pPr>
        <w:spacing w:line="360" w:lineRule="auto"/>
        <w:jc w:val="both"/>
        <w:rPr>
          <w:rFonts w:eastAsia="Times New Roman"/>
        </w:rPr>
      </w:pPr>
      <w:r w:rsidRPr="0015377B">
        <w:rPr>
          <w:rFonts w:eastAsia="Times New Roman"/>
        </w:rPr>
        <w:t>Sapkota, S., Dhakal, A., Rushton, S., van Teijlingen, E., Marahatta, S.B., Balen, J. and Lee, A.C. (2023)</w:t>
      </w:r>
      <w:r w:rsidR="00610C43">
        <w:rPr>
          <w:rFonts w:eastAsia="Times New Roman"/>
        </w:rPr>
        <w:t>.</w:t>
      </w:r>
      <w:r w:rsidRPr="0015377B">
        <w:rPr>
          <w:rFonts w:eastAsia="Times New Roman"/>
        </w:rPr>
        <w:t xml:space="preserve"> ‘The impact of decentralisation on health systems: a systematic review of reviews’, </w:t>
      </w:r>
      <w:r w:rsidRPr="0015377B">
        <w:rPr>
          <w:rFonts w:eastAsia="Times New Roman"/>
          <w:i/>
          <w:iCs/>
        </w:rPr>
        <w:t>BMJ Global Health</w:t>
      </w:r>
      <w:r w:rsidRPr="0015377B">
        <w:rPr>
          <w:rFonts w:eastAsia="Times New Roman"/>
        </w:rPr>
        <w:t xml:space="preserve">, 8(12). Available at: </w:t>
      </w:r>
      <w:hyperlink r:id="rId61">
        <w:r w:rsidRPr="0015377B">
          <w:rPr>
            <w:rFonts w:eastAsia="Times New Roman"/>
            <w:color w:val="1155CC"/>
            <w:u w:val="single"/>
          </w:rPr>
          <w:t>https://doi.org/10.1136/bmjgh-2023-013317</w:t>
        </w:r>
      </w:hyperlink>
      <w:r w:rsidRPr="0015377B">
        <w:rPr>
          <w:rFonts w:eastAsia="Times New Roman"/>
        </w:rPr>
        <w:t xml:space="preserve"> </w:t>
      </w:r>
    </w:p>
    <w:p w14:paraId="33F2285D" w14:textId="1C1507F2" w:rsidR="00C115B7" w:rsidRPr="0015377B" w:rsidRDefault="00C115B7" w:rsidP="0015377B">
      <w:pPr>
        <w:spacing w:line="360" w:lineRule="auto"/>
        <w:jc w:val="both"/>
        <w:rPr>
          <w:rFonts w:eastAsia="Times New Roman"/>
        </w:rPr>
      </w:pPr>
      <w:r w:rsidRPr="0015377B">
        <w:rPr>
          <w:rFonts w:eastAsia="Times New Roman"/>
        </w:rPr>
        <w:t>Seljemo, C., Viksveen, P. and Ree, E. (2020)</w:t>
      </w:r>
      <w:r w:rsidR="00610C43">
        <w:rPr>
          <w:rFonts w:eastAsia="Times New Roman"/>
        </w:rPr>
        <w:t>.</w:t>
      </w:r>
      <w:r w:rsidRPr="0015377B">
        <w:rPr>
          <w:rFonts w:eastAsia="Times New Roman"/>
        </w:rPr>
        <w:t xml:space="preserve"> ‘The role of transformational leadership, job demands and job resources for patient safety culture in Norwegian nursing homes: a cross-sectional study’, </w:t>
      </w:r>
      <w:r w:rsidRPr="0015377B">
        <w:rPr>
          <w:rFonts w:eastAsia="Times New Roman"/>
          <w:i/>
          <w:iCs/>
        </w:rPr>
        <w:t>BMC Health Services Research</w:t>
      </w:r>
      <w:r w:rsidRPr="0015377B">
        <w:rPr>
          <w:rFonts w:eastAsia="Times New Roman"/>
        </w:rPr>
        <w:t xml:space="preserve">, 20(1), p.799. Available at: </w:t>
      </w:r>
      <w:hyperlink r:id="rId62">
        <w:r w:rsidRPr="0015377B">
          <w:rPr>
            <w:rFonts w:eastAsia="Times New Roman"/>
            <w:color w:val="1155CC"/>
            <w:u w:val="single"/>
          </w:rPr>
          <w:t>https://doi.org/10.1186/s12913-020-05671-y</w:t>
        </w:r>
      </w:hyperlink>
      <w:r w:rsidRPr="0015377B">
        <w:rPr>
          <w:rFonts w:eastAsia="Times New Roman"/>
        </w:rPr>
        <w:t xml:space="preserve"> </w:t>
      </w:r>
    </w:p>
    <w:p w14:paraId="6C033C6B" w14:textId="6DDE9D49" w:rsidR="00C115B7" w:rsidRPr="0015377B" w:rsidRDefault="00C115B7" w:rsidP="0015377B">
      <w:pPr>
        <w:spacing w:line="360" w:lineRule="auto"/>
        <w:jc w:val="both"/>
        <w:rPr>
          <w:rFonts w:eastAsia="Times New Roman"/>
        </w:rPr>
      </w:pPr>
      <w:r w:rsidRPr="0015377B">
        <w:rPr>
          <w:rFonts w:eastAsia="Times New Roman"/>
        </w:rPr>
        <w:t>Serrano, L.P., Maita, K.C., Avila, F.R., Torres-Guzman, R.A., Garcia, J.P., Eldaly, A.S., Haider, C.R., Felton, C.L., Paulson, M.R., Maniaci, M.J. and Forte, A.J. (2023)</w:t>
      </w:r>
      <w:r w:rsidR="00610C43">
        <w:rPr>
          <w:rFonts w:eastAsia="Times New Roman"/>
        </w:rPr>
        <w:t>.</w:t>
      </w:r>
      <w:r w:rsidRPr="0015377B">
        <w:rPr>
          <w:rFonts w:eastAsia="Times New Roman"/>
        </w:rPr>
        <w:t xml:space="preserve"> ‘Benefits and challenges of remote patient monitoring as perceived by health care practitioners: a systematic review’, </w:t>
      </w:r>
      <w:r w:rsidRPr="0015377B">
        <w:rPr>
          <w:rFonts w:eastAsia="Times New Roman"/>
          <w:i/>
          <w:iCs/>
        </w:rPr>
        <w:t>The Permanente Journal</w:t>
      </w:r>
      <w:r w:rsidRPr="0015377B">
        <w:rPr>
          <w:rFonts w:eastAsia="Times New Roman"/>
        </w:rPr>
        <w:t xml:space="preserve">, 27(4), p.100. Available at: </w:t>
      </w:r>
      <w:hyperlink r:id="rId63">
        <w:r w:rsidRPr="0015377B">
          <w:rPr>
            <w:rFonts w:eastAsia="Times New Roman"/>
            <w:color w:val="1155CC"/>
            <w:u w:val="single"/>
          </w:rPr>
          <w:t>https://doi.org/10.7812/TPP/23.022</w:t>
        </w:r>
      </w:hyperlink>
      <w:r w:rsidRPr="0015377B">
        <w:rPr>
          <w:rFonts w:eastAsia="Times New Roman"/>
        </w:rPr>
        <w:t xml:space="preserve"> </w:t>
      </w:r>
    </w:p>
    <w:p w14:paraId="5331BD65" w14:textId="1044F993" w:rsidR="00C115B7" w:rsidRPr="0015377B" w:rsidRDefault="00C115B7" w:rsidP="0015377B">
      <w:pPr>
        <w:spacing w:line="360" w:lineRule="auto"/>
        <w:jc w:val="both"/>
        <w:rPr>
          <w:rFonts w:eastAsia="Times New Roman"/>
        </w:rPr>
      </w:pPr>
      <w:r w:rsidRPr="0015377B">
        <w:rPr>
          <w:rFonts w:eastAsia="Times New Roman"/>
        </w:rPr>
        <w:lastRenderedPageBreak/>
        <w:t>Sfantou, D.F., Laliotis, A., Patelarou, A.E., Sifaki-Pistolla, D., Matalliotakis, M. and Patelarou, E. (2017)</w:t>
      </w:r>
      <w:r w:rsidR="00610C43">
        <w:rPr>
          <w:rFonts w:eastAsia="Times New Roman"/>
        </w:rPr>
        <w:t>.</w:t>
      </w:r>
      <w:r w:rsidRPr="0015377B">
        <w:rPr>
          <w:rFonts w:eastAsia="Times New Roman"/>
        </w:rPr>
        <w:t xml:space="preserve"> ‘Importance of leadership style towards quality of care measures in healthcare settings: a systematic review’, In </w:t>
      </w:r>
      <w:r w:rsidRPr="0015377B">
        <w:rPr>
          <w:rFonts w:eastAsia="Times New Roman"/>
          <w:i/>
          <w:iCs/>
        </w:rPr>
        <w:t xml:space="preserve">Healthcare </w:t>
      </w:r>
      <w:r w:rsidRPr="0015377B">
        <w:rPr>
          <w:rFonts w:eastAsia="Times New Roman"/>
        </w:rPr>
        <w:t xml:space="preserve">(Vol. 5, No. 4, p. 73). MDPI. Available at: </w:t>
      </w:r>
      <w:hyperlink r:id="rId64">
        <w:r w:rsidRPr="0015377B">
          <w:rPr>
            <w:rFonts w:eastAsia="Times New Roman"/>
            <w:color w:val="1155CC"/>
            <w:u w:val="single"/>
          </w:rPr>
          <w:t>https://doi.org/10.3390/healthcare5040073</w:t>
        </w:r>
      </w:hyperlink>
      <w:r w:rsidRPr="0015377B">
        <w:rPr>
          <w:rFonts w:eastAsia="Times New Roman"/>
        </w:rPr>
        <w:t xml:space="preserve"> </w:t>
      </w:r>
    </w:p>
    <w:p w14:paraId="363BB484" w14:textId="41274036" w:rsidR="00C115B7" w:rsidRPr="0015377B" w:rsidRDefault="00C115B7" w:rsidP="0015377B">
      <w:pPr>
        <w:spacing w:line="360" w:lineRule="auto"/>
        <w:jc w:val="both"/>
        <w:rPr>
          <w:rFonts w:eastAsia="Times New Roman"/>
        </w:rPr>
      </w:pPr>
      <w:r w:rsidRPr="0015377B">
        <w:rPr>
          <w:rFonts w:eastAsia="Times New Roman"/>
        </w:rPr>
        <w:t>Sheldon, R., Zhang, Y. and Baharani, J. (2025)</w:t>
      </w:r>
      <w:r w:rsidR="00610C43">
        <w:rPr>
          <w:rFonts w:eastAsia="Times New Roman"/>
        </w:rPr>
        <w:t>.</w:t>
      </w:r>
      <w:r w:rsidRPr="0015377B">
        <w:rPr>
          <w:rFonts w:eastAsia="Times New Roman"/>
        </w:rPr>
        <w:t xml:space="preserve"> ‘Poor communication with patients: excluding people from their own healthcare conversations’, </w:t>
      </w:r>
      <w:r w:rsidRPr="0015377B">
        <w:rPr>
          <w:rFonts w:eastAsia="Times New Roman"/>
          <w:i/>
          <w:iCs/>
        </w:rPr>
        <w:t>BMJ</w:t>
      </w:r>
      <w:r w:rsidRPr="0015377B">
        <w:rPr>
          <w:rFonts w:eastAsia="Times New Roman"/>
        </w:rPr>
        <w:t xml:space="preserve">, 390. Available at: </w:t>
      </w:r>
      <w:hyperlink r:id="rId65">
        <w:r w:rsidRPr="0015377B">
          <w:rPr>
            <w:rFonts w:eastAsia="Times New Roman"/>
            <w:color w:val="1155CC"/>
            <w:u w:val="single"/>
          </w:rPr>
          <w:t>https://doi.org/10.1136/bmj.r1594</w:t>
        </w:r>
      </w:hyperlink>
      <w:r w:rsidRPr="0015377B">
        <w:rPr>
          <w:rFonts w:eastAsia="Times New Roman"/>
        </w:rPr>
        <w:t xml:space="preserve"> </w:t>
      </w:r>
    </w:p>
    <w:p w14:paraId="2B890A37" w14:textId="19D74038" w:rsidR="00C115B7" w:rsidRPr="0015377B" w:rsidRDefault="00C115B7" w:rsidP="0015377B">
      <w:pPr>
        <w:spacing w:line="360" w:lineRule="auto"/>
        <w:jc w:val="both"/>
        <w:rPr>
          <w:rFonts w:eastAsia="Times New Roman"/>
        </w:rPr>
      </w:pPr>
      <w:r w:rsidRPr="0015377B">
        <w:rPr>
          <w:rFonts w:eastAsia="Times New Roman"/>
        </w:rPr>
        <w:t>Sikalgar, F.R., Bangera, D., Kumar, M.P., Paul, Y. and Muralidharan, S. (2025)</w:t>
      </w:r>
      <w:r w:rsidR="00610C43">
        <w:rPr>
          <w:rFonts w:eastAsia="Times New Roman"/>
        </w:rPr>
        <w:t>.</w:t>
      </w:r>
      <w:r w:rsidRPr="0015377B">
        <w:rPr>
          <w:rFonts w:eastAsia="Times New Roman"/>
        </w:rPr>
        <w:t xml:space="preserve"> ‘A review of leadership theories in healthcare’, </w:t>
      </w:r>
      <w:r w:rsidRPr="0015377B">
        <w:rPr>
          <w:rFonts w:eastAsia="Times New Roman"/>
          <w:i/>
          <w:iCs/>
        </w:rPr>
        <w:t>Journal of Pharmacy and Bioallied Sciences</w:t>
      </w:r>
      <w:r w:rsidRPr="0015377B">
        <w:rPr>
          <w:rFonts w:eastAsia="Times New Roman"/>
        </w:rPr>
        <w:t xml:space="preserve">, 17(Suppl 1), pp.S163-S165. Available at: </w:t>
      </w:r>
      <w:hyperlink r:id="rId66">
        <w:r w:rsidRPr="0015377B">
          <w:rPr>
            <w:rFonts w:eastAsia="Times New Roman"/>
            <w:color w:val="1155CC"/>
            <w:u w:val="single"/>
          </w:rPr>
          <w:t>https://doi.org/10.4103/jpbs.jpbs_1907_24</w:t>
        </w:r>
      </w:hyperlink>
      <w:r w:rsidRPr="0015377B">
        <w:rPr>
          <w:rFonts w:eastAsia="Times New Roman"/>
        </w:rPr>
        <w:t xml:space="preserve"> </w:t>
      </w:r>
    </w:p>
    <w:p w14:paraId="4359A6CA" w14:textId="71C76DB2" w:rsidR="00C115B7" w:rsidRPr="0015377B" w:rsidRDefault="00C115B7" w:rsidP="0015377B">
      <w:pPr>
        <w:spacing w:line="360" w:lineRule="auto"/>
        <w:jc w:val="both"/>
        <w:rPr>
          <w:rFonts w:eastAsia="Times New Roman"/>
        </w:rPr>
      </w:pPr>
      <w:r w:rsidRPr="0015377B">
        <w:rPr>
          <w:rFonts w:eastAsia="Times New Roman"/>
        </w:rPr>
        <w:t>Sparacino, L. and Schmid, A. (2026)</w:t>
      </w:r>
      <w:r w:rsidR="00610C43">
        <w:rPr>
          <w:rFonts w:eastAsia="Times New Roman"/>
        </w:rPr>
        <w:t>.</w:t>
      </w:r>
      <w:r w:rsidRPr="0015377B">
        <w:rPr>
          <w:rFonts w:eastAsia="Times New Roman"/>
        </w:rPr>
        <w:t xml:space="preserve"> ‘Insights for Resilient and Patient-Centric Healthcare Systems’, In </w:t>
      </w:r>
      <w:r w:rsidRPr="0015377B">
        <w:rPr>
          <w:rFonts w:eastAsia="Times New Roman"/>
          <w:i/>
          <w:iCs/>
        </w:rPr>
        <w:t>Organizational Insights: Healthcare Perspective: An Introduction to the Dynamics of Healthcare Excellence</w:t>
      </w:r>
      <w:r w:rsidRPr="0015377B">
        <w:rPr>
          <w:rFonts w:eastAsia="Times New Roman"/>
        </w:rPr>
        <w:t xml:space="preserve"> (pp. 49-68). Cham: Springer Nature Switzerland. Available at: </w:t>
      </w:r>
      <w:hyperlink r:id="rId67" w:anchor="DOI">
        <w:r w:rsidRPr="0015377B">
          <w:rPr>
            <w:rFonts w:eastAsia="Times New Roman"/>
            <w:color w:val="1155CC"/>
            <w:u w:val="single"/>
          </w:rPr>
          <w:t>https://doi.org/10.1007/978-3-032-10532-5_4#DOI</w:t>
        </w:r>
      </w:hyperlink>
      <w:r w:rsidRPr="0015377B">
        <w:rPr>
          <w:rFonts w:eastAsia="Times New Roman"/>
        </w:rPr>
        <w:t xml:space="preserve"> </w:t>
      </w:r>
    </w:p>
    <w:p w14:paraId="61605FCF" w14:textId="0AC83F34" w:rsidR="00C115B7" w:rsidRPr="0015377B" w:rsidRDefault="00C115B7" w:rsidP="0015377B">
      <w:pPr>
        <w:spacing w:line="360" w:lineRule="auto"/>
        <w:jc w:val="both"/>
        <w:rPr>
          <w:rFonts w:eastAsia="Times New Roman"/>
        </w:rPr>
      </w:pPr>
      <w:r w:rsidRPr="0015377B">
        <w:rPr>
          <w:rFonts w:eastAsia="Times New Roman"/>
        </w:rPr>
        <w:t>Sreeramareddy, C.T. and Sathyanarayana, T. (2019)</w:t>
      </w:r>
      <w:r w:rsidR="00610C43">
        <w:rPr>
          <w:rFonts w:eastAsia="Times New Roman"/>
        </w:rPr>
        <w:t>.</w:t>
      </w:r>
      <w:r w:rsidRPr="0015377B">
        <w:rPr>
          <w:rFonts w:eastAsia="Times New Roman"/>
        </w:rPr>
        <w:t xml:space="preserve"> ‘Decentralised versus centralised governance of health services’, The </w:t>
      </w:r>
      <w:r w:rsidRPr="0015377B">
        <w:rPr>
          <w:rFonts w:eastAsia="Times New Roman"/>
          <w:i/>
          <w:iCs/>
        </w:rPr>
        <w:t>Cochrane Database of Systematic Reviews</w:t>
      </w:r>
      <w:r w:rsidRPr="0015377B">
        <w:rPr>
          <w:rFonts w:eastAsia="Times New Roman"/>
        </w:rPr>
        <w:t xml:space="preserve">, 2019(9), p.CD010830. Available at: </w:t>
      </w:r>
      <w:hyperlink r:id="rId68">
        <w:r w:rsidRPr="0015377B">
          <w:rPr>
            <w:rFonts w:eastAsia="Times New Roman"/>
            <w:color w:val="1155CC"/>
            <w:u w:val="single"/>
          </w:rPr>
          <w:t>https://doi.org/10.1002/14651858.CD010830.pub2</w:t>
        </w:r>
      </w:hyperlink>
      <w:r w:rsidRPr="0015377B">
        <w:rPr>
          <w:rFonts w:eastAsia="Times New Roman"/>
        </w:rPr>
        <w:t xml:space="preserve"> </w:t>
      </w:r>
    </w:p>
    <w:p w14:paraId="49486C87" w14:textId="3F2D52FB" w:rsidR="00C115B7" w:rsidRPr="0015377B" w:rsidRDefault="00C115B7" w:rsidP="0015377B">
      <w:pPr>
        <w:spacing w:line="360" w:lineRule="auto"/>
        <w:jc w:val="both"/>
        <w:rPr>
          <w:rFonts w:eastAsia="Times New Roman"/>
        </w:rPr>
      </w:pPr>
      <w:r w:rsidRPr="0015377B">
        <w:rPr>
          <w:rFonts w:eastAsia="Times New Roman"/>
        </w:rPr>
        <w:t>Tedla, B.A. and Hamid, A.S. (2022)</w:t>
      </w:r>
      <w:r w:rsidR="00610C43">
        <w:rPr>
          <w:rFonts w:eastAsia="Times New Roman"/>
        </w:rPr>
        <w:t>.</w:t>
      </w:r>
      <w:r w:rsidRPr="0015377B">
        <w:rPr>
          <w:rFonts w:eastAsia="Times New Roman"/>
        </w:rPr>
        <w:t xml:space="preserve"> ‘Leadership in healthcare organizations: A retrospective study’, </w:t>
      </w:r>
      <w:r w:rsidRPr="0015377B">
        <w:rPr>
          <w:rFonts w:eastAsia="Times New Roman"/>
          <w:i/>
          <w:iCs/>
        </w:rPr>
        <w:t>International Journal of Health Sciences</w:t>
      </w:r>
      <w:r w:rsidRPr="0015377B">
        <w:rPr>
          <w:rFonts w:eastAsia="Times New Roman"/>
        </w:rPr>
        <w:t xml:space="preserve">, 6(6), pp.733-746. Available at: </w:t>
      </w:r>
      <w:hyperlink r:id="rId69">
        <w:r w:rsidRPr="0015377B">
          <w:rPr>
            <w:rFonts w:eastAsia="Times New Roman"/>
            <w:color w:val="1155CC"/>
            <w:u w:val="single"/>
          </w:rPr>
          <w:t>https://doi.org/10.53730/ijhs.v6nS3.5427</w:t>
        </w:r>
      </w:hyperlink>
      <w:r w:rsidRPr="0015377B">
        <w:rPr>
          <w:rFonts w:eastAsia="Times New Roman"/>
        </w:rPr>
        <w:t xml:space="preserve"> </w:t>
      </w:r>
    </w:p>
    <w:p w14:paraId="7A785932" w14:textId="48D53DA7" w:rsidR="00C115B7" w:rsidRPr="0015377B" w:rsidRDefault="00C115B7" w:rsidP="0015377B">
      <w:pPr>
        <w:spacing w:line="360" w:lineRule="auto"/>
        <w:jc w:val="both"/>
        <w:rPr>
          <w:rFonts w:eastAsia="Times New Roman"/>
        </w:rPr>
      </w:pPr>
      <w:r w:rsidRPr="0015377B">
        <w:rPr>
          <w:rFonts w:eastAsia="Times New Roman"/>
        </w:rPr>
        <w:t>Tsapnidou, E., Kelesi, M., Rovithis, M., Katharakis, G., Gerogianni, G., Dafogianni, C., Toylia, G., Fasoi, G. and Stavropoulou, A. (2024)</w:t>
      </w:r>
      <w:r w:rsidR="00610C43">
        <w:rPr>
          <w:rFonts w:eastAsia="Times New Roman"/>
        </w:rPr>
        <w:t>.</w:t>
      </w:r>
      <w:r w:rsidRPr="0015377B">
        <w:rPr>
          <w:rFonts w:eastAsia="Times New Roman"/>
        </w:rPr>
        <w:t xml:space="preserve"> ‘Transformational leadership—quality achievements and benefits for the healthcare organizations: a scoping review’, </w:t>
      </w:r>
      <w:r w:rsidRPr="0015377B">
        <w:rPr>
          <w:rFonts w:eastAsia="Times New Roman"/>
          <w:i/>
          <w:iCs/>
        </w:rPr>
        <w:t>Hospitals</w:t>
      </w:r>
      <w:r w:rsidRPr="0015377B">
        <w:rPr>
          <w:rFonts w:eastAsia="Times New Roman"/>
        </w:rPr>
        <w:t xml:space="preserve">, 1(1), pp.87-103. Available at: </w:t>
      </w:r>
      <w:hyperlink r:id="rId70">
        <w:r w:rsidRPr="0015377B">
          <w:rPr>
            <w:rFonts w:eastAsia="Times New Roman"/>
            <w:color w:val="1155CC"/>
            <w:u w:val="single"/>
          </w:rPr>
          <w:t>https://doi.org/10.3390/hospitals1010008</w:t>
        </w:r>
      </w:hyperlink>
      <w:r w:rsidRPr="0015377B">
        <w:rPr>
          <w:rFonts w:eastAsia="Times New Roman"/>
        </w:rPr>
        <w:t xml:space="preserve"> </w:t>
      </w:r>
    </w:p>
    <w:p w14:paraId="7602D16A" w14:textId="0FABE62B" w:rsidR="00C115B7" w:rsidRPr="0015377B" w:rsidRDefault="00C115B7" w:rsidP="0015377B">
      <w:pPr>
        <w:spacing w:line="360" w:lineRule="auto"/>
        <w:jc w:val="both"/>
        <w:rPr>
          <w:rFonts w:eastAsia="Times New Roman"/>
        </w:rPr>
      </w:pPr>
      <w:r w:rsidRPr="0015377B">
        <w:rPr>
          <w:rFonts w:eastAsia="Times New Roman"/>
        </w:rPr>
        <w:t>UK Parliament (2023)</w:t>
      </w:r>
      <w:r w:rsidR="00610C43">
        <w:rPr>
          <w:rFonts w:eastAsia="Times New Roman"/>
        </w:rPr>
        <w:t>.</w:t>
      </w:r>
      <w:r w:rsidRPr="0015377B">
        <w:rPr>
          <w:rFonts w:eastAsia="Times New Roman"/>
        </w:rPr>
        <w:t xml:space="preserve"> </w:t>
      </w:r>
      <w:r w:rsidRPr="0015377B">
        <w:rPr>
          <w:rFonts w:eastAsia="Times New Roman"/>
          <w:i/>
          <w:iCs/>
        </w:rPr>
        <w:t>Medicines-induced Iatrogenic Diseases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1">
        <w:r w:rsidRPr="0015377B">
          <w:rPr>
            <w:rFonts w:eastAsia="Times New Roman"/>
            <w:color w:val="1155CC"/>
            <w:u w:val="single"/>
          </w:rPr>
          <w:t>https://committees.parliament.uk/writtenevidence/117873/html/</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6528D241" w14:textId="50A9B81E" w:rsidR="00C115B7" w:rsidRPr="0015377B" w:rsidRDefault="00C115B7" w:rsidP="0015377B">
      <w:pPr>
        <w:spacing w:line="360" w:lineRule="auto"/>
        <w:jc w:val="both"/>
        <w:rPr>
          <w:rFonts w:eastAsia="Times New Roman"/>
        </w:rPr>
      </w:pPr>
      <w:r w:rsidRPr="0015377B">
        <w:rPr>
          <w:rFonts w:eastAsia="Times New Roman"/>
        </w:rPr>
        <w:t xml:space="preserve">Walsh, N. and Sarandy, S. (2023) </w:t>
      </w:r>
      <w:r w:rsidRPr="0015377B">
        <w:rPr>
          <w:rFonts w:eastAsia="Times New Roman"/>
          <w:i/>
          <w:iCs/>
        </w:rPr>
        <w:t>The practice of collaborative leadership</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2">
        <w:r w:rsidRPr="0015377B">
          <w:rPr>
            <w:rFonts w:eastAsia="Times New Roman"/>
            <w:color w:val="1155CC"/>
            <w:u w:val="single"/>
          </w:rPr>
          <w:t>https://assets.kingsfund.org.uk/f/256914/x/1ed42745fb/the_practice_of_collaborative_leadership_2023.pdf</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6A170677" w14:textId="1A092F17" w:rsidR="00C115B7" w:rsidRPr="0015377B" w:rsidRDefault="00C115B7" w:rsidP="0015377B">
      <w:pPr>
        <w:spacing w:line="360" w:lineRule="auto"/>
        <w:jc w:val="both"/>
        <w:rPr>
          <w:rFonts w:eastAsia="Times New Roman"/>
        </w:rPr>
      </w:pPr>
      <w:r w:rsidRPr="0015377B">
        <w:rPr>
          <w:rFonts w:eastAsia="Times New Roman"/>
        </w:rPr>
        <w:t>White, S. (2026)</w:t>
      </w:r>
      <w:r w:rsidR="00610C43">
        <w:rPr>
          <w:rFonts w:eastAsia="Times New Roman"/>
        </w:rPr>
        <w:t>.</w:t>
      </w:r>
      <w:r w:rsidRPr="0015377B">
        <w:rPr>
          <w:rFonts w:eastAsia="Times New Roman"/>
        </w:rPr>
        <w:t xml:space="preserve"> </w:t>
      </w:r>
      <w:r w:rsidRPr="0015377B">
        <w:rPr>
          <w:rFonts w:eastAsia="Times New Roman"/>
          <w:i/>
          <w:iCs/>
        </w:rPr>
        <w:t>NHS Staff Survey results 2025: what you need to know</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3">
        <w:r w:rsidRPr="0015377B">
          <w:rPr>
            <w:rFonts w:eastAsia="Times New Roman"/>
            <w:color w:val="1155CC"/>
            <w:u w:val="single"/>
          </w:rPr>
          <w:t>https://www.nhsconfed.org/publications/nhs-staff-survey-results-2025-what-you-need-know</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105FF0EE" w14:textId="30C181C1" w:rsidR="00C115B7" w:rsidRPr="0015377B" w:rsidRDefault="00C115B7" w:rsidP="0015377B">
      <w:pPr>
        <w:spacing w:line="360" w:lineRule="auto"/>
        <w:jc w:val="both"/>
        <w:rPr>
          <w:rFonts w:eastAsia="Times New Roman"/>
        </w:rPr>
      </w:pPr>
      <w:r w:rsidRPr="0015377B">
        <w:rPr>
          <w:rFonts w:eastAsia="Times New Roman"/>
        </w:rPr>
        <w:t>WHO (2017)</w:t>
      </w:r>
      <w:r w:rsidR="00610C43">
        <w:rPr>
          <w:rFonts w:eastAsia="Times New Roman"/>
        </w:rPr>
        <w:t>.</w:t>
      </w:r>
      <w:r w:rsidRPr="0015377B">
        <w:rPr>
          <w:rFonts w:eastAsia="Times New Roman"/>
        </w:rPr>
        <w:t xml:space="preserve"> </w:t>
      </w:r>
      <w:r w:rsidRPr="0015377B">
        <w:rPr>
          <w:rFonts w:eastAsia="Times New Roman"/>
          <w:i/>
          <w:iCs/>
        </w:rPr>
        <w:t>Medication Without Harm</w:t>
      </w:r>
      <w:r w:rsidRPr="0015377B">
        <w:rPr>
          <w:rFonts w:eastAsia="Times New Roman"/>
        </w:rPr>
        <w:t>.</w:t>
      </w:r>
      <w:r w:rsidR="00610C43" w:rsidRPr="00610C43">
        <w:rPr>
          <w:rFonts w:eastAsia="Times New Roman"/>
        </w:rPr>
        <w:t xml:space="preserve"> </w:t>
      </w:r>
      <w:r w:rsidR="00610C43">
        <w:rPr>
          <w:rFonts w:eastAsia="Times New Roman"/>
        </w:rPr>
        <w:t>[online]</w:t>
      </w:r>
      <w:r w:rsidRPr="0015377B">
        <w:rPr>
          <w:rFonts w:eastAsia="Times New Roman"/>
        </w:rPr>
        <w:t xml:space="preserve"> Available at: </w:t>
      </w:r>
      <w:hyperlink r:id="rId74">
        <w:r w:rsidRPr="0015377B">
          <w:rPr>
            <w:rFonts w:eastAsia="Times New Roman"/>
            <w:color w:val="1155CC"/>
            <w:u w:val="single"/>
          </w:rPr>
          <w:t>https://www.who.int/initiatives/medication-without-harm</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4BAA8AF0" w14:textId="0A9B89EE" w:rsidR="00C115B7" w:rsidRPr="0015377B" w:rsidRDefault="00C115B7" w:rsidP="0015377B">
      <w:pPr>
        <w:spacing w:line="360" w:lineRule="auto"/>
        <w:jc w:val="both"/>
        <w:rPr>
          <w:rFonts w:eastAsia="Times New Roman"/>
        </w:rPr>
      </w:pPr>
      <w:r w:rsidRPr="0015377B">
        <w:rPr>
          <w:rFonts w:eastAsia="Times New Roman"/>
        </w:rPr>
        <w:lastRenderedPageBreak/>
        <w:t>WHO (2023)</w:t>
      </w:r>
      <w:r w:rsidR="00610C43">
        <w:rPr>
          <w:rFonts w:eastAsia="Times New Roman"/>
        </w:rPr>
        <w:t>.</w:t>
      </w:r>
      <w:r w:rsidRPr="0015377B">
        <w:rPr>
          <w:rFonts w:eastAsia="Times New Roman"/>
          <w:i/>
          <w:iCs/>
        </w:rPr>
        <w:t xml:space="preserve"> Patient safety</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5">
        <w:r w:rsidRPr="0015377B">
          <w:rPr>
            <w:rFonts w:eastAsia="Times New Roman"/>
            <w:color w:val="1155CC"/>
            <w:u w:val="single"/>
          </w:rPr>
          <w:t>https://www.who.int/news-room/fact-sheets/detail/patient-safety</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68A10708" w14:textId="0C072783" w:rsidR="00C115B7" w:rsidRPr="0015377B" w:rsidRDefault="00C115B7" w:rsidP="0015377B">
      <w:pPr>
        <w:spacing w:line="360" w:lineRule="auto"/>
        <w:jc w:val="both"/>
        <w:rPr>
          <w:rFonts w:eastAsia="Times New Roman"/>
        </w:rPr>
      </w:pPr>
      <w:r w:rsidRPr="0015377B">
        <w:rPr>
          <w:rFonts w:eastAsia="Times New Roman"/>
        </w:rPr>
        <w:t>WHO (2023a)</w:t>
      </w:r>
      <w:r w:rsidR="00610C43">
        <w:rPr>
          <w:rFonts w:eastAsia="Times New Roman"/>
        </w:rPr>
        <w:t>.</w:t>
      </w:r>
      <w:r w:rsidRPr="0015377B">
        <w:rPr>
          <w:rFonts w:eastAsia="Times New Roman"/>
        </w:rPr>
        <w:t xml:space="preserve"> </w:t>
      </w:r>
      <w:r w:rsidRPr="0015377B">
        <w:rPr>
          <w:rFonts w:eastAsia="Times New Roman"/>
          <w:i/>
          <w:iCs/>
        </w:rPr>
        <w:t>Patient safety.</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6">
        <w:r w:rsidRPr="0015377B">
          <w:rPr>
            <w:rFonts w:eastAsia="Times New Roman"/>
            <w:color w:val="1155CC"/>
            <w:u w:val="single"/>
          </w:rPr>
          <w:t>https://iris.who.int/server/api/core/bitstreams/f208903d-b47d-4a8c-9fac-d8136c2bdbb6/content</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0497A2B0" w14:textId="09837AF9" w:rsidR="00C115B7" w:rsidRPr="0015377B" w:rsidRDefault="00C115B7" w:rsidP="0015377B">
      <w:pPr>
        <w:spacing w:line="360" w:lineRule="auto"/>
        <w:jc w:val="both"/>
        <w:rPr>
          <w:rFonts w:eastAsia="Times New Roman"/>
        </w:rPr>
      </w:pPr>
      <w:r w:rsidRPr="0015377B">
        <w:rPr>
          <w:rFonts w:eastAsia="Times New Roman"/>
        </w:rPr>
        <w:t>WHO (2025)</w:t>
      </w:r>
      <w:r w:rsidR="00610C43">
        <w:rPr>
          <w:rFonts w:eastAsia="Times New Roman"/>
        </w:rPr>
        <w:t>.</w:t>
      </w:r>
      <w:r w:rsidRPr="0015377B">
        <w:rPr>
          <w:rFonts w:eastAsia="Times New Roman"/>
        </w:rPr>
        <w:t xml:space="preserve"> </w:t>
      </w:r>
      <w:r w:rsidRPr="0015377B">
        <w:rPr>
          <w:rFonts w:eastAsia="Times New Roman"/>
          <w:i/>
          <w:iCs/>
        </w:rPr>
        <w:t>Quality health services.</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7">
        <w:r w:rsidRPr="0015377B">
          <w:rPr>
            <w:rFonts w:eastAsia="Times New Roman"/>
            <w:color w:val="1155CC"/>
            <w:u w:val="single"/>
          </w:rPr>
          <w:t>https://www.who.int/news-room/fact-sheets/detail/quality-health-services</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4848F92D" w14:textId="141166A5" w:rsidR="00C115B7" w:rsidRPr="0015377B" w:rsidRDefault="00C115B7" w:rsidP="0015377B">
      <w:pPr>
        <w:spacing w:line="360" w:lineRule="auto"/>
        <w:jc w:val="both"/>
        <w:rPr>
          <w:rFonts w:eastAsia="Times New Roman"/>
        </w:rPr>
      </w:pPr>
      <w:r w:rsidRPr="0015377B">
        <w:rPr>
          <w:rFonts w:eastAsia="Times New Roman"/>
        </w:rPr>
        <w:t>WHO (2026)</w:t>
      </w:r>
      <w:r w:rsidR="00610C43">
        <w:rPr>
          <w:rFonts w:eastAsia="Times New Roman"/>
        </w:rPr>
        <w:t>.</w:t>
      </w:r>
      <w:r w:rsidRPr="0015377B">
        <w:rPr>
          <w:rFonts w:eastAsia="Times New Roman"/>
        </w:rPr>
        <w:t xml:space="preserve"> </w:t>
      </w:r>
      <w:r w:rsidRPr="0015377B">
        <w:rPr>
          <w:rFonts w:eastAsia="Times New Roman"/>
          <w:i/>
          <w:iCs/>
        </w:rPr>
        <w:t>Health systems governance.</w:t>
      </w:r>
      <w:r w:rsidRPr="0015377B">
        <w:rPr>
          <w:rFonts w:eastAsia="Times New Roman"/>
        </w:rPr>
        <w:t xml:space="preserve"> </w:t>
      </w:r>
      <w:r w:rsidR="00610C43">
        <w:rPr>
          <w:rFonts w:eastAsia="Times New Roman"/>
        </w:rPr>
        <w:t xml:space="preserve">[online] </w:t>
      </w:r>
      <w:r w:rsidRPr="0015377B">
        <w:rPr>
          <w:rFonts w:eastAsia="Times New Roman"/>
        </w:rPr>
        <w:t xml:space="preserve">Available at: </w:t>
      </w:r>
      <w:hyperlink r:id="rId78" w:anchor="tab=tab_1">
        <w:r w:rsidRPr="0015377B">
          <w:rPr>
            <w:rFonts w:eastAsia="Times New Roman"/>
            <w:color w:val="1155CC"/>
            <w:u w:val="single"/>
          </w:rPr>
          <w:t>https://www.who.int/health-topics/health-systems-governance#tab=tab_1</w:t>
        </w:r>
      </w:hyperlink>
      <w:r w:rsidRPr="0015377B">
        <w:rPr>
          <w:rFonts w:eastAsia="Times New Roman"/>
        </w:rPr>
        <w:t xml:space="preserve"> </w:t>
      </w:r>
      <w:r w:rsidR="00610C43">
        <w:rPr>
          <w:rFonts w:eastAsia="Times New Roman"/>
        </w:rPr>
        <w:t>[Accessed</w:t>
      </w:r>
      <w:r w:rsidR="00610C43" w:rsidRPr="0015377B">
        <w:rPr>
          <w:rFonts w:eastAsia="Times New Roman"/>
        </w:rPr>
        <w:t xml:space="preserve"> 28 March</w:t>
      </w:r>
      <w:r w:rsidR="00610C43">
        <w:rPr>
          <w:rFonts w:eastAsia="Times New Roman"/>
        </w:rPr>
        <w:t>. 2026]</w:t>
      </w:r>
      <w:r w:rsidR="00610C43" w:rsidRPr="0015377B">
        <w:rPr>
          <w:rFonts w:eastAsia="Times New Roman"/>
        </w:rPr>
        <w:t>.</w:t>
      </w:r>
    </w:p>
    <w:p w14:paraId="328C18E0" w14:textId="3BD0F5C2" w:rsidR="00C115B7" w:rsidRPr="0015377B" w:rsidRDefault="00C115B7" w:rsidP="0015377B">
      <w:pPr>
        <w:spacing w:line="360" w:lineRule="auto"/>
        <w:jc w:val="both"/>
        <w:rPr>
          <w:rFonts w:eastAsia="Times New Roman"/>
        </w:rPr>
      </w:pPr>
      <w:r w:rsidRPr="0015377B">
        <w:rPr>
          <w:rFonts w:eastAsia="Times New Roman"/>
        </w:rPr>
        <w:t>Wilson, D.C. (2023)</w:t>
      </w:r>
      <w:r w:rsidR="00610C43">
        <w:rPr>
          <w:rFonts w:eastAsia="Times New Roman"/>
        </w:rPr>
        <w:t>.</w:t>
      </w:r>
      <w:r w:rsidRPr="0015377B">
        <w:rPr>
          <w:rFonts w:eastAsia="Times New Roman"/>
        </w:rPr>
        <w:t xml:space="preserve"> ‘Defining leadership’, </w:t>
      </w:r>
      <w:r w:rsidRPr="0015377B">
        <w:rPr>
          <w:rFonts w:eastAsia="Times New Roman"/>
          <w:i/>
          <w:iCs/>
        </w:rPr>
        <w:t>Philosophy of Management</w:t>
      </w:r>
      <w:r w:rsidRPr="0015377B">
        <w:rPr>
          <w:rFonts w:eastAsia="Times New Roman"/>
        </w:rPr>
        <w:t xml:space="preserve">, 22(1), pp.99-128. Available at: </w:t>
      </w:r>
      <w:hyperlink r:id="rId79">
        <w:r w:rsidRPr="0015377B">
          <w:rPr>
            <w:rFonts w:eastAsia="Times New Roman"/>
            <w:color w:val="1155CC"/>
            <w:u w:val="single"/>
          </w:rPr>
          <w:t>https://doi.org/10.1007/s40926-022-00210-7</w:t>
        </w:r>
      </w:hyperlink>
      <w:r w:rsidRPr="0015377B">
        <w:rPr>
          <w:rFonts w:eastAsia="Times New Roman"/>
        </w:rPr>
        <w:t xml:space="preserve"> </w:t>
      </w:r>
    </w:p>
    <w:p w14:paraId="43A327EF" w14:textId="5A70F34F" w:rsidR="00C115B7" w:rsidRPr="0015377B" w:rsidRDefault="00C115B7" w:rsidP="0015377B">
      <w:pPr>
        <w:spacing w:line="360" w:lineRule="auto"/>
        <w:jc w:val="both"/>
        <w:rPr>
          <w:rFonts w:eastAsia="Times New Roman"/>
        </w:rPr>
      </w:pPr>
      <w:r w:rsidRPr="0015377B">
        <w:rPr>
          <w:rFonts w:eastAsia="Times New Roman"/>
        </w:rPr>
        <w:t>Wright, S., Morecroft, C.W., Mullen, R. and Ewing, A.B. (2017)</w:t>
      </w:r>
      <w:r w:rsidR="00610C43">
        <w:rPr>
          <w:rFonts w:eastAsia="Times New Roman"/>
        </w:rPr>
        <w:t>.</w:t>
      </w:r>
      <w:r w:rsidRPr="0015377B">
        <w:rPr>
          <w:rFonts w:eastAsia="Times New Roman"/>
        </w:rPr>
        <w:t xml:space="preserve"> ‘UK hospital patient discharge: the patient perspective’, </w:t>
      </w:r>
      <w:r w:rsidRPr="0015377B">
        <w:rPr>
          <w:rFonts w:eastAsia="Times New Roman"/>
          <w:i/>
          <w:iCs/>
        </w:rPr>
        <w:t>European Journal of Hospital Pharmacy</w:t>
      </w:r>
      <w:r w:rsidRPr="0015377B">
        <w:rPr>
          <w:rFonts w:eastAsia="Times New Roman"/>
        </w:rPr>
        <w:t xml:space="preserve">, 24(6), pp.338-342. Available at: </w:t>
      </w:r>
      <w:hyperlink r:id="rId80">
        <w:r w:rsidRPr="0015377B">
          <w:rPr>
            <w:rFonts w:eastAsia="Times New Roman"/>
            <w:color w:val="1155CC"/>
            <w:u w:val="single"/>
          </w:rPr>
          <w:t>doi:10.1136/ejhpharm-2016-001134</w:t>
        </w:r>
      </w:hyperlink>
    </w:p>
    <w:p w14:paraId="218B9814" w14:textId="77777777" w:rsidR="00A300CC" w:rsidRPr="0015377B" w:rsidRDefault="00A300CC" w:rsidP="0015377B">
      <w:pPr>
        <w:spacing w:line="360" w:lineRule="auto"/>
        <w:rPr>
          <w:rFonts w:eastAsia="Times New Roman"/>
          <w:b/>
          <w:bCs/>
        </w:rPr>
      </w:pPr>
      <w:r w:rsidRPr="0015377B">
        <w:rPr>
          <w:rFonts w:eastAsia="Times New Roman"/>
          <w:b/>
          <w:bCs/>
        </w:rPr>
        <w:br w:type="page"/>
      </w:r>
    </w:p>
    <w:p w14:paraId="5F8EFCDA" w14:textId="3D0C7259" w:rsidR="00C16DA9" w:rsidRPr="0015377B" w:rsidRDefault="00B434BD" w:rsidP="0015377B">
      <w:pPr>
        <w:pStyle w:val="Heading1"/>
        <w:rPr>
          <w:szCs w:val="22"/>
        </w:rPr>
      </w:pPr>
      <w:bookmarkStart w:id="18" w:name="_Toc226197636"/>
      <w:r w:rsidRPr="0015377B">
        <w:rPr>
          <w:szCs w:val="22"/>
        </w:rPr>
        <w:lastRenderedPageBreak/>
        <w:t>Appendix</w:t>
      </w:r>
      <w:bookmarkEnd w:id="18"/>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5190"/>
        <w:gridCol w:w="3045"/>
      </w:tblGrid>
      <w:tr w:rsidR="00C16DA9" w:rsidRPr="0015377B" w14:paraId="78AAB60C" w14:textId="77777777">
        <w:tc>
          <w:tcPr>
            <w:tcW w:w="1125" w:type="dxa"/>
            <w:tcMar>
              <w:top w:w="100" w:type="dxa"/>
              <w:left w:w="100" w:type="dxa"/>
              <w:bottom w:w="100" w:type="dxa"/>
              <w:right w:w="100" w:type="dxa"/>
            </w:tcMar>
          </w:tcPr>
          <w:p w14:paraId="0B873381" w14:textId="77777777" w:rsidR="00C16DA9" w:rsidRPr="0015377B" w:rsidRDefault="00B434BD" w:rsidP="0015377B">
            <w:pPr>
              <w:widowControl w:val="0"/>
              <w:spacing w:line="360" w:lineRule="auto"/>
              <w:jc w:val="center"/>
              <w:rPr>
                <w:rFonts w:eastAsia="Times New Roman"/>
                <w:b/>
                <w:bCs/>
              </w:rPr>
            </w:pPr>
            <w:r w:rsidRPr="0015377B">
              <w:rPr>
                <w:rFonts w:eastAsia="Times New Roman"/>
                <w:b/>
                <w:bCs/>
              </w:rPr>
              <w:t>Source</w:t>
            </w:r>
          </w:p>
        </w:tc>
        <w:tc>
          <w:tcPr>
            <w:tcW w:w="5190" w:type="dxa"/>
            <w:tcMar>
              <w:top w:w="100" w:type="dxa"/>
              <w:left w:w="100" w:type="dxa"/>
              <w:bottom w:w="100" w:type="dxa"/>
              <w:right w:w="100" w:type="dxa"/>
            </w:tcMar>
          </w:tcPr>
          <w:p w14:paraId="5CCF9C73" w14:textId="77777777" w:rsidR="00C16DA9" w:rsidRPr="0015377B" w:rsidRDefault="00B434BD" w:rsidP="0015377B">
            <w:pPr>
              <w:widowControl w:val="0"/>
              <w:spacing w:line="360" w:lineRule="auto"/>
              <w:jc w:val="center"/>
              <w:rPr>
                <w:rFonts w:eastAsia="Times New Roman"/>
                <w:b/>
                <w:bCs/>
              </w:rPr>
            </w:pPr>
            <w:r w:rsidRPr="0015377B">
              <w:rPr>
                <w:rFonts w:eastAsia="Times New Roman"/>
                <w:b/>
                <w:bCs/>
              </w:rPr>
              <w:t>Statistic</w:t>
            </w:r>
          </w:p>
        </w:tc>
        <w:tc>
          <w:tcPr>
            <w:tcW w:w="3045" w:type="dxa"/>
            <w:tcMar>
              <w:top w:w="100" w:type="dxa"/>
              <w:left w:w="100" w:type="dxa"/>
              <w:bottom w:w="100" w:type="dxa"/>
              <w:right w:w="100" w:type="dxa"/>
            </w:tcMar>
          </w:tcPr>
          <w:p w14:paraId="23B1D7A6" w14:textId="77777777" w:rsidR="00C16DA9" w:rsidRPr="0015377B" w:rsidRDefault="00B434BD" w:rsidP="0015377B">
            <w:pPr>
              <w:widowControl w:val="0"/>
              <w:spacing w:line="360" w:lineRule="auto"/>
              <w:jc w:val="center"/>
              <w:rPr>
                <w:rFonts w:eastAsia="Times New Roman"/>
                <w:b/>
                <w:bCs/>
              </w:rPr>
            </w:pPr>
            <w:r w:rsidRPr="0015377B">
              <w:rPr>
                <w:rFonts w:eastAsia="Times New Roman"/>
                <w:b/>
                <w:bCs/>
              </w:rPr>
              <w:t>Relevance</w:t>
            </w:r>
          </w:p>
        </w:tc>
      </w:tr>
      <w:tr w:rsidR="00C16DA9" w:rsidRPr="0015377B" w14:paraId="71B64E49" w14:textId="77777777">
        <w:tc>
          <w:tcPr>
            <w:tcW w:w="1125" w:type="dxa"/>
            <w:tcMar>
              <w:top w:w="100" w:type="dxa"/>
              <w:left w:w="100" w:type="dxa"/>
              <w:bottom w:w="100" w:type="dxa"/>
              <w:right w:w="100" w:type="dxa"/>
            </w:tcMar>
          </w:tcPr>
          <w:p w14:paraId="4816D3C9" w14:textId="77777777" w:rsidR="00C16DA9" w:rsidRPr="0015377B" w:rsidRDefault="00B434BD" w:rsidP="0015377B">
            <w:pPr>
              <w:widowControl w:val="0"/>
              <w:spacing w:line="360" w:lineRule="auto"/>
              <w:jc w:val="center"/>
              <w:rPr>
                <w:rFonts w:eastAsia="Times New Roman"/>
                <w:b/>
                <w:bCs/>
                <w:i/>
                <w:iCs/>
              </w:rPr>
            </w:pPr>
            <w:r w:rsidRPr="0015377B">
              <w:rPr>
                <w:rFonts w:eastAsia="Times New Roman"/>
                <w:b/>
                <w:bCs/>
                <w:i/>
                <w:iCs/>
              </w:rPr>
              <w:t>WHO</w:t>
            </w:r>
          </w:p>
        </w:tc>
        <w:tc>
          <w:tcPr>
            <w:tcW w:w="5190" w:type="dxa"/>
            <w:tcMar>
              <w:top w:w="100" w:type="dxa"/>
              <w:left w:w="100" w:type="dxa"/>
              <w:bottom w:w="100" w:type="dxa"/>
              <w:right w:w="100" w:type="dxa"/>
            </w:tcMar>
          </w:tcPr>
          <w:p w14:paraId="2EC78F60" w14:textId="77777777" w:rsidR="00C16DA9" w:rsidRPr="0015377B" w:rsidRDefault="00B434BD" w:rsidP="0015377B">
            <w:pPr>
              <w:widowControl w:val="0"/>
              <w:numPr>
                <w:ilvl w:val="0"/>
                <w:numId w:val="2"/>
              </w:numPr>
              <w:spacing w:line="360" w:lineRule="auto"/>
              <w:jc w:val="both"/>
              <w:rPr>
                <w:rFonts w:eastAsia="Times New Roman"/>
              </w:rPr>
            </w:pPr>
            <w:r w:rsidRPr="0015377B">
              <w:rPr>
                <w:rFonts w:eastAsia="Times New Roman"/>
              </w:rPr>
              <w:t>1 in 10 patients experience unsafe healthcare practices (WHO, 2023).</w:t>
            </w:r>
          </w:p>
          <w:p w14:paraId="38D4290C" w14:textId="77777777" w:rsidR="00C16DA9" w:rsidRPr="0015377B" w:rsidRDefault="00B434BD" w:rsidP="0015377B">
            <w:pPr>
              <w:widowControl w:val="0"/>
              <w:numPr>
                <w:ilvl w:val="0"/>
                <w:numId w:val="2"/>
              </w:numPr>
              <w:spacing w:line="360" w:lineRule="auto"/>
              <w:jc w:val="both"/>
              <w:rPr>
                <w:rFonts w:eastAsia="Times New Roman"/>
              </w:rPr>
            </w:pPr>
            <w:r w:rsidRPr="0015377B">
              <w:rPr>
                <w:rFonts w:eastAsia="Times New Roman"/>
              </w:rPr>
              <w:t>Poor quality care occurred 5.7 to 8.4 million deaths (WHO, 2025).</w:t>
            </w:r>
          </w:p>
        </w:tc>
        <w:tc>
          <w:tcPr>
            <w:tcW w:w="3045" w:type="dxa"/>
            <w:tcMar>
              <w:top w:w="100" w:type="dxa"/>
              <w:left w:w="100" w:type="dxa"/>
              <w:bottom w:w="100" w:type="dxa"/>
              <w:right w:w="100" w:type="dxa"/>
            </w:tcMar>
          </w:tcPr>
          <w:p w14:paraId="3E377CAA" w14:textId="77777777" w:rsidR="00C16DA9" w:rsidRPr="0015377B" w:rsidRDefault="00B434BD" w:rsidP="0015377B">
            <w:pPr>
              <w:widowControl w:val="0"/>
              <w:spacing w:line="360" w:lineRule="auto"/>
              <w:jc w:val="both"/>
              <w:rPr>
                <w:rFonts w:eastAsia="Times New Roman"/>
              </w:rPr>
            </w:pPr>
            <w:r w:rsidRPr="0015377B">
              <w:rPr>
                <w:rFonts w:eastAsia="Times New Roman"/>
              </w:rPr>
              <w:t xml:space="preserve">It demonstrates the prevalence rate of medication error is high globally. </w:t>
            </w:r>
          </w:p>
        </w:tc>
      </w:tr>
      <w:tr w:rsidR="00C16DA9" w:rsidRPr="0015377B" w14:paraId="01B12C5C" w14:textId="77777777">
        <w:tc>
          <w:tcPr>
            <w:tcW w:w="1125" w:type="dxa"/>
            <w:tcMar>
              <w:top w:w="100" w:type="dxa"/>
              <w:left w:w="100" w:type="dxa"/>
              <w:bottom w:w="100" w:type="dxa"/>
              <w:right w:w="100" w:type="dxa"/>
            </w:tcMar>
          </w:tcPr>
          <w:p w14:paraId="79E64020" w14:textId="77777777" w:rsidR="00C16DA9" w:rsidRPr="0015377B" w:rsidRDefault="00B434BD" w:rsidP="0015377B">
            <w:pPr>
              <w:widowControl w:val="0"/>
              <w:spacing w:line="360" w:lineRule="auto"/>
              <w:jc w:val="center"/>
              <w:rPr>
                <w:rFonts w:eastAsia="Times New Roman"/>
                <w:b/>
                <w:bCs/>
                <w:i/>
                <w:iCs/>
              </w:rPr>
            </w:pPr>
            <w:r w:rsidRPr="0015377B">
              <w:rPr>
                <w:rFonts w:eastAsia="Times New Roman"/>
                <w:b/>
                <w:bCs/>
                <w:i/>
                <w:iCs/>
              </w:rPr>
              <w:t>NHS</w:t>
            </w:r>
          </w:p>
        </w:tc>
        <w:tc>
          <w:tcPr>
            <w:tcW w:w="5190" w:type="dxa"/>
            <w:tcMar>
              <w:top w:w="100" w:type="dxa"/>
              <w:left w:w="100" w:type="dxa"/>
              <w:bottom w:w="100" w:type="dxa"/>
              <w:right w:w="100" w:type="dxa"/>
            </w:tcMar>
          </w:tcPr>
          <w:p w14:paraId="11370456" w14:textId="77777777" w:rsidR="00C16DA9" w:rsidRPr="0015377B" w:rsidRDefault="00B434BD" w:rsidP="0015377B">
            <w:pPr>
              <w:widowControl w:val="0"/>
              <w:numPr>
                <w:ilvl w:val="0"/>
                <w:numId w:val="1"/>
              </w:numPr>
              <w:spacing w:line="360" w:lineRule="auto"/>
              <w:jc w:val="both"/>
              <w:rPr>
                <w:rFonts w:eastAsia="Times New Roman"/>
              </w:rPr>
            </w:pPr>
            <w:r w:rsidRPr="0015377B">
              <w:rPr>
                <w:rFonts w:eastAsia="Times New Roman"/>
              </w:rPr>
              <w:t>Overdose of medicine consumed by 27% of UK patients (NHS Resolution, 2022).</w:t>
            </w:r>
          </w:p>
          <w:p w14:paraId="06AE22B3" w14:textId="77777777" w:rsidR="00C16DA9" w:rsidRPr="0015377B" w:rsidRDefault="00B434BD" w:rsidP="0015377B">
            <w:pPr>
              <w:widowControl w:val="0"/>
              <w:numPr>
                <w:ilvl w:val="0"/>
                <w:numId w:val="1"/>
              </w:numPr>
              <w:spacing w:line="360" w:lineRule="auto"/>
              <w:jc w:val="both"/>
              <w:rPr>
                <w:rFonts w:eastAsia="Times New Roman"/>
              </w:rPr>
            </w:pPr>
            <w:r w:rsidRPr="0015377B">
              <w:rPr>
                <w:rFonts w:eastAsia="Times New Roman"/>
              </w:rPr>
              <w:t>Due to lack of healthcare professionals administration, 18% patients are treated the wrong way (NHS Resolution, 2022).</w:t>
            </w:r>
          </w:p>
        </w:tc>
        <w:tc>
          <w:tcPr>
            <w:tcW w:w="3045" w:type="dxa"/>
            <w:tcMar>
              <w:top w:w="100" w:type="dxa"/>
              <w:left w:w="100" w:type="dxa"/>
              <w:bottom w:w="100" w:type="dxa"/>
              <w:right w:w="100" w:type="dxa"/>
            </w:tcMar>
          </w:tcPr>
          <w:p w14:paraId="6175DD21" w14:textId="77777777" w:rsidR="00C16DA9" w:rsidRPr="0015377B" w:rsidRDefault="00B434BD" w:rsidP="0015377B">
            <w:pPr>
              <w:widowControl w:val="0"/>
              <w:spacing w:line="360" w:lineRule="auto"/>
              <w:jc w:val="both"/>
              <w:rPr>
                <w:rFonts w:eastAsia="Times New Roman"/>
              </w:rPr>
            </w:pPr>
            <w:r w:rsidRPr="0015377B">
              <w:rPr>
                <w:rFonts w:eastAsia="Times New Roman"/>
              </w:rPr>
              <w:t xml:space="preserve">Inadequate leadership oversight causes local systemic challenges in the UK healthcare field. </w:t>
            </w:r>
          </w:p>
        </w:tc>
      </w:tr>
      <w:tr w:rsidR="00C16DA9" w:rsidRPr="0015377B" w14:paraId="4A81E1ED" w14:textId="77777777">
        <w:tc>
          <w:tcPr>
            <w:tcW w:w="1125" w:type="dxa"/>
            <w:tcMar>
              <w:top w:w="100" w:type="dxa"/>
              <w:left w:w="100" w:type="dxa"/>
              <w:bottom w:w="100" w:type="dxa"/>
              <w:right w:w="100" w:type="dxa"/>
            </w:tcMar>
          </w:tcPr>
          <w:p w14:paraId="04FF7215" w14:textId="77777777" w:rsidR="00C16DA9" w:rsidRPr="0015377B" w:rsidRDefault="00B434BD" w:rsidP="0015377B">
            <w:pPr>
              <w:widowControl w:val="0"/>
              <w:spacing w:line="360" w:lineRule="auto"/>
              <w:jc w:val="center"/>
              <w:rPr>
                <w:rFonts w:eastAsia="Times New Roman"/>
                <w:b/>
                <w:bCs/>
                <w:i/>
                <w:iCs/>
              </w:rPr>
            </w:pPr>
            <w:r w:rsidRPr="0015377B">
              <w:rPr>
                <w:rFonts w:eastAsia="Times New Roman"/>
                <w:b/>
                <w:bCs/>
                <w:i/>
                <w:iCs/>
              </w:rPr>
              <w:t xml:space="preserve">IHI </w:t>
            </w:r>
          </w:p>
        </w:tc>
        <w:tc>
          <w:tcPr>
            <w:tcW w:w="5190" w:type="dxa"/>
            <w:tcMar>
              <w:top w:w="100" w:type="dxa"/>
              <w:left w:w="100" w:type="dxa"/>
              <w:bottom w:w="100" w:type="dxa"/>
              <w:right w:w="100" w:type="dxa"/>
            </w:tcMar>
          </w:tcPr>
          <w:p w14:paraId="56C84CFF" w14:textId="77777777" w:rsidR="00C16DA9" w:rsidRPr="0015377B" w:rsidRDefault="00B434BD" w:rsidP="0015377B">
            <w:pPr>
              <w:widowControl w:val="0"/>
              <w:numPr>
                <w:ilvl w:val="0"/>
                <w:numId w:val="3"/>
              </w:numPr>
              <w:spacing w:line="360" w:lineRule="auto"/>
              <w:jc w:val="both"/>
              <w:rPr>
                <w:rFonts w:eastAsia="Times New Roman"/>
              </w:rPr>
            </w:pPr>
            <w:r w:rsidRPr="0015377B">
              <w:rPr>
                <w:rFonts w:eastAsia="Times New Roman"/>
              </w:rPr>
              <w:t xml:space="preserve">73% of patients experience psychological distress due to serious health conditions (Bell, 2019). </w:t>
            </w:r>
          </w:p>
        </w:tc>
        <w:tc>
          <w:tcPr>
            <w:tcW w:w="3045" w:type="dxa"/>
            <w:tcMar>
              <w:top w:w="100" w:type="dxa"/>
              <w:left w:w="100" w:type="dxa"/>
              <w:bottom w:w="100" w:type="dxa"/>
              <w:right w:w="100" w:type="dxa"/>
            </w:tcMar>
          </w:tcPr>
          <w:p w14:paraId="5D3EBA67" w14:textId="77777777" w:rsidR="00C16DA9" w:rsidRPr="0015377B" w:rsidRDefault="00B434BD" w:rsidP="0015377B">
            <w:pPr>
              <w:widowControl w:val="0"/>
              <w:spacing w:line="360" w:lineRule="auto"/>
              <w:jc w:val="both"/>
              <w:rPr>
                <w:rFonts w:eastAsia="Times New Roman"/>
              </w:rPr>
            </w:pPr>
            <w:r w:rsidRPr="0015377B">
              <w:rPr>
                <w:rFonts w:eastAsia="Times New Roman"/>
              </w:rPr>
              <w:t>Require psychological support for delivering quality care to patients.</w:t>
            </w:r>
          </w:p>
        </w:tc>
      </w:tr>
    </w:tbl>
    <w:p w14:paraId="73C51923" w14:textId="77777777" w:rsidR="00C16DA9" w:rsidRPr="0015377B" w:rsidRDefault="00B434BD" w:rsidP="0015377B">
      <w:pPr>
        <w:spacing w:line="360" w:lineRule="auto"/>
        <w:jc w:val="center"/>
        <w:rPr>
          <w:rFonts w:eastAsia="Times New Roman"/>
          <w:b/>
          <w:bCs/>
        </w:rPr>
      </w:pPr>
      <w:r w:rsidRPr="0015377B">
        <w:rPr>
          <w:rFonts w:eastAsia="Times New Roman"/>
          <w:b/>
          <w:bCs/>
        </w:rPr>
        <w:t>Table 1: National and International Data Supporting Problem Analysis</w:t>
      </w:r>
    </w:p>
    <w:p w14:paraId="6B623DF6" w14:textId="77777777" w:rsidR="00C16DA9" w:rsidRPr="0015377B" w:rsidRDefault="00B434BD" w:rsidP="0015377B">
      <w:pPr>
        <w:spacing w:line="360" w:lineRule="auto"/>
        <w:jc w:val="center"/>
        <w:rPr>
          <w:rFonts w:eastAsia="Times New Roman"/>
          <w:b/>
          <w:bCs/>
        </w:rPr>
      </w:pPr>
      <w:r w:rsidRPr="0015377B">
        <w:rPr>
          <w:rFonts w:eastAsia="Times New Roman"/>
        </w:rPr>
        <w:t>(Source: Self-created)</w:t>
      </w:r>
    </w:p>
    <w:p w14:paraId="32EFF616" w14:textId="77777777" w:rsidR="00C16DA9" w:rsidRPr="0015377B" w:rsidRDefault="00C16DA9" w:rsidP="0015377B">
      <w:pPr>
        <w:spacing w:line="360" w:lineRule="auto"/>
        <w:jc w:val="both"/>
        <w:rPr>
          <w:rFonts w:eastAsia="Times New Roman"/>
        </w:rPr>
      </w:pPr>
    </w:p>
    <w:sectPr w:rsidR="00C16DA9" w:rsidRPr="0015377B">
      <w:headerReference w:type="even" r:id="rId81"/>
      <w:headerReference w:type="default" r:id="rId82"/>
      <w:footerReference w:type="even" r:id="rId83"/>
      <w:footerReference w:type="default" r:id="rId84"/>
      <w:headerReference w:type="first" r:id="rId85"/>
      <w:footerReference w:type="first" r:id="rId8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8AB21" w14:textId="77777777" w:rsidR="006527D7" w:rsidRDefault="006527D7" w:rsidP="00E55E05">
      <w:pPr>
        <w:spacing w:line="240" w:lineRule="auto"/>
      </w:pPr>
      <w:r>
        <w:separator/>
      </w:r>
    </w:p>
  </w:endnote>
  <w:endnote w:type="continuationSeparator" w:id="0">
    <w:p w14:paraId="1F48B9DB" w14:textId="77777777" w:rsidR="006527D7" w:rsidRDefault="006527D7" w:rsidP="00E55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783FCE6-855F-44A7-BE92-6C633F9A0194}"/>
  </w:font>
  <w:font w:name="Calibri">
    <w:panose1 w:val="020F0502020204030204"/>
    <w:charset w:val="00"/>
    <w:family w:val="swiss"/>
    <w:pitch w:val="variable"/>
    <w:sig w:usb0="E4002EFF" w:usb1="C200247B" w:usb2="00000009" w:usb3="00000000" w:csb0="000001FF" w:csb1="00000000"/>
    <w:embedRegular r:id="rId2" w:fontKey="{222519FC-9F04-4DA5-8BF6-8B4D58487828}"/>
  </w:font>
  <w:font w:name="Cambria Math">
    <w:panose1 w:val="02040503050406030204"/>
    <w:charset w:val="00"/>
    <w:family w:val="roman"/>
    <w:pitch w:val="variable"/>
    <w:sig w:usb0="E00006FF" w:usb1="420024FF" w:usb2="02000000" w:usb3="00000000" w:csb0="0000019F" w:csb1="00000000"/>
    <w:embedRegular r:id="rId3" w:fontKey="{B8399CEB-B1A5-48CD-B106-80D3F0DE79CB}"/>
  </w:font>
  <w:font w:name="Cambria">
    <w:panose1 w:val="02040503050406030204"/>
    <w:charset w:val="00"/>
    <w:family w:val="roman"/>
    <w:pitch w:val="variable"/>
    <w:sig w:usb0="E00006FF" w:usb1="420024FF" w:usb2="02000000" w:usb3="00000000" w:csb0="0000019F" w:csb1="00000000"/>
    <w:embedRegular r:id="rId4" w:fontKey="{D7EE9AA5-00F2-4F4F-897D-AEC8BC1C52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FF23" w14:textId="77777777" w:rsidR="002463E3" w:rsidRDefault="00246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7D370" w14:textId="77777777" w:rsidR="002463E3" w:rsidRDefault="002463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F367" w14:textId="77777777" w:rsidR="002463E3" w:rsidRDefault="00246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7A2F7" w14:textId="77777777" w:rsidR="006527D7" w:rsidRDefault="006527D7" w:rsidP="00E55E05">
      <w:pPr>
        <w:spacing w:line="240" w:lineRule="auto"/>
      </w:pPr>
      <w:r>
        <w:separator/>
      </w:r>
    </w:p>
  </w:footnote>
  <w:footnote w:type="continuationSeparator" w:id="0">
    <w:p w14:paraId="3476E628" w14:textId="77777777" w:rsidR="006527D7" w:rsidRDefault="006527D7" w:rsidP="00E55E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3526C" w14:textId="77777777" w:rsidR="002463E3" w:rsidRDefault="00246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72AE" w14:textId="77777777" w:rsidR="002463E3" w:rsidRDefault="00246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94604" w14:textId="77777777" w:rsidR="002463E3" w:rsidRDefault="00246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01160"/>
    <w:multiLevelType w:val="multilevel"/>
    <w:tmpl w:val="6562C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751ABD"/>
    <w:multiLevelType w:val="multilevel"/>
    <w:tmpl w:val="EDAA5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08A6421"/>
    <w:multiLevelType w:val="multilevel"/>
    <w:tmpl w:val="266C5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580236">
    <w:abstractNumId w:val="1"/>
  </w:num>
  <w:num w:numId="2" w16cid:durableId="1001348174">
    <w:abstractNumId w:val="0"/>
  </w:num>
  <w:num w:numId="3" w16cid:durableId="533738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DA9"/>
    <w:rsid w:val="000F7A2C"/>
    <w:rsid w:val="0015377B"/>
    <w:rsid w:val="0019368C"/>
    <w:rsid w:val="002463E3"/>
    <w:rsid w:val="003076A2"/>
    <w:rsid w:val="003228E7"/>
    <w:rsid w:val="00380315"/>
    <w:rsid w:val="003C7774"/>
    <w:rsid w:val="004A60BA"/>
    <w:rsid w:val="004D219E"/>
    <w:rsid w:val="00547048"/>
    <w:rsid w:val="005E3715"/>
    <w:rsid w:val="00610C43"/>
    <w:rsid w:val="00645D32"/>
    <w:rsid w:val="006527D7"/>
    <w:rsid w:val="006D2316"/>
    <w:rsid w:val="006D6B63"/>
    <w:rsid w:val="00726176"/>
    <w:rsid w:val="00752523"/>
    <w:rsid w:val="0077343F"/>
    <w:rsid w:val="007B5339"/>
    <w:rsid w:val="007D225C"/>
    <w:rsid w:val="008241BF"/>
    <w:rsid w:val="00830580"/>
    <w:rsid w:val="00860705"/>
    <w:rsid w:val="008F3FE2"/>
    <w:rsid w:val="00936894"/>
    <w:rsid w:val="009B2EDB"/>
    <w:rsid w:val="00A300CC"/>
    <w:rsid w:val="00AA117E"/>
    <w:rsid w:val="00B434BD"/>
    <w:rsid w:val="00B72651"/>
    <w:rsid w:val="00BF5FCE"/>
    <w:rsid w:val="00C036EB"/>
    <w:rsid w:val="00C115B7"/>
    <w:rsid w:val="00C16DA9"/>
    <w:rsid w:val="00C50C4B"/>
    <w:rsid w:val="00D871AA"/>
    <w:rsid w:val="00D92E9E"/>
    <w:rsid w:val="00E55E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E6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D871AA"/>
    <w:pPr>
      <w:keepNext/>
      <w:keepLines/>
      <w:spacing w:before="40" w:line="360" w:lineRule="auto"/>
      <w:jc w:val="both"/>
      <w:outlineLvl w:val="0"/>
    </w:pPr>
    <w:rPr>
      <w:b/>
      <w:szCs w:val="40"/>
    </w:rPr>
  </w:style>
  <w:style w:type="paragraph" w:styleId="Heading2">
    <w:name w:val="heading 2"/>
    <w:basedOn w:val="Normal"/>
    <w:next w:val="Normal"/>
    <w:rsid w:val="00AA117E"/>
    <w:pPr>
      <w:keepNext/>
      <w:keepLines/>
      <w:spacing w:line="360" w:lineRule="auto"/>
      <w:jc w:val="both"/>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0F7A2C"/>
    <w:pPr>
      <w:keepNext/>
      <w:keepLines/>
      <w:spacing w:before="40" w:line="360" w:lineRule="auto"/>
      <w:jc w:val="center"/>
      <w:outlineLvl w:val="3"/>
    </w:pPr>
    <w:rPr>
      <w:b/>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607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705"/>
    <w:rPr>
      <w:rFonts w:ascii="Segoe UI" w:hAnsi="Segoe UI" w:cs="Segoe UI"/>
      <w:sz w:val="18"/>
      <w:szCs w:val="18"/>
    </w:rPr>
  </w:style>
  <w:style w:type="paragraph" w:styleId="Header">
    <w:name w:val="header"/>
    <w:basedOn w:val="Normal"/>
    <w:link w:val="HeaderChar"/>
    <w:uiPriority w:val="99"/>
    <w:unhideWhenUsed/>
    <w:rsid w:val="00E55E05"/>
    <w:pPr>
      <w:tabs>
        <w:tab w:val="center" w:pos="4513"/>
        <w:tab w:val="right" w:pos="9026"/>
      </w:tabs>
      <w:spacing w:line="240" w:lineRule="auto"/>
    </w:pPr>
  </w:style>
  <w:style w:type="character" w:customStyle="1" w:styleId="HeaderChar">
    <w:name w:val="Header Char"/>
    <w:basedOn w:val="DefaultParagraphFont"/>
    <w:link w:val="Header"/>
    <w:uiPriority w:val="99"/>
    <w:rsid w:val="00E55E05"/>
  </w:style>
  <w:style w:type="paragraph" w:styleId="Footer">
    <w:name w:val="footer"/>
    <w:basedOn w:val="Normal"/>
    <w:link w:val="FooterChar"/>
    <w:uiPriority w:val="99"/>
    <w:unhideWhenUsed/>
    <w:rsid w:val="00E55E05"/>
    <w:pPr>
      <w:tabs>
        <w:tab w:val="center" w:pos="4513"/>
        <w:tab w:val="right" w:pos="9026"/>
      </w:tabs>
      <w:spacing w:line="240" w:lineRule="auto"/>
    </w:pPr>
  </w:style>
  <w:style w:type="character" w:customStyle="1" w:styleId="FooterChar">
    <w:name w:val="Footer Char"/>
    <w:basedOn w:val="DefaultParagraphFont"/>
    <w:link w:val="Footer"/>
    <w:uiPriority w:val="99"/>
    <w:rsid w:val="00E55E05"/>
  </w:style>
  <w:style w:type="paragraph" w:styleId="TOCHeading">
    <w:name w:val="TOC Heading"/>
    <w:basedOn w:val="Heading1"/>
    <w:next w:val="Normal"/>
    <w:uiPriority w:val="39"/>
    <w:unhideWhenUsed/>
    <w:qFormat/>
    <w:rsid w:val="005E371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3715"/>
    <w:pPr>
      <w:spacing w:after="100"/>
    </w:pPr>
  </w:style>
  <w:style w:type="paragraph" w:styleId="TOC2">
    <w:name w:val="toc 2"/>
    <w:basedOn w:val="Normal"/>
    <w:next w:val="Normal"/>
    <w:autoRedefine/>
    <w:uiPriority w:val="39"/>
    <w:unhideWhenUsed/>
    <w:rsid w:val="005E3715"/>
    <w:pPr>
      <w:spacing w:after="100"/>
      <w:ind w:left="220"/>
    </w:pPr>
  </w:style>
  <w:style w:type="character" w:styleId="Hyperlink">
    <w:name w:val="Hyperlink"/>
    <w:basedOn w:val="DefaultParagraphFont"/>
    <w:uiPriority w:val="99"/>
    <w:unhideWhenUsed/>
    <w:rsid w:val="005E3715"/>
    <w:rPr>
      <w:color w:val="0000FF" w:themeColor="hyperlink"/>
      <w:u w:val="single"/>
    </w:rPr>
  </w:style>
  <w:style w:type="paragraph" w:styleId="TableofFigures">
    <w:name w:val="table of figures"/>
    <w:basedOn w:val="Normal"/>
    <w:next w:val="Normal"/>
    <w:uiPriority w:val="99"/>
    <w:unhideWhenUsed/>
    <w:rsid w:val="00726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harmaceutical-journal.com/article/feature/community-pharmacy-in-britain-a-changing-market" TargetMode="External"/><Relationship Id="rId21" Type="http://schemas.openxmlformats.org/officeDocument/2006/relationships/hyperlink" Target="https://doi.org/10.1016/j.rcsop.2024.100531" TargetMode="External"/><Relationship Id="rId42" Type="http://schemas.openxmlformats.org/officeDocument/2006/relationships/hyperlink" Target="https://www.gov.uk/government/publications/pandemic-preparedness-strategy-building-our-capabilities/uk-government-approach-to-implementing-the-strategy-england-only" TargetMode="External"/><Relationship Id="rId47" Type="http://schemas.openxmlformats.org/officeDocument/2006/relationships/hyperlink" Target="https://doi.org/10.1108/JHOM-08-2024-0358" TargetMode="External"/><Relationship Id="rId63" Type="http://schemas.openxmlformats.org/officeDocument/2006/relationships/hyperlink" Target="https://doi.org/10.7812/TPP/23.022" TargetMode="External"/><Relationship Id="rId68" Type="http://schemas.openxmlformats.org/officeDocument/2006/relationships/hyperlink" Target="https://doi.org/10.1002/14651858.CD010830.pub2" TargetMode="External"/><Relationship Id="rId84" Type="http://schemas.openxmlformats.org/officeDocument/2006/relationships/footer" Target="footer2.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england.nhs.uk/blog/health-data-research-service-unlocking-the-potential-of-health-and-care-data-to-transform-lives/" TargetMode="External"/><Relationship Id="rId37" Type="http://schemas.openxmlformats.org/officeDocument/2006/relationships/hyperlink" Target="https://doi.org/10.14196/mjiri.31.96" TargetMode="External"/><Relationship Id="rId53" Type="http://schemas.openxmlformats.org/officeDocument/2006/relationships/hyperlink" Target="https://www.england.nhs.uk/mat-transformation/matrons-handbook/governance-patient-safety-and-quality/" TargetMode="External"/><Relationship Id="rId58" Type="http://schemas.openxmlformats.org/officeDocument/2006/relationships/hyperlink" Target="https://healthcareleadernews.com/insight/how-icbs-are-tackling-delayed-hospital-discharge-and-improving-patient-flow/" TargetMode="External"/><Relationship Id="rId74" Type="http://schemas.openxmlformats.org/officeDocument/2006/relationships/hyperlink" Target="https://www.who.int/initiatives/medication-without-harm" TargetMode="External"/><Relationship Id="rId79" Type="http://schemas.openxmlformats.org/officeDocument/2006/relationships/hyperlink" Target="https://doi.org/10.1007/s40926-022-00210-7" TargetMode="External"/><Relationship Id="rId5" Type="http://schemas.openxmlformats.org/officeDocument/2006/relationships/webSettings" Target="webSettings.xml"/><Relationship Id="rId19" Type="http://schemas.openxmlformats.org/officeDocument/2006/relationships/hyperlink" Target="https://doi.org/10.1080/14740338.2023.2224558" TargetMode="External"/><Relationship Id="rId14" Type="http://schemas.openxmlformats.org/officeDocument/2006/relationships/image" Target="media/image7.png"/><Relationship Id="rId22" Type="http://schemas.openxmlformats.org/officeDocument/2006/relationships/hyperlink" Target="https://doi.org/10.37118/ijdr.30134.10.2025" TargetMode="External"/><Relationship Id="rId27" Type="http://schemas.openxmlformats.org/officeDocument/2006/relationships/hyperlink" Target="https://doi.org/10.3390/pharmacy11060184" TargetMode="External"/><Relationship Id="rId30" Type="http://schemas.openxmlformats.org/officeDocument/2006/relationships/hyperlink" Target="https://doi.org/10.1080/13678868.2022.2135938" TargetMode="External"/><Relationship Id="rId35" Type="http://schemas.openxmlformats.org/officeDocument/2006/relationships/hyperlink" Target="https://firstwordpharma.com/story/6528349" TargetMode="External"/><Relationship Id="rId43" Type="http://schemas.openxmlformats.org/officeDocument/2006/relationships/hyperlink" Target="https://assets.publishing.service.gov.uk/media/5fe09fa48fa8f51489f14374/Best_practice_guidance_labelling_and_packaging_of_medicines.pdf" TargetMode="External"/><Relationship Id="rId48" Type="http://schemas.openxmlformats.org/officeDocument/2006/relationships/hyperlink" Target="https://www.local.gov.uk/sites/default/files/documents/22.3%20Drug%20related%20deaths_v8.pdf" TargetMode="External"/><Relationship Id="rId56" Type="http://schemas.openxmlformats.org/officeDocument/2006/relationships/hyperlink" Target="https://www.england.nhs.uk/patient-safety/patient-safety-culture/safety-culture/" TargetMode="External"/><Relationship Id="rId64" Type="http://schemas.openxmlformats.org/officeDocument/2006/relationships/hyperlink" Target="https://doi.org/10.3390/healthcare5040073" TargetMode="External"/><Relationship Id="rId69" Type="http://schemas.openxmlformats.org/officeDocument/2006/relationships/hyperlink" Target="https://doi.org/10.53730/ijhs.v6nS3.5427" TargetMode="External"/><Relationship Id="rId77" Type="http://schemas.openxmlformats.org/officeDocument/2006/relationships/hyperlink" Target="https://www.who.int/news-room/fact-sheets/detail/quality-health-services" TargetMode="External"/><Relationship Id="rId8" Type="http://schemas.openxmlformats.org/officeDocument/2006/relationships/image" Target="media/image1.png"/><Relationship Id="rId51" Type="http://schemas.openxmlformats.org/officeDocument/2006/relationships/hyperlink" Target="https://www.statista.com/statistics/1269306/nhs-england-workforce-vacancies-by-staff-group/?srsltid=AfmBOorl9mACDKIrJZzLYF1gqNI4xJGTy183zLKuBJ4YoP8ApqopNg2T" TargetMode="External"/><Relationship Id="rId72" Type="http://schemas.openxmlformats.org/officeDocument/2006/relationships/hyperlink" Target="https://assets.kingsfund.org.uk/f/256914/x/1ed42745fb/the_practice_of_collaborative_leadership_2023.pdf" TargetMode="External"/><Relationship Id="rId80" Type="http://schemas.openxmlformats.org/officeDocument/2006/relationships/hyperlink" Target="https://pmc.ncbi.nlm.nih.gov/articles/PMC6451471/pdf/ejhpharm-2016-001134.pdf" TargetMode="External"/><Relationship Id="rId85"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55/s-0040-1709435" TargetMode="External"/><Relationship Id="rId33" Type="http://schemas.openxmlformats.org/officeDocument/2006/relationships/hyperlink" Target="https://pdfs.semanticscholar.org/8158/5768e874415ebf8b69fee2520929c0e283cb.pdf" TargetMode="External"/><Relationship Id="rId38" Type="http://schemas.openxmlformats.org/officeDocument/2006/relationships/hyperlink" Target="https://www.theguardian.com/society/2022/sep/26/almost-6000-people-harmed-by-prescription-errors-in-nhs-last-year" TargetMode="External"/><Relationship Id="rId46" Type="http://schemas.openxmlformats.org/officeDocument/2006/relationships/hyperlink" Target="https://doi.org/10.1186/s12913-020-05083-y" TargetMode="External"/><Relationship Id="rId59" Type="http://schemas.openxmlformats.org/officeDocument/2006/relationships/hyperlink" Target="https://onlinelibrary.wiley.com/doi/pdf/10.1111/jan.15202" TargetMode="External"/><Relationship Id="rId67" Type="http://schemas.openxmlformats.org/officeDocument/2006/relationships/hyperlink" Target="https://doi.org/10.1007/978-3-032-10532-5_4" TargetMode="External"/><Relationship Id="rId20" Type="http://schemas.openxmlformats.org/officeDocument/2006/relationships/hyperlink" Target="https://doi.org/10.1016/j.rcsop.2024.100531" TargetMode="External"/><Relationship Id="rId41" Type="http://schemas.openxmlformats.org/officeDocument/2006/relationships/hyperlink" Target="https://www.gov.uk/guidance/the-yellow-card-scheme-guidance-for-healthcare-professionals" TargetMode="External"/><Relationship Id="rId54" Type="http://schemas.openxmlformats.org/officeDocument/2006/relationships/hyperlink" Target="https://www.hee.nhs.uk/sites/default/files/documents/Strategic%20Response%20to%20Improving%20Safety%20Through%20Education%20Training%20-%20HEE%20-%20July19.pdf" TargetMode="External"/><Relationship Id="rId62" Type="http://schemas.openxmlformats.org/officeDocument/2006/relationships/hyperlink" Target="https://doi.org/10.1186/s12913-020-05671-y" TargetMode="External"/><Relationship Id="rId70" Type="http://schemas.openxmlformats.org/officeDocument/2006/relationships/hyperlink" Target="https://doi.org/10.3390/hospitals1010008" TargetMode="External"/><Relationship Id="rId75" Type="http://schemas.openxmlformats.org/officeDocument/2006/relationships/hyperlink" Target="https://www.who.int/news-room/fact-sheets/detail/patient-safety"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ihi.org/library/blog/addressing-long-term-impact-patient-harm" TargetMode="External"/><Relationship Id="rId28" Type="http://schemas.openxmlformats.org/officeDocument/2006/relationships/hyperlink" Target="https://www.cqc.org.uk/publications/major-reports/cqc-insight-14-medicines-safety-nhs-trusts" TargetMode="External"/><Relationship Id="rId36" Type="http://schemas.openxmlformats.org/officeDocument/2006/relationships/hyperlink" Target="https://newsroom.clevelandclinic.org/2024/02/20/cleveland-clinic-london-survey-nearly-half-of-uk-adults-use-health-monitoring-technology" TargetMode="External"/><Relationship Id="rId49" Type="http://schemas.openxmlformats.org/officeDocument/2006/relationships/hyperlink" Target="https://yellowcard.mhra.gov.uk" TargetMode="External"/><Relationship Id="rId57" Type="http://schemas.openxmlformats.org/officeDocument/2006/relationships/hyperlink" Target="https://resolution.nhs.uk/wp-content/uploads/2022/03/Did-You-Know-High-Level-Medication-Errors.pdf" TargetMode="External"/><Relationship Id="rId10" Type="http://schemas.openxmlformats.org/officeDocument/2006/relationships/image" Target="media/image3.png"/><Relationship Id="rId31" Type="http://schemas.openxmlformats.org/officeDocument/2006/relationships/hyperlink" Target="https://www.england.nhs.uk/wp-content/uploads/2021/05/HBN_11-01_Supp_A_Final.pdf" TargetMode="External"/><Relationship Id="rId44" Type="http://schemas.openxmlformats.org/officeDocument/2006/relationships/hyperlink" Target="https://doi.org/10.1097/MD.0000000000035769" TargetMode="External"/><Relationship Id="rId52" Type="http://schemas.openxmlformats.org/officeDocument/2006/relationships/hyperlink" Target="https://www.england.nhs.uk/long-read/2025-26-priorities-and-operational-planning-guidance/" TargetMode="External"/><Relationship Id="rId60" Type="http://schemas.openxmlformats.org/officeDocument/2006/relationships/hyperlink" Target="https://www.royalbucks.co.uk/conditions-and-symptoms/charcot-marie-tooth-disease-cmt/" TargetMode="External"/><Relationship Id="rId65" Type="http://schemas.openxmlformats.org/officeDocument/2006/relationships/hyperlink" Target="https://doi.org/10.1136/bmj.r1594" TargetMode="External"/><Relationship Id="rId73" Type="http://schemas.openxmlformats.org/officeDocument/2006/relationships/hyperlink" Target="https://www.nhsconfed.org/publications/nhs-staff-survey-results-2025-what-you-need-know" TargetMode="External"/><Relationship Id="rId78" Type="http://schemas.openxmlformats.org/officeDocument/2006/relationships/hyperlink" Target="https://www.who.int/health-topics/health-systems-governance" TargetMode="External"/><Relationship Id="rId81" Type="http://schemas.openxmlformats.org/officeDocument/2006/relationships/header" Target="header1.xml"/><Relationship Id="rId86"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theconversation.com/one-in-ten-patient-safety-incidents-in-hospitals-due-to-poor-communication-our-new-study-252467" TargetMode="External"/><Relationship Id="rId39" Type="http://schemas.openxmlformats.org/officeDocument/2006/relationships/hyperlink" Target="https://www.theguardian.com/society/2025/jun/09/thousands-harmed-and-87-dead-after-nhs-equipment-failures-in-england" TargetMode="External"/><Relationship Id="rId34" Type="http://schemas.openxmlformats.org/officeDocument/2006/relationships/hyperlink" Target="http://dx.doi.org/10.1136/bmjqs-2019-010206" TargetMode="External"/><Relationship Id="rId50" Type="http://schemas.openxmlformats.org/officeDocument/2006/relationships/hyperlink" Target="https://www.statista.com/statistics/956376/united-kingdom-doctor-s-reasons-for-making-errors/" TargetMode="External"/><Relationship Id="rId55" Type="http://schemas.openxmlformats.org/officeDocument/2006/relationships/hyperlink" Target="https://www.england.nhs.uk/mat-transformation/matrons-handbook/inclusive-leadership-professional-standards-and-accountability/" TargetMode="External"/><Relationship Id="rId76" Type="http://schemas.openxmlformats.org/officeDocument/2006/relationships/hyperlink" Target="https://iris.who.int/server/api/core/bitstreams/f208903d-b47d-4a8c-9fac-d8136c2bdbb6/content" TargetMode="External"/><Relationship Id="rId7" Type="http://schemas.openxmlformats.org/officeDocument/2006/relationships/endnotes" Target="endnotes.xml"/><Relationship Id="rId71" Type="http://schemas.openxmlformats.org/officeDocument/2006/relationships/hyperlink" Target="https://committees.parliament.uk/writtenevidence/117873/html/" TargetMode="External"/><Relationship Id="rId2" Type="http://schemas.openxmlformats.org/officeDocument/2006/relationships/numbering" Target="numbering.xml"/><Relationship Id="rId29" Type="http://schemas.openxmlformats.org/officeDocument/2006/relationships/hyperlink" Target="https://doi.org/10.1186/s12961-022-00858-7" TargetMode="External"/><Relationship Id="rId24" Type="http://schemas.openxmlformats.org/officeDocument/2006/relationships/hyperlink" Target="https://www.theguardian.com/society/2025/may/01/one-in-four-patients-in-england-find-errors-in-medical-records-watchdog-says" TargetMode="External"/><Relationship Id="rId40" Type="http://schemas.openxmlformats.org/officeDocument/2006/relationships/hyperlink" Target="https://www.gov.uk/government/publications/the-nhs-constitution-for-england/the-nhs-constitution-for-england" TargetMode="External"/><Relationship Id="rId45" Type="http://schemas.openxmlformats.org/officeDocument/2006/relationships/hyperlink" Target="https://www.hssib.org.uk/patient-safety-investigations/unintentional-overdose-of-morphine-sulfate-oral-solution/investigation-report/?utm" TargetMode="External"/><Relationship Id="rId66" Type="http://schemas.openxmlformats.org/officeDocument/2006/relationships/hyperlink" Target="https://doi.org/10.4103/jpbs.jpbs_1907_24" TargetMode="External"/><Relationship Id="rId87" Type="http://schemas.openxmlformats.org/officeDocument/2006/relationships/fontTable" Target="fontTable.xml"/><Relationship Id="rId61" Type="http://schemas.openxmlformats.org/officeDocument/2006/relationships/hyperlink" Target="https://doi.org/10.1136/bmjgh-2023-013317" TargetMode="External"/><Relationship Id="rId82"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CC062-883C-4775-A1F0-2324F71CB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9435</Words>
  <Characters>53783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2026-04-04T06:48:00Z</dcterms:created>
  <dcterms:modified xsi:type="dcterms:W3CDTF">2026-04-21T09:06:00Z</dcterms:modified>
</cp:coreProperties>
</file>