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Times New Roman" w:hAnsi="Times New Roman" w:cs="Times New Roman"/>
          <w:lang w:val="en-US"/>
        </w:rPr>
      </w:pPr>
    </w:p>
    <w:tbl>
      <w:tblPr>
        <w:tblStyle w:val="13"/>
        <w:tblW w:w="9064" w:type="dxa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816"/>
        <w:gridCol w:w="6248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16" w:type="dxa"/>
          </w:tcPr>
          <w:p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rFonts w:ascii="Times New Roman" w:hAnsi="Times New Roman" w:cs="Times New Roman"/>
                <w:b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-71120</wp:posOffset>
                  </wp:positionH>
                  <wp:positionV relativeFrom="paragraph">
                    <wp:posOffset>26035</wp:posOffset>
                  </wp:positionV>
                  <wp:extent cx="1800860" cy="5975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6248" w:type="dxa"/>
          </w:tcPr>
          <w:p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rFonts w:ascii="Times New Roman" w:hAnsi="Times New Roman" w:cs="Times New Roman"/>
              </w:rPr>
              <w:drawing>
                <wp:inline distT="0" distB="0" distL="0" distR="0">
                  <wp:extent cx="3830320" cy="622935"/>
                  <wp:effectExtent l="0" t="0" r="0" b="571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>
      <w:pPr>
        <w:jc w:val="center"/>
        <w:rPr>
          <w:rFonts w:ascii="Times New Roman" w:hAnsi="Times New Roman" w:cs="Times New Roman"/>
          <w:sz w:val="48"/>
          <w:szCs w:val="48"/>
        </w:rPr>
      </w:pPr>
    </w:p>
    <w:p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>
      <w:pPr>
        <w:jc w:val="center"/>
        <w:rPr>
          <w:rFonts w:ascii="Times New Roman" w:hAnsi="Times New Roman" w:cs="Times New Roman"/>
          <w:b/>
          <w:sz w:val="40"/>
          <w:szCs w:val="48"/>
        </w:rPr>
      </w:pPr>
      <w:r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>
      <w:pPr>
        <w:jc w:val="center"/>
        <w:rPr>
          <w:rFonts w:ascii="Times New Roman" w:hAnsi="Times New Roman" w:cs="Times New Roman"/>
          <w:sz w:val="32"/>
          <w:szCs w:val="48"/>
        </w:rPr>
      </w:pPr>
      <w:r>
        <w:rPr>
          <w:rFonts w:ascii="Times New Roman" w:hAnsi="Times New Roman" w:cs="Times New Roman"/>
          <w:sz w:val="32"/>
          <w:szCs w:val="48"/>
        </w:rPr>
        <w:t>in collaboration with</w:t>
      </w:r>
    </w:p>
    <w:p>
      <w:pPr>
        <w:jc w:val="center"/>
        <w:rPr>
          <w:rFonts w:ascii="Times New Roman" w:hAnsi="Times New Roman" w:cs="Times New Roman"/>
          <w:b/>
          <w:sz w:val="40"/>
          <w:szCs w:val="48"/>
        </w:rPr>
      </w:pPr>
      <w:r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>
      <w:pPr>
        <w:rPr>
          <w:rFonts w:ascii="Times New Roman" w:hAnsi="Times New Roman" w:cs="Times New Roman"/>
          <w:b/>
          <w:sz w:val="52"/>
          <w:szCs w:val="52"/>
        </w:rPr>
      </w:pPr>
    </w:p>
    <w:p>
      <w:pPr>
        <w:jc w:val="center"/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>
      <w:pPr>
        <w:jc w:val="center"/>
        <w:rPr>
          <w:rFonts w:ascii="Times New Roman" w:hAnsi="Times New Roman" w:cs="Times New Roman"/>
          <w:sz w:val="44"/>
          <w:szCs w:val="44"/>
        </w:rPr>
      </w:pPr>
    </w:p>
    <w:p>
      <w:pPr>
        <w:jc w:val="center"/>
        <w:rPr>
          <w:rFonts w:ascii="Times New Roman" w:hAnsi="Times New Roman" w:cs="Times New Roman"/>
          <w:sz w:val="44"/>
          <w:szCs w:val="44"/>
        </w:rPr>
      </w:pPr>
    </w:p>
    <w:p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 (Chinese)</w:t>
      </w: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13"/>
        <w:tblW w:w="9054" w:type="dxa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248"/>
        <w:gridCol w:w="480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Dr. Wu Nian Bo </w:t>
            </w:r>
          </w:p>
          <w:p>
            <w:pPr>
              <w:rPr>
                <w:rFonts w:ascii="KaiTi" w:hAnsi="KaiTi" w:eastAsia="KaiTi" w:cs="Times New Roman"/>
                <w:sz w:val="32"/>
                <w:szCs w:val="28"/>
                <w:lang w:val="en-US"/>
              </w:rPr>
            </w:pPr>
            <w:r>
              <w:rPr>
                <w:rFonts w:hint="eastAsia" w:ascii="KaiTi" w:hAnsi="KaiTi" w:eastAsia="KaiTi" w:cs="Times New Roman"/>
                <w:sz w:val="32"/>
                <w:szCs w:val="28"/>
                <w:lang w:val="en-US"/>
              </w:rPr>
              <w:t>吳念博教授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eastAsia="KaiTi" w:cs="Times New Roman"/>
                <w:sz w:val="32"/>
                <w:szCs w:val="28"/>
                <w:lang w:val="en-US"/>
              </w:rPr>
            </w:pPr>
            <w:r>
              <w:rPr>
                <w:rFonts w:hint="eastAsia" w:ascii="Times New Roman" w:hAnsi="Times New Roman" w:eastAsia="KaiTi" w:cs="Times New Roman"/>
                <w:sz w:val="32"/>
                <w:szCs w:val="28"/>
                <w:lang w:val="en-US"/>
              </w:rPr>
              <w:t>Hew Siew Woen</w:t>
            </w:r>
          </w:p>
          <w:p>
            <w:pPr>
              <w:rPr>
                <w:rFonts w:ascii="KaiTi" w:hAnsi="KaiTi" w:eastAsia="KaiTi" w:cs="Times New Roman"/>
                <w:sz w:val="32"/>
                <w:szCs w:val="28"/>
                <w:lang w:val="en-US"/>
              </w:rPr>
            </w:pPr>
            <w:r>
              <w:rPr>
                <w:rFonts w:hint="eastAsia" w:ascii="KaiTi" w:hAnsi="KaiTi" w:eastAsia="KaiTi" w:cs="Times New Roman"/>
                <w:sz w:val="32"/>
                <w:szCs w:val="28"/>
                <w:lang w:val="en-US"/>
              </w:rPr>
              <w:t>丘銹文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cs="Times New Roman"/>
                <w:sz w:val="32"/>
                <w:szCs w:val="28"/>
                <w:lang w:val="en-US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19</w:t>
            </w:r>
            <w:r>
              <w:rPr>
                <w:rFonts w:ascii="Times New Roman" w:hAnsi="Times New Roman" w:cs="Times New Roman"/>
                <w:sz w:val="32"/>
                <w:szCs w:val="28"/>
                <w:lang w:val="en-US"/>
              </w:rPr>
              <w:t>10614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14/5/2020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  <w:vAlign w:val="center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rPr>
          <w:rFonts w:ascii="Times New Roman" w:hAnsi="Times New Roman" w:cs="Times New Roman"/>
          <w:sz w:val="40"/>
          <w:szCs w:val="40"/>
        </w:rPr>
      </w:pPr>
    </w:p>
    <w:p>
      <w:pPr>
        <w:jc w:val="center"/>
        <w:rPr>
          <w:rFonts w:ascii="Times New Roman" w:hAnsi="Times New Roman" w:eastAsia="DFKai-SB" w:cs="Times New Roman"/>
          <w:b/>
          <w:sz w:val="32"/>
          <w:u w:val="single"/>
          <w:lang w:val="en-GB" w:eastAsia="en-GB"/>
        </w:rPr>
      </w:pPr>
      <w:r>
        <w:rPr>
          <w:rFonts w:ascii="Times New Roman" w:hAnsi="Times New Roman" w:eastAsia="DFKai-SB" w:cs="Times New Roman"/>
          <w:b/>
          <w:sz w:val="32"/>
          <w:u w:val="single"/>
          <w:lang w:val="en-GB" w:eastAsia="en-GB"/>
        </w:rPr>
        <w:t>Question</w:t>
      </w:r>
    </w:p>
    <w:p>
      <w:pPr>
        <w:jc w:val="center"/>
        <w:rPr>
          <w:rFonts w:ascii="Times New Roman" w:hAnsi="Times New Roman" w:eastAsia="DFKai-SB" w:cs="Times New Roman"/>
          <w:b/>
          <w:sz w:val="32"/>
          <w:u w:val="single"/>
          <w:lang w:val="en-GB" w:eastAsia="en-GB"/>
        </w:rPr>
      </w:pPr>
    </w:p>
    <w:p>
      <w:pPr>
        <w:rPr>
          <w:rFonts w:ascii="Times New Roman" w:hAnsi="Times New Roman" w:eastAsia="DFKai-SB" w:cs="Times New Roman"/>
          <w:b/>
          <w:u w:val="single"/>
          <w:lang w:val="en-GB" w:eastAsia="en-GB"/>
        </w:rPr>
      </w:pPr>
    </w:p>
    <w:p>
      <w:pPr>
        <w:rPr>
          <w:rFonts w:ascii="Times New Roman" w:hAnsi="Times New Roman" w:eastAsia="DFKai-SB" w:cs="Times New Roman"/>
          <w:b/>
          <w:lang w:val="en-GB" w:eastAsia="zh-TW"/>
        </w:rPr>
      </w:pPr>
      <w:r>
        <w:rPr>
          <w:rFonts w:ascii="Times New Roman" w:hAnsi="Times New Roman" w:eastAsia="DFKai-SB" w:cs="Times New Roman"/>
          <w:b/>
          <w:lang w:val="en-GB" w:eastAsia="en-GB"/>
        </w:rPr>
        <w:t xml:space="preserve">Assessment 1: </w:t>
      </w:r>
      <w:r>
        <w:rPr>
          <w:rFonts w:ascii="Times New Roman" w:hAnsi="Times New Roman" w:eastAsia="DFKai-SB" w:cs="Times New Roman"/>
          <w:b/>
          <w:lang w:val="en-GB" w:eastAsia="zh-TW"/>
        </w:rPr>
        <w:t xml:space="preserve">Presentation (10 minutes in Chinese) </w:t>
      </w:r>
    </w:p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  <w:r>
        <w:rPr>
          <w:rFonts w:ascii="Times New Roman" w:hAnsi="Times New Roman" w:eastAsia="DFKai-SB" w:cs="Times New Roman"/>
          <w:b/>
          <w:i/>
          <w:lang w:val="en-GB" w:eastAsia="zh-TW"/>
        </w:rPr>
        <w:t>Respect</w:t>
      </w:r>
      <w:r>
        <w:rPr>
          <w:rFonts w:ascii="Times New Roman" w:hAnsi="Times New Roman" w:eastAsia="DFKai-SB" w:cs="Times New Roman"/>
          <w:lang w:val="en-GB" w:eastAsia="zh-TW"/>
        </w:rPr>
        <w:t xml:space="preserve"> is a key ethic in ancient Chinese texts. How might the concept of </w:t>
      </w:r>
      <w:r>
        <w:rPr>
          <w:rFonts w:ascii="Times New Roman" w:hAnsi="Times New Roman" w:eastAsia="DFKai-SB" w:cs="Times New Roman"/>
          <w:b/>
          <w:i/>
          <w:lang w:val="en-GB" w:eastAsia="zh-TW"/>
        </w:rPr>
        <w:t>respect</w:t>
      </w:r>
      <w:r>
        <w:rPr>
          <w:rFonts w:ascii="Times New Roman" w:hAnsi="Times New Roman" w:eastAsia="DFKai-SB" w:cs="Times New Roman"/>
          <w:b/>
          <w:lang w:val="en-GB" w:eastAsia="zh-TW"/>
        </w:rPr>
        <w:t xml:space="preserve"> </w:t>
      </w:r>
      <w:r>
        <w:rPr>
          <w:rFonts w:ascii="Times New Roman" w:hAnsi="Times New Roman" w:eastAsia="DFKai-SB" w:cs="Times New Roman"/>
          <w:lang w:val="en-GB" w:eastAsia="zh-TW"/>
        </w:rPr>
        <w:t>be usefully applied within a factory setting compris</w:t>
      </w:r>
      <w:r>
        <w:rPr>
          <w:rFonts w:hint="eastAsia" w:ascii="Times New Roman" w:hAnsi="Times New Roman" w:eastAsia="DFKai-SB" w:cs="Times New Roman"/>
          <w:lang w:val="en-GB" w:eastAsia="zh-TW"/>
        </w:rPr>
        <w:t>ed</w:t>
      </w:r>
      <w:r>
        <w:rPr>
          <w:rFonts w:ascii="Times New Roman" w:hAnsi="Times New Roman" w:eastAsia="DFKai-SB" w:cs="Times New Roman"/>
          <w:lang w:val="en-GB" w:eastAsia="zh-TW"/>
        </w:rPr>
        <w:t xml:space="preserve"> of 100 mixed, multi-ethnic, multi–religious workers? </w:t>
      </w:r>
    </w:p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  <w:r>
        <w:rPr>
          <w:rFonts w:ascii="Times New Roman" w:hAnsi="Times New Roman" w:eastAsia="DFKai-SB" w:cs="Times New Roman"/>
          <w:lang w:val="en-GB" w:eastAsia="zh-TW"/>
        </w:rPr>
        <w:t xml:space="preserve">Your </w:t>
      </w:r>
      <w:r>
        <w:rPr>
          <w:rFonts w:ascii="Times New Roman" w:hAnsi="Times New Roman" w:eastAsia="DFKai-SB" w:cs="Times New Roman"/>
          <w:lang w:eastAsia="zh-TW"/>
        </w:rPr>
        <w:t xml:space="preserve">oral presentation </w:t>
      </w:r>
      <w:r>
        <w:rPr>
          <w:rFonts w:ascii="Times New Roman" w:hAnsi="Times New Roman" w:eastAsia="DFKai-SB" w:cs="Times New Roman"/>
          <w:lang w:val="en-GB" w:eastAsia="zh-TW"/>
        </w:rPr>
        <w:t xml:space="preserve">should </w:t>
      </w:r>
      <w:r>
        <w:rPr>
          <w:rFonts w:ascii="Times New Roman" w:hAnsi="Times New Roman" w:eastAsia="DFKai-SB" w:cs="Times New Roman"/>
          <w:lang w:eastAsia="zh-TW"/>
        </w:rPr>
        <w:t>provide</w:t>
      </w:r>
      <w:r>
        <w:rPr>
          <w:rFonts w:ascii="Times New Roman" w:hAnsi="Times New Roman" w:eastAsia="DFKai-SB" w:cs="Times New Roman"/>
          <w:lang w:val="en-GB" w:eastAsia="zh-TW"/>
        </w:rPr>
        <w:t xml:space="preserve"> a </w:t>
      </w:r>
      <w:r>
        <w:rPr>
          <w:rFonts w:ascii="Times New Roman" w:hAnsi="Times New Roman" w:eastAsia="DFKai-SB"/>
          <w:lang w:val="en-GB" w:eastAsia="zh-TW"/>
        </w:rPr>
        <w:t xml:space="preserve">definition of </w:t>
      </w:r>
      <w:r>
        <w:rPr>
          <w:rFonts w:ascii="Times New Roman" w:hAnsi="Times New Roman" w:eastAsia="DFKai-SB"/>
          <w:i/>
          <w:lang w:val="en-GB" w:eastAsia="zh-TW"/>
        </w:rPr>
        <w:t>respect</w:t>
      </w:r>
      <w:r>
        <w:rPr>
          <w:rFonts w:hint="eastAsia" w:asciiTheme="minorEastAsia" w:hAnsiTheme="minorEastAsia"/>
          <w:lang w:val="en-GB"/>
        </w:rPr>
        <w:t xml:space="preserve"> </w:t>
      </w:r>
      <w:r>
        <w:rPr>
          <w:rFonts w:ascii="Times New Roman" w:hAnsi="Times New Roman" w:eastAsia="DFKai-SB"/>
          <w:lang w:val="en-GB" w:eastAsia="zh-TW"/>
        </w:rPr>
        <w:t xml:space="preserve">and the importance of applying the concept of </w:t>
      </w:r>
      <w:r>
        <w:rPr>
          <w:rFonts w:ascii="Times New Roman" w:hAnsi="Times New Roman" w:eastAsia="DFKai-SB"/>
          <w:i/>
          <w:lang w:val="en-GB" w:eastAsia="zh-TW"/>
        </w:rPr>
        <w:t>respect</w:t>
      </w:r>
      <w:r>
        <w:rPr>
          <w:rFonts w:ascii="Times New Roman" w:hAnsi="Times New Roman" w:eastAsia="DFKai-SB"/>
          <w:lang w:val="en-GB" w:eastAsia="zh-TW"/>
        </w:rPr>
        <w:t xml:space="preserve"> in a factory setting of your choice. Explain how you might apply</w:t>
      </w:r>
      <w:r>
        <w:rPr>
          <w:rFonts w:ascii="Times New Roman" w:hAnsi="Times New Roman" w:eastAsia="DFKai-SB"/>
          <w:i/>
          <w:lang w:val="en-GB" w:eastAsia="zh-TW"/>
        </w:rPr>
        <w:t xml:space="preserve"> respect</w:t>
      </w:r>
      <w:r>
        <w:rPr>
          <w:rFonts w:ascii="Times New Roman" w:hAnsi="Times New Roman" w:eastAsia="DFKai-SB"/>
          <w:lang w:val="en-GB" w:eastAsia="zh-TW"/>
        </w:rPr>
        <w:t xml:space="preserve"> in the factory; propose at least 3 methods and elaborate further.</w:t>
      </w: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</w:p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KaiTi" w:hAnsi="KaiTi" w:eastAsia="KaiTi" w:cs="Times New Roman"/>
          <w:b/>
          <w:sz w:val="28"/>
          <w:szCs w:val="28"/>
          <w:lang w:val="en-GB" w:eastAsia="zh-TW"/>
        </w:rPr>
      </w:pPr>
      <w:r>
        <w:rPr>
          <w:rFonts w:hint="eastAsia" w:ascii="KaiTi" w:hAnsi="KaiTi" w:eastAsia="KaiTi" w:cs="Times New Roman"/>
          <w:b/>
          <w:sz w:val="28"/>
          <w:szCs w:val="28"/>
          <w:lang w:val="en-GB" w:eastAsia="zh-TW"/>
        </w:rPr>
        <w:t>評估</w:t>
      </w:r>
      <w:r>
        <w:rPr>
          <w:rFonts w:ascii="KaiTi" w:hAnsi="KaiTi" w:eastAsia="KaiTi" w:cs="Times New Roman"/>
          <w:b/>
          <w:sz w:val="28"/>
          <w:szCs w:val="28"/>
          <w:lang w:val="en-GB" w:eastAsia="zh-TW"/>
        </w:rPr>
        <w:t>1</w:t>
      </w:r>
      <w:r>
        <w:rPr>
          <w:rFonts w:hint="eastAsia" w:ascii="KaiTi" w:hAnsi="KaiTi" w:eastAsia="KaiTi" w:cs="Times New Roman"/>
          <w:b/>
          <w:sz w:val="28"/>
          <w:szCs w:val="28"/>
          <w:lang w:val="en-US" w:eastAsia="zh-TW"/>
        </w:rPr>
        <w:t>：</w:t>
      </w:r>
      <w:r>
        <w:rPr>
          <w:rFonts w:hint="eastAsia" w:ascii="KaiTi" w:hAnsi="KaiTi" w:eastAsia="KaiTi" w:cs="Times New Roman"/>
          <w:b/>
          <w:sz w:val="28"/>
          <w:szCs w:val="28"/>
          <w:lang w:val="en-GB" w:eastAsia="zh-TW"/>
        </w:rPr>
        <w:t xml:space="preserve">口試(10分鐘–中文) </w:t>
      </w:r>
    </w:p>
    <w:p>
      <w:pPr>
        <w:jc w:val="both"/>
        <w:rPr>
          <w:rFonts w:ascii="KaiTi" w:hAnsi="KaiTi" w:eastAsia="PMingLiU" w:cs="Times New Roman"/>
          <w:sz w:val="28"/>
          <w:szCs w:val="28"/>
          <w:lang w:val="en-GB" w:eastAsia="zh-TW"/>
        </w:rPr>
      </w:pPr>
      <w:r>
        <w:rPr>
          <w:rFonts w:hint="eastAsia" w:ascii="KaiTi" w:hAnsi="KaiTi" w:eastAsia="KaiTi" w:cs="Times New Roman"/>
          <w:sz w:val="28"/>
          <w:szCs w:val="28"/>
          <w:lang w:val="en-GB" w:eastAsia="zh-TW"/>
        </w:rPr>
        <w:t>“尊重”是中國古代經典中的一個重要的道德觀念，如何能把它有效地運用在一個由100名不同種族、不同宗教的員工組成的企業裡面？</w:t>
      </w:r>
    </w:p>
    <w:p>
      <w:pPr>
        <w:jc w:val="both"/>
        <w:rPr>
          <w:rFonts w:ascii="KaiTi" w:hAnsi="KaiTi" w:eastAsia="PMingLiU" w:cs="Times New Roman"/>
          <w:sz w:val="28"/>
          <w:szCs w:val="28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  <w:r>
        <w:rPr>
          <w:rFonts w:hint="eastAsia" w:ascii="KaiTi" w:hAnsi="KaiTi" w:eastAsia="KaiTi" w:cs="Times New Roman"/>
          <w:sz w:val="28"/>
          <w:szCs w:val="28"/>
          <w:lang w:val="en-GB" w:eastAsia="zh-TW"/>
        </w:rPr>
        <w:t>您的口試講稿須包括</w:t>
      </w:r>
      <w:r>
        <w:rPr>
          <w:rFonts w:hint="eastAsia" w:ascii="KaiTi" w:hAnsi="KaiTi" w:eastAsia="KaiTi"/>
          <w:sz w:val="28"/>
          <w:szCs w:val="28"/>
          <w:lang w:val="en-GB" w:eastAsia="zh-TW"/>
        </w:rPr>
        <w:t>“尊重”的定義以及在工廠中運用“尊重”概念的重要性。闡述如何在工廠中運用“尊重”的概念，建議至少3個方法</w:t>
      </w:r>
      <w:r>
        <w:rPr>
          <w:rFonts w:hint="eastAsia" w:ascii="KaiTi" w:hAnsi="KaiTi"/>
          <w:sz w:val="28"/>
          <w:szCs w:val="28"/>
          <w:lang w:val="en-GB" w:eastAsia="zh-TW"/>
        </w:rPr>
        <w:t>，</w:t>
      </w:r>
      <w:r>
        <w:rPr>
          <w:rFonts w:hint="eastAsia" w:ascii="KaiTi" w:hAnsi="KaiTi" w:eastAsia="KaiTi"/>
          <w:sz w:val="28"/>
          <w:szCs w:val="28"/>
          <w:lang w:val="en-GB" w:eastAsia="zh-TW"/>
        </w:rPr>
        <w:t>並進一步詳細說明</w:t>
      </w:r>
      <w:r>
        <w:rPr>
          <w:rFonts w:hint="eastAsia" w:ascii="KaiTi" w:hAnsi="KaiTi" w:eastAsia="KaiTi"/>
          <w:sz w:val="28"/>
          <w:szCs w:val="28"/>
          <w:lang w:eastAsia="zh-TW"/>
        </w:rPr>
        <w:t>。</w:t>
      </w:r>
    </w:p>
    <w:p>
      <w:pPr>
        <w:tabs>
          <w:tab w:val="left" w:pos="1616"/>
        </w:tabs>
        <w:rPr>
          <w:rFonts w:ascii="Times New Roman" w:hAnsi="Times New Roman" w:eastAsia="DFKai-SB" w:cs="Times New Roman"/>
          <w:lang w:val="en-GB" w:eastAsia="zh-TW"/>
        </w:rPr>
      </w:pPr>
      <w:r>
        <w:rPr>
          <w:rFonts w:ascii="Times New Roman" w:hAnsi="Times New Roman" w:eastAsia="DFKai-SB" w:cs="Times New Roman"/>
          <w:color w:val="FF0000"/>
          <w:lang w:val="en-GB" w:eastAsia="zh-TW"/>
        </w:rPr>
        <w:tab/>
      </w:r>
    </w:p>
    <w:p>
      <w:pPr>
        <w:rPr>
          <w:rFonts w:ascii="Times New Roman" w:hAnsi="Times New Roman" w:eastAsia="DFKai-SB" w:cs="Times New Roman"/>
          <w:lang w:val="en-GB" w:eastAsia="zh-TW"/>
        </w:rPr>
      </w:pPr>
    </w:p>
    <w:tbl>
      <w:tblPr>
        <w:tblStyle w:val="13"/>
        <w:tblW w:w="9034" w:type="dxa"/>
        <w:jc w:val="center"/>
        <w:tblInd w:w="0" w:type="dxa"/>
        <w:tblBorders>
          <w:top w:val="single" w:color="auto" w:sz="12" w:space="0"/>
          <w:left w:val="single" w:color="auto" w:sz="12" w:space="0"/>
          <w:bottom w:val="single" w:color="auto" w:sz="12" w:space="0"/>
          <w:right w:val="single" w:color="auto" w:sz="12" w:space="0"/>
          <w:insideH w:val="single" w:color="auto" w:sz="12" w:space="0"/>
          <w:insideV w:val="single" w:color="auto" w:sz="12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401"/>
        <w:gridCol w:w="6633"/>
      </w:tblGrid>
      <w:tr>
        <w:tblPrEx>
          <w:tblBorders>
            <w:top w:val="single" w:color="auto" w:sz="12" w:space="0"/>
            <w:left w:val="single" w:color="auto" w:sz="12" w:space="0"/>
            <w:bottom w:val="single" w:color="auto" w:sz="12" w:space="0"/>
            <w:right w:val="single" w:color="auto" w:sz="12" w:space="0"/>
            <w:insideH w:val="single" w:color="auto" w:sz="12" w:space="0"/>
            <w:insideV w:val="single" w:color="auto" w:sz="12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2401" w:type="dxa"/>
            <w:vAlign w:val="center"/>
          </w:tcPr>
          <w:p>
            <w:pPr>
              <w:jc w:val="center"/>
              <w:rPr>
                <w:rFonts w:ascii="Times New Roman" w:hAnsi="Times New Roman" w:eastAsia="DFKai-SB" w:cs="Times New Roman"/>
                <w:b/>
                <w:lang w:val="en-GB" w:eastAsia="zh-TW"/>
              </w:rPr>
            </w:pPr>
          </w:p>
          <w:p>
            <w:pPr>
              <w:jc w:val="center"/>
              <w:rPr>
                <w:rFonts w:ascii="Times New Roman" w:hAnsi="Times New Roman" w:eastAsia="DFKai-SB" w:cs="Times New Roman"/>
                <w:b/>
                <w:lang w:val="en-GB" w:eastAsia="zh-TW"/>
              </w:rPr>
            </w:pPr>
            <w:r>
              <w:rPr>
                <w:rFonts w:ascii="Times New Roman" w:hAnsi="Times New Roman" w:eastAsia="DFKai-SB" w:cs="Times New Roman"/>
                <w:b/>
                <w:lang w:val="en-GB" w:eastAsia="zh-TW"/>
              </w:rPr>
              <w:t>Teacher Name</w:t>
            </w:r>
          </w:p>
          <w:p>
            <w:pPr>
              <w:jc w:val="center"/>
              <w:rPr>
                <w:rFonts w:ascii="Times New Roman" w:hAnsi="Times New Roman" w:eastAsia="DFKai-SB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vAlign w:val="center"/>
          </w:tcPr>
          <w:p>
            <w:pPr>
              <w:jc w:val="center"/>
              <w:rPr>
                <w:rFonts w:ascii="Times New Roman" w:hAnsi="Times New Roman" w:eastAsia="DFKai-SB" w:cs="Times New Roman"/>
                <w:b/>
                <w:lang w:val="en-GB" w:eastAsia="zh-TW"/>
              </w:rPr>
            </w:pPr>
            <w:r>
              <w:rPr>
                <w:rFonts w:ascii="Times New Roman" w:hAnsi="Times New Roman" w:eastAsia="DFKai-SB" w:cs="Times New Roman"/>
                <w:b/>
                <w:lang w:val="en-GB" w:eastAsia="zh-TW"/>
              </w:rPr>
              <w:t>Overall Comments</w:t>
            </w:r>
          </w:p>
        </w:tc>
      </w:tr>
      <w:tr>
        <w:tblPrEx>
          <w:tblBorders>
            <w:top w:val="single" w:color="auto" w:sz="12" w:space="0"/>
            <w:left w:val="single" w:color="auto" w:sz="12" w:space="0"/>
            <w:bottom w:val="single" w:color="auto" w:sz="12" w:space="0"/>
            <w:right w:val="single" w:color="auto" w:sz="12" w:space="0"/>
            <w:insideH w:val="single" w:color="auto" w:sz="12" w:space="0"/>
            <w:insideV w:val="single" w:color="auto" w:sz="12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2401" w:type="dxa"/>
          </w:tcPr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</w:tc>
        <w:tc>
          <w:tcPr>
            <w:tcW w:w="6633" w:type="dxa"/>
          </w:tcPr>
          <w:p>
            <w:pPr>
              <w:rPr>
                <w:rFonts w:ascii="Times New Roman" w:hAnsi="Times New Roman" w:eastAsia="DFKai-SB" w:cs="Times New Roman"/>
                <w:lang w:val="en-GB" w:eastAsia="zh-TW"/>
              </w:rPr>
            </w:pPr>
          </w:p>
        </w:tc>
      </w:tr>
    </w:tbl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ascii="Times New Roman" w:hAnsi="Times New Roman" w:eastAsia="DFKai-SB" w:cs="Times New Roman"/>
          <w:lang w:val="en-GB" w:eastAsia="zh-TW"/>
        </w:rPr>
        <w:br w:type="page"/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尊敬的各位老師好。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尊重是不嘲笑他人、不打擊他人、不散佈他人隱私、不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以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強勢對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他</w:t>
      </w:r>
      <w:bookmarkStart w:id="0" w:name="_GoBack"/>
      <w:bookmarkEnd w:id="0"/>
      <w:r>
        <w:rPr>
          <w:rFonts w:hint="eastAsia" w:ascii="KaiTi" w:hAnsi="KaiTi" w:eastAsia="KaiTi" w:cs="KaiTi"/>
          <w:sz w:val="28"/>
          <w:szCs w:val="28"/>
          <w:lang w:val="en-GB" w:eastAsia="zh-TW"/>
        </w:rPr>
        <w:t>人，等等的方式。不論是什麼方式，尊重在每個人的生活環境當中都是不可或缺。一個人是受到他人的尊重或是懂得去尊重他人，都來自個人的修養程度和處事待人接物的恭敬心。做人做事，我們都離不開尊重，對一切人事物都要恭敬有禮。尊重不是為了目的、利益而去表露、展示或是一個動作上的尊重，而是由心而發，以一顆真誠平等恭敬之心對待一切人、事、物。我們對一切有情或是無情眾生都應該要以無分別之心去恭敬對待。人與人之間能夠和睦相處莫過於因為對彼此的尊重。那麼在馬來西亞是一個不同種族、宗教文化的國家，大家都不隨便給予對方任何的評論，都以尊重對待彼此，就是對彼此最大的尊重。但是，有的時候對人尊重不一定會換來對方的尊重，若能夠在對方不尊重的情況下對對方尊重，才是真正的尊重。若是對方不尊重自己應該是要檢討自己對對方恭敬之心是否真誠。那麼在一個家具工廠，身負執行長重任，帶領著一百位由不同種族、宗教文化的員工，要如何把尊重運用到工廠里，才能維持和睦的風氣，在一個友好的關係共同處事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  <w:t>（一）共慶節日、祭祖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尊重雖然不是一種形式，但卻需要儀式來表達自己內心的尊重。比如，祭祖就是其中一種方式。除了以祭祖的方式表達心裡的恭敬之外，還能夠提醒更多的人對先人、祖先永不能缺失的恭敬之心。讓不同種族或不同宗教的員工進行他們不同文化的祭拜祖先儀式。雖然是不同儀式，但卻有著同樣尊重先人、祖先之心。除了能夠讓不同種族、宗教彼此尊重彼此的祖先之外，還能提醒每個人都應該對自己的祖先時時刻刻保持尊重、恭敬之心。除此之外在工廠中，能夠以簡單的儀式一同慶祝不同種族、宗教的節慶，比如：衛塞節、屠妖節、開齋節、哈芝節、聖誕節以及其他的節日。大家可以一起穿著不同文化特色的服裝，享用著不同文化特色的食物，進行較為簡單且有意義的儀式。雖然在一個團體裡每個人都有不同的文化，但卻能透過祭祖與共慶節日的方式感受不同的文化特色。同時還能互相了解互相尊重，也能避免衝突與爭論的發生。吳教授是我們的學習榜樣。在課程當中分享公司有不同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的宗教信仰的員工，所以就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設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立了禱告室、佛堂和祈禱室，讓不同宗教的員工工作之餘可以靜心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。</w:t>
      </w:r>
      <w:r>
        <w:rPr>
          <w:rStyle w:val="10"/>
          <w:rFonts w:hint="eastAsia" w:ascii="KaiTi" w:hAnsi="KaiTi" w:eastAsia="KaiTi" w:cs="KaiTi"/>
          <w:sz w:val="28"/>
          <w:szCs w:val="28"/>
          <w:lang w:val="en-GB" w:eastAsia="zh-TW"/>
        </w:rPr>
        <w:endnoteReference w:id="0"/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孟子曰：愛人者人恆愛之，敬人者人恆敬之。</w:t>
      </w:r>
      <w:r>
        <w:rPr>
          <w:rStyle w:val="10"/>
          <w:rFonts w:hint="eastAsia" w:ascii="KaiTi" w:hAnsi="KaiTi" w:eastAsia="KaiTi" w:cs="KaiTi"/>
          <w:sz w:val="28"/>
          <w:szCs w:val="28"/>
          <w:lang w:val="en-GB" w:eastAsia="zh-TW"/>
        </w:rPr>
        <w:endnoteReference w:id="1"/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當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員工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感受到</w:t>
      </w:r>
      <w:r>
        <w:rPr>
          <w:rFonts w:hint="eastAsia" w:ascii="KaiTi" w:hAnsi="KaiTi" w:eastAsia="KaiTi" w:cs="KaiTi"/>
          <w:sz w:val="28"/>
          <w:szCs w:val="28"/>
          <w:lang w:val="en-US" w:eastAsia="zh-CN"/>
        </w:rPr>
        <w:t>那份被</w:t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尊重，同樣會尊重他人。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  <w:t>（二）互相聆聽建議、不否定他人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除了尊重各種族、宗教文化之外，人與人之間最基本的尊重也是在於互相聆聽建議。人與人之間而不是單方面，而是雙方面的，所以不應該有種族、宗教或是地位之分，對每個人都應該一視同仁並給予同等的尊重。尊重，不僅是對自己的父母或是長輩，也是對自己晚輩和員工。弟子規說：“事諸父，如事父，事諸兄，如事兄”。</w:t>
      </w:r>
      <w:r>
        <w:rPr>
          <w:rStyle w:val="10"/>
          <w:rFonts w:hint="eastAsia" w:ascii="KaiTi" w:hAnsi="KaiTi" w:eastAsia="KaiTi" w:cs="KaiTi"/>
          <w:sz w:val="28"/>
          <w:szCs w:val="28"/>
          <w:lang w:val="en-GB" w:eastAsia="zh-TW"/>
        </w:rPr>
        <w:endnoteReference w:id="2"/>
      </w:r>
      <w:r>
        <w:rPr>
          <w:rFonts w:hint="eastAsia" w:ascii="KaiTi" w:hAnsi="KaiTi" w:eastAsia="KaiTi" w:cs="KaiTi"/>
          <w:sz w:val="28"/>
          <w:szCs w:val="28"/>
          <w:lang w:val="en-GB" w:eastAsia="zh-TW"/>
        </w:rPr>
        <w:t>對長輩如對自己父母一樣恭敬，對同輩或晚輩如對自己兄弟姐妹一樣尊重。在一個工廠裡，我不會因為自己居於高位而對員工趾高氣揚。我也不會因為自己高高在上而隨意否定員工的能力或是價值觀，或是不聽員工意見或是只讓員工聽取我的意見。所以當員工給予的建議或是評論，我會與各部門組長一起聆聽與理解，並且收集員工給予的意見，再由組長給予員工意見的回饋。不論領導或是組長，在企業裡也是扮演另一個重要的角色，那就是員工的聆聽者。員工也是需要被理解的被鼓勵。我會經常給予員工鼓勵並給予更多的機會讓員工有發揮的空間。給予員工鼓勵、肯定，專心聆聽與理解員工的話也是對員工的一種尊重。當與員工的關係建立在尊重的基礎上，除了讓員工受到肯定與鼓勵之外，員工也會知道尊重的重要性。並且會以尊重、恭敬之心待人。在整個工廠里大家都互相聆聽、不隨意否定他人，彼此如待自己兄弟姐妹一樣恭敬，就會營造出彼此尊重的氣氛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b/>
          <w:bCs/>
          <w:sz w:val="28"/>
          <w:szCs w:val="28"/>
          <w:lang w:val="en-GB" w:eastAsia="zh-TW"/>
        </w:rPr>
        <w:t>（三）人文教育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不僅是人與人之間要互相尊重，人對物也需要有一份恭敬之心。吳教授還說：“每個東西的由來，都是有很多人在背後付出。”所以當員工對每個物品心存感恩，懂得珍惜、愛惜的時候，自然對每個物品都會生起恭敬之心。所以，我會如吳教授在公司一樣，在公司與員工一同參與人文教育，與員工一起接受古人智慧給予的教誨。除此之外，每天一小時，我會與員工一起進行習勞打掃。付出才會懂得感恩，才會對物生起恭敬之心。習勞之外，一星期一天我會與員工一起進行團體活動。從活動中引導員工如何把恭敬落實於生活當中。透過活動也能對聖賢教誨有更深入的了解。除了讓員工能夠接受之外，最重要的是能夠讓員工有機會分享，分享在學習過程當中的感悟與經歷。吳教授說：“心得分享是讓學習到的能有輸出之處，也能分享他們的心聲。”透過分享能夠對自己在學習與落實生活當中的印象更加深刻之外，我也能從員工分享當中對他們有更深入的了解，並且能與他們一起學習進步。透過人文教育不但只是工廠或是物品有很大的利益，最大的利益是能夠接受到古人教誨的人，並能夠落實在生活當中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在一個不同種族、宗教文化的團體生活當中，透過祭祖與共慶不同文化的節日，對彼此能有更深入的了解，也會對彼此生起尊重。並且懂得透過聆聽與不否定他人彼此互相尊重，彼此互相鼓勵互相肯定。更重要的是透過教育，大家能夠對物生起感恩、恭敬之心。但是，還需要提升的是懂得感同身受換位思考，理解對方的想法或是價值觀，尊重對方並達成共識。除此之外，希望員工有受到任何人的不尊重，還是能保持對他人的恭敬之心。希望在公司里大家都能以家人對待彼此，互相尊重自己的家人一樣尊重彼此，並且透過尊重他人而提升自己的品德修養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8"/>
          <w:szCs w:val="28"/>
          <w:lang w:val="en-GB" w:eastAsia="zh-TW"/>
        </w:rPr>
      </w:pPr>
      <w:r>
        <w:rPr>
          <w:rFonts w:hint="eastAsia" w:ascii="KaiTi" w:hAnsi="KaiTi" w:eastAsia="KaiTi" w:cs="KaiTi"/>
          <w:sz w:val="28"/>
          <w:szCs w:val="28"/>
          <w:lang w:val="en-GB" w:eastAsia="zh-TW"/>
        </w:rPr>
        <w:t>最後謝謝各位老師的聆聽。</w:t>
      </w:r>
    </w:p>
    <w:p>
      <w:pPr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</w:p>
    <w:p>
      <w:pPr>
        <w:jc w:val="center"/>
        <w:rPr>
          <w:rFonts w:ascii="Times New Roman" w:hAnsi="Times New Roman" w:eastAsia="KaiTi" w:cs="Times New Roman"/>
          <w:lang w:val="en-US"/>
        </w:rPr>
      </w:pPr>
      <w:r>
        <w:rPr>
          <w:rFonts w:hint="eastAsia" w:ascii="KaiTi" w:hAnsi="KaiTi" w:eastAsia="KaiTi" w:cs="Times New Roman"/>
          <w:b/>
          <w:sz w:val="32"/>
          <w:u w:val="single"/>
          <w:lang w:val="en-US"/>
        </w:rPr>
        <w:t>參考資料</w:t>
      </w:r>
    </w:p>
    <w:p>
      <w:pPr>
        <w:jc w:val="both"/>
        <w:rPr>
          <w:rFonts w:ascii="Times New Roman" w:hAnsi="Times New Roman" w:eastAsia="DFKai-SB" w:cs="Times New Roman"/>
          <w:lang w:val="en-GB" w:eastAsia="zh-TW"/>
        </w:rPr>
      </w:pPr>
    </w:p>
    <w:sectPr>
      <w:footerReference r:id="rId5" w:type="default"/>
      <w:pgSz w:w="11850" w:h="16783"/>
      <w:pgMar w:top="1417" w:right="1418" w:bottom="1418" w:left="1418" w:header="709" w:footer="709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6">
    <w:p/>
  </w:endnote>
  <w:endnote w:type="continuationSeparator" w:id="7">
    <w:p>
      <w:r>
        <w:continuationSeparator/>
      </w:r>
    </w:p>
  </w:endnote>
  <w:endnote w:id="0">
    <w:p>
      <w:pPr>
        <w:pStyle w:val="5"/>
        <w:snapToGrid w:val="0"/>
        <w:rPr>
          <w:rFonts w:hint="eastAsia" w:ascii="KaiTi" w:hAnsi="KaiTi" w:eastAsia="KaiTi" w:cs="KaiTi"/>
          <w:sz w:val="22"/>
          <w:szCs w:val="22"/>
        </w:rPr>
      </w:pPr>
      <w:r>
        <w:rPr>
          <w:rStyle w:val="10"/>
          <w:rFonts w:hint="eastAsia" w:ascii="KaiTi" w:hAnsi="KaiTi" w:eastAsia="KaiTi" w:cs="KaiTi"/>
          <w:sz w:val="22"/>
          <w:szCs w:val="22"/>
        </w:rPr>
        <w:endnoteRef/>
      </w:r>
      <w:r>
        <w:rPr>
          <w:rFonts w:hint="eastAsia" w:ascii="KaiTi" w:hAnsi="KaiTi" w:eastAsia="KaiTi" w:cs="KaiTi"/>
          <w:sz w:val="22"/>
          <w:szCs w:val="22"/>
        </w:rPr>
        <w:t xml:space="preserve"> 《古人智慧與企業管理》 第60</w:t>
      </w:r>
      <w:r>
        <w:rPr>
          <w:rFonts w:hint="eastAsia" w:ascii="KaiTi" w:hAnsi="KaiTi" w:eastAsia="KaiTi" w:cs="KaiTi"/>
          <w:sz w:val="22"/>
          <w:szCs w:val="22"/>
          <w:lang w:val="en-US" w:eastAsia="zh-CN"/>
        </w:rPr>
        <w:t>集；</w:t>
      </w:r>
      <w:r>
        <w:rPr>
          <w:rFonts w:hint="eastAsia" w:ascii="KaiTi" w:hAnsi="KaiTi" w:eastAsia="KaiTi" w:cs="KaiTi"/>
          <w:sz w:val="22"/>
          <w:szCs w:val="22"/>
          <w:lang w:val="en-GB" w:eastAsia="zh-TW"/>
        </w:rPr>
        <w:t>2020年5月7日；</w:t>
      </w:r>
      <w:r>
        <w:rPr>
          <w:rFonts w:hint="eastAsia" w:ascii="KaiTi" w:hAnsi="KaiTi" w:eastAsia="KaiTi" w:cs="KaiTi"/>
          <w:sz w:val="22"/>
          <w:szCs w:val="22"/>
        </w:rPr>
        <w:fldChar w:fldCharType="begin"/>
      </w:r>
      <w:r>
        <w:rPr>
          <w:rFonts w:hint="eastAsia" w:ascii="KaiTi" w:hAnsi="KaiTi" w:eastAsia="KaiTi" w:cs="KaiTi"/>
          <w:sz w:val="22"/>
          <w:szCs w:val="22"/>
        </w:rPr>
        <w:instrText xml:space="preserve"> HYPERLINK "https://uwtsd.hosted.panopto.com/Panopto/Pages/Viewer.aspx?id=66b9b16a-522e-4fe6-a5fb-aba500a17e94" </w:instrText>
      </w:r>
      <w:r>
        <w:rPr>
          <w:rFonts w:hint="eastAsia" w:ascii="KaiTi" w:hAnsi="KaiTi" w:eastAsia="KaiTi" w:cs="KaiTi"/>
          <w:sz w:val="22"/>
          <w:szCs w:val="22"/>
        </w:rPr>
        <w:fldChar w:fldCharType="separate"/>
      </w:r>
      <w:r>
        <w:rPr>
          <w:rStyle w:val="11"/>
          <w:rFonts w:hint="eastAsia" w:ascii="KaiTi" w:hAnsi="KaiTi" w:eastAsia="KaiTi" w:cs="KaiTi"/>
          <w:sz w:val="22"/>
          <w:szCs w:val="22"/>
        </w:rPr>
        <w:t>https://uwtsd.hosted.panopto.com/Panopto/Pages/Viewer.aspx?id=66b9b16a-522e-4fe6-a5fb-aba500a17e94</w:t>
      </w:r>
      <w:r>
        <w:rPr>
          <w:rFonts w:hint="eastAsia" w:ascii="KaiTi" w:hAnsi="KaiTi" w:eastAsia="KaiTi" w:cs="KaiTi"/>
          <w:sz w:val="22"/>
          <w:szCs w:val="22"/>
        </w:rPr>
        <w:fldChar w:fldCharType="end"/>
      </w:r>
    </w:p>
    <w:p>
      <w:pPr>
        <w:pStyle w:val="5"/>
        <w:snapToGrid w:val="0"/>
        <w:rPr>
          <w:rFonts w:hint="eastAsia" w:ascii="KaiTi" w:hAnsi="KaiTi" w:eastAsia="KaiTi" w:cs="KaiTi"/>
          <w:sz w:val="22"/>
          <w:szCs w:val="22"/>
        </w:rPr>
      </w:pPr>
    </w:p>
    <w:p>
      <w:pPr>
        <w:pStyle w:val="5"/>
        <w:snapToGrid w:val="0"/>
        <w:rPr>
          <w:rFonts w:hint="eastAsia" w:ascii="KaiTi" w:hAnsi="KaiTi" w:eastAsia="KaiTi" w:cs="KaiTi"/>
          <w:sz w:val="22"/>
          <w:szCs w:val="22"/>
        </w:rPr>
      </w:pPr>
    </w:p>
  </w:endnote>
  <w:endnote w:id="1"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2"/>
          <w:szCs w:val="22"/>
          <w:lang w:val="en-GB" w:eastAsia="zh-TW"/>
        </w:rPr>
      </w:pPr>
      <w:r>
        <w:rPr>
          <w:rStyle w:val="10"/>
          <w:rFonts w:hint="eastAsia" w:ascii="KaiTi" w:hAnsi="KaiTi" w:eastAsia="KaiTi" w:cs="KaiTi"/>
          <w:sz w:val="22"/>
          <w:szCs w:val="22"/>
        </w:rPr>
        <w:endnoteRef/>
      </w:r>
      <w:r>
        <w:rPr>
          <w:rFonts w:hint="eastAsia" w:ascii="KaiTi" w:hAnsi="KaiTi" w:eastAsia="KaiTi" w:cs="KaiTi"/>
          <w:sz w:val="22"/>
          <w:szCs w:val="22"/>
        </w:rPr>
        <w:t xml:space="preserve"> </w:t>
      </w:r>
      <w:r>
        <w:rPr>
          <w:rFonts w:hint="eastAsia" w:ascii="KaiTi" w:hAnsi="KaiTi" w:eastAsia="KaiTi" w:cs="KaiTi"/>
          <w:sz w:val="22"/>
          <w:szCs w:val="22"/>
          <w:lang w:val="en-GB" w:eastAsia="zh-TW"/>
        </w:rPr>
        <w:t>中國哲學書電子化計劃；2020年5月7日；</w:t>
      </w:r>
      <w:r>
        <w:rPr>
          <w:rFonts w:hint="eastAsia" w:ascii="KaiTi" w:hAnsi="KaiTi" w:eastAsia="KaiTi" w:cs="KaiTi"/>
          <w:sz w:val="22"/>
          <w:szCs w:val="22"/>
        </w:rPr>
        <w:fldChar w:fldCharType="begin"/>
      </w:r>
      <w:r>
        <w:rPr>
          <w:rFonts w:hint="eastAsia" w:ascii="KaiTi" w:hAnsi="KaiTi" w:eastAsia="KaiTi" w:cs="KaiTi"/>
          <w:sz w:val="22"/>
          <w:szCs w:val="22"/>
        </w:rPr>
        <w:instrText xml:space="preserve"> HYPERLINK "https://ctext.org/mengzi/li-lou-ii/zh?searchu=%E6%84%9B%E4%BA%BA%E8%80%85%E4%BA%BA%E6%81%86%E6%84%9B%E4%B9%8B%EF%BC%8C%E6%95%AC%E4%BA%BA%E8%80%85%E4%BA%BA%E6%81%86%E6%95%AC%E4%B9%8B%E3%80%82" </w:instrText>
      </w:r>
      <w:r>
        <w:rPr>
          <w:rFonts w:hint="eastAsia" w:ascii="KaiTi" w:hAnsi="KaiTi" w:eastAsia="KaiTi" w:cs="KaiTi"/>
          <w:sz w:val="22"/>
          <w:szCs w:val="22"/>
        </w:rPr>
        <w:fldChar w:fldCharType="separate"/>
      </w:r>
      <w:r>
        <w:rPr>
          <w:rStyle w:val="11"/>
          <w:rFonts w:hint="eastAsia" w:ascii="KaiTi" w:hAnsi="KaiTi" w:eastAsia="KaiTi" w:cs="KaiTi"/>
          <w:sz w:val="22"/>
          <w:szCs w:val="22"/>
        </w:rPr>
        <w:t>https://ctext.org/mengzi/li-lou-ii/zh?searchu=%E6%84%9B%E4%BA%BA%E8%80%85%E4%BA%BA%E6%81%86%E6%84%9B%E4%B9%8B%EF%BC%8C%E6%95%AC%E4%BA%BA%E8%80%85%E4%BA%BA%E6%81%86%E6%95%AC%E4%B9%8B%E3%80%82</w:t>
      </w:r>
      <w:r>
        <w:rPr>
          <w:rFonts w:hint="eastAsia" w:ascii="KaiTi" w:hAnsi="KaiTi" w:eastAsia="KaiTi" w:cs="KaiTi"/>
          <w:sz w:val="22"/>
          <w:szCs w:val="22"/>
        </w:rPr>
        <w:fldChar w:fldCharType="end"/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2"/>
          <w:szCs w:val="22"/>
          <w:lang w:val="en-GB" w:eastAsia="zh-TW"/>
        </w:rPr>
      </w:pPr>
    </w:p>
    <w:p>
      <w:pPr>
        <w:pStyle w:val="5"/>
        <w:snapToGrid w:val="0"/>
        <w:rPr>
          <w:rFonts w:hint="eastAsia" w:ascii="KaiTi" w:hAnsi="KaiTi" w:eastAsia="KaiTi" w:cs="KaiTi"/>
          <w:sz w:val="22"/>
          <w:szCs w:val="22"/>
        </w:rPr>
      </w:pPr>
    </w:p>
  </w:endnote>
  <w:endnote w:id="2"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 w:cs="KaiTi"/>
          <w:sz w:val="22"/>
          <w:szCs w:val="22"/>
          <w:lang w:val="en-GB" w:eastAsia="zh-TW"/>
        </w:rPr>
      </w:pPr>
      <w:r>
        <w:rPr>
          <w:rStyle w:val="10"/>
          <w:rFonts w:hint="eastAsia" w:ascii="KaiTi" w:hAnsi="KaiTi" w:eastAsia="KaiTi" w:cs="KaiTi"/>
          <w:sz w:val="22"/>
          <w:szCs w:val="22"/>
        </w:rPr>
        <w:endnoteRef/>
      </w:r>
      <w:r>
        <w:rPr>
          <w:rFonts w:hint="eastAsia" w:ascii="KaiTi" w:hAnsi="KaiTi" w:eastAsia="KaiTi" w:cs="KaiTi"/>
          <w:sz w:val="22"/>
          <w:szCs w:val="22"/>
        </w:rPr>
        <w:t xml:space="preserve"> </w:t>
      </w:r>
      <w:r>
        <w:rPr>
          <w:rFonts w:hint="eastAsia" w:ascii="KaiTi" w:hAnsi="KaiTi" w:eastAsia="KaiTi" w:cs="KaiTi"/>
          <w:sz w:val="22"/>
          <w:szCs w:val="22"/>
          <w:lang w:val="en-GB" w:eastAsia="zh-TW"/>
        </w:rPr>
        <w:t>《儒家經典讀本》；印贈者：馬來西亞漢學院：版次：2017年第一版</w:t>
      </w:r>
    </w:p>
    <w:p>
      <w:pPr>
        <w:pStyle w:val="5"/>
        <w:snapToGrid w:val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DengXian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default"/>
    <w:sig w:usb0="E4002EFF" w:usb1="C000E47F" w:usb2="00000009" w:usb3="00000000" w:csb0="200001FF" w:csb1="00000000"/>
  </w:font>
  <w:font w:name="PMingLiU">
    <w:altName w:val="Microsoft JhengHei"/>
    <w:panose1 w:val="02010601000101010101"/>
    <w:charset w:val="88"/>
    <w:family w:val="roman"/>
    <w:pitch w:val="default"/>
    <w:sig w:usb0="00000000" w:usb1="00000000" w:usb2="00000016" w:usb3="00000000" w:csb0="00100001" w:csb1="00000000"/>
  </w:font>
  <w:font w:name="KaiTi">
    <w:panose1 w:val="02010609060101010101"/>
    <w:charset w:val="86"/>
    <w:family w:val="modern"/>
    <w:pitch w:val="default"/>
    <w:sig w:usb0="800002BF" w:usb1="38CF7CFA" w:usb2="00000016" w:usb3="00000000" w:csb0="00040001" w:csb1="00000000"/>
  </w:font>
  <w:font w:name="DFKai-SB">
    <w:altName w:val="Microsoft JhengHei"/>
    <w:panose1 w:val="00000000000000000000"/>
    <w:charset w:val="88"/>
    <w:family w:val="script"/>
    <w:pitch w:val="default"/>
    <w:sig w:usb0="00000000" w:usb1="00000000" w:usb2="00000016" w:usb3="00000000" w:csb0="00100001" w:csb1="00000000"/>
  </w:font>
  <w:font w:name="Microsoft JhengHei">
    <w:panose1 w:val="020B0604030504040204"/>
    <w:charset w:val="88"/>
    <w:family w:val="auto"/>
    <w:pitch w:val="default"/>
    <w:sig w:usb0="000002A7" w:usb1="28CF4400" w:usb2="00000016" w:usb3="00000000" w:csb0="00100009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-1859032791"/>
    </w:sdtPr>
    <w:sdtContent>
      <w:p>
        <w:pPr>
          <w:pStyle w:val="6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1</w:t>
        </w:r>
        <w:r>
          <w:fldChar w:fldCharType="end"/>
        </w:r>
      </w:p>
    </w:sdtContent>
  </w:sdt>
  <w:p>
    <w:pPr>
      <w:pStyle w:val="6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/>
  </w:footnote>
  <w:footnote w:type="continuationSeparator" w:id="1">
    <w:p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doNotDisplayPageBoundaries w:val="1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6"/>
    <w:endnote w:id="7"/>
  </w:endnotePr>
  <w:compat>
    <w:doNotExpandShiftReturn/>
    <w:doNotWrapTextWithPunct/>
    <w:doNotUseEastAsianBreakRules/>
    <w:doNotUseIndentAsNumberingTabStop/>
    <w:useAltKinsokuLineBreak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B68A4"/>
    <w:rsid w:val="00170EE4"/>
    <w:rsid w:val="001720AB"/>
    <w:rsid w:val="00175B1F"/>
    <w:rsid w:val="00194823"/>
    <w:rsid w:val="001B4859"/>
    <w:rsid w:val="001D0E03"/>
    <w:rsid w:val="0020075A"/>
    <w:rsid w:val="00280CBE"/>
    <w:rsid w:val="00305254"/>
    <w:rsid w:val="00385D81"/>
    <w:rsid w:val="003E5F5B"/>
    <w:rsid w:val="003F4EB6"/>
    <w:rsid w:val="004323A2"/>
    <w:rsid w:val="004A1416"/>
    <w:rsid w:val="004B2558"/>
    <w:rsid w:val="004D5155"/>
    <w:rsid w:val="00567E8D"/>
    <w:rsid w:val="00570741"/>
    <w:rsid w:val="0060616C"/>
    <w:rsid w:val="00655356"/>
    <w:rsid w:val="00661A35"/>
    <w:rsid w:val="006952DB"/>
    <w:rsid w:val="006F3061"/>
    <w:rsid w:val="00740CF4"/>
    <w:rsid w:val="0076435F"/>
    <w:rsid w:val="00765F4D"/>
    <w:rsid w:val="00827741"/>
    <w:rsid w:val="00870F0E"/>
    <w:rsid w:val="0091505B"/>
    <w:rsid w:val="00952C21"/>
    <w:rsid w:val="009F3A6E"/>
    <w:rsid w:val="00A500B7"/>
    <w:rsid w:val="00A91688"/>
    <w:rsid w:val="00AA253E"/>
    <w:rsid w:val="00AA74C8"/>
    <w:rsid w:val="00AC51E2"/>
    <w:rsid w:val="00AF4E30"/>
    <w:rsid w:val="00B11696"/>
    <w:rsid w:val="00B47450"/>
    <w:rsid w:val="00B66066"/>
    <w:rsid w:val="00B7125F"/>
    <w:rsid w:val="00B7198D"/>
    <w:rsid w:val="00B85147"/>
    <w:rsid w:val="00BE1976"/>
    <w:rsid w:val="00C14C6A"/>
    <w:rsid w:val="00D26C31"/>
    <w:rsid w:val="00D422FC"/>
    <w:rsid w:val="00D92C90"/>
    <w:rsid w:val="00DE3B1C"/>
    <w:rsid w:val="00E207FD"/>
    <w:rsid w:val="00E765E2"/>
    <w:rsid w:val="00E809B5"/>
    <w:rsid w:val="00EA2FEB"/>
    <w:rsid w:val="00F111B9"/>
    <w:rsid w:val="00FD3579"/>
    <w:rsid w:val="00FE6438"/>
    <w:rsid w:val="023F0464"/>
    <w:rsid w:val="0C951E43"/>
    <w:rsid w:val="0D385C5B"/>
    <w:rsid w:val="16E76791"/>
    <w:rsid w:val="19586151"/>
    <w:rsid w:val="1E955D27"/>
    <w:rsid w:val="20764733"/>
    <w:rsid w:val="275C5615"/>
    <w:rsid w:val="422B1F07"/>
    <w:rsid w:val="486C62BD"/>
    <w:rsid w:val="4BDF5B41"/>
    <w:rsid w:val="4FF51C51"/>
    <w:rsid w:val="51D47B7D"/>
    <w:rsid w:val="521052CD"/>
    <w:rsid w:val="54BC2DAA"/>
    <w:rsid w:val="56F43FD9"/>
    <w:rsid w:val="594241EE"/>
    <w:rsid w:val="595E7683"/>
    <w:rsid w:val="5B2E7BF9"/>
    <w:rsid w:val="6DC2326B"/>
    <w:rsid w:val="79826195"/>
    <w:rsid w:val="7CB22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qFormat="1"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qFormat="1" w:uiPriority="99" w:name="annotation reference"/>
    <w:lsdException w:uiPriority="99" w:name="line number"/>
    <w:lsdException w:uiPriority="99" w:name="page number"/>
    <w:lsdException w:uiPriority="99" w:name="endnote reference"/>
    <w:lsdException w:qFormat="1"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qFormat="1"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qFormat="1"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sz w:val="24"/>
      <w:szCs w:val="24"/>
      <w:lang w:val="en-MY" w:eastAsia="zh-CN" w:bidi="ar-SA"/>
    </w:rPr>
  </w:style>
  <w:style w:type="character" w:default="1" w:styleId="8">
    <w:name w:val="Default Paragraph Font"/>
    <w:semiHidden/>
    <w:unhideWhenUsed/>
    <w:uiPriority w:val="1"/>
  </w:style>
  <w:style w:type="table" w:default="1" w:styleId="12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alloon Text"/>
    <w:basedOn w:val="1"/>
    <w:link w:val="19"/>
    <w:semiHidden/>
    <w:unhideWhenUsed/>
    <w:qFormat/>
    <w:uiPriority w:val="99"/>
    <w:rPr>
      <w:rFonts w:ascii="Segoe UI" w:hAnsi="Segoe UI" w:cs="Segoe UI"/>
      <w:sz w:val="18"/>
      <w:szCs w:val="18"/>
    </w:rPr>
  </w:style>
  <w:style w:type="paragraph" w:styleId="3">
    <w:name w:val="annotation text"/>
    <w:basedOn w:val="1"/>
    <w:link w:val="17"/>
    <w:semiHidden/>
    <w:unhideWhenUsed/>
    <w:qFormat/>
    <w:uiPriority w:val="99"/>
    <w:rPr>
      <w:sz w:val="20"/>
      <w:szCs w:val="20"/>
    </w:rPr>
  </w:style>
  <w:style w:type="paragraph" w:styleId="4">
    <w:name w:val="annotation subject"/>
    <w:basedOn w:val="3"/>
    <w:next w:val="3"/>
    <w:link w:val="18"/>
    <w:semiHidden/>
    <w:unhideWhenUsed/>
    <w:qFormat/>
    <w:uiPriority w:val="99"/>
    <w:rPr>
      <w:b/>
      <w:bCs/>
    </w:rPr>
  </w:style>
  <w:style w:type="paragraph" w:styleId="5">
    <w:name w:val="endnote text"/>
    <w:basedOn w:val="1"/>
    <w:semiHidden/>
    <w:unhideWhenUsed/>
    <w:qFormat/>
    <w:uiPriority w:val="99"/>
    <w:pPr>
      <w:snapToGrid w:val="0"/>
    </w:pPr>
  </w:style>
  <w:style w:type="paragraph" w:styleId="6">
    <w:name w:val="footer"/>
    <w:basedOn w:val="1"/>
    <w:link w:val="16"/>
    <w:unhideWhenUsed/>
    <w:qFormat/>
    <w:uiPriority w:val="99"/>
    <w:pPr>
      <w:tabs>
        <w:tab w:val="center" w:pos="4513"/>
        <w:tab w:val="right" w:pos="9026"/>
      </w:tabs>
    </w:pPr>
  </w:style>
  <w:style w:type="paragraph" w:styleId="7">
    <w:name w:val="header"/>
    <w:basedOn w:val="1"/>
    <w:link w:val="15"/>
    <w:unhideWhenUsed/>
    <w:qFormat/>
    <w:uiPriority w:val="99"/>
    <w:pPr>
      <w:tabs>
        <w:tab w:val="center" w:pos="4513"/>
        <w:tab w:val="right" w:pos="9026"/>
      </w:tabs>
    </w:pPr>
  </w:style>
  <w:style w:type="character" w:styleId="9">
    <w:name w:val="annotation reference"/>
    <w:basedOn w:val="8"/>
    <w:semiHidden/>
    <w:unhideWhenUsed/>
    <w:qFormat/>
    <w:uiPriority w:val="99"/>
    <w:rPr>
      <w:sz w:val="16"/>
      <w:szCs w:val="16"/>
    </w:rPr>
  </w:style>
  <w:style w:type="character" w:styleId="10">
    <w:name w:val="endnote reference"/>
    <w:basedOn w:val="8"/>
    <w:semiHidden/>
    <w:unhideWhenUsed/>
    <w:uiPriority w:val="99"/>
    <w:rPr>
      <w:vertAlign w:val="superscript"/>
    </w:rPr>
  </w:style>
  <w:style w:type="character" w:styleId="11">
    <w:name w:val="Hyperlink"/>
    <w:basedOn w:val="8"/>
    <w:semiHidden/>
    <w:unhideWhenUsed/>
    <w:uiPriority w:val="99"/>
    <w:rPr>
      <w:color w:val="0000FF"/>
      <w:u w:val="single"/>
    </w:rPr>
  </w:style>
  <w:style w:type="table" w:styleId="13">
    <w:name w:val="Table Grid"/>
    <w:basedOn w:val="12"/>
    <w:qFormat/>
    <w:uiPriority w:val="3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Layout w:type="fixed"/>
    </w:tblPr>
  </w:style>
  <w:style w:type="paragraph" w:styleId="14">
    <w:name w:val="List Paragraph"/>
    <w:basedOn w:val="1"/>
    <w:qFormat/>
    <w:uiPriority w:val="34"/>
    <w:pPr>
      <w:spacing w:after="200" w:line="276" w:lineRule="auto"/>
      <w:ind w:left="720"/>
      <w:contextualSpacing/>
    </w:pPr>
    <w:rPr>
      <w:rFonts w:ascii="Calibri" w:hAnsi="Calibri" w:eastAsia="PMingLiU" w:cs="Times New Roman"/>
      <w:sz w:val="22"/>
      <w:szCs w:val="22"/>
      <w:lang w:val="en-US" w:eastAsia="en-US"/>
    </w:rPr>
  </w:style>
  <w:style w:type="character" w:customStyle="1" w:styleId="15">
    <w:name w:val="Header Char"/>
    <w:basedOn w:val="8"/>
    <w:link w:val="7"/>
    <w:qFormat/>
    <w:uiPriority w:val="99"/>
  </w:style>
  <w:style w:type="character" w:customStyle="1" w:styleId="16">
    <w:name w:val="Footer Char"/>
    <w:basedOn w:val="8"/>
    <w:link w:val="6"/>
    <w:qFormat/>
    <w:uiPriority w:val="99"/>
  </w:style>
  <w:style w:type="character" w:customStyle="1" w:styleId="17">
    <w:name w:val="Comment Text Char"/>
    <w:basedOn w:val="8"/>
    <w:link w:val="3"/>
    <w:semiHidden/>
    <w:qFormat/>
    <w:uiPriority w:val="99"/>
    <w:rPr>
      <w:sz w:val="20"/>
      <w:szCs w:val="20"/>
    </w:rPr>
  </w:style>
  <w:style w:type="character" w:customStyle="1" w:styleId="18">
    <w:name w:val="Comment Subject Char"/>
    <w:basedOn w:val="17"/>
    <w:link w:val="4"/>
    <w:semiHidden/>
    <w:uiPriority w:val="99"/>
    <w:rPr>
      <w:b/>
      <w:bCs/>
      <w:sz w:val="20"/>
      <w:szCs w:val="20"/>
    </w:rPr>
  </w:style>
  <w:style w:type="character" w:customStyle="1" w:styleId="19">
    <w:name w:val="Balloon Text Char"/>
    <w:basedOn w:val="8"/>
    <w:link w:val="2"/>
    <w:semiHidden/>
    <w:qFormat/>
    <w:uiPriority w:val="99"/>
    <w:rPr>
      <w:rFonts w:ascii="Segoe UI" w:hAnsi="Segoe UI" w:cs="Segoe UI"/>
      <w:sz w:val="18"/>
      <w:szCs w:val="18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png"/><Relationship Id="rId8" Type="http://schemas.openxmlformats.org/officeDocument/2006/relationships/image" Target="media/image1.png"/><Relationship Id="rId7" Type="http://schemas.openxmlformats.org/officeDocument/2006/relationships/hyperlink" Target="https://www.youtube.com/watch?v=73srgCJ8fvk" TargetMode="External"/><Relationship Id="rId6" Type="http://schemas.openxmlformats.org/officeDocument/2006/relationships/theme" Target="theme/theme1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2" Type="http://schemas.openxmlformats.org/officeDocument/2006/relationships/fontTable" Target="fontTable.xml"/><Relationship Id="rId11" Type="http://schemas.openxmlformats.org/officeDocument/2006/relationships/customXml" Target="../customXml/item2.xml"/><Relationship Id="rId10" Type="http://schemas.openxmlformats.org/officeDocument/2006/relationships/customXml" Target="../customXml/item1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0872738C-EAA0-4B00-842B-3886B13D8EB3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6</Pages>
  <Words>536</Words>
  <Characters>3057</Characters>
  <Lines>25</Lines>
  <Paragraphs>7</Paragraphs>
  <TotalTime>47</TotalTime>
  <ScaleCrop>false</ScaleCrop>
  <LinksUpToDate>false</LinksUpToDate>
  <CharactersWithSpaces>3586</CharactersWithSpaces>
  <Application>WPS Office_11.2.0.8991_F1E327BC-269C-435d-A152-05C5408002CA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2020-05-10T06:35:00Z</dcterms:created>
  <dc:creator>Na Li</dc:creator>
  <cp:lastModifiedBy>GoodStudent</cp:lastModifiedBy>
  <dcterms:modified xsi:type="dcterms:W3CDTF">2020-05-12T08:47:09Z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1033-11.2.0.8991</vt:lpwstr>
  </property>
</Properties>
</file>