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19"/>
        <w:jc w:val="center"/>
        <w:rPr>
          <w:rFonts w:ascii="Times New Roman" w:cs="Times New Roman" w:hAnsi="Times New Roman"/>
          <w:b/>
          <w:sz w:val="44"/>
        </w:rPr>
      </w:pPr>
    </w:p>
    <w:p>
      <w:pPr>
        <w:pStyle w:val="19"/>
        <w:jc w:val="both"/>
        <w:rPr>
          <w:rFonts w:ascii="Times New Roman" w:cs="Times New Roman" w:hAnsi="Times New Roman"/>
          <w:b/>
          <w:sz w:val="44"/>
        </w:rPr>
      </w:pPr>
      <w:r>
        <w:rPr>
          <w:rFonts w:ascii="Times New Roman" w:cs="Times New Roman" w:hAnsi="Times New Roman"/>
          <w:b/>
          <w:sz w:val="44"/>
        </w:rPr>
        <w:t xml:space="preserve">A Critical Analysis of External Factors impacting High Street retailers in the UK </w:t>
      </w:r>
    </w:p>
    <w:p>
      <w:bookmarkStart w:id="0" w:name="_GoBack"/>
      <w:bookmarkEnd w:id="0"/>
    </w:p>
    <w:p/>
    <w:p/>
    <w:p>
      <w:pPr>
        <w:pStyle w:val="19"/>
        <w:jc w:val="both"/>
      </w:pPr>
      <w:r>
        <w:rPr>
          <w:rFonts w:ascii="Times New Roman" w:cs="Times New Roman" w:hAnsi="Times New Roman"/>
          <w:b/>
          <w:sz w:val="44"/>
        </w:rPr>
        <w:t xml:space="preserve">Module : </w:t>
      </w:r>
      <w:r>
        <w:rPr>
          <w:rFonts w:ascii="Times New Roman" w:cs="Times New Roman" w:hAnsi="Times New Roman"/>
          <w:sz w:val="44"/>
        </w:rPr>
        <w:t>Problem Solving and Innovetion</w:t>
      </w:r>
    </w:p>
    <w:p>
      <w:pPr>
        <w:pStyle w:val="19"/>
        <w:jc w:val="both"/>
        <w:rPr>
          <w:rFonts w:ascii="Times New Roman" w:cs="Times New Roman" w:hAnsi="Times New Roman"/>
          <w:sz w:val="44"/>
        </w:rPr>
      </w:pPr>
      <w:r>
        <w:rPr>
          <w:rFonts w:ascii="Times New Roman" w:cs="Times New Roman" w:hAnsi="Times New Roman"/>
          <w:b/>
          <w:sz w:val="44"/>
        </w:rPr>
        <w:t xml:space="preserve">Student Name :  </w:t>
      </w:r>
      <w:r>
        <w:rPr>
          <w:rFonts w:ascii="Times New Roman" w:cs="Times New Roman" w:hAnsi="Times New Roman"/>
          <w:sz w:val="44"/>
        </w:rPr>
        <w:t>Ema Shahed</w:t>
      </w:r>
    </w:p>
    <w:p>
      <w:pPr>
        <w:rPr>
          <w:b/>
          <w:bCs/>
          <w:sz w:val="44"/>
          <w:szCs w:val="44"/>
        </w:rPr>
      </w:pPr>
      <w:r>
        <w:rPr>
          <w:b/>
          <w:bCs/>
          <w:sz w:val="44"/>
          <w:szCs w:val="44"/>
        </w:rPr>
        <w:t xml:space="preserve">Student ID number: </w:t>
      </w:r>
      <w:r>
        <w:rPr>
          <w:sz w:val="44"/>
          <w:szCs w:val="44"/>
        </w:rPr>
        <w:t>2421314</w:t>
      </w:r>
    </w:p>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pStyle w:val="20"/>
        <w:rPr>
          <w:rFonts w:ascii="Times New Roman" w:eastAsia="Calibri" w:cs="Times New Roman" w:hAnsi="Times New Roman"/>
          <w:b/>
          <w:color w:val="auto"/>
          <w:sz w:val="22"/>
          <w:szCs w:val="24"/>
        </w:rPr>
      </w:pPr>
    </w:p>
    <w:p>
      <w:pPr>
        <w:pStyle w:val="20"/>
        <w:rPr>
          <w:rFonts w:ascii="Times New Roman" w:eastAsia="Calibri" w:cs="Times New Roman" w:hAnsi="Times New Roman"/>
          <w:b/>
          <w:color w:val="auto"/>
          <w:sz w:val="22"/>
          <w:szCs w:val="24"/>
        </w:rPr>
      </w:pPr>
    </w:p>
    <w:p>
      <w:pPr>
        <w:pStyle w:val="20"/>
        <w:rPr>
          <w:rFonts w:ascii="Times New Roman" w:eastAsia="Calibri" w:cs="Times New Roman" w:hAnsi="Times New Roman"/>
          <w:b/>
          <w:color w:val="auto"/>
          <w:sz w:val="22"/>
          <w:szCs w:val="24"/>
        </w:rPr>
      </w:pPr>
    </w:p>
    <w:p>
      <w:pPr>
        <w:pStyle w:val="20"/>
        <w:rPr>
          <w:rFonts w:ascii="Times New Roman" w:eastAsia="Calibri" w:cs="Times New Roman" w:hAnsi="Times New Roman"/>
          <w:b/>
          <w:color w:val="auto"/>
          <w:sz w:val="22"/>
          <w:szCs w:val="24"/>
        </w:rPr>
      </w:pPr>
    </w:p>
    <w:p>
      <w:pPr>
        <w:pStyle w:val="20"/>
        <w:rPr>
          <w:rFonts w:ascii="Times New Roman" w:eastAsia="Calibri" w:cs="Times New Roman" w:hAnsi="Times New Roman"/>
          <w:b/>
          <w:color w:val="auto"/>
          <w:sz w:val="22"/>
          <w:szCs w:val="24"/>
        </w:rPr>
      </w:pPr>
    </w:p>
    <w:p>
      <w:pPr>
        <w:pStyle w:val="20"/>
        <w:rPr>
          <w:rFonts w:ascii="Times New Roman" w:eastAsia="Calibri" w:cs="Times New Roman" w:hAnsi="Times New Roman"/>
          <w:b/>
          <w:color w:val="auto"/>
          <w:sz w:val="22"/>
          <w:szCs w:val="24"/>
        </w:rPr>
      </w:pPr>
    </w:p>
    <w:sdt>
      <w:sdtPr>
        <w:rPr>
          <w:rFonts w:ascii="Times New Roman" w:eastAsia="Calibri" w:cs="Times New Roman" w:hAnsi="Times New Roman"/>
          <w:b/>
          <w:color w:val="auto"/>
          <w:sz w:val="22"/>
          <w:szCs w:val="24"/>
        </w:rPr>
        <w:id w:val="189187119"/>
        <w:docPartObj>
          <w:docPartGallery/>
          <w:docPartUnique/>
        </w:docPartObj>
      </w:sdtPr>
      <w:sdtContent>
        <w:p>
          <w:pPr>
            <w:pStyle w:val="20"/>
            <w:rPr>
              <w:rFonts w:ascii="Times New Roman" w:cs="Times New Roman" w:hAnsi="Times New Roman"/>
              <w:b/>
              <w:szCs w:val="24"/>
            </w:rPr>
          </w:pPr>
          <w:r>
            <w:rPr>
              <w:rFonts w:ascii="Times New Roman" w:cs="Times New Roman" w:hAnsi="Times New Roman"/>
              <w:b/>
              <w:szCs w:val="24"/>
            </w:rPr>
            <w:t>Contents</w:t>
          </w:r>
        </w:p>
        <w:p>
          <w:pPr>
            <w:pStyle w:val="21"/>
            <w:tabs>
              <w:tab w:val="right" w:leader="dot" w:pos="9350"/>
            </w:tabs>
            <w:rPr>
              <w:rFonts w:ascii="Times New Roman" w:cs="Times New Roman" w:hAnsi="Times New Roman"/>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fldChar w:fldCharType="begin"/>
          </w:r>
          <w:r>
            <w:instrText>Hyperlink \l "_Toc202210227"</w:instrText>
          </w:r>
          <w:r>
            <w:fldChar w:fldCharType="separate"/>
          </w:r>
          <w:r>
            <w:rPr>
              <w:rFonts w:ascii="Times New Roman" w:cs="Times New Roman" w:hAnsi="Times New Roman"/>
              <w:b/>
              <w:sz w:val="24"/>
              <w:szCs w:val="24"/>
            </w:rPr>
            <w:t>Introduction</w:t>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_Toc202210227 \h </w:instrText>
          </w:r>
          <w:r>
            <w:rPr>
              <w:rFonts w:ascii="Times New Roman" w:cs="Times New Roman" w:hAnsi="Times New Roman"/>
              <w:sz w:val="24"/>
              <w:szCs w:val="24"/>
            </w:rPr>
            <w:fldChar w:fldCharType="separate"/>
          </w:r>
          <w:r>
            <w:rPr>
              <w:rFonts w:ascii="Times New Roman" w:cs="Times New Roman" w:hAnsi="Times New Roman"/>
              <w:sz w:val="24"/>
              <w:szCs w:val="24"/>
            </w:rPr>
            <w:t>3</w:t>
          </w:r>
          <w:r>
            <w:rPr>
              <w:rFonts w:ascii="Times New Roman" w:cs="Times New Roman" w:hAnsi="Times New Roman"/>
              <w:sz w:val="24"/>
              <w:szCs w:val="24"/>
            </w:rPr>
            <w:fldChar w:fldCharType="end"/>
          </w:r>
          <w:r>
            <w:fldChar w:fldCharType="end"/>
          </w:r>
        </w:p>
        <w:p>
          <w:pPr>
            <w:pStyle w:val="21"/>
            <w:tabs>
              <w:tab w:val="right" w:leader="dot" w:pos="9350"/>
            </w:tabs>
            <w:rPr>
              <w:rFonts w:ascii="Times New Roman" w:cs="Times New Roman" w:hAnsi="Times New Roman"/>
              <w:sz w:val="24"/>
              <w:szCs w:val="24"/>
            </w:rPr>
          </w:pPr>
          <w:r>
            <w:fldChar w:fldCharType="begin"/>
          </w:r>
          <w:r>
            <w:instrText>Hyperlink \l "_Toc202210228"</w:instrText>
          </w:r>
          <w:r>
            <w:fldChar w:fldCharType="separate"/>
          </w:r>
          <w:r>
            <w:rPr>
              <w:rFonts w:ascii="Times New Roman" w:cs="Times New Roman" w:hAnsi="Times New Roman"/>
              <w:b/>
              <w:sz w:val="24"/>
              <w:szCs w:val="24"/>
            </w:rPr>
            <w:t>Findings</w:t>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_Toc202210228 \h </w:instrText>
          </w:r>
          <w:r>
            <w:rPr>
              <w:rFonts w:ascii="Times New Roman" w:cs="Times New Roman" w:hAnsi="Times New Roman"/>
              <w:sz w:val="24"/>
              <w:szCs w:val="24"/>
            </w:rPr>
            <w:fldChar w:fldCharType="separate"/>
          </w:r>
          <w:r>
            <w:rPr>
              <w:rFonts w:ascii="Times New Roman" w:cs="Times New Roman" w:hAnsi="Times New Roman"/>
              <w:sz w:val="24"/>
              <w:szCs w:val="24"/>
            </w:rPr>
            <w:t>3</w:t>
          </w:r>
          <w:r>
            <w:rPr>
              <w:rFonts w:ascii="Times New Roman" w:cs="Times New Roman" w:hAnsi="Times New Roman"/>
              <w:sz w:val="24"/>
              <w:szCs w:val="24"/>
            </w:rPr>
            <w:fldChar w:fldCharType="end"/>
          </w:r>
          <w:r>
            <w:fldChar w:fldCharType="end"/>
          </w:r>
        </w:p>
        <w:p>
          <w:pPr>
            <w:pStyle w:val="22"/>
            <w:tabs>
              <w:tab w:val="right" w:leader="dot" w:pos="9350"/>
            </w:tabs>
            <w:rPr>
              <w:rFonts w:ascii="Times New Roman" w:cs="Times New Roman" w:hAnsi="Times New Roman"/>
              <w:sz w:val="24"/>
              <w:szCs w:val="24"/>
            </w:rPr>
          </w:pPr>
          <w:r>
            <w:fldChar w:fldCharType="begin"/>
          </w:r>
          <w:r>
            <w:instrText>Hyperlink \l "_Toc202210229"</w:instrText>
          </w:r>
          <w:r>
            <w:fldChar w:fldCharType="separate"/>
          </w:r>
          <w:r>
            <w:rPr>
              <w:rFonts w:ascii="Times New Roman" w:cs="Times New Roman" w:hAnsi="Times New Roman"/>
              <w:b/>
              <w:sz w:val="24"/>
              <w:szCs w:val="24"/>
            </w:rPr>
            <w:t>PESTLE Analysis: Evaluating External Environmental Factors</w:t>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_Toc202210229 \h </w:instrText>
          </w:r>
          <w:r>
            <w:rPr>
              <w:rFonts w:ascii="Times New Roman" w:cs="Times New Roman" w:hAnsi="Times New Roman"/>
              <w:sz w:val="24"/>
              <w:szCs w:val="24"/>
            </w:rPr>
            <w:fldChar w:fldCharType="separate"/>
          </w:r>
          <w:r>
            <w:rPr>
              <w:rFonts w:ascii="Times New Roman" w:cs="Times New Roman" w:hAnsi="Times New Roman"/>
              <w:sz w:val="24"/>
              <w:szCs w:val="24"/>
            </w:rPr>
            <w:t>3</w:t>
          </w:r>
          <w:r>
            <w:rPr>
              <w:rFonts w:ascii="Times New Roman" w:cs="Times New Roman" w:hAnsi="Times New Roman"/>
              <w:sz w:val="24"/>
              <w:szCs w:val="24"/>
            </w:rPr>
            <w:fldChar w:fldCharType="end"/>
          </w:r>
          <w:r>
            <w:fldChar w:fldCharType="end"/>
          </w:r>
        </w:p>
        <w:p>
          <w:pPr>
            <w:pStyle w:val="22"/>
            <w:tabs>
              <w:tab w:val="right" w:leader="dot" w:pos="9350"/>
            </w:tabs>
            <w:rPr>
              <w:rFonts w:ascii="Times New Roman" w:cs="Times New Roman" w:hAnsi="Times New Roman"/>
              <w:sz w:val="24"/>
              <w:szCs w:val="24"/>
            </w:rPr>
          </w:pPr>
          <w:r>
            <w:fldChar w:fldCharType="begin"/>
          </w:r>
          <w:r>
            <w:instrText>Hyperlink \l "_Toc202210230"</w:instrText>
          </w:r>
          <w:r>
            <w:fldChar w:fldCharType="separate"/>
          </w:r>
          <w:r>
            <w:rPr>
              <w:rFonts w:ascii="Times New Roman" w:cs="Times New Roman" w:hAnsi="Times New Roman"/>
              <w:b/>
              <w:sz w:val="24"/>
              <w:szCs w:val="24"/>
            </w:rPr>
            <w:t>SWOT Analysis: Understanding Threats and Opportunities in Context</w:t>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_Toc202210230 \h </w:instrText>
          </w:r>
          <w:r>
            <w:rPr>
              <w:rFonts w:ascii="Times New Roman" w:cs="Times New Roman" w:hAnsi="Times New Roman"/>
              <w:sz w:val="24"/>
              <w:szCs w:val="24"/>
            </w:rPr>
            <w:fldChar w:fldCharType="separate"/>
          </w:r>
          <w:r>
            <w:rPr>
              <w:rFonts w:ascii="Times New Roman" w:cs="Times New Roman" w:hAnsi="Times New Roman"/>
              <w:sz w:val="24"/>
              <w:szCs w:val="24"/>
            </w:rPr>
            <w:t>5</w:t>
          </w:r>
          <w:r>
            <w:rPr>
              <w:rFonts w:ascii="Times New Roman" w:cs="Times New Roman" w:hAnsi="Times New Roman"/>
              <w:sz w:val="24"/>
              <w:szCs w:val="24"/>
            </w:rPr>
            <w:fldChar w:fldCharType="end"/>
          </w:r>
          <w:r>
            <w:fldChar w:fldCharType="end"/>
          </w:r>
        </w:p>
        <w:p>
          <w:pPr>
            <w:pStyle w:val="21"/>
            <w:tabs>
              <w:tab w:val="right" w:leader="dot" w:pos="9350"/>
            </w:tabs>
            <w:rPr>
              <w:rFonts w:ascii="Times New Roman" w:cs="Times New Roman" w:hAnsi="Times New Roman"/>
              <w:sz w:val="24"/>
              <w:szCs w:val="24"/>
            </w:rPr>
          </w:pPr>
          <w:r>
            <w:fldChar w:fldCharType="begin"/>
          </w:r>
          <w:r>
            <w:instrText>Hyperlink \l "_Toc202210231"</w:instrText>
          </w:r>
          <w:r>
            <w:fldChar w:fldCharType="separate"/>
          </w:r>
          <w:r>
            <w:rPr>
              <w:rFonts w:ascii="Times New Roman" w:cs="Times New Roman" w:hAnsi="Times New Roman"/>
              <w:b/>
              <w:sz w:val="24"/>
              <w:szCs w:val="24"/>
            </w:rPr>
            <w:t>Conclusion</w:t>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_Toc202210231 \h </w:instrText>
          </w:r>
          <w:r>
            <w:rPr>
              <w:rFonts w:ascii="Times New Roman" w:cs="Times New Roman" w:hAnsi="Times New Roman"/>
              <w:sz w:val="24"/>
              <w:szCs w:val="24"/>
            </w:rPr>
            <w:fldChar w:fldCharType="separate"/>
          </w:r>
          <w:r>
            <w:rPr>
              <w:rFonts w:ascii="Times New Roman" w:cs="Times New Roman" w:hAnsi="Times New Roman"/>
              <w:sz w:val="24"/>
              <w:szCs w:val="24"/>
            </w:rPr>
            <w:t>6</w:t>
          </w:r>
          <w:r>
            <w:rPr>
              <w:rFonts w:ascii="Times New Roman" w:cs="Times New Roman" w:hAnsi="Times New Roman"/>
              <w:sz w:val="24"/>
              <w:szCs w:val="24"/>
            </w:rPr>
            <w:fldChar w:fldCharType="end"/>
          </w:r>
          <w:r>
            <w:fldChar w:fldCharType="end"/>
          </w:r>
        </w:p>
        <w:p>
          <w:pPr>
            <w:pStyle w:val="21"/>
            <w:tabs>
              <w:tab w:val="right" w:leader="dot" w:pos="9350"/>
            </w:tabs>
            <w:rPr>
              <w:rFonts w:ascii="Times New Roman" w:cs="Times New Roman" w:hAnsi="Times New Roman"/>
              <w:sz w:val="24"/>
              <w:szCs w:val="24"/>
            </w:rPr>
          </w:pPr>
          <w:r>
            <w:fldChar w:fldCharType="begin"/>
          </w:r>
          <w:r>
            <w:instrText>Hyperlink \l "_Toc202210232"</w:instrText>
          </w:r>
          <w:r>
            <w:fldChar w:fldCharType="separate"/>
          </w:r>
          <w:r>
            <w:rPr>
              <w:rFonts w:ascii="Times New Roman" w:cs="Times New Roman" w:hAnsi="Times New Roman"/>
              <w:b/>
              <w:sz w:val="24"/>
              <w:szCs w:val="24"/>
            </w:rPr>
            <w:t>Recommendations</w:t>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_Toc202210232 \h </w:instrText>
          </w:r>
          <w:r>
            <w:rPr>
              <w:rFonts w:ascii="Times New Roman" w:cs="Times New Roman" w:hAnsi="Times New Roman"/>
              <w:sz w:val="24"/>
              <w:szCs w:val="24"/>
            </w:rPr>
            <w:fldChar w:fldCharType="separate"/>
          </w:r>
          <w:r>
            <w:rPr>
              <w:rFonts w:ascii="Times New Roman" w:cs="Times New Roman" w:hAnsi="Times New Roman"/>
              <w:sz w:val="24"/>
              <w:szCs w:val="24"/>
            </w:rPr>
            <w:t>7</w:t>
          </w:r>
          <w:r>
            <w:rPr>
              <w:rFonts w:ascii="Times New Roman" w:cs="Times New Roman" w:hAnsi="Times New Roman"/>
              <w:sz w:val="24"/>
              <w:szCs w:val="24"/>
            </w:rPr>
            <w:fldChar w:fldCharType="end"/>
          </w:r>
          <w:r>
            <w:fldChar w:fldCharType="end"/>
          </w:r>
        </w:p>
        <w:p>
          <w:pPr>
            <w:pStyle w:val="22"/>
            <w:tabs>
              <w:tab w:val="right" w:leader="dot" w:pos="9350"/>
            </w:tabs>
            <w:rPr>
              <w:rFonts w:ascii="Times New Roman" w:cs="Times New Roman" w:hAnsi="Times New Roman"/>
              <w:sz w:val="24"/>
              <w:szCs w:val="24"/>
            </w:rPr>
          </w:pPr>
          <w:r>
            <w:fldChar w:fldCharType="begin"/>
          </w:r>
          <w:r>
            <w:instrText>Hyperlink \l "_Toc202210233"</w:instrText>
          </w:r>
          <w:r>
            <w:fldChar w:fldCharType="separate"/>
          </w:r>
          <w:r>
            <w:rPr>
              <w:rFonts w:ascii="Times New Roman" w:cs="Times New Roman" w:hAnsi="Times New Roman"/>
              <w:b/>
              <w:sz w:val="24"/>
              <w:szCs w:val="24"/>
            </w:rPr>
            <w:t>Recommendation 1: Prioritise Digital Transformation and Omnichannel Integration</w:t>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_Toc202210233 \h </w:instrText>
          </w:r>
          <w:r>
            <w:rPr>
              <w:rFonts w:ascii="Times New Roman" w:cs="Times New Roman" w:hAnsi="Times New Roman"/>
              <w:sz w:val="24"/>
              <w:szCs w:val="24"/>
            </w:rPr>
            <w:fldChar w:fldCharType="separate"/>
          </w:r>
          <w:r>
            <w:rPr>
              <w:rFonts w:ascii="Times New Roman" w:cs="Times New Roman" w:hAnsi="Times New Roman"/>
              <w:sz w:val="24"/>
              <w:szCs w:val="24"/>
            </w:rPr>
            <w:t>7</w:t>
          </w:r>
          <w:r>
            <w:rPr>
              <w:rFonts w:ascii="Times New Roman" w:cs="Times New Roman" w:hAnsi="Times New Roman"/>
              <w:sz w:val="24"/>
              <w:szCs w:val="24"/>
            </w:rPr>
            <w:fldChar w:fldCharType="end"/>
          </w:r>
          <w:r>
            <w:fldChar w:fldCharType="end"/>
          </w:r>
        </w:p>
        <w:p>
          <w:pPr>
            <w:pStyle w:val="22"/>
            <w:tabs>
              <w:tab w:val="right" w:leader="dot" w:pos="9350"/>
            </w:tabs>
            <w:rPr>
              <w:rFonts w:ascii="Times New Roman" w:cs="Times New Roman" w:hAnsi="Times New Roman"/>
              <w:sz w:val="24"/>
              <w:szCs w:val="24"/>
            </w:rPr>
          </w:pPr>
          <w:r>
            <w:fldChar w:fldCharType="begin"/>
          </w:r>
          <w:r>
            <w:instrText>Hyperlink \l "_Toc202210234"</w:instrText>
          </w:r>
          <w:r>
            <w:fldChar w:fldCharType="separate"/>
          </w:r>
          <w:r>
            <w:rPr>
              <w:rFonts w:ascii="Times New Roman" w:cs="Times New Roman" w:hAnsi="Times New Roman"/>
              <w:b/>
              <w:sz w:val="24"/>
              <w:szCs w:val="24"/>
            </w:rPr>
            <w:t>Recommendation 2: Reinvent the High Street through Community and Sustainability Initiatives</w:t>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_Toc202210234 \h </w:instrText>
          </w:r>
          <w:r>
            <w:rPr>
              <w:rFonts w:ascii="Times New Roman" w:cs="Times New Roman" w:hAnsi="Times New Roman"/>
              <w:sz w:val="24"/>
              <w:szCs w:val="24"/>
            </w:rPr>
            <w:fldChar w:fldCharType="separate"/>
          </w:r>
          <w:r>
            <w:rPr>
              <w:rFonts w:ascii="Times New Roman" w:cs="Times New Roman" w:hAnsi="Times New Roman"/>
              <w:sz w:val="24"/>
              <w:szCs w:val="24"/>
            </w:rPr>
            <w:t>7</w:t>
          </w:r>
          <w:r>
            <w:rPr>
              <w:rFonts w:ascii="Times New Roman" w:cs="Times New Roman" w:hAnsi="Times New Roman"/>
              <w:sz w:val="24"/>
              <w:szCs w:val="24"/>
            </w:rPr>
            <w:fldChar w:fldCharType="end"/>
          </w:r>
          <w:r>
            <w:fldChar w:fldCharType="end"/>
          </w:r>
        </w:p>
        <w:p>
          <w:pPr>
            <w:pStyle w:val="21"/>
            <w:tabs>
              <w:tab w:val="right" w:leader="dot" w:pos="9350"/>
            </w:tabs>
            <w:rPr>
              <w:rFonts w:ascii="Times New Roman" w:cs="Times New Roman" w:hAnsi="Times New Roman"/>
              <w:sz w:val="24"/>
              <w:szCs w:val="24"/>
            </w:rPr>
          </w:pPr>
          <w:r>
            <w:fldChar w:fldCharType="begin"/>
          </w:r>
          <w:r>
            <w:instrText>Hyperlink \l "_Toc202210235"</w:instrText>
          </w:r>
          <w:r>
            <w:fldChar w:fldCharType="separate"/>
          </w:r>
          <w:r>
            <w:rPr>
              <w:rFonts w:ascii="Times New Roman" w:cs="Times New Roman" w:hAnsi="Times New Roman"/>
              <w:b/>
              <w:sz w:val="24"/>
              <w:szCs w:val="24"/>
            </w:rPr>
            <w:t>References</w:t>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_Toc202210235 \h </w:instrText>
          </w:r>
          <w:r>
            <w:rPr>
              <w:rFonts w:ascii="Times New Roman" w:cs="Times New Roman" w:hAnsi="Times New Roman"/>
              <w:sz w:val="24"/>
              <w:szCs w:val="24"/>
            </w:rPr>
            <w:fldChar w:fldCharType="separate"/>
          </w:r>
          <w:r>
            <w:rPr>
              <w:rFonts w:ascii="Times New Roman" w:cs="Times New Roman" w:hAnsi="Times New Roman"/>
              <w:sz w:val="24"/>
              <w:szCs w:val="24"/>
            </w:rPr>
            <w:t>8</w:t>
          </w:r>
          <w:r>
            <w:rPr>
              <w:rFonts w:ascii="Times New Roman" w:cs="Times New Roman" w:hAnsi="Times New Roman"/>
              <w:sz w:val="24"/>
              <w:szCs w:val="24"/>
            </w:rPr>
            <w:fldChar w:fldCharType="end"/>
          </w:r>
          <w:r>
            <w:fldChar w:fldCharType="end"/>
          </w:r>
        </w:p>
        <w:p>
          <w:pPr>
            <w:rPr>
              <w:rFonts w:ascii="Times New Roman" w:cs="Times New Roman" w:hAnsi="Times New Roman"/>
              <w:sz w:val="24"/>
              <w:szCs w:val="24"/>
            </w:rPr>
          </w:pPr>
          <w:r>
            <w:rPr>
              <w:rFonts w:ascii="Times New Roman" w:cs="Times New Roman" w:hAnsi="Times New Roman"/>
              <w:b/>
              <w:bCs/>
              <w:sz w:val="24"/>
              <w:szCs w:val="24"/>
            </w:rPr>
            <w:fldChar w:fldCharType="end"/>
          </w:r>
        </w:p>
      </w:sdtContent>
    </w:sdt>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jc w:val="both"/>
        <w:rPr>
          <w:rFonts w:ascii="Times New Roman" w:cs="Times New Roman" w:hAnsi="Times New Roman"/>
          <w:sz w:val="24"/>
          <w:szCs w:val="24"/>
        </w:rPr>
      </w:pPr>
    </w:p>
    <w:p>
      <w:pPr>
        <w:pStyle w:val="1"/>
        <w:spacing w:line="360" w:lineRule="auto"/>
        <w:rPr>
          <w:rFonts w:ascii="Times New Roman" w:cs="Times New Roman" w:hAnsi="Times New Roman"/>
          <w:b/>
        </w:rPr>
      </w:pPr>
      <w:bookmarkStart w:id="1" w:name="_Toc202210227"/>
    </w:p>
    <w:p>
      <w:pPr>
        <w:pStyle w:val="1"/>
        <w:spacing w:line="360" w:lineRule="auto"/>
        <w:rPr>
          <w:rFonts w:ascii="Times New Roman" w:cs="Times New Roman" w:hAnsi="Times New Roman"/>
          <w:b/>
        </w:rPr>
      </w:pPr>
      <w:r>
        <w:rPr>
          <w:rFonts w:ascii="Times New Roman" w:cs="Times New Roman" w:hAnsi="Times New Roman"/>
          <w:b/>
        </w:rPr>
        <w:t>Introduction</w:t>
      </w:r>
      <w:bookmarkEnd w:id="1"/>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For long time, the UK's High Street has been an essential part of the nation's social and economic framework and experiencing significant change, with fewer customers making purchases, increased business expenses, and growing competition from online shopping sites (Wrigley, et al., 2024).  In addition to economic factors, societal and technical changes are influencing the decline by altering the way people shop in stores.  Using strategic analytical techniques like PESTLE and SWOT, this study examines the external variables influencing high-street shops in the United Kingdom and also conducts SWOT analysis and examines the broader political, economic, social, technical, legal, and environmental (PESTLE) factors that influence the retail environment to gain clearer understanding of the external risks and opportunities; the goal is to collect helpful information that could assist High Street businesses in adjusting their strategies. </w:t>
      </w:r>
    </w:p>
    <w:p>
      <w:pPr>
        <w:spacing w:line="360" w:lineRule="auto"/>
        <w:jc w:val="both"/>
        <w:rPr>
          <w:rFonts w:ascii="Times New Roman" w:cs="Times New Roman" w:hAnsi="Times New Roman"/>
          <w:sz w:val="24"/>
          <w:szCs w:val="24"/>
        </w:rPr>
      </w:pPr>
    </w:p>
    <w:p>
      <w:pPr>
        <w:pStyle w:val="1"/>
        <w:spacing w:line="360" w:lineRule="auto"/>
        <w:rPr>
          <w:rFonts w:ascii="Times New Roman" w:cs="Times New Roman" w:hAnsi="Times New Roman"/>
          <w:b/>
        </w:rPr>
      </w:pPr>
      <w:bookmarkStart w:id="2" w:name="_Toc202210228"/>
      <w:r>
        <w:rPr>
          <w:rFonts w:ascii="Times New Roman" w:cs="Times New Roman" w:hAnsi="Times New Roman"/>
          <w:b/>
        </w:rPr>
        <w:t>Findings</w:t>
      </w:r>
      <w:bookmarkEnd w:id="2"/>
    </w:p>
    <w:p>
      <w:pPr>
        <w:pStyle w:val="2"/>
        <w:spacing w:line="360" w:lineRule="auto"/>
        <w:rPr>
          <w:rFonts w:ascii="Times New Roman" w:cs="Times New Roman" w:hAnsi="Times New Roman"/>
          <w:b/>
        </w:rPr>
      </w:pPr>
      <w:bookmarkStart w:id="3" w:name="_Toc202210229"/>
      <w:r>
        <w:rPr>
          <w:rFonts w:ascii="Times New Roman" w:cs="Times New Roman" w:hAnsi="Times New Roman"/>
          <w:b/>
        </w:rPr>
        <w:t>PESTLE Analysis: Evaluating External Environmental Factors</w:t>
      </w:r>
      <w:bookmarkEnd w:id="3"/>
    </w:p>
    <w:p/>
    <w:p>
      <w:pPr>
        <w:spacing w:line="360" w:lineRule="auto"/>
        <w:jc w:val="both"/>
        <w:rPr>
          <w:rFonts w:ascii="Times New Roman" w:cs="Times New Roman" w:hAnsi="Times New Roman"/>
          <w:b/>
          <w:sz w:val="24"/>
          <w:szCs w:val="24"/>
        </w:rPr>
      </w:pPr>
      <w:r>
        <w:rPr>
          <w:rFonts w:ascii="Times New Roman" w:cs="Times New Roman" w:hAnsi="Times New Roman"/>
          <w:b/>
          <w:sz w:val="24"/>
          <w:szCs w:val="24"/>
        </w:rPr>
        <w:t>Political Factors</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The political climate affecting UK high-street merchants has been influenced by Brexit, trade changes, and local government regulations. Post-Brexit import and export restrictions have raised lead times and prices for EU products, making supply chains tougher to manage (Nerdwallet. 2025). Retailers relying on seasonal fashion lines or perishable goods from Europe have had to modify their inventory or renegotiate contracts. The government's rate hikes have also stressed physical firms, particularly small and medium-sized ones; dspite initiatives such as the "Future High Streets Fund," which allocated £1 billion to revitalize town centers, the results have been inconsistent and insufficient to prevent numerous retail hubs from shutting down (dokumen, 2024).</w:t>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b/>
          <w:sz w:val="24"/>
          <w:szCs w:val="24"/>
        </w:rPr>
      </w:pPr>
      <w:r>
        <w:rPr>
          <w:rFonts w:ascii="Times New Roman" w:cs="Times New Roman" w:hAnsi="Times New Roman"/>
          <w:b/>
          <w:sz w:val="24"/>
          <w:szCs w:val="24"/>
        </w:rPr>
        <w:t>Economic Factors</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The COVID-19 pandemic led to an economic downturn, which was further exacerbated by inflation and rising living costs and has significantly impacted people's ability to spend money. The Consumer Prices Index including owner occupiers' housing costs (CPIH) rose by 2.8% in the 12 months to May 2024, down from 3.0% in the 12 months to April (ONS, 2024).  Retailers such as Wilko and Superdry went out of business or had to make significant modifications to their operations because they were unable to adapt their business strategies or cope with increased prices (Bowler, 2023). Changes to minimum wage laws have resulted in increased operational costs as employees are requesting higher pay - big corporations like Tesco and Marks&amp;Spencer have managed pay rises by automating and cutting expenses, whereas smaller independent businesses struggle.</w:t>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b/>
          <w:sz w:val="24"/>
          <w:szCs w:val="24"/>
        </w:rPr>
      </w:pPr>
      <w:r>
        <w:rPr>
          <w:rFonts w:ascii="Times New Roman" w:cs="Times New Roman" w:hAnsi="Times New Roman"/>
          <w:b/>
          <w:sz w:val="24"/>
          <w:szCs w:val="24"/>
        </w:rPr>
        <w:t>Social Factors</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Customers want purchasing experiences that are more convenient, ethical, and suited to their specific requirements - the COVID-19 pandemic changed shopping habits by promoting local, value-focused purchases and accelerating the shift to online shopping. Additionally, Gen Z and Millennials expect companies to be socially and ecologically responsible, making ethical purchasing increasingly important; for instance, Primark has attempted to meet these expectations by launching line of eco-friendly clothing and new click-and-collect service (Primark, 2022). Depopulation trends are unjustly affecting low-urban High Streets since younger people are flocking to cities and leaving behind older groups with differing purchasing interests.</w:t>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b/>
          <w:sz w:val="24"/>
          <w:szCs w:val="24"/>
        </w:rPr>
      </w:pPr>
      <w:r>
        <w:rPr>
          <w:rFonts w:ascii="Times New Roman" w:cs="Times New Roman" w:hAnsi="Times New Roman"/>
          <w:b/>
          <w:sz w:val="24"/>
          <w:szCs w:val="24"/>
        </w:rPr>
        <w:t>Technology Factors</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Technology continues to be factor that distinguishes them from others. Since e-commerce, mobile shopping applications, digital wallets, and AI-powered recommendation engines are expanding fast, online retailers have an advantage. In 2023, online sales accounted for over 26% of total retail sales in the UK (Coppola, 2023). High Street companies continue to lose market share to data-driven businesses such as ASOS and Amazon - from seamless omnichannel connectivity to product-information QR codes, brick-and-mortar retailers must create tech-powered experience. High Street stores face risks due to their lack of data analytics and digital business operations and the M&amp;S ransomware attack in early 2025 highlighted the importance of strong cybersecurity and technological resilience in the modern retail environment (Pentestpeople, 2025).</w:t>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b/>
          <w:sz w:val="24"/>
          <w:szCs w:val="24"/>
        </w:rPr>
      </w:pPr>
    </w:p>
    <w:p>
      <w:pPr>
        <w:spacing w:line="360" w:lineRule="auto"/>
        <w:jc w:val="both"/>
        <w:rPr>
          <w:rFonts w:ascii="Times New Roman" w:cs="Times New Roman" w:hAnsi="Times New Roman"/>
          <w:b/>
          <w:sz w:val="24"/>
          <w:szCs w:val="24"/>
        </w:rPr>
      </w:pPr>
    </w:p>
    <w:p>
      <w:pPr>
        <w:spacing w:line="360" w:lineRule="auto"/>
        <w:jc w:val="both"/>
        <w:rPr>
          <w:rFonts w:ascii="Times New Roman" w:cs="Times New Roman" w:hAnsi="Times New Roman"/>
          <w:b/>
          <w:sz w:val="24"/>
          <w:szCs w:val="24"/>
        </w:rPr>
      </w:pPr>
      <w:r>
        <w:rPr>
          <w:rFonts w:ascii="Times New Roman" w:cs="Times New Roman" w:hAnsi="Times New Roman"/>
          <w:b/>
          <w:sz w:val="24"/>
          <w:szCs w:val="24"/>
        </w:rPr>
        <w:t>Legal Factors</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The law that regulates retail is constantly changing; it includes aspects such as data governance, worker protection, and consumer rights. The General Data Protection Regulation (GDPR) has clear rules that influence how businesses organize their marketing and manage customer data (</w:t>
      </w:r>
      <w:r>
        <w:rPr>
          <w:rFonts w:ascii="Times New Roman" w:cs="Times New Roman" w:hAnsi="Times New Roman"/>
          <w:color w:val="222222"/>
          <w:sz w:val="24"/>
          <w:szCs w:val="24"/>
          <w:shd w:val="clear" w:color="auto" w:fill="FFFFFF"/>
        </w:rPr>
        <w:t>Protection, 2018</w:t>
      </w:r>
      <w:r>
        <w:rPr>
          <w:rFonts w:ascii="Times New Roman" w:cs="Times New Roman" w:hAnsi="Times New Roman"/>
          <w:sz w:val="24"/>
          <w:szCs w:val="24"/>
        </w:rPr>
        <w:t>). New labor laws and greater statutory sick pay have increased administrative and financial burdens; as ethical sourcing and environmental impact regulations tighten, retailers must monitor their supply chains and give thorough reports, this is challenging and expensive task for organizations with limited funds.</w:t>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b/>
          <w:sz w:val="24"/>
          <w:szCs w:val="24"/>
        </w:rPr>
      </w:pPr>
      <w:r>
        <w:rPr>
          <w:rFonts w:ascii="Times New Roman" w:cs="Times New Roman" w:hAnsi="Times New Roman"/>
          <w:b/>
          <w:sz w:val="24"/>
          <w:szCs w:val="24"/>
        </w:rPr>
        <w:t>Environmental Factors</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Sustainability is increasingly influencing your decisions as customer. The UK's net-zero goals and environmental laws require stores to adopt eco-friendly practices, such as reducing plastic packaging and improving energy efficiency in their stores; if retailers fail to meet these expectations, they risk losing consumers' trust and damaging their brand. John Lewis is committing to being carbon net-zero by 2035 and is experimenting with closed-loop supply chains and reusable packaging (Connor-Crabb, et al., 2025); as more investors consider ESG factors, firms that don't care about the environment may lose money. </w:t>
      </w:r>
    </w:p>
    <w:p>
      <w:pPr>
        <w:spacing w:line="360" w:lineRule="auto"/>
        <w:jc w:val="both"/>
        <w:rPr>
          <w:rFonts w:ascii="Times New Roman" w:cs="Times New Roman" w:hAnsi="Times New Roman"/>
          <w:sz w:val="24"/>
          <w:szCs w:val="24"/>
        </w:rPr>
      </w:pPr>
    </w:p>
    <w:p>
      <w:pPr>
        <w:pStyle w:val="2"/>
        <w:spacing w:line="360" w:lineRule="auto"/>
        <w:rPr>
          <w:rFonts w:ascii="Times New Roman" w:cs="Times New Roman" w:hAnsi="Times New Roman"/>
          <w:b/>
        </w:rPr>
      </w:pPr>
      <w:bookmarkStart w:id="4" w:name="_Toc202210230"/>
      <w:r>
        <w:rPr>
          <w:rFonts w:ascii="Times New Roman" w:cs="Times New Roman" w:hAnsi="Times New Roman"/>
          <w:b/>
        </w:rPr>
        <w:t>SWOT Analysis: Understanding Threats and Opportunities in Context</w:t>
      </w:r>
      <w:bookmarkEnd w:id="4"/>
    </w:p>
    <w:p/>
    <w:p>
      <w:pPr>
        <w:spacing w:line="360" w:lineRule="auto"/>
        <w:jc w:val="both"/>
        <w:rPr>
          <w:rFonts w:ascii="Times New Roman" w:cs="Times New Roman" w:hAnsi="Times New Roman"/>
          <w:b/>
          <w:sz w:val="24"/>
          <w:szCs w:val="24"/>
        </w:rPr>
      </w:pPr>
    </w:p>
    <w:p>
      <w:pPr>
        <w:spacing w:line="360" w:lineRule="auto"/>
        <w:jc w:val="both"/>
        <w:rPr>
          <w:rFonts w:ascii="Times New Roman" w:cs="Times New Roman" w:hAnsi="Times New Roman"/>
          <w:b/>
          <w:sz w:val="24"/>
          <w:szCs w:val="24"/>
        </w:rPr>
      </w:pPr>
      <w:r>
        <w:rPr>
          <w:rFonts w:ascii="Times New Roman" w:cs="Times New Roman" w:hAnsi="Times New Roman"/>
          <w:b/>
          <w:sz w:val="24"/>
          <w:szCs w:val="24"/>
        </w:rPr>
        <w:t>Strengths and Weaknesses (Internal Context)</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Many High Street retailers still hold value due to their in-person customer care and brand recognition, but they are limited by outdated business practices and face significant risks due to outdated systems, inflexible supply networks, and an over-reliance on seasonal foot traffic (Nanda, et al., 2021). Boots and WHSmith are two familiar companies that generate revenue from pharmaceutical services and travel shopping, respectively and gain advantages from maintaining long-term relationships with suppliers.</w:t>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b/>
          <w:sz w:val="24"/>
          <w:szCs w:val="24"/>
        </w:rPr>
      </w:pPr>
    </w:p>
    <w:p>
      <w:pPr>
        <w:spacing w:line="360" w:lineRule="auto"/>
        <w:jc w:val="both"/>
        <w:rPr>
          <w:rFonts w:ascii="Times New Roman" w:cs="Times New Roman" w:hAnsi="Times New Roman"/>
          <w:b/>
          <w:sz w:val="24"/>
          <w:szCs w:val="24"/>
        </w:rPr>
      </w:pPr>
    </w:p>
    <w:p>
      <w:pPr>
        <w:spacing w:line="360" w:lineRule="auto"/>
        <w:jc w:val="both"/>
        <w:rPr>
          <w:rFonts w:ascii="Times New Roman" w:cs="Times New Roman" w:hAnsi="Times New Roman"/>
          <w:b/>
          <w:sz w:val="24"/>
          <w:szCs w:val="24"/>
        </w:rPr>
      </w:pPr>
      <w:r>
        <w:rPr>
          <w:rFonts w:ascii="Times New Roman" w:cs="Times New Roman" w:hAnsi="Times New Roman"/>
          <w:b/>
          <w:sz w:val="24"/>
          <w:szCs w:val="24"/>
        </w:rPr>
        <w:t>Opportunities (External)</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Digital technologies and community-based retail models can assist businesses in their growth. Retailers can offer convenience and in-store shopping by using hybrid formats such as showrooming and click-and-collect (Vyt, et al., 2022). Government support to restore high streets might generate civic spaces for housing, entertainment, and retail if used properly; as more consumers desire eco-friendly, ethical, and local products, and bigger rivals prioritize size over quality, high-street retailers may become important again.</w:t>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b/>
          <w:sz w:val="24"/>
          <w:szCs w:val="24"/>
        </w:rPr>
      </w:pPr>
    </w:p>
    <w:p>
      <w:pPr>
        <w:spacing w:line="360" w:lineRule="auto"/>
        <w:jc w:val="both"/>
        <w:rPr>
          <w:rFonts w:ascii="Times New Roman" w:cs="Times New Roman" w:hAnsi="Times New Roman"/>
          <w:b/>
          <w:sz w:val="24"/>
          <w:szCs w:val="24"/>
        </w:rPr>
      </w:pPr>
    </w:p>
    <w:p>
      <w:pPr>
        <w:spacing w:line="360" w:lineRule="auto"/>
        <w:jc w:val="both"/>
        <w:rPr>
          <w:rFonts w:ascii="Times New Roman" w:cs="Times New Roman" w:hAnsi="Times New Roman"/>
          <w:b/>
          <w:sz w:val="24"/>
          <w:szCs w:val="24"/>
        </w:rPr>
      </w:pPr>
      <w:r>
        <w:rPr>
          <w:rFonts w:ascii="Times New Roman" w:cs="Times New Roman" w:hAnsi="Times New Roman"/>
          <w:b/>
          <w:sz w:val="24"/>
          <w:szCs w:val="24"/>
        </w:rPr>
        <w:t>Threats (External)</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The main threats are changing demographics, rising costs, and intense online competition - big online stores set high expectations for speed, price, and service that are challenging for physical stores to meet, this is in addition to earning money, also, several High Streets support communities that are experiencing increased poverty and reduced services due to socioeconomic division; the increase in antisocial behavior and retail crime in various town centers contributes to operational risk (Crime and Justice, 2025).</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Overall, UK High Street merchants face complex and unstable world influenced by numerous interconnected political, economic, social, technical, legal, and environmental variables. PESTLE and SWOT evaluate issues' complexity and potential solutions.  </w:t>
      </w:r>
    </w:p>
    <w:p>
      <w:pPr>
        <w:pStyle w:val="1"/>
        <w:spacing w:line="360" w:lineRule="auto"/>
        <w:rPr>
          <w:rFonts w:ascii="Times New Roman" w:cs="Times New Roman" w:hAnsi="Times New Roman"/>
          <w:sz w:val="24"/>
          <w:szCs w:val="24"/>
        </w:rPr>
      </w:pPr>
      <w:bookmarkStart w:id="5" w:name="_Toc202210231"/>
    </w:p>
    <w:p>
      <w:pPr>
        <w:pStyle w:val="1"/>
        <w:spacing w:line="360" w:lineRule="auto"/>
        <w:rPr>
          <w:rFonts w:ascii="Times New Roman" w:cs="Times New Roman" w:hAnsi="Times New Roman"/>
          <w:sz w:val="24"/>
          <w:szCs w:val="24"/>
        </w:rPr>
      </w:pPr>
    </w:p>
    <w:p>
      <w:pPr>
        <w:pStyle w:val="1"/>
        <w:spacing w:line="360" w:lineRule="auto"/>
        <w:rPr>
          <w:rFonts w:ascii="Times New Roman" w:cs="Times New Roman" w:hAnsi="Times New Roman"/>
          <w:b/>
        </w:rPr>
      </w:pPr>
      <w:r>
        <w:rPr>
          <w:rFonts w:ascii="Times New Roman" w:cs="Times New Roman" w:hAnsi="Times New Roman"/>
          <w:b/>
        </w:rPr>
        <w:t>Conclusion</w:t>
      </w:r>
      <w:bookmarkEnd w:id="5"/>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According to the research, UK high-street retailers must contend with dynamic and intricate external environment that is impacted by macro trends that impact many regions. Trade issues and adjustments to local tax systems after Brexit have created challenges for physical stores in managing their operations and the COVID-19 pandemic and the cost-of-living crisis have negatively impacted the economy by lowering consumer confidence and increasing spending on essentials. The pandemic has sped up social changes, altering what people desire; currently, they are looking for digital products that are simple to use and ethically purchased. Technological advances continue to challenge traditional stores.  Those who generate new ideas through digital engagement, data analytics, and consistent approach will be the ones to gain advantages. Compliance needs have increased due to stronger cybersecurity, consumer protection, and labor legislation and businesses must implement sustainable practices to avoid losing money and reputation due to environmental challenges. The PESTLE and SWOT analyses show that sector is facing challenges but also has opportunities - successful retailers will view these external influences as opportunities to change, adapt, and innovate rather than just as threats.  </w:t>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p>
    <w:p>
      <w:pPr>
        <w:pStyle w:val="1"/>
        <w:spacing w:line="360" w:lineRule="auto"/>
        <w:rPr>
          <w:rFonts w:ascii="Times New Roman" w:cs="Times New Roman" w:hAnsi="Times New Roman"/>
          <w:b/>
        </w:rPr>
      </w:pPr>
      <w:bookmarkStart w:id="6" w:name="_Toc202210232"/>
      <w:r>
        <w:rPr>
          <w:rFonts w:ascii="Times New Roman" w:cs="Times New Roman" w:hAnsi="Times New Roman"/>
          <w:b/>
        </w:rPr>
        <w:t>Recommendations</w:t>
      </w:r>
      <w:bookmarkEnd w:id="6"/>
    </w:p>
    <w:p>
      <w:pPr>
        <w:pStyle w:val="2"/>
        <w:spacing w:line="360" w:lineRule="auto"/>
        <w:rPr>
          <w:rFonts w:ascii="Times New Roman" w:cs="Times New Roman" w:hAnsi="Times New Roman"/>
          <w:b/>
        </w:rPr>
      </w:pPr>
      <w:bookmarkStart w:id="7" w:name="_Toc202210233"/>
      <w:r>
        <w:rPr>
          <w:rFonts w:ascii="Times New Roman" w:cs="Times New Roman" w:hAnsi="Times New Roman"/>
          <w:b/>
        </w:rPr>
        <w:t>Recommendation 1: Prioritise Digital Transformation and Omnichannel Integration</w:t>
      </w:r>
      <w:bookmarkEnd w:id="7"/>
    </w:p>
    <w:p>
      <w:pPr>
        <w:spacing w:line="360" w:lineRule="auto"/>
        <w:jc w:val="both"/>
        <w:rPr>
          <w:rFonts w:ascii="Times New Roman" w:cs="Times New Roman" w:hAnsi="Times New Roman"/>
          <w:sz w:val="24"/>
          <w:szCs w:val="24"/>
        </w:rPr>
      </w:pPr>
      <w:r>
        <w:rPr>
          <w:rFonts w:ascii="Times New Roman" w:cs="Times New Roman" w:hAnsi="Times New Roman"/>
          <w:sz w:val="24"/>
          <w:szCs w:val="24"/>
        </w:rPr>
        <w:t>Every aspect of high street store's operation must focus on going digital, this includes mobile-friendly websites, real-time inventory management systems, e-commerce platforms that interface with everything, and shop upgrades like interactive displays and QR codes that show product information. Customer satisfaction requires omnichannel integration, where online and offline channels operate together; retailers such as Next and Argos have demonstrated that this method is effective by utilizing efficient click-and-collect systems and fulfillment centers within stores (Devpandas, 2024). Investing in AI-driven consumer insights could enable personalized marketing, leading to higher conversion rates and stronger customer loyalty. Digital-first companies are altering customer expectations, so traditional businesses must adapt or risk becoming outdated.</w:t>
      </w:r>
    </w:p>
    <w:p>
      <w:pPr>
        <w:pStyle w:val="2"/>
        <w:spacing w:line="360" w:lineRule="auto"/>
        <w:rPr>
          <w:rFonts w:ascii="Times New Roman" w:cs="Times New Roman" w:hAnsi="Times New Roman"/>
          <w:b/>
        </w:rPr>
      </w:pPr>
      <w:bookmarkStart w:id="8" w:name="_Toc202210234"/>
    </w:p>
    <w:p>
      <w:pPr>
        <w:pStyle w:val="2"/>
        <w:spacing w:line="360" w:lineRule="auto"/>
        <w:rPr>
          <w:rFonts w:ascii="Times New Roman" w:cs="Times New Roman" w:hAnsi="Times New Roman"/>
          <w:b/>
        </w:rPr>
      </w:pPr>
      <w:r>
        <w:rPr>
          <w:rFonts w:ascii="Times New Roman" w:cs="Times New Roman" w:hAnsi="Times New Roman"/>
          <w:b/>
        </w:rPr>
        <w:t>Recommendation 2: Reinvent the High Street through Community and Sustainability Initiatives</w:t>
      </w:r>
      <w:bookmarkEnd w:id="8"/>
    </w:p>
    <w:p>
      <w:pPr>
        <w:spacing w:line="360" w:lineRule="auto"/>
        <w:jc w:val="both"/>
        <w:rPr>
          <w:rFonts w:ascii="Times New Roman" w:cs="Times New Roman" w:hAnsi="Times New Roman"/>
          <w:sz w:val="24"/>
          <w:szCs w:val="24"/>
        </w:rPr>
      </w:pPr>
      <w:r>
        <w:rPr>
          <w:rFonts w:ascii="Times New Roman" w:cs="Times New Roman" w:hAnsi="Times New Roman"/>
          <w:sz w:val="24"/>
          <w:szCs w:val="24"/>
        </w:rPr>
        <w:t>High Street retailers could embrace sustainable and community-focused business strategy to attract more customers and get them engaged, this involves creating places that fulfill multiple functions, such as commerce, civic engagement, cultural events, and recreational activities. Examples include pop-up markets, neighborhood gatherings, and store activities that allow people to connect with each other. To attract eco-conscious customers, retailers may source items locally, use waste-free packaging, and collaborate on green logistics; companies such as Lush and John Lewis are distinguishing themselves by committing to environmental protection and ethical business practices (LUSH, 2018). High Street stores should consider what they offer and aim to attract more loyal customers by demonstrating their commitment to the environment and the community.</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These recommendations are not mutually exclusive but interdependent The UK High Street has strong chance of revitalization if it adopts plan focused on technology, community, and sustainability, despite ongoing external challenges. </w:t>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p>
    <w:p>
      <w:pPr>
        <w:pStyle w:val="1"/>
        <w:rPr>
          <w:rFonts w:ascii="Times New Roman" w:cs="Times New Roman" w:hAnsi="Times New Roman"/>
          <w:b/>
        </w:rPr>
      </w:pPr>
      <w:bookmarkStart w:id="9" w:name="_Toc202210235"/>
    </w:p>
    <w:p>
      <w:pPr>
        <w:pStyle w:val="1"/>
        <w:rPr>
          <w:rFonts w:ascii="Times New Roman" w:cs="Times New Roman" w:hAnsi="Times New Roman"/>
          <w:b/>
        </w:rPr>
      </w:pPr>
    </w:p>
    <w:p>
      <w:pPr>
        <w:pStyle w:val="1"/>
        <w:rPr>
          <w:rFonts w:ascii="Times New Roman" w:cs="Times New Roman" w:hAnsi="Times New Roman"/>
          <w:b/>
        </w:rPr>
      </w:pPr>
    </w:p>
    <w:p>
      <w:pPr>
        <w:pStyle w:val="1"/>
        <w:rPr>
          <w:rFonts w:ascii="Times New Roman" w:cs="Times New Roman" w:hAnsi="Times New Roman"/>
          <w:b/>
        </w:rPr>
      </w:pPr>
      <w:r>
        <w:rPr>
          <w:rFonts w:ascii="Times New Roman" w:cs="Times New Roman" w:hAnsi="Times New Roman"/>
          <w:b/>
        </w:rPr>
        <w:t>References</w:t>
      </w:r>
      <w:bookmarkEnd w:id="9"/>
    </w:p>
    <w:p>
      <w:pPr>
        <w:ind w:left="720" w:hanging="720"/>
        <w:jc w:val="both"/>
        <w:rPr>
          <w:rFonts w:ascii="Times New Roman" w:cs="Times New Roman" w:hAnsi="Times New Roman"/>
          <w:sz w:val="24"/>
        </w:rPr>
      </w:pPr>
      <w:r>
        <w:rPr>
          <w:rFonts w:ascii="Times New Roman" w:cs="Times New Roman" w:hAnsi="Times New Roman"/>
          <w:sz w:val="24"/>
        </w:rPr>
        <w:t xml:space="preserve">Bowler, H. (2023). ‘The brand became pointless’: why marketing failures lie at the heart of Wilko’s downfall. [online] The Drum. Available at: </w:t>
      </w:r>
      <w:r>
        <w:rPr>
          <w:rStyle w:val="18"/>
          <w:rFonts w:ascii="Times New Roman" w:cs="Times New Roman" w:hAnsi="Times New Roman"/>
          <w:sz w:val="24"/>
        </w:rPr>
        <w:fldChar w:fldCharType="begin"/>
      </w:r>
      <w:r>
        <w:instrText>HYPERLINK "https://www.thedrum.com/news/2023/08/11/the-brand-became-pointless-why-marketing-failures-lie-the-heart-wilko-s-downfall"</w:instrText>
      </w:r>
      <w:r>
        <w:rPr>
          <w:rStyle w:val="18"/>
          <w:rFonts w:ascii="Times New Roman" w:cs="Times New Roman" w:hAnsi="Times New Roman"/>
          <w:sz w:val="24"/>
        </w:rPr>
        <w:fldChar w:fldCharType="separate"/>
      </w:r>
      <w:r>
        <w:rPr>
          <w:rStyle w:val="18"/>
          <w:rFonts w:ascii="Times New Roman" w:cs="Times New Roman" w:hAnsi="Times New Roman"/>
          <w:sz w:val="24"/>
        </w:rPr>
        <w:t>https://www.thedrum.com/news/2023/08/11/the-brand-became-pointless-why-marketing-failures-lie-the-heart-wilko-s-downfall</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Connor-Crabb, A., Bulman, S., Bunyan, C., Guo, Y., Hulme, A., Rainton, S., Solomon, L. and Toms, S. (2025). Sustainable and Circular Practices in the UK Fashion and Textile Industry - White Rose Research Online. Whiterose.ac.uk. [online] doi: </w:t>
      </w:r>
      <w:r>
        <w:rPr>
          <w:rStyle w:val="18"/>
          <w:rFonts w:ascii="Times New Roman" w:cs="Times New Roman" w:hAnsi="Times New Roman"/>
          <w:sz w:val="24"/>
        </w:rPr>
        <w:fldChar w:fldCharType="begin"/>
      </w:r>
      <w:r>
        <w:instrText>HYPERLINK "https://eprints.whiterose.ac.uk/222815/1/CICP-Fashion-Demonstrator-1B-Full-Report-compressed.pdf"</w:instrText>
      </w:r>
      <w:r>
        <w:rPr>
          <w:rStyle w:val="18"/>
          <w:rFonts w:ascii="Times New Roman" w:cs="Times New Roman" w:hAnsi="Times New Roman"/>
          <w:sz w:val="24"/>
        </w:rPr>
        <w:fldChar w:fldCharType="separate"/>
      </w:r>
      <w:r>
        <w:rPr>
          <w:rStyle w:val="18"/>
          <w:rFonts w:ascii="Times New Roman" w:cs="Times New Roman" w:hAnsi="Times New Roman"/>
          <w:sz w:val="24"/>
        </w:rPr>
        <w:t>https://eprints.whiterose.ac.uk/222815/1/CICP-Fashion-Demonstrator-1B-Full-Report-compressed.pdf</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Coppola, D. (2023). E-commerce share of retail sales revenue in the United Kingdom (UK) from 2020 to 2025. [online] Statista. Available at: </w:t>
      </w:r>
      <w:r>
        <w:rPr>
          <w:rStyle w:val="18"/>
          <w:rFonts w:ascii="Times New Roman" w:cs="Times New Roman" w:hAnsi="Times New Roman"/>
          <w:sz w:val="24"/>
        </w:rPr>
        <w:fldChar w:fldCharType="begin"/>
      </w:r>
      <w:r>
        <w:instrText>HYPERLINK "https://www.statista.com/statistics/285978/e-commerce-share-of-retail-sales-in-the-united-kingdom-uk/"</w:instrText>
      </w:r>
      <w:r>
        <w:rPr>
          <w:rStyle w:val="18"/>
          <w:rFonts w:ascii="Times New Roman" w:cs="Times New Roman" w:hAnsi="Times New Roman"/>
          <w:sz w:val="24"/>
        </w:rPr>
        <w:fldChar w:fldCharType="separate"/>
      </w:r>
      <w:r>
        <w:rPr>
          <w:rStyle w:val="18"/>
          <w:rFonts w:ascii="Times New Roman" w:cs="Times New Roman" w:hAnsi="Times New Roman"/>
          <w:sz w:val="24"/>
        </w:rPr>
        <w:t>https://www.statista.com/statistics/285978/e-commerce-share-of-retail-sales-in-the-united-kingdom-uk/</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Crime and Justice. The Impact of Local Antisocial Behaviour Strategies at the Neighbourhood Level. (2025). Available at: </w:t>
      </w:r>
      <w:r>
        <w:rPr>
          <w:rStyle w:val="18"/>
          <w:rFonts w:ascii="Times New Roman" w:cs="Times New Roman" w:hAnsi="Times New Roman"/>
          <w:sz w:val="24"/>
        </w:rPr>
        <w:fldChar w:fldCharType="begin"/>
      </w:r>
      <w:r>
        <w:instrText>HYPERLINK "http://shura.shu.ac.uk/27253/1/impact-local-asb-strategies-neighbourhood.pdf"</w:instrText>
      </w:r>
      <w:r>
        <w:rPr>
          <w:rStyle w:val="18"/>
          <w:rFonts w:ascii="Times New Roman" w:cs="Times New Roman" w:hAnsi="Times New Roman"/>
          <w:sz w:val="24"/>
        </w:rPr>
        <w:fldChar w:fldCharType="separate"/>
      </w:r>
      <w:r>
        <w:rPr>
          <w:rStyle w:val="18"/>
          <w:rFonts w:ascii="Times New Roman" w:cs="Times New Roman" w:hAnsi="Times New Roman"/>
          <w:sz w:val="24"/>
        </w:rPr>
        <w:t>http://shura.shu.ac.uk/27253/1/impact-local-asb-strategies-neighbourhood.pdf</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Devpandas.co. (2024). Omnichannel Retail: Integrating Online &amp; Offline Experiences. [online] Available at: </w:t>
      </w:r>
      <w:r>
        <w:rPr>
          <w:rStyle w:val="18"/>
          <w:rFonts w:ascii="Times New Roman" w:cs="Times New Roman" w:hAnsi="Times New Roman"/>
          <w:sz w:val="24"/>
        </w:rPr>
        <w:fldChar w:fldCharType="begin"/>
      </w:r>
      <w:r>
        <w:instrText>HYPERLINK "https://www.devpandas.co/blog/omnichannel-retail"</w:instrText>
      </w:r>
      <w:r>
        <w:rPr>
          <w:rStyle w:val="18"/>
          <w:rFonts w:ascii="Times New Roman" w:cs="Times New Roman" w:hAnsi="Times New Roman"/>
          <w:sz w:val="24"/>
        </w:rPr>
        <w:fldChar w:fldCharType="separate"/>
      </w:r>
      <w:r>
        <w:rPr>
          <w:rStyle w:val="18"/>
          <w:rFonts w:ascii="Times New Roman" w:cs="Times New Roman" w:hAnsi="Times New Roman"/>
          <w:sz w:val="24"/>
        </w:rPr>
        <w:t>https://www.devpandas.co/blog/omnichannel-retail</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dokumen.pub. (2024). High Street: How our town centres can bounce back from the retail crisis 1914124308, 9781914124303. [online] Available at: </w:t>
      </w:r>
      <w:r>
        <w:rPr>
          <w:rStyle w:val="18"/>
          <w:rFonts w:ascii="Times New Roman" w:cs="Times New Roman" w:hAnsi="Times New Roman"/>
          <w:sz w:val="24"/>
        </w:rPr>
        <w:fldChar w:fldCharType="begin"/>
      </w:r>
      <w:r>
        <w:instrText>HYPERLINK "https://dokumen.pub/high-street-how-our-town-centres-can-bounce-back-from-the-retail-crisis-1914124308-9781914124303.html"</w:instrText>
      </w:r>
      <w:r>
        <w:rPr>
          <w:rStyle w:val="18"/>
          <w:rFonts w:ascii="Times New Roman" w:cs="Times New Roman" w:hAnsi="Times New Roman"/>
          <w:sz w:val="24"/>
        </w:rPr>
        <w:fldChar w:fldCharType="separate"/>
      </w:r>
      <w:r>
        <w:rPr>
          <w:rStyle w:val="18"/>
          <w:rFonts w:ascii="Times New Roman" w:cs="Times New Roman" w:hAnsi="Times New Roman"/>
          <w:sz w:val="24"/>
        </w:rPr>
        <w:t>https://dokumen.pub/high-street-how-our-town-centres-can-bounce-back-from-the-retail-crisis-1914124308-9781914124303.html</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LUSH (2018). The Lush Ethical Charter. [online] We are Lush. Available at: </w:t>
      </w:r>
      <w:r>
        <w:rPr>
          <w:rStyle w:val="18"/>
          <w:rFonts w:ascii="Times New Roman" w:cs="Times New Roman" w:hAnsi="Times New Roman"/>
          <w:sz w:val="24"/>
        </w:rPr>
        <w:fldChar w:fldCharType="begin"/>
      </w:r>
      <w:r>
        <w:instrText>HYPERLINK "https://weare.lush.com/lush-life/our-values/the-lush-ethical-charter/"</w:instrText>
      </w:r>
      <w:r>
        <w:rPr>
          <w:rStyle w:val="18"/>
          <w:rFonts w:ascii="Times New Roman" w:cs="Times New Roman" w:hAnsi="Times New Roman"/>
          <w:sz w:val="24"/>
        </w:rPr>
        <w:fldChar w:fldCharType="separate"/>
      </w:r>
      <w:r>
        <w:rPr>
          <w:rStyle w:val="18"/>
          <w:rFonts w:ascii="Times New Roman" w:cs="Times New Roman" w:hAnsi="Times New Roman"/>
          <w:sz w:val="24"/>
        </w:rPr>
        <w:t>https://weare.lush.com/lush-life/our-values/the-lush-ethical-charter/</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Nanda, A., Xu, Y. and Zhang, F. (2021). How would the COVID-19 pandemic reshape retail real estate and high streets through acceleration of E-commerce and digitalization? Journal of Urban Management, [online] 10(2), pp.110–124. Available at: </w:t>
      </w:r>
      <w:r>
        <w:rPr>
          <w:rStyle w:val="18"/>
          <w:rFonts w:ascii="Times New Roman" w:cs="Times New Roman" w:hAnsi="Times New Roman"/>
          <w:sz w:val="24"/>
        </w:rPr>
        <w:fldChar w:fldCharType="begin"/>
      </w:r>
      <w:r>
        <w:instrText>HYPERLINK "https://www.sciencedirect.com/science/article/pii/S2226585621000327"</w:instrText>
      </w:r>
      <w:r>
        <w:rPr>
          <w:rStyle w:val="18"/>
          <w:rFonts w:ascii="Times New Roman" w:cs="Times New Roman" w:hAnsi="Times New Roman"/>
          <w:sz w:val="24"/>
        </w:rPr>
        <w:fldChar w:fldCharType="separate"/>
      </w:r>
      <w:r>
        <w:rPr>
          <w:rStyle w:val="18"/>
          <w:rFonts w:ascii="Times New Roman" w:cs="Times New Roman" w:hAnsi="Times New Roman"/>
          <w:sz w:val="24"/>
        </w:rPr>
        <w:t>https://www.sciencedirect.com/science/article/pii/S2226585621000327</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ONS (2024). Consumer price inflation, UK - Office for National Statistics. [online] www.ons.gov.uk. Available at: </w:t>
      </w:r>
      <w:r>
        <w:rPr>
          <w:rStyle w:val="18"/>
          <w:rFonts w:ascii="Times New Roman" w:cs="Times New Roman" w:hAnsi="Times New Roman"/>
          <w:sz w:val="24"/>
        </w:rPr>
        <w:fldChar w:fldCharType="begin"/>
      </w:r>
      <w:r>
        <w:instrText>HYPERLINK "https://www.ons.gov.uk/economy/inflationandpriceindices/bulletins/consumerpriceinflation/may2024"</w:instrText>
      </w:r>
      <w:r>
        <w:rPr>
          <w:rStyle w:val="18"/>
          <w:rFonts w:ascii="Times New Roman" w:cs="Times New Roman" w:hAnsi="Times New Roman"/>
          <w:sz w:val="24"/>
        </w:rPr>
        <w:fldChar w:fldCharType="separate"/>
      </w:r>
      <w:r>
        <w:rPr>
          <w:rStyle w:val="18"/>
          <w:rFonts w:ascii="Times New Roman" w:cs="Times New Roman" w:hAnsi="Times New Roman"/>
          <w:sz w:val="24"/>
        </w:rPr>
        <w:t>https://www.ons.gov.uk/economy/inflationandpriceindices/bulletins/consumerpriceinflation/may2024</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Pentestpeople.com. (2025). What is The Damage of a Cyber Attack? Marks &amp; Spencers Case Study. [online] Available at: </w:t>
      </w:r>
      <w:r>
        <w:rPr>
          <w:rStyle w:val="18"/>
          <w:rFonts w:ascii="Times New Roman" w:cs="Times New Roman" w:hAnsi="Times New Roman"/>
          <w:sz w:val="24"/>
        </w:rPr>
        <w:fldChar w:fldCharType="begin"/>
      </w:r>
      <w:r>
        <w:instrText>HYPERLINK "https://www.pentestpeople.com/blog-posts/what-is-the-damage-of-a-cyber-attack-marks-spencers-case-study"</w:instrText>
      </w:r>
      <w:r>
        <w:rPr>
          <w:rStyle w:val="18"/>
          <w:rFonts w:ascii="Times New Roman" w:cs="Times New Roman" w:hAnsi="Times New Roman"/>
          <w:sz w:val="24"/>
        </w:rPr>
        <w:fldChar w:fldCharType="separate"/>
      </w:r>
      <w:r>
        <w:rPr>
          <w:rStyle w:val="18"/>
          <w:rFonts w:ascii="Times New Roman" w:cs="Times New Roman" w:hAnsi="Times New Roman"/>
          <w:sz w:val="24"/>
        </w:rPr>
        <w:t>https://www.pentestpeople.com/blog-posts/what-is-the-damage-of-a-cyber-attack-marks-spencers-case-study</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Primark (2022). Our Click and Collect Service. [online] Primark. Available at: </w:t>
      </w:r>
      <w:r>
        <w:rPr>
          <w:rStyle w:val="18"/>
          <w:rFonts w:ascii="Times New Roman" w:cs="Times New Roman" w:hAnsi="Times New Roman"/>
          <w:sz w:val="24"/>
        </w:rPr>
        <w:fldChar w:fldCharType="begin"/>
      </w:r>
      <w:r>
        <w:instrText>HYPERLINK "https://www.primark.com/en-gb/a/inspiration/fashion-trends/our-click-and-collect-service"</w:instrText>
      </w:r>
      <w:r>
        <w:rPr>
          <w:rStyle w:val="18"/>
          <w:rFonts w:ascii="Times New Roman" w:cs="Times New Roman" w:hAnsi="Times New Roman"/>
          <w:sz w:val="24"/>
        </w:rPr>
        <w:fldChar w:fldCharType="separate"/>
      </w:r>
      <w:r>
        <w:rPr>
          <w:rStyle w:val="18"/>
          <w:rFonts w:ascii="Times New Roman" w:cs="Times New Roman" w:hAnsi="Times New Roman"/>
          <w:sz w:val="24"/>
        </w:rPr>
        <w:t>https://www.primark.com/en-gb/a/inspiration/fashion-trends/our-click-and-collect-service</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Protection, F.D., (2018). General data protection regulation (GDPR). Intersoft Consulting, Accessed in October, 24(1). </w:t>
      </w:r>
      <w:r>
        <w:rPr>
          <w:rStyle w:val="18"/>
          <w:rFonts w:ascii="Times New Roman" w:cs="Times New Roman" w:hAnsi="Times New Roman"/>
          <w:sz w:val="24"/>
        </w:rPr>
        <w:fldChar w:fldCharType="begin"/>
      </w:r>
      <w:r>
        <w:instrText>HYPERLINK "https://www.wep-portal.com/GDPR Policy.pdf"</w:instrText>
      </w:r>
      <w:r>
        <w:rPr>
          <w:rStyle w:val="18"/>
          <w:rFonts w:ascii="Times New Roman" w:cs="Times New Roman" w:hAnsi="Times New Roman"/>
          <w:sz w:val="24"/>
        </w:rPr>
        <w:fldChar w:fldCharType="separate"/>
      </w:r>
      <w:r>
        <w:rPr>
          <w:rStyle w:val="18"/>
          <w:rFonts w:ascii="Times New Roman" w:cs="Times New Roman" w:hAnsi="Times New Roman"/>
          <w:sz w:val="24"/>
        </w:rPr>
        <w:t>https://www.wep-portal.com/GDPR%20Policy.pdf</w:t>
      </w:r>
      <w:r>
        <w:rPr>
          <w:rStyle w:val="18"/>
          <w:rFonts w:ascii="Times New Roman" w:cs="Times New Roman" w:hAnsi="Times New Roman"/>
          <w:sz w:val="24"/>
        </w:rPr>
        <w:fldChar w:fldCharType="end"/>
      </w:r>
    </w:p>
    <w:p>
      <w:pPr>
        <w:ind w:left="720" w:hanging="720"/>
        <w:jc w:val="both"/>
        <w:rPr>
          <w:rFonts w:ascii="Times New Roman" w:cs="Times New Roman" w:hAnsi="Times New Roman"/>
          <w:sz w:val="24"/>
        </w:rPr>
      </w:pPr>
      <w:r>
        <w:rPr>
          <w:rFonts w:ascii="Times New Roman" w:cs="Times New Roman" w:hAnsi="Times New Roman"/>
          <w:sz w:val="24"/>
        </w:rPr>
        <w:t xml:space="preserve">Vyt, D., Jara, M., Mevel, O., Morvan, T. and Morvan, N. (2022). The impact of convenience in a click and collect retail setting: A consumer-based approach. International Journal of Production Economics, [online] 248, p.108491. doi: </w:t>
      </w:r>
      <w:r>
        <w:rPr>
          <w:rStyle w:val="18"/>
          <w:rFonts w:ascii="Times New Roman" w:cs="Times New Roman" w:hAnsi="Times New Roman"/>
          <w:sz w:val="24"/>
        </w:rPr>
        <w:fldChar w:fldCharType="begin"/>
      </w:r>
      <w:r>
        <w:instrText>HYPERLINK "https://doi.org/10.1016/j.ijpe.2022.108491"</w:instrText>
      </w:r>
      <w:r>
        <w:rPr>
          <w:rStyle w:val="18"/>
          <w:rFonts w:ascii="Times New Roman" w:cs="Times New Roman" w:hAnsi="Times New Roman"/>
          <w:sz w:val="24"/>
        </w:rPr>
        <w:fldChar w:fldCharType="separate"/>
      </w:r>
      <w:r>
        <w:rPr>
          <w:rStyle w:val="18"/>
          <w:rFonts w:ascii="Times New Roman" w:cs="Times New Roman" w:hAnsi="Times New Roman"/>
          <w:sz w:val="24"/>
        </w:rPr>
        <w:t>https://doi.org/10.1016/j.ijpe.2022.108491</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Wrigley, N., Lambiri, D., Geofutures, G., Reeves, C., Thurstain-Goodwin, M., Geofutures, S. and Wood (2024). British High Streets: from Crisis to Recovery? A Comprehensive Review of the Evidence. [online] Available at: </w:t>
      </w:r>
      <w:r>
        <w:rPr>
          <w:rStyle w:val="18"/>
          <w:rFonts w:ascii="Times New Roman" w:cs="Times New Roman" w:hAnsi="Times New Roman"/>
          <w:sz w:val="24"/>
        </w:rPr>
        <w:fldChar w:fldCharType="begin"/>
      </w:r>
      <w:r>
        <w:instrText>HYPERLINK "https://openresearch.surrey.ac.uk/esploro/fulltext/book/British-High-Streets-from-Crisis-to/99514974902346?repId=12139614630002346&amp;mId=13140675430002346&amp;institution=44SUR_INST"</w:instrText>
      </w:r>
      <w:r>
        <w:rPr>
          <w:rStyle w:val="18"/>
          <w:rFonts w:ascii="Times New Roman" w:cs="Times New Roman" w:hAnsi="Times New Roman"/>
          <w:sz w:val="24"/>
        </w:rPr>
        <w:fldChar w:fldCharType="separate"/>
      </w:r>
      <w:r>
        <w:rPr>
          <w:rStyle w:val="18"/>
          <w:rFonts w:ascii="Times New Roman" w:cs="Times New Roman" w:hAnsi="Times New Roman"/>
          <w:sz w:val="24"/>
        </w:rPr>
        <w:t>https://openresearch.surrey.ac.uk/esploro/fulltext/book/British-High-Streets-from-Crisis-to/99514974902346?repId=12139614630002346&amp;mId=13140675430002346&amp;institution=44SUR_INST</w:t>
      </w:r>
      <w:r>
        <w:rPr>
          <w:rStyle w:val="18"/>
          <w:rFonts w:ascii="Times New Roman" w:cs="Times New Roman" w:hAnsi="Times New Roman"/>
          <w:sz w:val="24"/>
        </w:rPr>
        <w:fldChar w:fldCharType="end"/>
      </w:r>
      <w:r>
        <w:rPr>
          <w:rFonts w:ascii="Times New Roman" w:cs="Times New Roman" w:hAnsi="Times New Roman"/>
          <w:sz w:val="24"/>
        </w:rPr>
        <w:t>.</w:t>
      </w:r>
    </w:p>
    <w:p>
      <w:pPr>
        <w:ind w:left="720" w:hanging="720"/>
        <w:jc w:val="both"/>
        <w:rPr>
          <w:rFonts w:ascii="Times New Roman" w:cs="Times New Roman" w:hAnsi="Times New Roman"/>
          <w:sz w:val="24"/>
        </w:rPr>
      </w:pPr>
      <w:r>
        <w:rPr>
          <w:rFonts w:ascii="Times New Roman" w:cs="Times New Roman" w:hAnsi="Times New Roman"/>
          <w:sz w:val="24"/>
        </w:rPr>
        <w:t xml:space="preserve">NerdWallet. (2025). The Future of the High Street. [online] Available at: </w:t>
      </w:r>
      <w:r>
        <w:rPr>
          <w:rStyle w:val="18"/>
          <w:rFonts w:ascii="Times New Roman" w:cs="Times New Roman" w:hAnsi="Times New Roman"/>
          <w:sz w:val="24"/>
        </w:rPr>
        <w:fldChar w:fldCharType="begin"/>
      </w:r>
      <w:r>
        <w:instrText>HYPERLINK "https://www.nerdwallet.com/uk/personal-finance/future-of-the-high-street/"</w:instrText>
      </w:r>
      <w:r>
        <w:rPr>
          <w:rStyle w:val="18"/>
          <w:rFonts w:ascii="Times New Roman" w:cs="Times New Roman" w:hAnsi="Times New Roman"/>
          <w:sz w:val="24"/>
        </w:rPr>
        <w:fldChar w:fldCharType="separate"/>
      </w:r>
      <w:r>
        <w:rPr>
          <w:rStyle w:val="18"/>
          <w:rFonts w:ascii="Times New Roman" w:cs="Times New Roman" w:hAnsi="Times New Roman"/>
          <w:sz w:val="24"/>
        </w:rPr>
        <w:t>https://www.nerdwallet.com/uk/personal-finance/future-of-the-high-street/.\</w:t>
      </w:r>
      <w:r>
        <w:rPr>
          <w:rStyle w:val="18"/>
          <w:rFonts w:ascii="Times New Roman" w:cs="Times New Roman" w:hAnsi="Times New Roman"/>
          <w:sz w:val="24"/>
        </w:rPr>
        <w:fldChar w:fldCharType="end"/>
      </w:r>
    </w:p>
    <w:p>
      <w:pPr>
        <w:jc w:val="both"/>
        <w:rPr>
          <w:rFonts w:ascii="Times New Roman" w:cs="Times New Roman" w:hAnsi="Times New Roman"/>
          <w:sz w:val="24"/>
          <w:szCs w:val="24"/>
        </w:rPr>
      </w:pPr>
    </w:p>
    <w:sectPr>
      <w:pgSz w:w="11907" w:h="16839"/>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panose1 w:val="00000000000000000000"/>
    <w:charset w:val="00"/>
    <w:family w:val="auto"/>
    <w:pitch w:val="variable"/>
    <w:sig w:usb0="00000000" w:usb1="00000000" w:usb2="00000000" w:usb3="00000000" w:csb0="00000000" w:csb1="00000000"/>
  </w:font>
  <w:font w:name="Arial">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78"/>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Calibri" w:eastAsia="Calibri" w:cs="Arial" w:hAnsi="Calibri"/>
      <w:sz w:val="22"/>
      <w:szCs w:val="22"/>
      <w:lang w:val="en-GB" w:eastAsia="en-US" w:bidi="ar-SA"/>
    </w:rPr>
  </w:style>
  <w:style w:type="paragraph" w:styleId="1">
    <w:name w:val="heading 1"/>
    <w:basedOn w:val="0"/>
    <w:next w:val="0"/>
    <w:pPr>
      <w:keepNext/>
      <w:keepLines/>
      <w:spacing w:before="240" w:after="0"/>
      <w:outlineLvl w:val="0"/>
    </w:pPr>
    <w:rPr>
      <w:rFonts w:ascii="Calibri Light" w:eastAsia="宋体" w:cs="Times New Roman" w:hAnsi="Calibri Light"/>
      <w:color w:val="2E74B5"/>
      <w:sz w:val="32"/>
      <w:szCs w:val="32"/>
    </w:rPr>
  </w:style>
  <w:style w:type="paragraph" w:styleId="2">
    <w:name w:val="heading 2"/>
    <w:basedOn w:val="0"/>
    <w:next w:val="0"/>
    <w:pPr>
      <w:keepNext/>
      <w:keepLines/>
      <w:spacing w:before="40" w:after="0"/>
      <w:outlineLvl w:val="1"/>
    </w:pPr>
    <w:rPr>
      <w:rFonts w:ascii="Calibri Light" w:eastAsia="宋体" w:cs="Times New Roman" w:hAnsi="Calibri Light"/>
      <w:color w:val="2E74B5"/>
      <w:sz w:val="26"/>
      <w:szCs w:val="26"/>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15">
    <w:name w:val="Normal (Web)"/>
    <w:basedOn w:val="0"/>
    <w:pPr>
      <w:spacing w:before="100" w:beforeAutospacing="1" w:after="100" w:afterAutospacing="1" w:line="240" w:lineRule="auto"/>
    </w:pPr>
    <w:rPr>
      <w:rFonts w:ascii="Times New Roman" w:eastAsia="Times New Roman" w:cs="Times New Roman" w:hAnsi="Times New Roman"/>
      <w:sz w:val="24"/>
      <w:szCs w:val="24"/>
    </w:rPr>
  </w:style>
  <w:style w:type="character" w:styleId="16">
    <w:name w:val="Strong"/>
    <w:basedOn w:val="10"/>
    <w:rPr>
      <w:b/>
      <w:bCs/>
    </w:rPr>
  </w:style>
  <w:style w:type="character" w:styleId="17">
    <w:name w:val="Emphasis"/>
    <w:basedOn w:val="10"/>
    <w:rPr>
      <w:i/>
      <w:iCs/>
    </w:rPr>
  </w:style>
  <w:style w:type="character" w:styleId="18">
    <w:name w:val="Hyperlink"/>
    <w:basedOn w:val="10"/>
    <w:rPr>
      <w:color w:val="0563C1"/>
      <w:u w:val="single"/>
    </w:rPr>
  </w:style>
  <w:style w:type="paragraph" w:styleId="19">
    <w:name w:val="Title"/>
    <w:basedOn w:val="0"/>
    <w:next w:val="0"/>
    <w:pPr>
      <w:spacing w:after="0" w:line="240" w:lineRule="auto"/>
      <w:contextualSpacing/>
    </w:pPr>
    <w:rPr>
      <w:rFonts w:ascii="Calibri Light" w:eastAsia="宋体" w:cs="Times New Roman" w:hAnsi="Calibri Light"/>
      <w:spacing w:val="-10"/>
      <w:kern w:val="28"/>
      <w:sz w:val="56"/>
      <w:szCs w:val="56"/>
    </w:rPr>
  </w:style>
  <w:style w:type="paragraph" w:customStyle="1" w:styleId="20">
    <w:name w:val="TOC Heading"/>
    <w:basedOn w:val="1"/>
    <w:next w:val="0"/>
    <w:pPr>
      <w:outlineLvl w:val="9"/>
    </w:pPr>
  </w:style>
  <w:style w:type="paragraph" w:styleId="21">
    <w:name w:val="toc 1"/>
    <w:basedOn w:val="0"/>
    <w:autoRedefine/>
    <w:next w:val="0"/>
    <w:pPr>
      <w:spacing w:after="100"/>
    </w:pPr>
  </w:style>
  <w:style w:type="paragraph" w:styleId="22">
    <w:name w:val="toc 2"/>
    <w:basedOn w:val="0"/>
    <w:autoRedefine/>
    <w:next w:val="0"/>
    <w:pPr>
      <w:spacing w:after="100"/>
      <w:ind w:left="220"/>
    </w:pPr>
  </w:style>
  <w:style w:type="paragraph" w:styleId="23">
    <w:name w:val="header"/>
    <w:basedOn w:val="0"/>
    <w:pPr>
      <w:tabs>
        <w:tab w:val="center" w:pos="4513"/>
        <w:tab w:val="right" w:pos="9026"/>
      </w:tabs>
      <w:spacing w:after="0" w:line="240" w:lineRule="auto"/>
    </w:pPr>
  </w:style>
  <w:style w:type="paragraph" w:styleId="24">
    <w:name w:val="footer"/>
    <w:basedOn w:val="0"/>
    <w:pPr>
      <w:tabs>
        <w:tab w:val="center" w:pos="4513"/>
        <w:tab w:val="right" w:pos="9026"/>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106</TotalTime>
  <Application>Honor_Office</Application>
  <Pages>13</Pages>
  <Words>1921</Words>
  <Characters>13141</Characters>
  <Lines>275</Lines>
  <Paragraphs>63</Paragraphs>
  <CharactersWithSpaces>15007</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23</cp:revision>
  <dcterms:created xsi:type="dcterms:W3CDTF">2025-06-30T14:46:00Z</dcterms:created>
  <dcterms:modified xsi:type="dcterms:W3CDTF">2025-07-04T13:56:12Z</dcterms:modified>
</cp:coreProperties>
</file>