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62E9CA3">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Reflective Essay</w:t>
      </w:r>
    </w:p>
    <w:p w14:paraId="71889E2B">
      <w:pPr>
        <w:spacing w:line="360" w:lineRule="auto"/>
        <w:rPr>
          <w:rFonts w:ascii="Times New Roman" w:hAnsi="Times New Roman" w:cs="Times New Roman"/>
          <w:sz w:val="24"/>
          <w:szCs w:val="24"/>
        </w:rPr>
      </w:pPr>
      <w:r>
        <w:rPr>
          <w:rFonts w:ascii="Times New Roman" w:hAnsi="Times New Roman" w:cs="Times New Roman"/>
          <w:sz w:val="24"/>
          <w:szCs w:val="24"/>
        </w:rPr>
        <w:t>International Business Communication (IBC) is not only related to the smooth progress of cross-border trade, but also affects the international competitiveness of enterprises, market expansion, and the construction and maintenance of global supply chains (Szkudlarek et al., 2020; Adanlawo, Reddy &amp; Rugbeer, 2021). Reducing the risk of misunderstanding and conflict in the IBC process can enhance the international competitiveness of enterprises (Szkudlarek et al., 2020; Adanlawo, Reddy &amp; Rugbeer, 2021). In this essay, the IBC between Britain and Iceland will be discussed, explained, and critically evaluated from a British perspective, about the challenges and sensitivities of doing business with Iceland. Combining Hall’s high and low context theory and Hodusted and Trompenaars’ cultural dimension theory, this essay analyzes the differences between British and Icelanders regarding culture and communication. Also, it provides strategies to overcome these communication differences and challenges.</w:t>
      </w:r>
    </w:p>
    <w:p w14:paraId="441F4D66">
      <w:pPr>
        <w:spacing w:line="360" w:lineRule="auto"/>
        <w:rPr>
          <w:rFonts w:ascii="Times New Roman" w:hAnsi="Times New Roman" w:cs="Times New Roman"/>
          <w:sz w:val="24"/>
          <w:szCs w:val="24"/>
        </w:rPr>
      </w:pPr>
      <w:r>
        <w:rPr>
          <w:rFonts w:ascii="Times New Roman" w:hAnsi="Times New Roman" w:cs="Times New Roman"/>
          <w:sz w:val="24"/>
          <w:szCs w:val="24"/>
        </w:rPr>
        <w:t>IBC is a process that allows individuals with different cultures, nationalities, ethnicities, and educational backgrounds to communicate and interact with each other (Szkudlarek et al., 2020). Communication can include two major categories: verbal and non-verbal communication, which can be affected by many factors such as voice tone, dress, body posture, eye contact, etc. (Bull &amp; Frederikson, 2019; Walker, 2023). For IBC, business negotiations, customer relationship management, crisis management, supply chain management, brand promotion, and other business activities all require effective communication to promote the smooth progress of business (Rezaei Vandchali, Cahoon &amp; Chen, 2020; Pedersen, Ritter &amp; Di Benedetto, 2020; Wongsansukcharoen, 2022). The reason why people from different countries may fail to communicate is that residents of different countries have different living habits, cultural backgrounds, knowledge systems, beliefs, etc. All these may lead to misunderstandings due to a lack of understanding of each other’s culture and habits (Health, 2020; Holiday, 2020). The following will analyze business communication in Britain and Iceland from three aspects: 1) cultural customs (cultural dimension), 2) communication style (high and low context), and 3) national business structure, technology level, and government restrictions.</w:t>
      </w:r>
    </w:p>
    <w:p w14:paraId="07D2FA2D">
      <w:pPr>
        <w:spacing w:line="360" w:lineRule="auto"/>
        <w:rPr>
          <w:rFonts w:ascii="Times New Roman" w:hAnsi="Times New Roman" w:cs="Times New Roman"/>
          <w:sz w:val="24"/>
          <w:szCs w:val="24"/>
        </w:rPr>
      </w:pPr>
      <w:r>
        <w:rPr>
          <w:rFonts w:ascii="Times New Roman" w:hAnsi="Times New Roman" w:cs="Times New Roman"/>
          <w:sz w:val="24"/>
          <w:szCs w:val="24"/>
        </w:rPr>
        <w:t>First, cultural customs. Doole, Lowe, and Kenyon (2019) mentioned a cultural framework, containing language, religion, values, education, law and politics, technology and material culture, etc. It means that culture is shaped by the living habits, ideas, social customs, and other elements of the residents of an entire country.</w:t>
      </w:r>
      <w:r>
        <w:rPr>
          <w:rFonts w:hint="eastAsia" w:ascii="Times New Roman" w:hAnsi="Times New Roman" w:cs="Times New Roman"/>
          <w:sz w:val="24"/>
          <w:szCs w:val="24"/>
        </w:rPr>
        <w:t xml:space="preserve"> </w:t>
      </w:r>
      <w:r>
        <w:rPr>
          <w:rFonts w:ascii="Times New Roman" w:hAnsi="Times New Roman" w:cs="Times New Roman"/>
          <w:sz w:val="24"/>
          <w:szCs w:val="24"/>
        </w:rPr>
        <w:t>Residents of a particular country usually have similar or relatively regular values ​​and behavioral frameworks. Hofstede’s cultural dimension theory explains how residents of different countries do things in six ways (Lin &amp; Lou, 2024). Figure 1 shows the scores of the six cultural dimensions of the residents of the two countries, the United Kingdom and Iceland, respectively.</w:t>
      </w:r>
    </w:p>
    <w:p w14:paraId="3F01A0EE">
      <w:pPr>
        <w:spacing w:line="360" w:lineRule="auto"/>
        <w:jc w:val="center"/>
        <w:rPr>
          <w:rFonts w:ascii="Times New Roman" w:hAnsi="Times New Roman" w:cs="Times New Roman"/>
          <w:sz w:val="24"/>
          <w:szCs w:val="24"/>
        </w:rPr>
      </w:pPr>
      <w:r>
        <w:rPr>
          <w:rFonts w:ascii="Times New Roman" w:hAnsi="Times New Roman" w:cs="Times New Roman"/>
          <w:sz w:val="24"/>
          <w:szCs w:val="24"/>
        </w:rPr>
        <w:drawing>
          <wp:inline distT="0" distB="0" distL="0" distR="0">
            <wp:extent cx="5345430" cy="3035300"/>
            <wp:effectExtent l="0" t="0" r="0" b="0"/>
            <wp:docPr id="99834905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349059" name="图片 1"/>
                    <pic:cNvPicPr>
                      <a:picLocks noChangeAspect="1"/>
                    </pic:cNvPicPr>
                  </pic:nvPicPr>
                  <pic:blipFill>
                    <a:blip r:embed="rId4"/>
                    <a:stretch>
                      <a:fillRect/>
                    </a:stretch>
                  </pic:blipFill>
                  <pic:spPr>
                    <a:xfrm>
                      <a:off x="0" y="0"/>
                      <a:ext cx="5349623" cy="3038065"/>
                    </a:xfrm>
                    <a:prstGeom prst="rect">
                      <a:avLst/>
                    </a:prstGeom>
                  </pic:spPr>
                </pic:pic>
              </a:graphicData>
            </a:graphic>
          </wp:inline>
        </w:drawing>
      </w:r>
    </w:p>
    <w:p w14:paraId="058B0E0C">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1. The Hofstede’s Cultural Dimension Analysis of the United Kingdom and Iceland</w:t>
      </w:r>
    </w:p>
    <w:p w14:paraId="6ADB2766">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bookmarkStart w:id="0" w:name="OLE_LINK1"/>
      <w:r>
        <w:rPr>
          <w:rFonts w:ascii="Times New Roman" w:hAnsi="Times New Roman" w:cs="Times New Roman"/>
          <w:sz w:val="24"/>
          <w:szCs w:val="24"/>
        </w:rPr>
        <w:t>The Culture Factor Group, 2024</w:t>
      </w:r>
      <w:bookmarkEnd w:id="0"/>
    </w:p>
    <w:tbl>
      <w:tblPr>
        <w:tblStyle w:val="16"/>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778"/>
        <w:gridCol w:w="1372"/>
        <w:gridCol w:w="1372"/>
      </w:tblGrid>
      <w:tr w14:paraId="739CB5B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5778" w:type="dxa"/>
            <w:shd w:val="clear" w:color="auto" w:fill="F1F1F1" w:themeFill="background1" w:themeFillShade="F2"/>
          </w:tcPr>
          <w:p w14:paraId="591476D5">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Aspects</w:t>
            </w:r>
          </w:p>
        </w:tc>
        <w:tc>
          <w:tcPr>
            <w:tcW w:w="1372" w:type="dxa"/>
            <w:shd w:val="clear" w:color="auto" w:fill="F1F1F1" w:themeFill="background1" w:themeFillShade="F2"/>
          </w:tcPr>
          <w:p w14:paraId="011FAFA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British</w:t>
            </w:r>
          </w:p>
        </w:tc>
        <w:tc>
          <w:tcPr>
            <w:tcW w:w="1372" w:type="dxa"/>
            <w:shd w:val="clear" w:color="auto" w:fill="F1F1F1" w:themeFill="background1" w:themeFillShade="F2"/>
          </w:tcPr>
          <w:p w14:paraId="37A2978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Iceland</w:t>
            </w:r>
          </w:p>
        </w:tc>
      </w:tr>
      <w:tr w14:paraId="1EF66B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5778" w:type="dxa"/>
          </w:tcPr>
          <w:p w14:paraId="5DF338D1">
            <w:pPr>
              <w:spacing w:line="360" w:lineRule="auto"/>
              <w:rPr>
                <w:rFonts w:ascii="Times New Roman" w:hAnsi="Times New Roman" w:cs="Times New Roman"/>
                <w:sz w:val="24"/>
                <w:szCs w:val="24"/>
              </w:rPr>
            </w:pPr>
            <w:r>
              <w:rPr>
                <w:rFonts w:ascii="Times New Roman" w:hAnsi="Times New Roman" w:cs="Times New Roman"/>
                <w:sz w:val="24"/>
                <w:szCs w:val="24"/>
              </w:rPr>
              <w:t>Power Distance</w:t>
            </w:r>
          </w:p>
        </w:tc>
        <w:tc>
          <w:tcPr>
            <w:tcW w:w="1372" w:type="dxa"/>
          </w:tcPr>
          <w:p w14:paraId="56D78AF5">
            <w:pPr>
              <w:spacing w:line="360" w:lineRule="auto"/>
              <w:jc w:val="center"/>
              <w:rPr>
                <w:rFonts w:ascii="Times New Roman" w:hAnsi="Times New Roman" w:cs="Times New Roman"/>
                <w:sz w:val="24"/>
                <w:szCs w:val="24"/>
              </w:rPr>
            </w:pPr>
            <w:r>
              <w:rPr>
                <w:rFonts w:ascii="Times New Roman" w:hAnsi="Times New Roman" w:cs="Times New Roman"/>
                <w:sz w:val="24"/>
                <w:szCs w:val="24"/>
              </w:rPr>
              <w:t>35</w:t>
            </w:r>
          </w:p>
        </w:tc>
        <w:tc>
          <w:tcPr>
            <w:tcW w:w="1372" w:type="dxa"/>
          </w:tcPr>
          <w:p w14:paraId="25FABB76">
            <w:pPr>
              <w:spacing w:line="360" w:lineRule="auto"/>
              <w:jc w:val="center"/>
              <w:rPr>
                <w:rFonts w:ascii="Times New Roman" w:hAnsi="Times New Roman" w:cs="Times New Roman"/>
                <w:sz w:val="24"/>
                <w:szCs w:val="24"/>
              </w:rPr>
            </w:pPr>
            <w:r>
              <w:rPr>
                <w:rFonts w:ascii="Times New Roman" w:hAnsi="Times New Roman" w:cs="Times New Roman"/>
                <w:sz w:val="24"/>
                <w:szCs w:val="24"/>
              </w:rPr>
              <w:t>30</w:t>
            </w:r>
          </w:p>
        </w:tc>
      </w:tr>
      <w:tr w14:paraId="0E8D15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5778" w:type="dxa"/>
          </w:tcPr>
          <w:p w14:paraId="6E7E01E4">
            <w:pPr>
              <w:spacing w:line="360" w:lineRule="auto"/>
              <w:rPr>
                <w:rFonts w:ascii="Times New Roman" w:hAnsi="Times New Roman" w:cs="Times New Roman"/>
                <w:sz w:val="24"/>
                <w:szCs w:val="24"/>
              </w:rPr>
            </w:pPr>
            <w:r>
              <w:rPr>
                <w:rFonts w:ascii="Times New Roman" w:hAnsi="Times New Roman" w:cs="Times New Roman"/>
                <w:sz w:val="24"/>
                <w:szCs w:val="24"/>
              </w:rPr>
              <w:t>Individualism</w:t>
            </w:r>
          </w:p>
        </w:tc>
        <w:tc>
          <w:tcPr>
            <w:tcW w:w="1372" w:type="dxa"/>
          </w:tcPr>
          <w:p w14:paraId="731B8122">
            <w:pPr>
              <w:spacing w:line="360" w:lineRule="auto"/>
              <w:jc w:val="center"/>
              <w:rPr>
                <w:rFonts w:ascii="Times New Roman" w:hAnsi="Times New Roman" w:cs="Times New Roman"/>
                <w:sz w:val="24"/>
                <w:szCs w:val="24"/>
              </w:rPr>
            </w:pPr>
            <w:r>
              <w:rPr>
                <w:rFonts w:ascii="Times New Roman" w:hAnsi="Times New Roman" w:cs="Times New Roman"/>
                <w:sz w:val="24"/>
                <w:szCs w:val="24"/>
              </w:rPr>
              <w:t>76</w:t>
            </w:r>
          </w:p>
        </w:tc>
        <w:tc>
          <w:tcPr>
            <w:tcW w:w="1372" w:type="dxa"/>
          </w:tcPr>
          <w:p w14:paraId="0135F88E">
            <w:pPr>
              <w:spacing w:line="360" w:lineRule="auto"/>
              <w:jc w:val="center"/>
              <w:rPr>
                <w:rFonts w:ascii="Times New Roman" w:hAnsi="Times New Roman" w:cs="Times New Roman"/>
                <w:sz w:val="24"/>
                <w:szCs w:val="24"/>
              </w:rPr>
            </w:pPr>
            <w:r>
              <w:rPr>
                <w:rFonts w:ascii="Times New Roman" w:hAnsi="Times New Roman" w:cs="Times New Roman"/>
                <w:sz w:val="24"/>
                <w:szCs w:val="24"/>
              </w:rPr>
              <w:t>83</w:t>
            </w:r>
          </w:p>
        </w:tc>
      </w:tr>
      <w:tr w14:paraId="06FDCB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5778" w:type="dxa"/>
          </w:tcPr>
          <w:p w14:paraId="55719ADD">
            <w:pPr>
              <w:spacing w:line="360" w:lineRule="auto"/>
              <w:rPr>
                <w:rFonts w:ascii="Times New Roman" w:hAnsi="Times New Roman" w:cs="Times New Roman"/>
                <w:sz w:val="24"/>
                <w:szCs w:val="24"/>
              </w:rPr>
            </w:pPr>
            <w:r>
              <w:rPr>
                <w:rFonts w:ascii="Times New Roman" w:hAnsi="Times New Roman" w:cs="Times New Roman"/>
                <w:sz w:val="24"/>
                <w:szCs w:val="24"/>
              </w:rPr>
              <w:t>Motivation Towards Achievement and Success</w:t>
            </w:r>
          </w:p>
        </w:tc>
        <w:tc>
          <w:tcPr>
            <w:tcW w:w="1372" w:type="dxa"/>
          </w:tcPr>
          <w:p w14:paraId="024EF4E1">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66</w:t>
            </w:r>
          </w:p>
        </w:tc>
        <w:tc>
          <w:tcPr>
            <w:tcW w:w="1372" w:type="dxa"/>
          </w:tcPr>
          <w:p w14:paraId="2A151CC7">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10</w:t>
            </w:r>
          </w:p>
        </w:tc>
      </w:tr>
      <w:tr w14:paraId="3D3AEB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5778" w:type="dxa"/>
          </w:tcPr>
          <w:p w14:paraId="516B0F45">
            <w:pPr>
              <w:spacing w:line="360" w:lineRule="auto"/>
              <w:rPr>
                <w:rFonts w:ascii="Times New Roman" w:hAnsi="Times New Roman" w:cs="Times New Roman"/>
                <w:sz w:val="24"/>
                <w:szCs w:val="24"/>
              </w:rPr>
            </w:pPr>
            <w:r>
              <w:rPr>
                <w:rFonts w:ascii="Times New Roman" w:hAnsi="Times New Roman" w:cs="Times New Roman"/>
                <w:sz w:val="24"/>
                <w:szCs w:val="24"/>
              </w:rPr>
              <w:t>Uncertainty Avoidance</w:t>
            </w:r>
          </w:p>
        </w:tc>
        <w:tc>
          <w:tcPr>
            <w:tcW w:w="1372" w:type="dxa"/>
          </w:tcPr>
          <w:p w14:paraId="1335ACA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35</w:t>
            </w:r>
          </w:p>
        </w:tc>
        <w:tc>
          <w:tcPr>
            <w:tcW w:w="1372" w:type="dxa"/>
          </w:tcPr>
          <w:p w14:paraId="0D2E1DD3">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50</w:t>
            </w:r>
          </w:p>
        </w:tc>
      </w:tr>
      <w:tr w14:paraId="69405BF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5778" w:type="dxa"/>
          </w:tcPr>
          <w:p w14:paraId="185F56DC">
            <w:pPr>
              <w:spacing w:line="360" w:lineRule="auto"/>
              <w:rPr>
                <w:rFonts w:ascii="Times New Roman" w:hAnsi="Times New Roman" w:cs="Times New Roman"/>
                <w:sz w:val="24"/>
                <w:szCs w:val="24"/>
              </w:rPr>
            </w:pPr>
            <w:r>
              <w:rPr>
                <w:rFonts w:ascii="Times New Roman" w:hAnsi="Times New Roman" w:cs="Times New Roman"/>
                <w:sz w:val="24"/>
                <w:szCs w:val="24"/>
              </w:rPr>
              <w:t>Long Term Orientation</w:t>
            </w:r>
          </w:p>
        </w:tc>
        <w:tc>
          <w:tcPr>
            <w:tcW w:w="1372" w:type="dxa"/>
          </w:tcPr>
          <w:p w14:paraId="1C93E547">
            <w:pPr>
              <w:spacing w:line="360" w:lineRule="auto"/>
              <w:jc w:val="center"/>
              <w:rPr>
                <w:rFonts w:ascii="Times New Roman" w:hAnsi="Times New Roman" w:cs="Times New Roman"/>
                <w:sz w:val="24"/>
                <w:szCs w:val="24"/>
              </w:rPr>
            </w:pPr>
            <w:r>
              <w:rPr>
                <w:rFonts w:ascii="Times New Roman" w:hAnsi="Times New Roman" w:cs="Times New Roman"/>
                <w:sz w:val="24"/>
                <w:szCs w:val="24"/>
              </w:rPr>
              <w:t>60</w:t>
            </w:r>
          </w:p>
        </w:tc>
        <w:tc>
          <w:tcPr>
            <w:tcW w:w="1372" w:type="dxa"/>
          </w:tcPr>
          <w:p w14:paraId="70CFA6D6">
            <w:pPr>
              <w:spacing w:line="360" w:lineRule="auto"/>
              <w:jc w:val="center"/>
              <w:rPr>
                <w:rFonts w:ascii="Times New Roman" w:hAnsi="Times New Roman" w:cs="Times New Roman"/>
                <w:sz w:val="24"/>
                <w:szCs w:val="24"/>
              </w:rPr>
            </w:pPr>
            <w:r>
              <w:rPr>
                <w:rFonts w:ascii="Times New Roman" w:hAnsi="Times New Roman" w:cs="Times New Roman"/>
                <w:sz w:val="24"/>
                <w:szCs w:val="24"/>
              </w:rPr>
              <w:t>57</w:t>
            </w:r>
          </w:p>
        </w:tc>
      </w:tr>
      <w:tr w14:paraId="43090B3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5778" w:type="dxa"/>
          </w:tcPr>
          <w:p w14:paraId="65153F97">
            <w:pPr>
              <w:spacing w:line="360" w:lineRule="auto"/>
              <w:rPr>
                <w:rFonts w:ascii="Times New Roman" w:hAnsi="Times New Roman" w:cs="Times New Roman"/>
                <w:sz w:val="24"/>
                <w:szCs w:val="24"/>
              </w:rPr>
            </w:pPr>
            <w:r>
              <w:rPr>
                <w:rFonts w:ascii="Times New Roman" w:hAnsi="Times New Roman" w:cs="Times New Roman"/>
                <w:sz w:val="24"/>
                <w:szCs w:val="24"/>
              </w:rPr>
              <w:t>Indulgence</w:t>
            </w:r>
          </w:p>
        </w:tc>
        <w:tc>
          <w:tcPr>
            <w:tcW w:w="1372" w:type="dxa"/>
          </w:tcPr>
          <w:p w14:paraId="7B355F6A">
            <w:pPr>
              <w:spacing w:line="360" w:lineRule="auto"/>
              <w:jc w:val="center"/>
              <w:rPr>
                <w:rFonts w:ascii="Times New Roman" w:hAnsi="Times New Roman" w:cs="Times New Roman"/>
                <w:sz w:val="24"/>
                <w:szCs w:val="24"/>
              </w:rPr>
            </w:pPr>
            <w:r>
              <w:rPr>
                <w:rFonts w:ascii="Times New Roman" w:hAnsi="Times New Roman" w:cs="Times New Roman"/>
                <w:sz w:val="24"/>
                <w:szCs w:val="24"/>
              </w:rPr>
              <w:t>69</w:t>
            </w:r>
          </w:p>
        </w:tc>
        <w:tc>
          <w:tcPr>
            <w:tcW w:w="1372" w:type="dxa"/>
          </w:tcPr>
          <w:p w14:paraId="499A645C">
            <w:pPr>
              <w:spacing w:line="360" w:lineRule="auto"/>
              <w:jc w:val="center"/>
              <w:rPr>
                <w:rFonts w:ascii="Times New Roman" w:hAnsi="Times New Roman" w:cs="Times New Roman"/>
                <w:sz w:val="24"/>
                <w:szCs w:val="24"/>
              </w:rPr>
            </w:pPr>
            <w:r>
              <w:rPr>
                <w:rFonts w:ascii="Times New Roman" w:hAnsi="Times New Roman" w:cs="Times New Roman"/>
                <w:sz w:val="24"/>
                <w:szCs w:val="24"/>
              </w:rPr>
              <w:t>67</w:t>
            </w:r>
          </w:p>
        </w:tc>
      </w:tr>
    </w:tbl>
    <w:p w14:paraId="05521DF9">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Table 1. Comparison of Hofstede’s Cultural Dimension Analysis </w:t>
      </w:r>
    </w:p>
    <w:p w14:paraId="00B16320">
      <w:pPr>
        <w:spacing w:line="360" w:lineRule="auto"/>
        <w:rPr>
          <w:rFonts w:ascii="Times New Roman" w:hAnsi="Times New Roman" w:cs="Times New Roman"/>
          <w:sz w:val="24"/>
          <w:szCs w:val="24"/>
        </w:rPr>
      </w:pPr>
      <w:r>
        <w:rPr>
          <w:rFonts w:ascii="Times New Roman" w:hAnsi="Times New Roman" w:cs="Times New Roman"/>
          <w:sz w:val="24"/>
          <w:szCs w:val="24"/>
        </w:rPr>
        <w:t>From the data comparison in Table 1, it is not difficult to see that the British and Icelanders have similar scores in the four aspects of power distance, individualism, long-term orientation, and indulgence. However, there are relatively large score differences in the two aspects of motivation towards achievement and success and uncertainty avoidance (56 points and 15 points respectively).</w:t>
      </w:r>
    </w:p>
    <w:p w14:paraId="5F729F27">
      <w:pPr>
        <w:spacing w:line="360" w:lineRule="auto"/>
        <w:rPr>
          <w:rFonts w:ascii="Times New Roman" w:hAnsi="Times New Roman" w:cs="Times New Roman"/>
          <w:sz w:val="24"/>
          <w:szCs w:val="24"/>
        </w:rPr>
      </w:pPr>
      <w:r>
        <w:rPr>
          <w:rFonts w:ascii="Times New Roman" w:hAnsi="Times New Roman" w:cs="Times New Roman"/>
          <w:sz w:val="24"/>
          <w:szCs w:val="24"/>
        </w:rPr>
        <w:t xml:space="preserve">As for motivation towards achievement and success, the British score of 66 indicates that the British are more focused on the pursuit of competitiveness, achievement, material wealth, and social status in masculinity (Hardwicke, 2023). The 10 points obtained by Iceland indicate that Icelanders are not focusing on male culture but rather paying more attention to gender equality (Hálfdanarson, G., &amp; Rastrick, 2006). The value of female leaders in Iceland is affirmed and supported (Metcalfe et al., 2022). Even though Erlingsdóttir (2021) pointed out that Iceland does not seem to have achieved its ideal gender equality status, it stated that Iceland is promoting its country’s gender equality process by shaping a public image of gender equality. Thus, the different characteristics of gender dominance between Iceland and Britain may cause the Icelanders’ equality and caring orientation to make the British feel uncomfortable in business communication and cooperation. </w:t>
      </w:r>
    </w:p>
    <w:p w14:paraId="3D349B24">
      <w:pPr>
        <w:spacing w:line="360" w:lineRule="auto"/>
        <w:rPr>
          <w:rFonts w:ascii="Times New Roman" w:hAnsi="Times New Roman" w:cs="Times New Roman"/>
          <w:sz w:val="24"/>
          <w:szCs w:val="24"/>
        </w:rPr>
      </w:pPr>
      <w:r>
        <w:rPr>
          <w:rFonts w:ascii="Times New Roman" w:hAnsi="Times New Roman" w:cs="Times New Roman"/>
          <w:sz w:val="24"/>
          <w:szCs w:val="24"/>
        </w:rPr>
        <w:t xml:space="preserve">Uncertainty avoidance refers to the degree to which individuals of a certain culture feel uncomfortable with uncertain situations (Ashraf, 2021). The British score of 35 indicates that the British are relatively strong in accepting uncertainty (because their discomfort index with uncertainty is not high), which means that they can accept a certain degree of risk and change. Icelanders scored 50, which means that their tolerance for uncertainty is not particularly strong (at a medium level), and they may be more cautious about risks. Therefore, such differences may lead to different tolerances for project risks in business communication and cooperation between the British and Icelanders. The British may be more likely to accept some high-risk projects, while Icelanders may be more willing to plan low risk plans and may be prepared to deal with risks in advance. </w:t>
      </w:r>
    </w:p>
    <w:p w14:paraId="030A5DF0">
      <w:pPr>
        <w:spacing w:line="360" w:lineRule="auto"/>
        <w:rPr>
          <w:rFonts w:ascii="Times New Roman" w:hAnsi="Times New Roman" w:cs="Times New Roman"/>
          <w:sz w:val="24"/>
          <w:szCs w:val="24"/>
        </w:rPr>
      </w:pPr>
      <w:r>
        <w:rPr>
          <w:rFonts w:ascii="Times New Roman" w:hAnsi="Times New Roman" w:cs="Times New Roman"/>
          <w:sz w:val="24"/>
          <w:szCs w:val="24"/>
        </w:rPr>
        <w:t>Besides, Trompenaars’ 7 dimensions of culture can also help analyze business communication and cooperation between Britain and Iceland. It emphasizes the importance of cultural differences in cross-cultural communication and mainly explains these differences and impacts from 7 different aspects, detailed information is below (Pîrlog, 2021, p. 73).</w:t>
      </w:r>
    </w:p>
    <w:p w14:paraId="60D03A6D">
      <w:pPr>
        <w:pStyle w:val="32"/>
        <w:numPr>
          <w:ilvl w:val="0"/>
          <w:numId w:val="1"/>
        </w:numPr>
        <w:spacing w:line="360" w:lineRule="auto"/>
        <w:rPr>
          <w:rFonts w:ascii="Times New Roman" w:hAnsi="Times New Roman" w:cs="Times New Roman"/>
          <w:sz w:val="24"/>
          <w:szCs w:val="24"/>
        </w:rPr>
      </w:pPr>
      <w:bookmarkStart w:id="1" w:name="OLE_LINK7"/>
      <w:bookmarkStart w:id="2" w:name="_Hlk186807395"/>
      <w:r>
        <w:rPr>
          <w:rFonts w:ascii="Times New Roman" w:hAnsi="Times New Roman" w:cs="Times New Roman"/>
          <w:sz w:val="24"/>
          <w:szCs w:val="24"/>
        </w:rPr>
        <w:t xml:space="preserve">Universalism versus Particularism </w:t>
      </w:r>
      <w:bookmarkEnd w:id="1"/>
    </w:p>
    <w:p w14:paraId="02D36E47">
      <w:pPr>
        <w:spacing w:line="360" w:lineRule="auto"/>
        <w:rPr>
          <w:rFonts w:ascii="Times New Roman" w:hAnsi="Times New Roman" w:cs="Times New Roman"/>
          <w:sz w:val="24"/>
          <w:szCs w:val="24"/>
          <w:shd w:val="pct15" w:color="auto" w:fill="FFFFFF"/>
        </w:rPr>
      </w:pPr>
      <w:r>
        <w:rPr>
          <w:rFonts w:ascii="Times New Roman" w:hAnsi="Times New Roman" w:cs="Times New Roman"/>
          <w:sz w:val="24"/>
          <w:szCs w:val="24"/>
        </w:rPr>
        <w:t>Britain tends to be universalistic, emphasizing the importance of rules and procedures. In terms of communication, the British follow strict social etiquette, and they also follow social etiquette very much in social situations (Commisceo Global, 2024a; Riches, 2024). Iceland also attaches great importance to law and order but may be more flexible in dealing with problems than Britain. Overall, Icelanders are also universalists (Jónsson, 2019).</w:t>
      </w:r>
    </w:p>
    <w:p w14:paraId="19656017">
      <w:pPr>
        <w:pStyle w:val="32"/>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Communitarianism versus Individualism </w:t>
      </w:r>
    </w:p>
    <w:p w14:paraId="4B1DA877">
      <w:pPr>
        <w:spacing w:line="360" w:lineRule="auto"/>
        <w:rPr>
          <w:rFonts w:ascii="Times New Roman" w:hAnsi="Times New Roman" w:cs="Times New Roman"/>
          <w:sz w:val="24"/>
          <w:szCs w:val="24"/>
        </w:rPr>
      </w:pPr>
      <w:r>
        <w:rPr>
          <w:rFonts w:ascii="Times New Roman" w:hAnsi="Times New Roman" w:cs="Times New Roman"/>
          <w:sz w:val="24"/>
          <w:szCs w:val="24"/>
        </w:rPr>
        <w:t>Both Britain and Iceland are more inclined towards individualism, as shown in Table 1. However, compared to Britain, Iceland may focus on both community awareness and collective well-being (The Culture Factor Group, 2024b).</w:t>
      </w:r>
    </w:p>
    <w:p w14:paraId="387B8064">
      <w:pPr>
        <w:pStyle w:val="32"/>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Neutral versus Emotional </w:t>
      </w:r>
    </w:p>
    <w:p w14:paraId="3B7F77B1">
      <w:pPr>
        <w:spacing w:line="360" w:lineRule="auto"/>
        <w:rPr>
          <w:rFonts w:ascii="Times New Roman" w:hAnsi="Times New Roman" w:cs="Times New Roman"/>
          <w:sz w:val="24"/>
          <w:szCs w:val="24"/>
        </w:rPr>
      </w:pPr>
      <w:r>
        <w:rPr>
          <w:rFonts w:ascii="Times New Roman" w:hAnsi="Times New Roman" w:cs="Times New Roman"/>
          <w:sz w:val="24"/>
          <w:szCs w:val="24"/>
        </w:rPr>
        <w:t>Britain tends to be neutral, and the British are relatively restrained and do not easily express emotions in public. Although the British may appear reserved on the surface, they are friendly, and social etiquette prevents them from appearing particularly enthusiastic and unrestrained (Commisceo Global, 2024a; Riches, 2024). Icelanders are more open and direct in their emotions than the British, and they do not often say “please” in their language communication habits, which is far from the communication habits of Britain. However, this does not mean that they are impolite or unenthusiastic. At the same time, Icelanders pay special attention to personal space and privacy (Iceland Cars, 2023).</w:t>
      </w:r>
    </w:p>
    <w:p w14:paraId="36373611">
      <w:pPr>
        <w:pStyle w:val="32"/>
        <w:numPr>
          <w:ilvl w:val="0"/>
          <w:numId w:val="1"/>
        </w:numPr>
        <w:spacing w:line="360" w:lineRule="auto"/>
        <w:rPr>
          <w:rFonts w:ascii="Times New Roman" w:hAnsi="Times New Roman" w:cs="Times New Roman"/>
          <w:sz w:val="24"/>
          <w:szCs w:val="24"/>
        </w:rPr>
      </w:pPr>
      <w:bookmarkStart w:id="3" w:name="OLE_LINK8"/>
      <w:r>
        <w:rPr>
          <w:rFonts w:ascii="Times New Roman" w:hAnsi="Times New Roman" w:cs="Times New Roman"/>
          <w:sz w:val="24"/>
          <w:szCs w:val="24"/>
        </w:rPr>
        <w:t>Defuse versus Specific Cultures</w:t>
      </w:r>
    </w:p>
    <w:bookmarkEnd w:id="3"/>
    <w:p w14:paraId="67F4CF43">
      <w:pPr>
        <w:spacing w:line="360" w:lineRule="auto"/>
        <w:rPr>
          <w:rFonts w:ascii="Times New Roman" w:hAnsi="Times New Roman" w:cs="Times New Roman"/>
          <w:sz w:val="24"/>
          <w:szCs w:val="24"/>
        </w:rPr>
      </w:pPr>
      <w:r>
        <w:rPr>
          <w:rFonts w:ascii="Times New Roman" w:hAnsi="Times New Roman" w:cs="Times New Roman"/>
          <w:sz w:val="24"/>
          <w:szCs w:val="24"/>
        </w:rPr>
        <w:t>The British prefer a formal and structured approach when establishing business relationships and tend to place more emphasis on credible facts and data (Commisceo Global, 2024a). Icelanders may place more emphasis on the establishment of long-term trust relationships rather than relying solely on the signing of written documents, which means it defuses culture (AFS-USA, 2024).</w:t>
      </w:r>
    </w:p>
    <w:p w14:paraId="4DDB16AA">
      <w:pPr>
        <w:pStyle w:val="32"/>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Achievement versus Ascription </w:t>
      </w:r>
    </w:p>
    <w:p w14:paraId="27FAD238">
      <w:pPr>
        <w:spacing w:line="360" w:lineRule="auto"/>
        <w:rPr>
          <w:rFonts w:ascii="Times New Roman" w:hAnsi="Times New Roman" w:cs="Times New Roman"/>
          <w:sz w:val="24"/>
          <w:szCs w:val="24"/>
        </w:rPr>
      </w:pPr>
      <w:r>
        <w:rPr>
          <w:rFonts w:ascii="Times New Roman" w:hAnsi="Times New Roman" w:cs="Times New Roman"/>
          <w:sz w:val="24"/>
          <w:szCs w:val="24"/>
        </w:rPr>
        <w:t>The British value personal achievements, and there is also a relatively clear social hierarchy and respect for tradition (The Culture Factor Group, 2024a; Riches, 2024). Britain has a relatively clear social stratification and a clear class system (Commisceo Global, 2024a). Icelanders focus on social fairness and justice and value individual social status, ability, and contribution at the same time (Oslund, 2011; Erlingsdóttir, 2021).</w:t>
      </w:r>
    </w:p>
    <w:p w14:paraId="46E0DEAB">
      <w:pPr>
        <w:pStyle w:val="32"/>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Human-Time Relationship</w:t>
      </w:r>
    </w:p>
    <w:p w14:paraId="52CB205D">
      <w:pPr>
        <w:spacing w:line="360" w:lineRule="auto"/>
        <w:rPr>
          <w:rFonts w:ascii="Times New Roman" w:hAnsi="Times New Roman" w:cs="Times New Roman"/>
          <w:sz w:val="24"/>
          <w:szCs w:val="24"/>
        </w:rPr>
      </w:pPr>
      <w:r>
        <w:rPr>
          <w:rFonts w:ascii="Times New Roman" w:hAnsi="Times New Roman" w:cs="Times New Roman"/>
          <w:sz w:val="24"/>
          <w:szCs w:val="24"/>
        </w:rPr>
        <w:t>The British place great emphasis on punctuality. Missing deadlines or being late will leave a very bad impression on others and may even cause the other party to lose trust (Commisceo Global, 2024b; Riches, 2024). Also, the British like to plan their schedules to be efficient (Commisceo Global, 2024b). Icelanders appreciate the importance of punctuality, but their approach to event management is relatively relaxed, and it is common for casual gatherings to start later than scheduled. However, Icelanders will arrive on time for formal or important appointments or events (Oslund, 2011; Slice of Iceland, 2024).</w:t>
      </w:r>
    </w:p>
    <w:p w14:paraId="3DDBB933">
      <w:pPr>
        <w:pStyle w:val="32"/>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Human-Nature Relationship</w:t>
      </w:r>
    </w:p>
    <w:p w14:paraId="2F329BF6">
      <w:pPr>
        <w:spacing w:line="360" w:lineRule="auto"/>
        <w:rPr>
          <w:rFonts w:ascii="Times New Roman" w:hAnsi="Times New Roman" w:cs="Times New Roman"/>
          <w:sz w:val="24"/>
          <w:szCs w:val="24"/>
        </w:rPr>
      </w:pPr>
      <w:r>
        <w:rPr>
          <w:rFonts w:ascii="Times New Roman" w:hAnsi="Times New Roman" w:cs="Times New Roman"/>
          <w:sz w:val="24"/>
          <w:szCs w:val="24"/>
        </w:rPr>
        <w:t>British and Icelanders all value harmony with nature, but Icelanders are more harmonious with nature than the British (Oslund, 2011; Kosse, 2022; AFS-USA, 2024).</w:t>
      </w:r>
      <w:bookmarkEnd w:id="2"/>
    </w:p>
    <w:tbl>
      <w:tblPr>
        <w:tblStyle w:val="16"/>
        <w:tblW w:w="10544"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866"/>
        <w:gridCol w:w="2841"/>
        <w:gridCol w:w="3837"/>
      </w:tblGrid>
      <w:tr w14:paraId="212895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866" w:type="dxa"/>
            <w:shd w:val="clear" w:color="auto" w:fill="F1F1F1" w:themeFill="background1" w:themeFillShade="F2"/>
          </w:tcPr>
          <w:p w14:paraId="24B7BAC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Aspects</w:t>
            </w:r>
          </w:p>
        </w:tc>
        <w:tc>
          <w:tcPr>
            <w:tcW w:w="2841" w:type="dxa"/>
            <w:shd w:val="clear" w:color="auto" w:fill="F1F1F1" w:themeFill="background1" w:themeFillShade="F2"/>
          </w:tcPr>
          <w:p w14:paraId="37860EA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Britain</w:t>
            </w:r>
          </w:p>
        </w:tc>
        <w:tc>
          <w:tcPr>
            <w:tcW w:w="3837" w:type="dxa"/>
            <w:shd w:val="clear" w:color="auto" w:fill="F1F1F1" w:themeFill="background1" w:themeFillShade="F2"/>
          </w:tcPr>
          <w:p w14:paraId="2CED281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Iceland</w:t>
            </w:r>
          </w:p>
        </w:tc>
      </w:tr>
      <w:tr w14:paraId="4090A76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866" w:type="dxa"/>
          </w:tcPr>
          <w:p w14:paraId="2CF3E691">
            <w:pPr>
              <w:spacing w:line="360" w:lineRule="auto"/>
              <w:jc w:val="left"/>
              <w:rPr>
                <w:rFonts w:ascii="Times New Roman" w:hAnsi="Times New Roman" w:cs="Times New Roman"/>
                <w:sz w:val="24"/>
                <w:szCs w:val="24"/>
              </w:rPr>
            </w:pPr>
            <w:r>
              <w:rPr>
                <w:rFonts w:ascii="Times New Roman" w:hAnsi="Times New Roman" w:cs="Times New Roman"/>
                <w:sz w:val="24"/>
                <w:szCs w:val="24"/>
              </w:rPr>
              <w:t>Universalism versus particularism</w:t>
            </w:r>
          </w:p>
        </w:tc>
        <w:tc>
          <w:tcPr>
            <w:tcW w:w="2841" w:type="dxa"/>
          </w:tcPr>
          <w:p w14:paraId="23E1025F">
            <w:pPr>
              <w:spacing w:line="360" w:lineRule="auto"/>
              <w:rPr>
                <w:rFonts w:ascii="Times New Roman" w:hAnsi="Times New Roman" w:cs="Times New Roman"/>
                <w:sz w:val="24"/>
                <w:szCs w:val="24"/>
              </w:rPr>
            </w:pPr>
            <w:r>
              <w:rPr>
                <w:rFonts w:ascii="Times New Roman" w:hAnsi="Times New Roman" w:cs="Times New Roman"/>
                <w:sz w:val="24"/>
                <w:szCs w:val="24"/>
              </w:rPr>
              <w:t>Universalism</w:t>
            </w:r>
          </w:p>
        </w:tc>
        <w:tc>
          <w:tcPr>
            <w:tcW w:w="3837" w:type="dxa"/>
          </w:tcPr>
          <w:p w14:paraId="0A24CB1C">
            <w:pPr>
              <w:spacing w:line="360" w:lineRule="auto"/>
              <w:rPr>
                <w:rFonts w:ascii="Times New Roman" w:hAnsi="Times New Roman" w:cs="Times New Roman"/>
                <w:sz w:val="24"/>
                <w:szCs w:val="24"/>
              </w:rPr>
            </w:pPr>
            <w:r>
              <w:rPr>
                <w:rFonts w:ascii="Times New Roman" w:hAnsi="Times New Roman" w:cs="Times New Roman"/>
                <w:sz w:val="24"/>
                <w:szCs w:val="24"/>
              </w:rPr>
              <w:t>Universalism</w:t>
            </w:r>
          </w:p>
        </w:tc>
      </w:tr>
      <w:tr w14:paraId="75D4DD6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866" w:type="dxa"/>
          </w:tcPr>
          <w:p w14:paraId="63B006AD">
            <w:pPr>
              <w:spacing w:line="360" w:lineRule="auto"/>
              <w:jc w:val="left"/>
              <w:rPr>
                <w:rFonts w:ascii="Times New Roman" w:hAnsi="Times New Roman" w:cs="Times New Roman"/>
                <w:sz w:val="24"/>
                <w:szCs w:val="24"/>
              </w:rPr>
            </w:pPr>
            <w:r>
              <w:rPr>
                <w:rFonts w:ascii="Times New Roman" w:hAnsi="Times New Roman" w:cs="Times New Roman"/>
                <w:sz w:val="24"/>
                <w:szCs w:val="24"/>
              </w:rPr>
              <w:t>Communitarianism versus individualism</w:t>
            </w:r>
          </w:p>
        </w:tc>
        <w:tc>
          <w:tcPr>
            <w:tcW w:w="2841" w:type="dxa"/>
          </w:tcPr>
          <w:p w14:paraId="72FCFCB4">
            <w:pPr>
              <w:spacing w:line="360" w:lineRule="auto"/>
              <w:rPr>
                <w:rFonts w:ascii="Times New Roman" w:hAnsi="Times New Roman" w:cs="Times New Roman"/>
                <w:sz w:val="24"/>
                <w:szCs w:val="24"/>
              </w:rPr>
            </w:pPr>
            <w:r>
              <w:rPr>
                <w:rFonts w:ascii="Times New Roman" w:hAnsi="Times New Roman" w:cs="Times New Roman"/>
                <w:sz w:val="24"/>
                <w:szCs w:val="24"/>
              </w:rPr>
              <w:t>Individualism</w:t>
            </w:r>
          </w:p>
        </w:tc>
        <w:tc>
          <w:tcPr>
            <w:tcW w:w="3837" w:type="dxa"/>
          </w:tcPr>
          <w:p w14:paraId="6E7767C5">
            <w:pPr>
              <w:spacing w:line="360" w:lineRule="auto"/>
              <w:rPr>
                <w:rFonts w:ascii="Times New Roman" w:hAnsi="Times New Roman" w:cs="Times New Roman"/>
                <w:sz w:val="24"/>
                <w:szCs w:val="24"/>
              </w:rPr>
            </w:pPr>
            <w:r>
              <w:rPr>
                <w:rFonts w:ascii="Times New Roman" w:hAnsi="Times New Roman" w:cs="Times New Roman"/>
                <w:sz w:val="24"/>
                <w:szCs w:val="24"/>
              </w:rPr>
              <w:t>Individualism and communitarianism</w:t>
            </w:r>
          </w:p>
        </w:tc>
      </w:tr>
      <w:tr w14:paraId="505814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866" w:type="dxa"/>
          </w:tcPr>
          <w:p w14:paraId="6E4B87AC">
            <w:pPr>
              <w:spacing w:line="360" w:lineRule="auto"/>
              <w:jc w:val="left"/>
              <w:rPr>
                <w:rFonts w:ascii="Times New Roman" w:hAnsi="Times New Roman" w:cs="Times New Roman"/>
                <w:sz w:val="24"/>
                <w:szCs w:val="24"/>
              </w:rPr>
            </w:pPr>
            <w:r>
              <w:rPr>
                <w:rFonts w:ascii="Times New Roman" w:hAnsi="Times New Roman" w:cs="Times New Roman"/>
                <w:sz w:val="24"/>
                <w:szCs w:val="24"/>
              </w:rPr>
              <w:t xml:space="preserve">Neutral versus emotional </w:t>
            </w:r>
          </w:p>
        </w:tc>
        <w:tc>
          <w:tcPr>
            <w:tcW w:w="2841" w:type="dxa"/>
          </w:tcPr>
          <w:p w14:paraId="62A0B1D7">
            <w:pPr>
              <w:spacing w:line="360" w:lineRule="auto"/>
              <w:rPr>
                <w:rFonts w:ascii="Times New Roman" w:hAnsi="Times New Roman" w:cs="Times New Roman"/>
                <w:sz w:val="24"/>
                <w:szCs w:val="24"/>
              </w:rPr>
            </w:pPr>
            <w:r>
              <w:rPr>
                <w:rFonts w:ascii="Times New Roman" w:hAnsi="Times New Roman" w:cs="Times New Roman"/>
                <w:sz w:val="24"/>
                <w:szCs w:val="24"/>
              </w:rPr>
              <w:t>Neutral</w:t>
            </w:r>
          </w:p>
        </w:tc>
        <w:tc>
          <w:tcPr>
            <w:tcW w:w="3837" w:type="dxa"/>
          </w:tcPr>
          <w:p w14:paraId="49D375B9">
            <w:pPr>
              <w:spacing w:line="360" w:lineRule="auto"/>
              <w:rPr>
                <w:rFonts w:ascii="Times New Roman" w:hAnsi="Times New Roman" w:cs="Times New Roman"/>
                <w:sz w:val="24"/>
                <w:szCs w:val="24"/>
              </w:rPr>
            </w:pPr>
            <w:r>
              <w:rPr>
                <w:rFonts w:ascii="Times New Roman" w:hAnsi="Times New Roman" w:cs="Times New Roman"/>
                <w:sz w:val="24"/>
                <w:szCs w:val="24"/>
              </w:rPr>
              <w:t>Emotional</w:t>
            </w:r>
          </w:p>
        </w:tc>
      </w:tr>
      <w:tr w14:paraId="11CD73C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866" w:type="dxa"/>
          </w:tcPr>
          <w:p w14:paraId="0621B742">
            <w:pPr>
              <w:spacing w:line="360" w:lineRule="auto"/>
              <w:jc w:val="left"/>
              <w:rPr>
                <w:rFonts w:ascii="Times New Roman" w:hAnsi="Times New Roman" w:cs="Times New Roman"/>
                <w:sz w:val="24"/>
                <w:szCs w:val="24"/>
              </w:rPr>
            </w:pPr>
            <w:r>
              <w:rPr>
                <w:rFonts w:ascii="Times New Roman" w:hAnsi="Times New Roman" w:cs="Times New Roman"/>
                <w:sz w:val="24"/>
                <w:szCs w:val="24"/>
              </w:rPr>
              <w:t>Defuse versus specific cultures</w:t>
            </w:r>
          </w:p>
        </w:tc>
        <w:tc>
          <w:tcPr>
            <w:tcW w:w="2841" w:type="dxa"/>
          </w:tcPr>
          <w:p w14:paraId="56800BB5">
            <w:pPr>
              <w:spacing w:line="360" w:lineRule="auto"/>
              <w:rPr>
                <w:rFonts w:ascii="Times New Roman" w:hAnsi="Times New Roman" w:cs="Times New Roman"/>
                <w:sz w:val="24"/>
                <w:szCs w:val="24"/>
              </w:rPr>
            </w:pPr>
            <w:r>
              <w:rPr>
                <w:rFonts w:ascii="Times New Roman" w:hAnsi="Times New Roman" w:cs="Times New Roman"/>
                <w:sz w:val="24"/>
                <w:szCs w:val="24"/>
              </w:rPr>
              <w:t>Specific</w:t>
            </w:r>
          </w:p>
        </w:tc>
        <w:tc>
          <w:tcPr>
            <w:tcW w:w="3837" w:type="dxa"/>
          </w:tcPr>
          <w:p w14:paraId="094E0975">
            <w:pPr>
              <w:spacing w:line="360" w:lineRule="auto"/>
              <w:rPr>
                <w:rFonts w:ascii="Times New Roman" w:hAnsi="Times New Roman" w:cs="Times New Roman"/>
                <w:sz w:val="24"/>
                <w:szCs w:val="24"/>
              </w:rPr>
            </w:pPr>
            <w:r>
              <w:rPr>
                <w:rFonts w:ascii="Times New Roman" w:hAnsi="Times New Roman" w:cs="Times New Roman"/>
                <w:sz w:val="24"/>
                <w:szCs w:val="24"/>
              </w:rPr>
              <w:t>Defuse</w:t>
            </w:r>
          </w:p>
        </w:tc>
      </w:tr>
      <w:tr w14:paraId="193F8D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866" w:type="dxa"/>
          </w:tcPr>
          <w:p w14:paraId="5D2A1464">
            <w:pPr>
              <w:spacing w:line="360" w:lineRule="auto"/>
              <w:jc w:val="left"/>
              <w:rPr>
                <w:rFonts w:ascii="Times New Roman" w:hAnsi="Times New Roman" w:cs="Times New Roman"/>
                <w:sz w:val="24"/>
                <w:szCs w:val="24"/>
              </w:rPr>
            </w:pPr>
            <w:r>
              <w:rPr>
                <w:rFonts w:ascii="Times New Roman" w:hAnsi="Times New Roman" w:cs="Times New Roman"/>
                <w:sz w:val="24"/>
                <w:szCs w:val="24"/>
              </w:rPr>
              <w:t>Achievement versus ascription</w:t>
            </w:r>
          </w:p>
        </w:tc>
        <w:tc>
          <w:tcPr>
            <w:tcW w:w="2841" w:type="dxa"/>
          </w:tcPr>
          <w:p w14:paraId="325D31D8">
            <w:pPr>
              <w:spacing w:line="360" w:lineRule="auto"/>
              <w:rPr>
                <w:rFonts w:ascii="Times New Roman" w:hAnsi="Times New Roman" w:cs="Times New Roman"/>
                <w:sz w:val="24"/>
                <w:szCs w:val="24"/>
              </w:rPr>
            </w:pPr>
            <w:r>
              <w:rPr>
                <w:rFonts w:ascii="Times New Roman" w:hAnsi="Times New Roman" w:cs="Times New Roman"/>
                <w:sz w:val="24"/>
                <w:szCs w:val="24"/>
              </w:rPr>
              <w:t>Achievement</w:t>
            </w:r>
          </w:p>
        </w:tc>
        <w:tc>
          <w:tcPr>
            <w:tcW w:w="3837" w:type="dxa"/>
          </w:tcPr>
          <w:p w14:paraId="3C4E0C6D">
            <w:pPr>
              <w:spacing w:line="360" w:lineRule="auto"/>
              <w:rPr>
                <w:rFonts w:ascii="Times New Roman" w:hAnsi="Times New Roman" w:cs="Times New Roman"/>
                <w:sz w:val="24"/>
                <w:szCs w:val="24"/>
              </w:rPr>
            </w:pPr>
            <w:r>
              <w:rPr>
                <w:rFonts w:ascii="Times New Roman" w:hAnsi="Times New Roman" w:cs="Times New Roman"/>
                <w:sz w:val="24"/>
                <w:szCs w:val="24"/>
              </w:rPr>
              <w:t>Ascription</w:t>
            </w:r>
          </w:p>
        </w:tc>
      </w:tr>
      <w:tr w14:paraId="220896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866" w:type="dxa"/>
          </w:tcPr>
          <w:p w14:paraId="58784108">
            <w:pPr>
              <w:spacing w:line="360" w:lineRule="auto"/>
              <w:jc w:val="left"/>
              <w:rPr>
                <w:rFonts w:ascii="Times New Roman" w:hAnsi="Times New Roman" w:cs="Times New Roman"/>
                <w:sz w:val="24"/>
                <w:szCs w:val="24"/>
              </w:rPr>
            </w:pPr>
            <w:r>
              <w:rPr>
                <w:rFonts w:ascii="Times New Roman" w:hAnsi="Times New Roman" w:cs="Times New Roman"/>
                <w:sz w:val="24"/>
                <w:szCs w:val="24"/>
              </w:rPr>
              <w:t>Human-Time relationship</w:t>
            </w:r>
          </w:p>
        </w:tc>
        <w:tc>
          <w:tcPr>
            <w:tcW w:w="2841" w:type="dxa"/>
          </w:tcPr>
          <w:p w14:paraId="1863ADDE">
            <w:pPr>
              <w:spacing w:line="360" w:lineRule="auto"/>
              <w:rPr>
                <w:rFonts w:ascii="Times New Roman" w:hAnsi="Times New Roman" w:cs="Times New Roman"/>
                <w:sz w:val="24"/>
                <w:szCs w:val="24"/>
              </w:rPr>
            </w:pPr>
            <w:r>
              <w:rPr>
                <w:rFonts w:ascii="Times New Roman" w:hAnsi="Times New Roman" w:cs="Times New Roman"/>
                <w:sz w:val="24"/>
                <w:szCs w:val="24"/>
              </w:rPr>
              <w:t>Punctual and busy</w:t>
            </w:r>
          </w:p>
        </w:tc>
        <w:tc>
          <w:tcPr>
            <w:tcW w:w="3837" w:type="dxa"/>
          </w:tcPr>
          <w:p w14:paraId="4311EEF2">
            <w:pPr>
              <w:spacing w:line="360" w:lineRule="auto"/>
              <w:rPr>
                <w:rFonts w:ascii="Times New Roman" w:hAnsi="Times New Roman" w:cs="Times New Roman"/>
                <w:sz w:val="24"/>
                <w:szCs w:val="24"/>
              </w:rPr>
            </w:pPr>
            <w:r>
              <w:rPr>
                <w:rFonts w:ascii="Times New Roman" w:hAnsi="Times New Roman" w:cs="Times New Roman"/>
                <w:sz w:val="24"/>
                <w:szCs w:val="24"/>
              </w:rPr>
              <w:t>Punctual in formal situations, casual in informal situations</w:t>
            </w:r>
          </w:p>
        </w:tc>
      </w:tr>
      <w:tr w14:paraId="6CB526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866" w:type="dxa"/>
          </w:tcPr>
          <w:p w14:paraId="374CBCE3">
            <w:pPr>
              <w:spacing w:line="360" w:lineRule="auto"/>
              <w:jc w:val="left"/>
              <w:rPr>
                <w:rFonts w:ascii="Times New Roman" w:hAnsi="Times New Roman" w:cs="Times New Roman"/>
                <w:sz w:val="24"/>
                <w:szCs w:val="24"/>
              </w:rPr>
            </w:pPr>
            <w:r>
              <w:rPr>
                <w:rFonts w:ascii="Times New Roman" w:hAnsi="Times New Roman" w:cs="Times New Roman"/>
                <w:sz w:val="24"/>
                <w:szCs w:val="24"/>
              </w:rPr>
              <w:t>Human-Nature relationship</w:t>
            </w:r>
          </w:p>
        </w:tc>
        <w:tc>
          <w:tcPr>
            <w:tcW w:w="2841" w:type="dxa"/>
          </w:tcPr>
          <w:p w14:paraId="15F71687">
            <w:pPr>
              <w:spacing w:line="360" w:lineRule="auto"/>
              <w:rPr>
                <w:rFonts w:ascii="Times New Roman" w:hAnsi="Times New Roman" w:cs="Times New Roman"/>
                <w:sz w:val="24"/>
                <w:szCs w:val="24"/>
              </w:rPr>
            </w:pPr>
            <w:r>
              <w:rPr>
                <w:rFonts w:ascii="Times New Roman" w:hAnsi="Times New Roman" w:cs="Times New Roman"/>
                <w:sz w:val="24"/>
                <w:szCs w:val="24"/>
              </w:rPr>
              <w:t>Follow nature</w:t>
            </w:r>
          </w:p>
        </w:tc>
        <w:tc>
          <w:tcPr>
            <w:tcW w:w="3837" w:type="dxa"/>
          </w:tcPr>
          <w:p w14:paraId="4327E626">
            <w:pPr>
              <w:spacing w:line="360" w:lineRule="auto"/>
              <w:rPr>
                <w:rFonts w:ascii="Times New Roman" w:hAnsi="Times New Roman" w:cs="Times New Roman"/>
                <w:sz w:val="24"/>
                <w:szCs w:val="24"/>
              </w:rPr>
            </w:pPr>
            <w:r>
              <w:rPr>
                <w:rFonts w:ascii="Times New Roman" w:hAnsi="Times New Roman" w:cs="Times New Roman"/>
                <w:sz w:val="24"/>
                <w:szCs w:val="24"/>
              </w:rPr>
              <w:t>Extremely follow nature</w:t>
            </w:r>
          </w:p>
        </w:tc>
      </w:tr>
    </w:tbl>
    <w:p w14:paraId="5BA4B717">
      <w:pPr>
        <w:spacing w:line="360" w:lineRule="auto"/>
        <w:jc w:val="center"/>
        <w:rPr>
          <w:rFonts w:ascii="Times New Roman" w:hAnsi="Times New Roman" w:cs="Times New Roman"/>
          <w:sz w:val="24"/>
          <w:szCs w:val="24"/>
        </w:rPr>
      </w:pPr>
      <w:r>
        <w:rPr>
          <w:rFonts w:ascii="Times New Roman" w:hAnsi="Times New Roman" w:cs="Times New Roman"/>
          <w:sz w:val="24"/>
          <w:szCs w:val="24"/>
        </w:rPr>
        <w:t>Table 2. Analysis of 7 Dimensions of Culture of Britain and Iceland</w:t>
      </w:r>
    </w:p>
    <w:p w14:paraId="4FB8B146">
      <w:pPr>
        <w:spacing w:line="360" w:lineRule="auto"/>
        <w:rPr>
          <w:rFonts w:ascii="Times New Roman" w:hAnsi="Times New Roman" w:cs="Times New Roman"/>
          <w:sz w:val="24"/>
          <w:szCs w:val="24"/>
        </w:rPr>
      </w:pPr>
      <w:r>
        <w:rPr>
          <w:rFonts w:ascii="Times New Roman" w:hAnsi="Times New Roman" w:cs="Times New Roman"/>
          <w:sz w:val="24"/>
          <w:szCs w:val="24"/>
        </w:rPr>
        <w:t>Therefore, from the above content and the comparison summary in Table 2, it can be seen that both of them pay attention to the concept of time, respect and adapt to nature, and tend to be universalistic. However, compared with the British, Icelanders are better at expressing emotions. For Icelanders, they may emphasize equality and welfare more than the British. In terms of relationship culture, Icelanders have a looser and more extensive network. All these differences may lead to different habits and understandings of specific behaviors between them in terms of gender differences, relationship building, emotional expression, etc.</w:t>
      </w:r>
    </w:p>
    <w:p w14:paraId="3B308D94">
      <w:pPr>
        <w:spacing w:line="360" w:lineRule="auto"/>
        <w:rPr>
          <w:rFonts w:ascii="Times New Roman" w:hAnsi="Times New Roman" w:cs="Times New Roman"/>
          <w:sz w:val="24"/>
          <w:szCs w:val="24"/>
        </w:rPr>
      </w:pPr>
      <w:r>
        <w:rPr>
          <w:rFonts w:ascii="Times New Roman" w:hAnsi="Times New Roman" w:cs="Times New Roman"/>
          <w:sz w:val="24"/>
          <w:szCs w:val="24"/>
        </w:rPr>
        <w:t xml:space="preserve">Secondly, communication style. Hall’s high- and low-context theory explains the differences in communication styles, responsibility attribution, and non-verbal communication between high-context countries and low-context countries (Broeder, 2021). To people from high-context cultures, low-context communicators may seem impersonal, distant, or untrustworthy. Conversely, people from low-context cultures may feel that communicators from high-context cultures are ineffective in speaking (Abugre &amp; Debrah, 2019). In business communication, people from high-context cultures tend to understand information through personal stories, practical experiences, and real-life examples, and people from low-context cultures focus on comprehensive information and data in presentations, briefings, and instructions to understand information (Country Navigator, 2024). </w:t>
      </w:r>
    </w:p>
    <w:p w14:paraId="186D415D">
      <w:pPr>
        <w:spacing w:line="360" w:lineRule="auto"/>
        <w:rPr>
          <w:rFonts w:ascii="Times New Roman" w:hAnsi="Times New Roman" w:cs="Times New Roman"/>
          <w:sz w:val="24"/>
          <w:szCs w:val="24"/>
        </w:rPr>
      </w:pPr>
      <w:r>
        <w:rPr>
          <w:rFonts w:ascii="Times New Roman" w:hAnsi="Times New Roman" w:cs="Times New Roman"/>
          <w:sz w:val="24"/>
          <w:szCs w:val="24"/>
        </w:rPr>
        <w:t>Britain is a low-context country, and the British tend to communicate directly and explicitly. In business communication, the British usually expect information to be conveyed clearly and in detail, and emphasize logic and accuracy (Bouwen, 2023). Iceland is a low-context country, which means Icelanders like to communicate directly. Honesty and outspokenness may make them appear direct, indifferent, or even rude in communication (Kristjánsdóttir, 2017). Therefore, as both countries with low-context cultures, the business communication between Britain and Iceland is unlikely to show big differences in communication style and information expression habits.</w:t>
      </w:r>
    </w:p>
    <w:p w14:paraId="4AE72BBE">
      <w:pPr>
        <w:spacing w:line="360" w:lineRule="auto"/>
        <w:rPr>
          <w:rFonts w:ascii="Times New Roman" w:hAnsi="Times New Roman" w:cs="Times New Roman"/>
          <w:sz w:val="24"/>
          <w:szCs w:val="24"/>
        </w:rPr>
      </w:pPr>
      <w:r>
        <w:rPr>
          <w:rFonts w:ascii="Times New Roman" w:hAnsi="Times New Roman" w:cs="Times New Roman"/>
          <w:sz w:val="24"/>
          <w:szCs w:val="24"/>
        </w:rPr>
        <w:t>Thirdly, national business structure, technology level, and government restrictions. The specific data for the comparative analysis of Britain and Iceland in terms of government, business, technology, innovation capability, law and trade policy are shown in the following table, see Table 3.</w:t>
      </w:r>
    </w:p>
    <w:tbl>
      <w:tblPr>
        <w:tblStyle w:val="16"/>
        <w:tblW w:w="10774" w:type="dxa"/>
        <w:tblInd w:w="-116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02"/>
        <w:gridCol w:w="4536"/>
        <w:gridCol w:w="4536"/>
      </w:tblGrid>
      <w:tr w14:paraId="13E0F23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shd w:val="clear" w:color="auto" w:fill="F1F1F1" w:themeFill="background1" w:themeFillShade="F2"/>
          </w:tcPr>
          <w:p w14:paraId="7A1F55A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Aspects</w:t>
            </w:r>
          </w:p>
        </w:tc>
        <w:tc>
          <w:tcPr>
            <w:tcW w:w="4536" w:type="dxa"/>
            <w:shd w:val="clear" w:color="auto" w:fill="F1F1F1" w:themeFill="background1" w:themeFillShade="F2"/>
          </w:tcPr>
          <w:p w14:paraId="1F26232E">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Britain</w:t>
            </w:r>
          </w:p>
        </w:tc>
        <w:tc>
          <w:tcPr>
            <w:tcW w:w="4536" w:type="dxa"/>
            <w:shd w:val="clear" w:color="auto" w:fill="F1F1F1" w:themeFill="background1" w:themeFillShade="F2"/>
          </w:tcPr>
          <w:p w14:paraId="1520517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Iceland</w:t>
            </w:r>
          </w:p>
        </w:tc>
      </w:tr>
      <w:tr w14:paraId="25085B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14:paraId="37B99248">
            <w:pPr>
              <w:spacing w:line="360" w:lineRule="auto"/>
              <w:rPr>
                <w:rFonts w:ascii="Times New Roman" w:hAnsi="Times New Roman" w:cs="Times New Roman"/>
                <w:sz w:val="24"/>
                <w:szCs w:val="24"/>
              </w:rPr>
            </w:pPr>
            <w:r>
              <w:rPr>
                <w:rFonts w:ascii="Times New Roman" w:hAnsi="Times New Roman" w:cs="Times New Roman"/>
                <w:sz w:val="24"/>
                <w:szCs w:val="24"/>
              </w:rPr>
              <w:t>Business Enterprises</w:t>
            </w:r>
          </w:p>
        </w:tc>
        <w:tc>
          <w:tcPr>
            <w:tcW w:w="4536" w:type="dxa"/>
          </w:tcPr>
          <w:p w14:paraId="652DAD9E">
            <w:pPr>
              <w:spacing w:line="360" w:lineRule="auto"/>
              <w:rPr>
                <w:rFonts w:ascii="Times New Roman" w:hAnsi="Times New Roman" w:cs="Times New Roman"/>
                <w:sz w:val="24"/>
                <w:szCs w:val="24"/>
              </w:rPr>
            </w:pPr>
            <w:r>
              <w:rPr>
                <w:rFonts w:ascii="Times New Roman" w:hAnsi="Times New Roman" w:cs="Times New Roman"/>
                <w:sz w:val="24"/>
                <w:szCs w:val="24"/>
              </w:rPr>
              <w:t>There are more than 5.5 million private enterprises, and there are more than 1,900 large companies and small and medium-sized enterprises (D.Clark, 2024a).</w:t>
            </w:r>
          </w:p>
        </w:tc>
        <w:tc>
          <w:tcPr>
            <w:tcW w:w="4536" w:type="dxa"/>
          </w:tcPr>
          <w:p w14:paraId="246A81F5">
            <w:pPr>
              <w:spacing w:line="360" w:lineRule="auto"/>
              <w:rPr>
                <w:rFonts w:ascii="Times New Roman" w:hAnsi="Times New Roman" w:cs="Times New Roman"/>
                <w:sz w:val="24"/>
                <w:szCs w:val="24"/>
              </w:rPr>
            </w:pPr>
            <w:r>
              <w:rPr>
                <w:rFonts w:ascii="Times New Roman" w:hAnsi="Times New Roman" w:cs="Times New Roman"/>
                <w:sz w:val="24"/>
                <w:szCs w:val="24"/>
              </w:rPr>
              <w:t>The non-specialized stores sector employed 399 enterprises, the retail sale of clothing employed 242 enterprises, and the retail sale via mail-order houses or the internet employed 222 enterprises (D. Tighe, 2021).</w:t>
            </w:r>
          </w:p>
        </w:tc>
      </w:tr>
      <w:tr w14:paraId="5CBB75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14:paraId="4CB04891">
            <w:pPr>
              <w:spacing w:line="360" w:lineRule="auto"/>
              <w:rPr>
                <w:rFonts w:ascii="Times New Roman" w:hAnsi="Times New Roman" w:cs="Times New Roman"/>
                <w:sz w:val="24"/>
                <w:szCs w:val="24"/>
              </w:rPr>
            </w:pPr>
            <w:r>
              <w:rPr>
                <w:rFonts w:ascii="Times New Roman" w:hAnsi="Times New Roman" w:cs="Times New Roman"/>
                <w:sz w:val="24"/>
                <w:szCs w:val="24"/>
              </w:rPr>
              <w:t>Corporate Culture</w:t>
            </w:r>
          </w:p>
        </w:tc>
        <w:tc>
          <w:tcPr>
            <w:tcW w:w="4536" w:type="dxa"/>
          </w:tcPr>
          <w:p w14:paraId="21DCC00A">
            <w:pPr>
              <w:spacing w:line="360" w:lineRule="auto"/>
              <w:rPr>
                <w:rFonts w:ascii="Times New Roman" w:hAnsi="Times New Roman" w:cs="Times New Roman"/>
                <w:sz w:val="24"/>
                <w:szCs w:val="24"/>
              </w:rPr>
            </w:pPr>
            <w:r>
              <w:rPr>
                <w:rFonts w:ascii="Times New Roman" w:hAnsi="Times New Roman" w:cs="Times New Roman"/>
                <w:sz w:val="24"/>
                <w:szCs w:val="24"/>
              </w:rPr>
              <w:t>Emphasis on fair competition and individualism (Kosse, 2022).</w:t>
            </w:r>
          </w:p>
        </w:tc>
        <w:tc>
          <w:tcPr>
            <w:tcW w:w="4536" w:type="dxa"/>
          </w:tcPr>
          <w:p w14:paraId="2CBFFF8C">
            <w:pPr>
              <w:spacing w:line="360" w:lineRule="auto"/>
              <w:rPr>
                <w:rFonts w:ascii="Times New Roman" w:hAnsi="Times New Roman" w:cs="Times New Roman"/>
                <w:sz w:val="24"/>
                <w:szCs w:val="24"/>
              </w:rPr>
            </w:pPr>
            <w:r>
              <w:rPr>
                <w:rFonts w:ascii="Times New Roman" w:hAnsi="Times New Roman" w:cs="Times New Roman"/>
                <w:sz w:val="24"/>
                <w:szCs w:val="24"/>
              </w:rPr>
              <w:t>Emphasis on teamwork and community awareness, equality, high work ethics, and positive attitude (Minelgaite et al., 2018).</w:t>
            </w:r>
          </w:p>
        </w:tc>
      </w:tr>
      <w:tr w14:paraId="0CEFF8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14:paraId="1E92C3B6">
            <w:pPr>
              <w:spacing w:line="360" w:lineRule="auto"/>
              <w:rPr>
                <w:rFonts w:ascii="Times New Roman" w:hAnsi="Times New Roman" w:cs="Times New Roman"/>
                <w:sz w:val="24"/>
                <w:szCs w:val="24"/>
              </w:rPr>
            </w:pPr>
            <w:r>
              <w:rPr>
                <w:rFonts w:ascii="Times New Roman" w:hAnsi="Times New Roman" w:cs="Times New Roman"/>
                <w:sz w:val="24"/>
                <w:szCs w:val="24"/>
              </w:rPr>
              <w:t>Technology Infrastructure</w:t>
            </w:r>
          </w:p>
        </w:tc>
        <w:tc>
          <w:tcPr>
            <w:tcW w:w="4536" w:type="dxa"/>
          </w:tcPr>
          <w:p w14:paraId="7F6ADCCD">
            <w:pPr>
              <w:spacing w:line="360" w:lineRule="auto"/>
              <w:rPr>
                <w:rFonts w:ascii="Times New Roman" w:hAnsi="Times New Roman" w:cs="Times New Roman"/>
                <w:sz w:val="24"/>
                <w:szCs w:val="24"/>
              </w:rPr>
            </w:pPr>
            <w:r>
              <w:rPr>
                <w:rFonts w:ascii="Times New Roman" w:hAnsi="Times New Roman" w:cs="Times New Roman"/>
                <w:sz w:val="24"/>
                <w:szCs w:val="24"/>
              </w:rPr>
              <w:t>In June 2022, Britain became only the third country (behind the USA and China) in the world to reach the landmark of having its tech sector valued at over $1 trillion (UK Government, 2024).</w:t>
            </w:r>
          </w:p>
        </w:tc>
        <w:tc>
          <w:tcPr>
            <w:tcW w:w="4536" w:type="dxa"/>
          </w:tcPr>
          <w:p w14:paraId="41A5B3D0">
            <w:pPr>
              <w:spacing w:line="360" w:lineRule="auto"/>
              <w:rPr>
                <w:rFonts w:ascii="Times New Roman" w:hAnsi="Times New Roman" w:cs="Times New Roman"/>
                <w:sz w:val="24"/>
                <w:szCs w:val="24"/>
              </w:rPr>
            </w:pPr>
            <w:r>
              <w:rPr>
                <w:rFonts w:ascii="Times New Roman" w:hAnsi="Times New Roman" w:cs="Times New Roman"/>
                <w:sz w:val="24"/>
                <w:szCs w:val="24"/>
              </w:rPr>
              <w:t>The Icelandic tech ecosystem thrives on innovation and infrastructure (</w:t>
            </w:r>
            <w:bookmarkStart w:id="4" w:name="_Hlk186810774"/>
            <w:r>
              <w:rPr>
                <w:rFonts w:ascii="Times New Roman" w:hAnsi="Times New Roman" w:cs="Times New Roman"/>
                <w:sz w:val="24"/>
                <w:szCs w:val="24"/>
              </w:rPr>
              <w:t>Djurickovic, 2024)</w:t>
            </w:r>
            <w:bookmarkEnd w:id="4"/>
            <w:r>
              <w:rPr>
                <w:rFonts w:ascii="Times New Roman" w:hAnsi="Times New Roman" w:cs="Times New Roman"/>
                <w:sz w:val="24"/>
                <w:szCs w:val="24"/>
              </w:rPr>
              <w:t>.</w:t>
            </w:r>
          </w:p>
        </w:tc>
      </w:tr>
      <w:tr w14:paraId="4A8EF78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14:paraId="6D1BFF7D">
            <w:pPr>
              <w:spacing w:line="360" w:lineRule="auto"/>
              <w:rPr>
                <w:rFonts w:ascii="Times New Roman" w:hAnsi="Times New Roman" w:cs="Times New Roman"/>
                <w:sz w:val="24"/>
                <w:szCs w:val="24"/>
              </w:rPr>
            </w:pPr>
            <w:r>
              <w:rPr>
                <w:rFonts w:ascii="Times New Roman" w:hAnsi="Times New Roman" w:cs="Times New Roman"/>
                <w:sz w:val="24"/>
                <w:szCs w:val="24"/>
              </w:rPr>
              <w:t>Innovation Capabilities</w:t>
            </w:r>
          </w:p>
        </w:tc>
        <w:tc>
          <w:tcPr>
            <w:tcW w:w="4536" w:type="dxa"/>
          </w:tcPr>
          <w:p w14:paraId="437341D5">
            <w:pPr>
              <w:spacing w:line="360" w:lineRule="auto"/>
              <w:rPr>
                <w:rFonts w:ascii="Times New Roman" w:hAnsi="Times New Roman" w:cs="Times New Roman"/>
                <w:sz w:val="24"/>
                <w:szCs w:val="24"/>
              </w:rPr>
            </w:pPr>
            <w:r>
              <w:rPr>
                <w:rFonts w:ascii="Times New Roman" w:hAnsi="Times New Roman" w:cs="Times New Roman"/>
                <w:sz w:val="24"/>
                <w:szCs w:val="24"/>
              </w:rPr>
              <w:t>A score of 114.8 (D. Clark, 2024b).</w:t>
            </w:r>
          </w:p>
          <w:p w14:paraId="66254DD4">
            <w:pPr>
              <w:spacing w:line="360" w:lineRule="auto"/>
              <w:rPr>
                <w:rFonts w:ascii="Times New Roman" w:hAnsi="Times New Roman" w:cs="Times New Roman"/>
                <w:sz w:val="24"/>
                <w:szCs w:val="24"/>
              </w:rPr>
            </w:pPr>
            <w:r>
              <w:rPr>
                <w:rFonts w:ascii="Times New Roman" w:hAnsi="Times New Roman" w:cs="Times New Roman"/>
                <w:sz w:val="24"/>
                <w:szCs w:val="24"/>
              </w:rPr>
              <w:t>British SMEs can achieve excellent results in technological innovation through international orientation (Bagheri et al., 2019)</w:t>
            </w:r>
          </w:p>
        </w:tc>
        <w:tc>
          <w:tcPr>
            <w:tcW w:w="4536" w:type="dxa"/>
          </w:tcPr>
          <w:p w14:paraId="1D27CA8F">
            <w:pPr>
              <w:spacing w:line="360" w:lineRule="auto"/>
              <w:rPr>
                <w:rFonts w:ascii="Times New Roman" w:hAnsi="Times New Roman" w:cs="Times New Roman"/>
                <w:sz w:val="24"/>
                <w:szCs w:val="24"/>
              </w:rPr>
            </w:pPr>
            <w:r>
              <w:rPr>
                <w:rFonts w:ascii="Times New Roman" w:hAnsi="Times New Roman" w:cs="Times New Roman"/>
                <w:sz w:val="24"/>
                <w:szCs w:val="24"/>
              </w:rPr>
              <w:t xml:space="preserve">Above average levels of innovation (Espinosa, 2024). </w:t>
            </w:r>
          </w:p>
          <w:p w14:paraId="40279BC0">
            <w:pPr>
              <w:spacing w:line="360" w:lineRule="auto"/>
              <w:rPr>
                <w:rFonts w:ascii="Times New Roman" w:hAnsi="Times New Roman" w:cs="Times New Roman"/>
                <w:sz w:val="24"/>
                <w:szCs w:val="24"/>
              </w:rPr>
            </w:pPr>
            <w:r>
              <w:rPr>
                <w:rFonts w:ascii="Times New Roman" w:hAnsi="Times New Roman" w:cs="Times New Roman"/>
                <w:sz w:val="24"/>
                <w:szCs w:val="24"/>
              </w:rPr>
              <w:t>Iceland is an innovative country, but its innovation capacity needs to be improved. The outbreak of the epidemic in 2020-2022 has led to a comprehensive slowdown in innovation in Iceland’s major economic sectors (Statistics Iceland, 2024)</w:t>
            </w:r>
          </w:p>
        </w:tc>
      </w:tr>
      <w:tr w14:paraId="5C27F5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2" w:type="dxa"/>
          </w:tcPr>
          <w:p w14:paraId="69B9F923">
            <w:pPr>
              <w:spacing w:line="360" w:lineRule="auto"/>
              <w:rPr>
                <w:rFonts w:ascii="Times New Roman" w:hAnsi="Times New Roman" w:cs="Times New Roman"/>
                <w:sz w:val="24"/>
                <w:szCs w:val="24"/>
              </w:rPr>
            </w:pPr>
            <w:r>
              <w:rPr>
                <w:rFonts w:ascii="Times New Roman" w:hAnsi="Times New Roman" w:cs="Times New Roman"/>
                <w:sz w:val="24"/>
                <w:szCs w:val="24"/>
              </w:rPr>
              <w:t>Trade Policy</w:t>
            </w:r>
          </w:p>
        </w:tc>
        <w:tc>
          <w:tcPr>
            <w:tcW w:w="4536" w:type="dxa"/>
          </w:tcPr>
          <w:p w14:paraId="15A38679">
            <w:pPr>
              <w:spacing w:line="360" w:lineRule="auto"/>
              <w:rPr>
                <w:rFonts w:ascii="Times New Roman" w:hAnsi="Times New Roman" w:cs="Times New Roman"/>
                <w:sz w:val="24"/>
                <w:szCs w:val="24"/>
              </w:rPr>
            </w:pPr>
            <w:r>
              <w:rPr>
                <w:rFonts w:ascii="Times New Roman" w:hAnsi="Times New Roman" w:cs="Times New Roman"/>
                <w:sz w:val="24"/>
                <w:szCs w:val="24"/>
              </w:rPr>
              <w:t>Britain needs to rethink its trade policy after Brexit (Du, Satoglu &amp; Shepotylo， 2023).</w:t>
            </w:r>
          </w:p>
          <w:p w14:paraId="1E97956C">
            <w:pPr>
              <w:spacing w:line="360" w:lineRule="auto"/>
              <w:rPr>
                <w:rFonts w:ascii="Times New Roman" w:hAnsi="Times New Roman" w:cs="Times New Roman"/>
                <w:sz w:val="24"/>
                <w:szCs w:val="24"/>
              </w:rPr>
            </w:pPr>
            <w:r>
              <w:rPr>
                <w:rFonts w:ascii="Times New Roman" w:hAnsi="Times New Roman" w:cs="Times New Roman"/>
                <w:sz w:val="24"/>
                <w:szCs w:val="24"/>
              </w:rPr>
              <w:t>Britain is ready to use a new data standard for trade policy (GOV.UK, 2024).</w:t>
            </w:r>
          </w:p>
        </w:tc>
        <w:tc>
          <w:tcPr>
            <w:tcW w:w="4536" w:type="dxa"/>
          </w:tcPr>
          <w:p w14:paraId="384C24AE">
            <w:pPr>
              <w:spacing w:line="360" w:lineRule="auto"/>
              <w:rPr>
                <w:rFonts w:ascii="Times New Roman" w:hAnsi="Times New Roman" w:cs="Times New Roman"/>
                <w:sz w:val="24"/>
                <w:szCs w:val="24"/>
              </w:rPr>
            </w:pPr>
            <w:r>
              <w:rPr>
                <w:rFonts w:ascii="Times New Roman" w:hAnsi="Times New Roman" w:cs="Times New Roman"/>
                <w:sz w:val="24"/>
                <w:szCs w:val="24"/>
              </w:rPr>
              <w:t>The Ministry of Foreign Affairs of Iceland is actively promoting the development of its foreign trade to eliminate barriers and improve the competitive position of Icelandic companies (Government of Iceland, 2024).</w:t>
            </w:r>
          </w:p>
        </w:tc>
      </w:tr>
    </w:tbl>
    <w:p w14:paraId="758DBFE3">
      <w:pPr>
        <w:spacing w:line="360" w:lineRule="auto"/>
        <w:jc w:val="center"/>
        <w:rPr>
          <w:rFonts w:ascii="Times New Roman" w:hAnsi="Times New Roman" w:cs="Times New Roman"/>
          <w:sz w:val="24"/>
          <w:szCs w:val="24"/>
        </w:rPr>
      </w:pPr>
      <w:r>
        <w:rPr>
          <w:rFonts w:ascii="Times New Roman" w:hAnsi="Times New Roman" w:cs="Times New Roman"/>
          <w:sz w:val="24"/>
          <w:szCs w:val="24"/>
        </w:rPr>
        <w:t>Table 3. Comparison of Britain and Iceland</w:t>
      </w:r>
    </w:p>
    <w:p w14:paraId="3ECDC001">
      <w:pPr>
        <w:spacing w:line="360" w:lineRule="auto"/>
        <w:rPr>
          <w:rFonts w:ascii="Times New Roman" w:hAnsi="Times New Roman" w:cs="Times New Roman"/>
          <w:sz w:val="24"/>
          <w:szCs w:val="24"/>
        </w:rPr>
      </w:pPr>
      <w:r>
        <w:rPr>
          <w:rFonts w:ascii="Times New Roman" w:hAnsi="Times New Roman" w:cs="Times New Roman"/>
          <w:sz w:val="24"/>
          <w:szCs w:val="24"/>
        </w:rPr>
        <w:t xml:space="preserve">From the information shown in Table 3, it is not difficult to see that Britain may need to accommodate the relative backwardness of Icelandic companies in terms of technology foundation, innovation ability, trade policy, etc. However, Icelandic companies as a whole have innovation awareness and passion and are willing to try innovation (Statistics Iceland, 2024). British corporates may focus on individual competition, while Icelanders are more willing to work in teams. Given that Britain is currently adjusting its trade policy after Brexit, Iceland is actively promoting its foreign trade policy, the two sides have a better environment and opportunity to reach cooperation, such as in </w:t>
      </w:r>
      <w:bookmarkStart w:id="5" w:name="OLE_LINK2"/>
      <w:r>
        <w:rPr>
          <w:rFonts w:ascii="Times New Roman" w:hAnsi="Times New Roman" w:cs="Times New Roman"/>
          <w:sz w:val="24"/>
          <w:szCs w:val="24"/>
        </w:rPr>
        <w:t>goods trade, digital trade, service trade, environmental protection technology, etc.</w:t>
      </w:r>
    </w:p>
    <w:bookmarkEnd w:id="5"/>
    <w:p w14:paraId="495AC262">
      <w:pPr>
        <w:spacing w:line="360" w:lineRule="auto"/>
        <w:rPr>
          <w:rFonts w:ascii="Times New Roman" w:hAnsi="Times New Roman" w:cs="Times New Roman"/>
          <w:sz w:val="24"/>
          <w:szCs w:val="24"/>
        </w:rPr>
      </w:pPr>
      <w:r>
        <w:rPr>
          <w:rFonts w:ascii="Times New Roman" w:hAnsi="Times New Roman" w:cs="Times New Roman"/>
          <w:sz w:val="24"/>
          <w:szCs w:val="24"/>
        </w:rPr>
        <w:t>Finally, recommendations for strategies to overcome failure. Given the differences in communication habits, social etiquette, emotional expression, uncertainty avoidance, gender differences, corporate culture, etc. mentioned above, 4 strategies are listed below.</w:t>
      </w:r>
    </w:p>
    <w:p w14:paraId="4DB8D535">
      <w:pPr>
        <w:pStyle w:val="32"/>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Training, non-business communication, and interaction </w:t>
      </w:r>
    </w:p>
    <w:p w14:paraId="271542CD">
      <w:pPr>
        <w:spacing w:line="360" w:lineRule="auto"/>
        <w:rPr>
          <w:rFonts w:ascii="Times New Roman" w:hAnsi="Times New Roman" w:cs="Times New Roman"/>
          <w:sz w:val="24"/>
          <w:szCs w:val="24"/>
        </w:rPr>
      </w:pPr>
      <w:r>
        <w:rPr>
          <w:rFonts w:ascii="Times New Roman" w:hAnsi="Times New Roman" w:cs="Times New Roman"/>
          <w:sz w:val="24"/>
          <w:szCs w:val="24"/>
        </w:rPr>
        <w:t>Britain and Iceland have differences in power distance and uncertainty avoidance. All relevant personnel who will complete business communication and cooperation can be informed of the existence of differences through meetings and training. Letting employees from different countries get to know each other briefly through daily communication and game interaction activities and combining the recognition of differences to better and more inclusively complete business cooperation on the premise of building relatively friendly interpersonal relationships.</w:t>
      </w:r>
    </w:p>
    <w:p w14:paraId="5D961A8B">
      <w:pPr>
        <w:pStyle w:val="32"/>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Make flexible plans</w:t>
      </w:r>
    </w:p>
    <w:p w14:paraId="13912804">
      <w:pPr>
        <w:spacing w:line="360" w:lineRule="auto"/>
        <w:rPr>
          <w:rFonts w:ascii="Times New Roman" w:hAnsi="Times New Roman" w:cs="Times New Roman"/>
          <w:sz w:val="24"/>
          <w:szCs w:val="24"/>
        </w:rPr>
      </w:pPr>
      <w:r>
        <w:rPr>
          <w:rFonts w:ascii="Times New Roman" w:hAnsi="Times New Roman" w:cs="Times New Roman"/>
          <w:sz w:val="24"/>
          <w:szCs w:val="24"/>
        </w:rPr>
        <w:t xml:space="preserve">Taking into account the adjustment of the differences in uncertainty avoidance of the staff of the two countries, making flexible and adaptable work plans can avoid the problem of employees’ concerns caused by unexpected events in the determined process. In other words, when making work plans, take into account Icelanders’ avoidance of uncertainty to reduce their fear of the unknown. </w:t>
      </w:r>
    </w:p>
    <w:p w14:paraId="46D64B41">
      <w:pPr>
        <w:pStyle w:val="32"/>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Establish a cross-cultural communication team</w:t>
      </w:r>
    </w:p>
    <w:p w14:paraId="4AD8CCCD">
      <w:pPr>
        <w:spacing w:line="360" w:lineRule="auto"/>
        <w:rPr>
          <w:rFonts w:ascii="Times New Roman" w:hAnsi="Times New Roman" w:cs="Times New Roman"/>
          <w:sz w:val="24"/>
          <w:szCs w:val="24"/>
        </w:rPr>
      </w:pPr>
      <w:r>
        <w:rPr>
          <w:rFonts w:ascii="Times New Roman" w:hAnsi="Times New Roman" w:cs="Times New Roman"/>
          <w:sz w:val="24"/>
          <w:szCs w:val="24"/>
        </w:rPr>
        <w:t>By establishing effective cross-cultural communication channels and mechanisms, information transparency can be guaranteed, and unnecessary misunderstandings can be reduced (Braslauskas, 2020). For instance, some employees with stronger tolerance and stronger communication skills can be selected from the business cooperation project, and they can form a temporary cross-cultural communication team to help members who encounter communication difficulties to complete communication and collaboration more smoothly.</w:t>
      </w:r>
    </w:p>
    <w:p w14:paraId="76679C03">
      <w:pPr>
        <w:pStyle w:val="32"/>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Adjust communication style and establish a feedback mechanism</w:t>
      </w:r>
    </w:p>
    <w:p w14:paraId="714DE1CA">
      <w:pPr>
        <w:spacing w:line="360" w:lineRule="auto"/>
        <w:rPr>
          <w:rFonts w:ascii="Times New Roman" w:hAnsi="Times New Roman" w:cs="Times New Roman"/>
          <w:sz w:val="24"/>
          <w:szCs w:val="24"/>
        </w:rPr>
      </w:pPr>
      <w:r>
        <w:rPr>
          <w:rFonts w:ascii="Times New Roman" w:hAnsi="Times New Roman" w:cs="Times New Roman"/>
          <w:sz w:val="24"/>
          <w:szCs w:val="24"/>
        </w:rPr>
        <w:t>British and Icelanders have different communication styles, the British speak directly but pay attention to etiquette, while Icelanders pay more attention to emotional connection. Therefore, in team communication, all members need to be informed that they need to be considerate of each other’s communication styles and preferences to achieve better communication results. Besides, the establishment of a feedback mechanism can achieve a more transparent and open environment, which can encourage members to raise opinions or doubts and discuss with members to find solutions (McLarnon et al., 2019). Such a communication feedback mechanism can effectively avoid conflicts and contradictions caused by cultural differences.</w:t>
      </w:r>
    </w:p>
    <w:p w14:paraId="58C06241">
      <w:pPr>
        <w:spacing w:line="360" w:lineRule="auto"/>
        <w:rPr>
          <w:rFonts w:ascii="Times New Roman" w:hAnsi="Times New Roman" w:cs="Times New Roman"/>
          <w:sz w:val="24"/>
          <w:szCs w:val="24"/>
        </w:rPr>
      </w:pPr>
      <w:r>
        <w:rPr>
          <w:rFonts w:ascii="Times New Roman" w:hAnsi="Times New Roman" w:cs="Times New Roman"/>
          <w:sz w:val="24"/>
          <w:szCs w:val="24"/>
        </w:rPr>
        <w:t>This essay explains and critically evaluates the challenges and sensitivities of doing business with Icelanders from a British perspective and combines cultural dimension theory and high and low context theory to discuss strategies to overcome challenges caused by differences in communication, policy, and business development between the two countries. In short, British and Icelanders are different in gender emphasis, openness of emotional expression, corporate culture, team model, risk tolerance, etc. Risks and challenges can be avoided and reduced through training, cross-cultural exchange activities, communication groups, feedback mechanisms, and flexible work plans.</w:t>
      </w:r>
    </w:p>
    <w:p w14:paraId="693CA6D3">
      <w:pPr>
        <w:spacing w:line="360" w:lineRule="auto"/>
        <w:rPr>
          <w:rFonts w:ascii="Times New Roman" w:hAnsi="Times New Roman" w:cs="Times New Roman"/>
          <w:sz w:val="24"/>
          <w:szCs w:val="24"/>
        </w:rPr>
      </w:pPr>
    </w:p>
    <w:p w14:paraId="5D7AD845">
      <w:pPr>
        <w:spacing w:line="360" w:lineRule="auto"/>
        <w:rPr>
          <w:rFonts w:ascii="Times New Roman" w:hAnsi="Times New Roman" w:cs="Times New Roman"/>
          <w:sz w:val="24"/>
          <w:szCs w:val="24"/>
        </w:rPr>
      </w:pPr>
    </w:p>
    <w:p w14:paraId="6F304EAE">
      <w:pPr>
        <w:spacing w:line="360" w:lineRule="auto"/>
        <w:rPr>
          <w:rFonts w:ascii="Times New Roman" w:hAnsi="Times New Roman" w:cs="Times New Roman"/>
          <w:sz w:val="24"/>
          <w:szCs w:val="24"/>
        </w:rPr>
      </w:pPr>
    </w:p>
    <w:p w14:paraId="6B1196F1">
      <w:pPr>
        <w:spacing w:line="360" w:lineRule="auto"/>
        <w:rPr>
          <w:rFonts w:ascii="Times New Roman" w:hAnsi="Times New Roman" w:cs="Times New Roman"/>
          <w:sz w:val="24"/>
          <w:szCs w:val="24"/>
        </w:rPr>
      </w:pPr>
    </w:p>
    <w:p w14:paraId="4F9D12E8">
      <w:pPr>
        <w:spacing w:line="360" w:lineRule="auto"/>
        <w:rPr>
          <w:rFonts w:hint="eastAsia" w:ascii="Times New Roman" w:hAnsi="Times New Roman" w:cs="Times New Roman"/>
          <w:sz w:val="24"/>
          <w:szCs w:val="24"/>
        </w:rPr>
      </w:pPr>
      <w:bookmarkStart w:id="6" w:name="_GoBack"/>
      <w:bookmarkEnd w:id="6"/>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AB71C24"/>
    <w:multiLevelType w:val="multilevel"/>
    <w:tmpl w:val="4AB71C24"/>
    <w:lvl w:ilvl="0" w:tentative="0">
      <w:start w:val="1"/>
      <w:numFmt w:val="decimal"/>
      <w:lvlText w:val="%1)"/>
      <w:lvlJc w:val="left"/>
      <w:pPr>
        <w:ind w:left="360" w:hanging="360"/>
      </w:pPr>
      <w:rPr>
        <w:rFonts w:hint="default"/>
      </w:rPr>
    </w:lvl>
    <w:lvl w:ilvl="1" w:tentative="0">
      <w:start w:val="1"/>
      <w:numFmt w:val="lowerLetter"/>
      <w:lvlText w:val="%2)"/>
      <w:lvlJc w:val="left"/>
      <w:pPr>
        <w:ind w:left="880" w:hanging="440"/>
      </w:pPr>
    </w:lvl>
    <w:lvl w:ilvl="2" w:tentative="0">
      <w:start w:val="1"/>
      <w:numFmt w:val="lowerRoman"/>
      <w:lvlText w:val="%3."/>
      <w:lvlJc w:val="right"/>
      <w:pPr>
        <w:ind w:left="1320" w:hanging="440"/>
      </w:pPr>
    </w:lvl>
    <w:lvl w:ilvl="3" w:tentative="0">
      <w:start w:val="1"/>
      <w:numFmt w:val="decimal"/>
      <w:lvlText w:val="%4."/>
      <w:lvlJc w:val="left"/>
      <w:pPr>
        <w:ind w:left="1760" w:hanging="440"/>
      </w:pPr>
    </w:lvl>
    <w:lvl w:ilvl="4" w:tentative="0">
      <w:start w:val="1"/>
      <w:numFmt w:val="lowerLetter"/>
      <w:lvlText w:val="%5)"/>
      <w:lvlJc w:val="left"/>
      <w:pPr>
        <w:ind w:left="2200" w:hanging="440"/>
      </w:pPr>
    </w:lvl>
    <w:lvl w:ilvl="5" w:tentative="0">
      <w:start w:val="1"/>
      <w:numFmt w:val="lowerRoman"/>
      <w:lvlText w:val="%6."/>
      <w:lvlJc w:val="right"/>
      <w:pPr>
        <w:ind w:left="2640" w:hanging="440"/>
      </w:pPr>
    </w:lvl>
    <w:lvl w:ilvl="6" w:tentative="0">
      <w:start w:val="1"/>
      <w:numFmt w:val="decimal"/>
      <w:lvlText w:val="%7."/>
      <w:lvlJc w:val="left"/>
      <w:pPr>
        <w:ind w:left="3080" w:hanging="440"/>
      </w:pPr>
    </w:lvl>
    <w:lvl w:ilvl="7" w:tentative="0">
      <w:start w:val="1"/>
      <w:numFmt w:val="lowerLetter"/>
      <w:lvlText w:val="%8)"/>
      <w:lvlJc w:val="left"/>
      <w:pPr>
        <w:ind w:left="3520" w:hanging="440"/>
      </w:pPr>
    </w:lvl>
    <w:lvl w:ilvl="8" w:tentative="0">
      <w:start w:val="1"/>
      <w:numFmt w:val="lowerRoman"/>
      <w:lvlText w:val="%9."/>
      <w:lvlJc w:val="right"/>
      <w:pPr>
        <w:ind w:left="3960" w:hanging="440"/>
      </w:pPr>
    </w:lvl>
  </w:abstractNum>
  <w:abstractNum w:abstractNumId="1">
    <w:nsid w:val="6C4561C5"/>
    <w:multiLevelType w:val="multilevel"/>
    <w:tmpl w:val="6C4561C5"/>
    <w:lvl w:ilvl="0" w:tentative="0">
      <w:start w:val="1"/>
      <w:numFmt w:val="decimal"/>
      <w:lvlText w:val="%1)"/>
      <w:lvlJc w:val="left"/>
      <w:pPr>
        <w:ind w:left="360" w:hanging="360"/>
      </w:pPr>
      <w:rPr>
        <w:rFonts w:hint="default"/>
      </w:rPr>
    </w:lvl>
    <w:lvl w:ilvl="1" w:tentative="0">
      <w:start w:val="1"/>
      <w:numFmt w:val="lowerLetter"/>
      <w:lvlText w:val="%2)"/>
      <w:lvlJc w:val="left"/>
      <w:pPr>
        <w:ind w:left="880" w:hanging="440"/>
      </w:pPr>
    </w:lvl>
    <w:lvl w:ilvl="2" w:tentative="0">
      <w:start w:val="1"/>
      <w:numFmt w:val="lowerRoman"/>
      <w:lvlText w:val="%3."/>
      <w:lvlJc w:val="right"/>
      <w:pPr>
        <w:ind w:left="1320" w:hanging="440"/>
      </w:pPr>
    </w:lvl>
    <w:lvl w:ilvl="3" w:tentative="0">
      <w:start w:val="1"/>
      <w:numFmt w:val="decimal"/>
      <w:lvlText w:val="%4."/>
      <w:lvlJc w:val="left"/>
      <w:pPr>
        <w:ind w:left="1760" w:hanging="440"/>
      </w:pPr>
    </w:lvl>
    <w:lvl w:ilvl="4" w:tentative="0">
      <w:start w:val="1"/>
      <w:numFmt w:val="lowerLetter"/>
      <w:lvlText w:val="%5)"/>
      <w:lvlJc w:val="left"/>
      <w:pPr>
        <w:ind w:left="2200" w:hanging="440"/>
      </w:pPr>
    </w:lvl>
    <w:lvl w:ilvl="5" w:tentative="0">
      <w:start w:val="1"/>
      <w:numFmt w:val="lowerRoman"/>
      <w:lvlText w:val="%6."/>
      <w:lvlJc w:val="right"/>
      <w:pPr>
        <w:ind w:left="2640" w:hanging="440"/>
      </w:pPr>
    </w:lvl>
    <w:lvl w:ilvl="6" w:tentative="0">
      <w:start w:val="1"/>
      <w:numFmt w:val="decimal"/>
      <w:lvlText w:val="%7."/>
      <w:lvlJc w:val="left"/>
      <w:pPr>
        <w:ind w:left="3080" w:hanging="440"/>
      </w:pPr>
    </w:lvl>
    <w:lvl w:ilvl="7" w:tentative="0">
      <w:start w:val="1"/>
      <w:numFmt w:val="lowerLetter"/>
      <w:lvlText w:val="%8)"/>
      <w:lvlJc w:val="left"/>
      <w:pPr>
        <w:ind w:left="3520" w:hanging="440"/>
      </w:pPr>
    </w:lvl>
    <w:lvl w:ilvl="8" w:tentative="0">
      <w:start w:val="1"/>
      <w:numFmt w:val="lowerRoman"/>
      <w:lvlText w:val="%9."/>
      <w:lvlJc w:val="right"/>
      <w:pPr>
        <w:ind w:left="3960" w:hanging="44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bordersDoNotSurroundHeader w:val="1"/>
  <w:bordersDoNotSurroundFooter w:val="1"/>
  <w:documentProtection w:enforcement="0"/>
  <w:defaultTabStop w:val="420"/>
  <w:characterSpacingControl w:val="doNotCompress"/>
  <w:compat>
    <w:useFELayout/>
    <w:compatSetting w:name="compatibilityMode" w:uri="http://schemas.microsoft.com/office/word" w:val="12"/>
  </w:compat>
  <w:rsids>
    <w:rsidRoot w:val="003B0991"/>
    <w:rsid w:val="00002280"/>
    <w:rsid w:val="00045A50"/>
    <w:rsid w:val="00065E53"/>
    <w:rsid w:val="000666C0"/>
    <w:rsid w:val="000718DE"/>
    <w:rsid w:val="000857C2"/>
    <w:rsid w:val="000C2241"/>
    <w:rsid w:val="000D2E6B"/>
    <w:rsid w:val="00102292"/>
    <w:rsid w:val="00104621"/>
    <w:rsid w:val="001160B1"/>
    <w:rsid w:val="001435D4"/>
    <w:rsid w:val="00145B8D"/>
    <w:rsid w:val="00147D08"/>
    <w:rsid w:val="001674CB"/>
    <w:rsid w:val="0018023E"/>
    <w:rsid w:val="00181AB0"/>
    <w:rsid w:val="001C0E99"/>
    <w:rsid w:val="001F4E96"/>
    <w:rsid w:val="00205BD6"/>
    <w:rsid w:val="00214B64"/>
    <w:rsid w:val="00240DDB"/>
    <w:rsid w:val="00245440"/>
    <w:rsid w:val="002A4E3C"/>
    <w:rsid w:val="002A4E6C"/>
    <w:rsid w:val="002B1601"/>
    <w:rsid w:val="002D2C41"/>
    <w:rsid w:val="002E5039"/>
    <w:rsid w:val="002F36E0"/>
    <w:rsid w:val="00300648"/>
    <w:rsid w:val="00301A8B"/>
    <w:rsid w:val="0031298A"/>
    <w:rsid w:val="00315C21"/>
    <w:rsid w:val="00366BC0"/>
    <w:rsid w:val="003831D0"/>
    <w:rsid w:val="00387A3A"/>
    <w:rsid w:val="00394957"/>
    <w:rsid w:val="003A7048"/>
    <w:rsid w:val="003B0991"/>
    <w:rsid w:val="003C15A3"/>
    <w:rsid w:val="003D0087"/>
    <w:rsid w:val="003E5A60"/>
    <w:rsid w:val="00402435"/>
    <w:rsid w:val="00424229"/>
    <w:rsid w:val="0043508C"/>
    <w:rsid w:val="00450463"/>
    <w:rsid w:val="00465503"/>
    <w:rsid w:val="00486C83"/>
    <w:rsid w:val="00495231"/>
    <w:rsid w:val="004A20EA"/>
    <w:rsid w:val="004A27A3"/>
    <w:rsid w:val="004B298E"/>
    <w:rsid w:val="004C04B4"/>
    <w:rsid w:val="004C093D"/>
    <w:rsid w:val="004E5570"/>
    <w:rsid w:val="004E7812"/>
    <w:rsid w:val="004F7064"/>
    <w:rsid w:val="00532A84"/>
    <w:rsid w:val="00592D7B"/>
    <w:rsid w:val="00593AB5"/>
    <w:rsid w:val="00596199"/>
    <w:rsid w:val="00597FD5"/>
    <w:rsid w:val="005C6899"/>
    <w:rsid w:val="005C6C58"/>
    <w:rsid w:val="005E7FE6"/>
    <w:rsid w:val="005F0A2E"/>
    <w:rsid w:val="005F5C88"/>
    <w:rsid w:val="00604D40"/>
    <w:rsid w:val="00612830"/>
    <w:rsid w:val="006175D0"/>
    <w:rsid w:val="006349C8"/>
    <w:rsid w:val="00656381"/>
    <w:rsid w:val="00665DB9"/>
    <w:rsid w:val="0069528F"/>
    <w:rsid w:val="00695A98"/>
    <w:rsid w:val="00695FC7"/>
    <w:rsid w:val="006A754B"/>
    <w:rsid w:val="006B3E63"/>
    <w:rsid w:val="00722339"/>
    <w:rsid w:val="00743C0D"/>
    <w:rsid w:val="007571EA"/>
    <w:rsid w:val="00783876"/>
    <w:rsid w:val="007C2CC1"/>
    <w:rsid w:val="007E4AE3"/>
    <w:rsid w:val="007F0BDA"/>
    <w:rsid w:val="00802771"/>
    <w:rsid w:val="008254B4"/>
    <w:rsid w:val="00847DB8"/>
    <w:rsid w:val="00857841"/>
    <w:rsid w:val="008637A2"/>
    <w:rsid w:val="00881E73"/>
    <w:rsid w:val="008872F0"/>
    <w:rsid w:val="008C1849"/>
    <w:rsid w:val="008D2EAC"/>
    <w:rsid w:val="008D4999"/>
    <w:rsid w:val="008E1560"/>
    <w:rsid w:val="00900419"/>
    <w:rsid w:val="00910F18"/>
    <w:rsid w:val="00911CBD"/>
    <w:rsid w:val="00933C29"/>
    <w:rsid w:val="0094521D"/>
    <w:rsid w:val="0095503F"/>
    <w:rsid w:val="00962C44"/>
    <w:rsid w:val="00981A02"/>
    <w:rsid w:val="009A5FD9"/>
    <w:rsid w:val="009D2CE8"/>
    <w:rsid w:val="009E3ACF"/>
    <w:rsid w:val="00A03A71"/>
    <w:rsid w:val="00A32480"/>
    <w:rsid w:val="00A40994"/>
    <w:rsid w:val="00A41AE4"/>
    <w:rsid w:val="00A510F2"/>
    <w:rsid w:val="00A7096C"/>
    <w:rsid w:val="00A7280D"/>
    <w:rsid w:val="00A97B3F"/>
    <w:rsid w:val="00AA3E69"/>
    <w:rsid w:val="00AD73C4"/>
    <w:rsid w:val="00B37942"/>
    <w:rsid w:val="00B563B0"/>
    <w:rsid w:val="00B7390E"/>
    <w:rsid w:val="00B763CE"/>
    <w:rsid w:val="00B8162D"/>
    <w:rsid w:val="00B82CD6"/>
    <w:rsid w:val="00B83F0D"/>
    <w:rsid w:val="00BA6542"/>
    <w:rsid w:val="00BB1B51"/>
    <w:rsid w:val="00BE09B8"/>
    <w:rsid w:val="00BE1A61"/>
    <w:rsid w:val="00C15ADC"/>
    <w:rsid w:val="00C2337D"/>
    <w:rsid w:val="00C5297E"/>
    <w:rsid w:val="00C8085D"/>
    <w:rsid w:val="00C94DE4"/>
    <w:rsid w:val="00CB0EB3"/>
    <w:rsid w:val="00D024DB"/>
    <w:rsid w:val="00D61063"/>
    <w:rsid w:val="00D87625"/>
    <w:rsid w:val="00D92B4B"/>
    <w:rsid w:val="00DE2AD9"/>
    <w:rsid w:val="00E0059D"/>
    <w:rsid w:val="00E149D2"/>
    <w:rsid w:val="00E237CD"/>
    <w:rsid w:val="00E254E9"/>
    <w:rsid w:val="00E302C7"/>
    <w:rsid w:val="00E421B5"/>
    <w:rsid w:val="00E501D5"/>
    <w:rsid w:val="00E60D11"/>
    <w:rsid w:val="00E61761"/>
    <w:rsid w:val="00E80905"/>
    <w:rsid w:val="00E97137"/>
    <w:rsid w:val="00ED0F26"/>
    <w:rsid w:val="00ED6AA3"/>
    <w:rsid w:val="00EE5C01"/>
    <w:rsid w:val="00EF15A3"/>
    <w:rsid w:val="00F673E5"/>
    <w:rsid w:val="00FA621D"/>
    <w:rsid w:val="00FB1CBD"/>
    <w:rsid w:val="00FB56A8"/>
    <w:rsid w:val="00FB5C97"/>
    <w:rsid w:val="00FC0608"/>
    <w:rsid w:val="6AA3756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14:ligatures w14:val="standardContextual"/>
    </w:rPr>
  </w:style>
  <w:style w:type="paragraph" w:styleId="2">
    <w:name w:val="heading 1"/>
    <w:basedOn w:val="1"/>
    <w:next w:val="1"/>
    <w:link w:val="19"/>
    <w:qFormat/>
    <w:uiPriority w:val="9"/>
    <w:pPr>
      <w:keepNext/>
      <w:keepLines/>
      <w:spacing w:before="480" w:after="80"/>
      <w:outlineLvl w:val="0"/>
    </w:pPr>
    <w:rPr>
      <w:rFonts w:asciiTheme="majorHAnsi" w:hAnsiTheme="majorHAnsi" w:eastAsiaTheme="majorEastAsia" w:cstheme="majorBidi"/>
      <w:color w:val="0F4761" w:themeColor="accent1" w:themeShade="BF"/>
      <w:sz w:val="48"/>
      <w:szCs w:val="48"/>
    </w:rPr>
  </w:style>
  <w:style w:type="paragraph" w:styleId="3">
    <w:name w:val="heading 2"/>
    <w:basedOn w:val="1"/>
    <w:next w:val="1"/>
    <w:link w:val="20"/>
    <w:semiHidden/>
    <w:unhideWhenUsed/>
    <w:qFormat/>
    <w:uiPriority w:val="9"/>
    <w:pPr>
      <w:keepNext/>
      <w:keepLines/>
      <w:spacing w:before="160" w:after="80"/>
      <w:outlineLvl w:val="1"/>
    </w:pPr>
    <w:rPr>
      <w:rFonts w:asciiTheme="majorHAnsi" w:hAnsiTheme="majorHAnsi" w:eastAsiaTheme="majorEastAsia" w:cstheme="majorBidi"/>
      <w:color w:val="0F4761" w:themeColor="accent1" w:themeShade="BF"/>
      <w:sz w:val="40"/>
      <w:szCs w:val="40"/>
    </w:rPr>
  </w:style>
  <w:style w:type="paragraph" w:styleId="4">
    <w:name w:val="heading 3"/>
    <w:basedOn w:val="1"/>
    <w:next w:val="1"/>
    <w:link w:val="21"/>
    <w:semiHidden/>
    <w:unhideWhenUsed/>
    <w:qFormat/>
    <w:uiPriority w:val="9"/>
    <w:pPr>
      <w:keepNext/>
      <w:keepLines/>
      <w:spacing w:before="160" w:after="80"/>
      <w:outlineLvl w:val="2"/>
    </w:pPr>
    <w:rPr>
      <w:rFonts w:asciiTheme="majorHAnsi" w:hAnsiTheme="majorHAnsi" w:eastAsiaTheme="majorEastAsia" w:cstheme="majorBidi"/>
      <w:color w:val="0F4761" w:themeColor="accent1" w:themeShade="BF"/>
      <w:sz w:val="32"/>
      <w:szCs w:val="32"/>
    </w:rPr>
  </w:style>
  <w:style w:type="paragraph" w:styleId="5">
    <w:name w:val="heading 4"/>
    <w:basedOn w:val="1"/>
    <w:next w:val="1"/>
    <w:link w:val="22"/>
    <w:semiHidden/>
    <w:unhideWhenUsed/>
    <w:qFormat/>
    <w:uiPriority w:val="9"/>
    <w:pPr>
      <w:keepNext/>
      <w:keepLines/>
      <w:spacing w:before="80" w:after="40"/>
      <w:outlineLvl w:val="3"/>
    </w:pPr>
    <w:rPr>
      <w:rFonts w:cstheme="majorBidi"/>
      <w:color w:val="0F4761" w:themeColor="accent1" w:themeShade="BF"/>
      <w:sz w:val="28"/>
      <w:szCs w:val="28"/>
    </w:rPr>
  </w:style>
  <w:style w:type="paragraph" w:styleId="6">
    <w:name w:val="heading 5"/>
    <w:basedOn w:val="1"/>
    <w:next w:val="1"/>
    <w:link w:val="23"/>
    <w:semiHidden/>
    <w:unhideWhenUsed/>
    <w:qFormat/>
    <w:uiPriority w:val="9"/>
    <w:pPr>
      <w:keepNext/>
      <w:keepLines/>
      <w:spacing w:before="80" w:after="40"/>
      <w:outlineLvl w:val="4"/>
    </w:pPr>
    <w:rPr>
      <w:rFonts w:cstheme="majorBidi"/>
      <w:color w:val="0F4761" w:themeColor="accent1" w:themeShade="BF"/>
      <w:sz w:val="24"/>
      <w:szCs w:val="24"/>
    </w:rPr>
  </w:style>
  <w:style w:type="paragraph" w:styleId="7">
    <w:name w:val="heading 6"/>
    <w:basedOn w:val="1"/>
    <w:next w:val="1"/>
    <w:link w:val="24"/>
    <w:semiHidden/>
    <w:unhideWhenUsed/>
    <w:qFormat/>
    <w:uiPriority w:val="9"/>
    <w:pPr>
      <w:keepNext/>
      <w:keepLines/>
      <w:spacing w:before="40"/>
      <w:outlineLvl w:val="5"/>
    </w:pPr>
    <w:rPr>
      <w:rFonts w:cstheme="majorBidi"/>
      <w:b/>
      <w:bCs/>
      <w:color w:val="0F4761" w:themeColor="accent1" w:themeShade="BF"/>
    </w:rPr>
  </w:style>
  <w:style w:type="paragraph" w:styleId="8">
    <w:name w:val="heading 7"/>
    <w:basedOn w:val="1"/>
    <w:next w:val="1"/>
    <w:link w:val="25"/>
    <w:semiHidden/>
    <w:unhideWhenUsed/>
    <w:qFormat/>
    <w:uiPriority w:val="9"/>
    <w:pPr>
      <w:keepNext/>
      <w:keepLines/>
      <w:spacing w:before="40"/>
      <w:outlineLvl w:val="6"/>
    </w:pPr>
    <w:rPr>
      <w:rFonts w:cstheme="majorBidi"/>
      <w:b/>
      <w:bCs/>
      <w:color w:val="585858" w:themeColor="text1" w:themeTint="A6"/>
    </w:rPr>
  </w:style>
  <w:style w:type="paragraph" w:styleId="9">
    <w:name w:val="heading 8"/>
    <w:basedOn w:val="1"/>
    <w:next w:val="1"/>
    <w:link w:val="26"/>
    <w:semiHidden/>
    <w:unhideWhenUsed/>
    <w:qFormat/>
    <w:uiPriority w:val="9"/>
    <w:pPr>
      <w:keepNext/>
      <w:keepLines/>
      <w:outlineLvl w:val="7"/>
    </w:pPr>
    <w:rPr>
      <w:rFonts w:cstheme="majorBidi"/>
      <w:color w:val="585858" w:themeColor="text1" w:themeTint="A6"/>
    </w:rPr>
  </w:style>
  <w:style w:type="paragraph" w:styleId="10">
    <w:name w:val="heading 9"/>
    <w:basedOn w:val="1"/>
    <w:next w:val="1"/>
    <w:link w:val="27"/>
    <w:semiHidden/>
    <w:unhideWhenUsed/>
    <w:qFormat/>
    <w:uiPriority w:val="9"/>
    <w:pPr>
      <w:keepNext/>
      <w:keepLines/>
      <w:outlineLvl w:val="8"/>
    </w:pPr>
    <w:rPr>
      <w:rFonts w:eastAsiaTheme="majorEastAsia" w:cstheme="majorBidi"/>
      <w:color w:val="585858" w:themeColor="text1" w:themeTint="A6"/>
    </w:rPr>
  </w:style>
  <w:style w:type="character" w:default="1" w:styleId="17">
    <w:name w:val="Default Paragraph Font"/>
    <w:semiHidden/>
    <w:unhideWhenUsed/>
    <w:uiPriority w:val="1"/>
  </w:style>
  <w:style w:type="table" w:default="1" w:styleId="15">
    <w:name w:val="Normal Table"/>
    <w:semiHidden/>
    <w:unhideWhenUsed/>
    <w:uiPriority w:val="99"/>
    <w:tblPr>
      <w:tblCellMar>
        <w:top w:w="0" w:type="dxa"/>
        <w:left w:w="108" w:type="dxa"/>
        <w:bottom w:w="0" w:type="dxa"/>
        <w:right w:w="108" w:type="dxa"/>
      </w:tblCellMar>
    </w:tblPr>
  </w:style>
  <w:style w:type="paragraph" w:styleId="11">
    <w:name w:val="footer"/>
    <w:basedOn w:val="1"/>
    <w:link w:val="38"/>
    <w:unhideWhenUsed/>
    <w:uiPriority w:val="99"/>
    <w:pPr>
      <w:tabs>
        <w:tab w:val="center" w:pos="4153"/>
        <w:tab w:val="right" w:pos="8306"/>
      </w:tabs>
      <w:snapToGrid w:val="0"/>
      <w:jc w:val="left"/>
    </w:pPr>
    <w:rPr>
      <w:sz w:val="18"/>
      <w:szCs w:val="18"/>
    </w:rPr>
  </w:style>
  <w:style w:type="paragraph" w:styleId="12">
    <w:name w:val="header"/>
    <w:basedOn w:val="1"/>
    <w:link w:val="37"/>
    <w:unhideWhenUsed/>
    <w:uiPriority w:val="99"/>
    <w:pPr>
      <w:tabs>
        <w:tab w:val="center" w:pos="4153"/>
        <w:tab w:val="right" w:pos="8306"/>
      </w:tabs>
      <w:snapToGrid w:val="0"/>
      <w:jc w:val="center"/>
    </w:pPr>
    <w:rPr>
      <w:sz w:val="18"/>
      <w:szCs w:val="18"/>
    </w:rPr>
  </w:style>
  <w:style w:type="paragraph" w:styleId="13">
    <w:name w:val="Subtitle"/>
    <w:basedOn w:val="1"/>
    <w:next w:val="1"/>
    <w:link w:val="29"/>
    <w:qFormat/>
    <w:uiPriority w:val="11"/>
    <w:pPr>
      <w:spacing w:after="160"/>
      <w:jc w:val="center"/>
    </w:pPr>
    <w:rPr>
      <w:rFonts w:asciiTheme="majorHAnsi" w:hAnsiTheme="majorHAnsi" w:eastAsiaTheme="majorEastAsia" w:cstheme="majorBidi"/>
      <w:color w:val="585858" w:themeColor="text1" w:themeTint="A6"/>
      <w:spacing w:val="15"/>
      <w:sz w:val="28"/>
      <w:szCs w:val="28"/>
    </w:rPr>
  </w:style>
  <w:style w:type="paragraph" w:styleId="14">
    <w:name w:val="Title"/>
    <w:basedOn w:val="1"/>
    <w:next w:val="1"/>
    <w:link w:val="28"/>
    <w:qFormat/>
    <w:uiPriority w:val="10"/>
    <w:pPr>
      <w:spacing w:after="80"/>
      <w:contextualSpacing/>
      <w:jc w:val="center"/>
    </w:pPr>
    <w:rPr>
      <w:rFonts w:asciiTheme="majorHAnsi" w:hAnsiTheme="majorHAnsi" w:eastAsiaTheme="majorEastAsia" w:cstheme="majorBidi"/>
      <w:spacing w:val="-10"/>
      <w:kern w:val="28"/>
      <w:sz w:val="56"/>
      <w:szCs w:val="56"/>
    </w:rPr>
  </w:style>
  <w:style w:type="table" w:styleId="16">
    <w:name w:val="Table Grid"/>
    <w:basedOn w:val="15"/>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8">
    <w:name w:val="Hyperlink"/>
    <w:basedOn w:val="17"/>
    <w:unhideWhenUsed/>
    <w:uiPriority w:val="99"/>
    <w:rPr>
      <w:color w:val="467886" w:themeColor="hyperlink"/>
      <w:u w:val="single"/>
    </w:rPr>
  </w:style>
  <w:style w:type="character" w:customStyle="1" w:styleId="19">
    <w:name w:val="标题 1 字符"/>
    <w:basedOn w:val="17"/>
    <w:link w:val="2"/>
    <w:uiPriority w:val="9"/>
    <w:rPr>
      <w:rFonts w:asciiTheme="majorHAnsi" w:hAnsiTheme="majorHAnsi" w:eastAsiaTheme="majorEastAsia" w:cstheme="majorBidi"/>
      <w:color w:val="0F4761" w:themeColor="accent1" w:themeShade="BF"/>
      <w:sz w:val="48"/>
      <w:szCs w:val="48"/>
    </w:rPr>
  </w:style>
  <w:style w:type="character" w:customStyle="1" w:styleId="20">
    <w:name w:val="标题 2 字符"/>
    <w:basedOn w:val="17"/>
    <w:link w:val="3"/>
    <w:semiHidden/>
    <w:uiPriority w:val="9"/>
    <w:rPr>
      <w:rFonts w:asciiTheme="majorHAnsi" w:hAnsiTheme="majorHAnsi" w:eastAsiaTheme="majorEastAsia" w:cstheme="majorBidi"/>
      <w:color w:val="0F4761" w:themeColor="accent1" w:themeShade="BF"/>
      <w:sz w:val="40"/>
      <w:szCs w:val="40"/>
    </w:rPr>
  </w:style>
  <w:style w:type="character" w:customStyle="1" w:styleId="21">
    <w:name w:val="标题 3 字符"/>
    <w:basedOn w:val="17"/>
    <w:link w:val="4"/>
    <w:semiHidden/>
    <w:uiPriority w:val="9"/>
    <w:rPr>
      <w:rFonts w:asciiTheme="majorHAnsi" w:hAnsiTheme="majorHAnsi" w:eastAsiaTheme="majorEastAsia" w:cstheme="majorBidi"/>
      <w:color w:val="0F4761" w:themeColor="accent1" w:themeShade="BF"/>
      <w:sz w:val="32"/>
      <w:szCs w:val="32"/>
    </w:rPr>
  </w:style>
  <w:style w:type="character" w:customStyle="1" w:styleId="22">
    <w:name w:val="标题 4 字符"/>
    <w:basedOn w:val="17"/>
    <w:link w:val="5"/>
    <w:semiHidden/>
    <w:uiPriority w:val="9"/>
    <w:rPr>
      <w:rFonts w:cstheme="majorBidi"/>
      <w:color w:val="0F4761" w:themeColor="accent1" w:themeShade="BF"/>
      <w:sz w:val="28"/>
      <w:szCs w:val="28"/>
    </w:rPr>
  </w:style>
  <w:style w:type="character" w:customStyle="1" w:styleId="23">
    <w:name w:val="标题 5 字符"/>
    <w:basedOn w:val="17"/>
    <w:link w:val="6"/>
    <w:semiHidden/>
    <w:uiPriority w:val="9"/>
    <w:rPr>
      <w:rFonts w:cstheme="majorBidi"/>
      <w:color w:val="0F4761" w:themeColor="accent1" w:themeShade="BF"/>
      <w:sz w:val="24"/>
      <w:szCs w:val="24"/>
    </w:rPr>
  </w:style>
  <w:style w:type="character" w:customStyle="1" w:styleId="24">
    <w:name w:val="标题 6 字符"/>
    <w:basedOn w:val="17"/>
    <w:link w:val="7"/>
    <w:semiHidden/>
    <w:uiPriority w:val="9"/>
    <w:rPr>
      <w:rFonts w:cstheme="majorBidi"/>
      <w:b/>
      <w:bCs/>
      <w:color w:val="0F4761" w:themeColor="accent1" w:themeShade="BF"/>
    </w:rPr>
  </w:style>
  <w:style w:type="character" w:customStyle="1" w:styleId="25">
    <w:name w:val="标题 7 字符"/>
    <w:basedOn w:val="17"/>
    <w:link w:val="8"/>
    <w:semiHidden/>
    <w:uiPriority w:val="9"/>
    <w:rPr>
      <w:rFonts w:cstheme="majorBidi"/>
      <w:b/>
      <w:bCs/>
      <w:color w:val="585858" w:themeColor="text1" w:themeTint="A6"/>
    </w:rPr>
  </w:style>
  <w:style w:type="character" w:customStyle="1" w:styleId="26">
    <w:name w:val="标题 8 字符"/>
    <w:basedOn w:val="17"/>
    <w:link w:val="9"/>
    <w:semiHidden/>
    <w:uiPriority w:val="9"/>
    <w:rPr>
      <w:rFonts w:cstheme="majorBidi"/>
      <w:color w:val="585858" w:themeColor="text1" w:themeTint="A6"/>
    </w:rPr>
  </w:style>
  <w:style w:type="character" w:customStyle="1" w:styleId="27">
    <w:name w:val="标题 9 字符"/>
    <w:basedOn w:val="17"/>
    <w:link w:val="10"/>
    <w:semiHidden/>
    <w:uiPriority w:val="9"/>
    <w:rPr>
      <w:rFonts w:eastAsiaTheme="majorEastAsia" w:cstheme="majorBidi"/>
      <w:color w:val="585858" w:themeColor="text1" w:themeTint="A6"/>
    </w:rPr>
  </w:style>
  <w:style w:type="character" w:customStyle="1" w:styleId="28">
    <w:name w:val="标题 字符"/>
    <w:basedOn w:val="17"/>
    <w:link w:val="14"/>
    <w:uiPriority w:val="10"/>
    <w:rPr>
      <w:rFonts w:asciiTheme="majorHAnsi" w:hAnsiTheme="majorHAnsi" w:eastAsiaTheme="majorEastAsia" w:cstheme="majorBidi"/>
      <w:spacing w:val="-10"/>
      <w:kern w:val="28"/>
      <w:sz w:val="56"/>
      <w:szCs w:val="56"/>
    </w:rPr>
  </w:style>
  <w:style w:type="character" w:customStyle="1" w:styleId="29">
    <w:name w:val="副标题 字符"/>
    <w:basedOn w:val="17"/>
    <w:link w:val="13"/>
    <w:qFormat/>
    <w:uiPriority w:val="11"/>
    <w:rPr>
      <w:rFonts w:asciiTheme="majorHAnsi" w:hAnsiTheme="majorHAnsi" w:eastAsiaTheme="majorEastAsia" w:cstheme="majorBidi"/>
      <w:color w:val="585858" w:themeColor="text1" w:themeTint="A6"/>
      <w:spacing w:val="15"/>
      <w:sz w:val="28"/>
      <w:szCs w:val="28"/>
    </w:rPr>
  </w:style>
  <w:style w:type="paragraph" w:styleId="30">
    <w:name w:val="Quote"/>
    <w:basedOn w:val="1"/>
    <w:next w:val="1"/>
    <w:link w:val="31"/>
    <w:qFormat/>
    <w:uiPriority w:val="29"/>
    <w:pPr>
      <w:spacing w:before="160" w:after="160"/>
      <w:jc w:val="center"/>
    </w:pPr>
    <w:rPr>
      <w:i/>
      <w:iCs/>
      <w:color w:val="3F3F3F" w:themeColor="text1" w:themeTint="BF"/>
    </w:rPr>
  </w:style>
  <w:style w:type="character" w:customStyle="1" w:styleId="31">
    <w:name w:val="引用 字符"/>
    <w:basedOn w:val="17"/>
    <w:link w:val="30"/>
    <w:uiPriority w:val="29"/>
    <w:rPr>
      <w:i/>
      <w:iCs/>
      <w:color w:val="3F3F3F" w:themeColor="text1" w:themeTint="BF"/>
    </w:rPr>
  </w:style>
  <w:style w:type="paragraph" w:styleId="32">
    <w:name w:val="List Paragraph"/>
    <w:basedOn w:val="1"/>
    <w:qFormat/>
    <w:uiPriority w:val="34"/>
    <w:pPr>
      <w:ind w:left="720"/>
      <w:contextualSpacing/>
    </w:pPr>
  </w:style>
  <w:style w:type="character" w:customStyle="1" w:styleId="33">
    <w:name w:val="Intense Emphasis"/>
    <w:basedOn w:val="17"/>
    <w:qFormat/>
    <w:uiPriority w:val="21"/>
    <w:rPr>
      <w:i/>
      <w:iCs/>
      <w:color w:val="0F4761" w:themeColor="accent1" w:themeShade="BF"/>
    </w:rPr>
  </w:style>
  <w:style w:type="paragraph" w:styleId="34">
    <w:name w:val="Intense Quote"/>
    <w:basedOn w:val="1"/>
    <w:next w:val="1"/>
    <w:link w:val="35"/>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customStyle="1" w:styleId="35">
    <w:name w:val="明显引用 字符"/>
    <w:basedOn w:val="17"/>
    <w:link w:val="34"/>
    <w:uiPriority w:val="30"/>
    <w:rPr>
      <w:i/>
      <w:iCs/>
      <w:color w:val="0F4761" w:themeColor="accent1" w:themeShade="BF"/>
    </w:rPr>
  </w:style>
  <w:style w:type="character" w:customStyle="1" w:styleId="36">
    <w:name w:val="Intense Reference"/>
    <w:basedOn w:val="17"/>
    <w:qFormat/>
    <w:uiPriority w:val="32"/>
    <w:rPr>
      <w:b/>
      <w:bCs/>
      <w:smallCaps/>
      <w:color w:val="0F4761" w:themeColor="accent1" w:themeShade="BF"/>
      <w:spacing w:val="5"/>
    </w:rPr>
  </w:style>
  <w:style w:type="character" w:customStyle="1" w:styleId="37">
    <w:name w:val="页眉 字符"/>
    <w:basedOn w:val="17"/>
    <w:link w:val="12"/>
    <w:uiPriority w:val="99"/>
    <w:rPr>
      <w:sz w:val="18"/>
      <w:szCs w:val="18"/>
    </w:rPr>
  </w:style>
  <w:style w:type="character" w:customStyle="1" w:styleId="38">
    <w:name w:val="页脚 字符"/>
    <w:basedOn w:val="17"/>
    <w:link w:val="11"/>
    <w:uiPriority w:val="99"/>
    <w:rPr>
      <w:sz w:val="18"/>
      <w:szCs w:val="18"/>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9</Pages>
  <Words>3407</Words>
  <Characters>22206</Characters>
  <Lines>472</Lines>
  <Paragraphs>188</Paragraphs>
  <TotalTime>1834</TotalTime>
  <ScaleCrop>false</ScaleCrop>
  <LinksUpToDate>false</LinksUpToDate>
  <CharactersWithSpaces>25487</CharactersWithSpaces>
  <Application>WPS Office_12.1.0.19770_F1E327BC-269C-435d-A152-05C5408002CA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2025-01-02T01:48:00Z</dcterms:created>
  <dc:creator>User</dc:creator>
  <cp:lastModifiedBy>WPS_1479666331</cp:lastModifiedBy>
  <dcterms:modified xsi:type="dcterms:W3CDTF">2025-01-09T06:38:06Z</dcterms:modified>
  <cp:revision>129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656992066b5253ea84c33a8fe2d984f0cbefb61ba485321ee6f889fb02be76a0</vt:lpwstr>
  </property>
  <property fmtid="{D5CDD505-2E9C-101B-9397-08002B2CF9AE}" pid="3" name="KSOTemplateDocerSaveRecord">
    <vt:lpwstr>eyJoZGlkIjoiYWUyNWI0NmU2MGY0Zjk0YTRlNTZjY2I5ZjY1ZWRlYzkiLCJ1c2VySWQiOiIxNDc5NjY2MzMxIn0=</vt:lpwstr>
  </property>
  <property fmtid="{D5CDD505-2E9C-101B-9397-08002B2CF9AE}" pid="4" name="KSOProductBuildVer">
    <vt:lpwstr>2052-12.1.0.19770</vt:lpwstr>
  </property>
  <property fmtid="{D5CDD505-2E9C-101B-9397-08002B2CF9AE}" pid="5" name="ICV">
    <vt:lpwstr>4CD0C2342A3E46C9BDC286CB61629B9A_12</vt:lpwstr>
  </property>
</Properties>
</file>