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B387D8" w14:textId="77777777" w:rsidR="00CD4561" w:rsidRPr="0033338C" w:rsidRDefault="00CD4561" w:rsidP="00CD4561">
      <w:pPr>
        <w:spacing w:line="360" w:lineRule="auto"/>
        <w:rPr>
          <w:rFonts w:ascii="Arial" w:hAnsi="Arial" w:cs="Arial"/>
          <w:sz w:val="24"/>
          <w:szCs w:val="24"/>
        </w:rPr>
      </w:pPr>
      <w:r w:rsidRPr="0033338C">
        <w:rPr>
          <w:rFonts w:ascii="Arial" w:hAnsi="Arial" w:cs="Arial"/>
          <w:noProof/>
          <w:sz w:val="24"/>
          <w:szCs w:val="24"/>
          <w:lang w:val="en-US"/>
        </w:rPr>
        <w:drawing>
          <wp:anchor distT="0" distB="0" distL="114300" distR="114300" simplePos="0" relativeHeight="251659264" behindDoc="0" locked="0" layoutInCell="1" allowOverlap="1" wp14:anchorId="4D59DB48" wp14:editId="0B3E4848">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646F48ED" w14:textId="77777777" w:rsidR="00CD4561" w:rsidRPr="0033338C" w:rsidRDefault="00CD4561" w:rsidP="00CD4561">
      <w:pPr>
        <w:spacing w:line="360" w:lineRule="auto"/>
        <w:jc w:val="center"/>
        <w:rPr>
          <w:rFonts w:ascii="Arial" w:hAnsi="Arial" w:cs="Arial"/>
          <w:b/>
          <w:bCs/>
          <w:sz w:val="28"/>
          <w:szCs w:val="24"/>
        </w:rPr>
      </w:pPr>
      <w:r w:rsidRPr="0033338C">
        <w:rPr>
          <w:rFonts w:ascii="Arial" w:hAnsi="Arial" w:cs="Arial"/>
          <w:b/>
          <w:bCs/>
          <w:sz w:val="28"/>
          <w:szCs w:val="24"/>
        </w:rPr>
        <w:t>Master of Business Administration</w:t>
      </w:r>
    </w:p>
    <w:p w14:paraId="1C4D95AD" w14:textId="6710008E" w:rsidR="00CD4561" w:rsidRPr="0033338C" w:rsidRDefault="00CD4561" w:rsidP="00CD4561">
      <w:pPr>
        <w:spacing w:line="360" w:lineRule="auto"/>
        <w:jc w:val="center"/>
        <w:rPr>
          <w:rFonts w:ascii="Arial" w:hAnsi="Arial" w:cs="Arial"/>
          <w:b/>
          <w:bCs/>
          <w:sz w:val="28"/>
          <w:szCs w:val="24"/>
        </w:rPr>
      </w:pPr>
      <w:r w:rsidRPr="0033338C">
        <w:rPr>
          <w:rFonts w:ascii="Arial" w:hAnsi="Arial" w:cs="Arial"/>
          <w:b/>
          <w:bCs/>
          <w:sz w:val="28"/>
          <w:szCs w:val="24"/>
        </w:rPr>
        <w:t>Student Name:</w:t>
      </w:r>
      <w:r w:rsidRPr="0033338C">
        <w:rPr>
          <w:rFonts w:ascii="Arial" w:hAnsi="Arial" w:cs="Arial"/>
          <w:sz w:val="28"/>
          <w:szCs w:val="24"/>
        </w:rPr>
        <w:t xml:space="preserve"> </w:t>
      </w:r>
      <w:r w:rsidR="00A82208" w:rsidRPr="0033338C">
        <w:rPr>
          <w:rFonts w:ascii="Arial" w:hAnsi="Arial" w:cs="Arial"/>
          <w:b/>
          <w:bCs/>
          <w:sz w:val="28"/>
          <w:szCs w:val="24"/>
        </w:rPr>
        <w:t>Kamal Hussain</w:t>
      </w:r>
    </w:p>
    <w:p w14:paraId="6773BEB3" w14:textId="78CB1A6D" w:rsidR="00CD4561" w:rsidRPr="0033338C" w:rsidRDefault="00CD4561" w:rsidP="00CD4561">
      <w:pPr>
        <w:spacing w:line="360" w:lineRule="auto"/>
        <w:jc w:val="center"/>
        <w:rPr>
          <w:rFonts w:ascii="Arial" w:hAnsi="Arial" w:cs="Arial"/>
          <w:sz w:val="28"/>
          <w:szCs w:val="24"/>
        </w:rPr>
      </w:pPr>
      <w:r w:rsidRPr="0033338C">
        <w:rPr>
          <w:rFonts w:ascii="Arial" w:hAnsi="Arial" w:cs="Arial"/>
          <w:b/>
          <w:bCs/>
          <w:sz w:val="28"/>
          <w:szCs w:val="24"/>
        </w:rPr>
        <w:t>Student Number:</w:t>
      </w:r>
      <w:r w:rsidRPr="0033338C">
        <w:rPr>
          <w:rFonts w:ascii="Arial" w:hAnsi="Arial" w:cs="Arial"/>
          <w:sz w:val="28"/>
          <w:szCs w:val="24"/>
        </w:rPr>
        <w:t xml:space="preserve"> </w:t>
      </w:r>
      <w:r w:rsidR="004E4F48" w:rsidRPr="0033338C">
        <w:rPr>
          <w:rFonts w:ascii="Arial" w:hAnsi="Arial" w:cs="Arial"/>
          <w:b/>
          <w:bCs/>
          <w:sz w:val="28"/>
          <w:szCs w:val="24"/>
        </w:rPr>
        <w:t>2503973</w:t>
      </w:r>
    </w:p>
    <w:p w14:paraId="5E67C359" w14:textId="79F16B79" w:rsidR="00CD4561" w:rsidRPr="0033338C" w:rsidRDefault="0033338C" w:rsidP="00CD4561">
      <w:pPr>
        <w:spacing w:line="360" w:lineRule="auto"/>
        <w:jc w:val="center"/>
        <w:rPr>
          <w:rFonts w:ascii="Arial" w:hAnsi="Arial" w:cs="Arial"/>
          <w:b/>
          <w:bCs/>
          <w:sz w:val="28"/>
          <w:szCs w:val="24"/>
        </w:rPr>
      </w:pPr>
      <w:r>
        <w:rPr>
          <w:rFonts w:ascii="Arial" w:hAnsi="Arial" w:cs="Arial"/>
          <w:b/>
          <w:bCs/>
          <w:sz w:val="28"/>
          <w:szCs w:val="24"/>
        </w:rPr>
        <w:t>Module C</w:t>
      </w:r>
      <w:r w:rsidR="00CD4561" w:rsidRPr="0033338C">
        <w:rPr>
          <w:rFonts w:ascii="Arial" w:hAnsi="Arial" w:cs="Arial"/>
          <w:b/>
          <w:bCs/>
          <w:sz w:val="28"/>
          <w:szCs w:val="24"/>
        </w:rPr>
        <w:t xml:space="preserve">ode: </w:t>
      </w:r>
      <w:r w:rsidR="004517D6" w:rsidRPr="0033338C">
        <w:rPr>
          <w:rFonts w:ascii="Arial" w:hAnsi="Arial" w:cs="Arial"/>
          <w:b/>
          <w:bCs/>
          <w:sz w:val="28"/>
          <w:szCs w:val="24"/>
        </w:rPr>
        <w:t>LCMB7002</w:t>
      </w:r>
    </w:p>
    <w:p w14:paraId="4DBE23DE" w14:textId="77777777" w:rsidR="00CD4561" w:rsidRPr="0033338C" w:rsidRDefault="00CD4561" w:rsidP="00CD4561">
      <w:pPr>
        <w:spacing w:line="360" w:lineRule="auto"/>
        <w:jc w:val="center"/>
        <w:rPr>
          <w:rFonts w:ascii="Arial" w:hAnsi="Arial" w:cs="Arial"/>
          <w:b/>
          <w:bCs/>
          <w:sz w:val="28"/>
          <w:szCs w:val="24"/>
        </w:rPr>
      </w:pPr>
      <w:r w:rsidRPr="0033338C">
        <w:rPr>
          <w:rFonts w:ascii="Arial" w:hAnsi="Arial" w:cs="Arial"/>
          <w:b/>
          <w:bCs/>
          <w:sz w:val="28"/>
          <w:szCs w:val="24"/>
        </w:rPr>
        <w:t>Assessment: Individual report</w:t>
      </w:r>
    </w:p>
    <w:p w14:paraId="1272E321" w14:textId="75944304" w:rsidR="00CD4561" w:rsidRPr="0033338C" w:rsidRDefault="00020729" w:rsidP="00CD4561">
      <w:pPr>
        <w:spacing w:line="360" w:lineRule="auto"/>
        <w:jc w:val="center"/>
        <w:rPr>
          <w:rFonts w:ascii="Arial" w:hAnsi="Arial" w:cs="Arial"/>
          <w:b/>
          <w:bCs/>
          <w:sz w:val="28"/>
          <w:szCs w:val="24"/>
        </w:rPr>
      </w:pPr>
      <w:r>
        <w:rPr>
          <w:rFonts w:ascii="Arial" w:hAnsi="Arial" w:cs="Arial"/>
          <w:b/>
          <w:bCs/>
          <w:sz w:val="28"/>
          <w:szCs w:val="24"/>
        </w:rPr>
        <w:t>Module</w:t>
      </w:r>
      <w:r w:rsidR="00CD4561" w:rsidRPr="0033338C">
        <w:rPr>
          <w:rFonts w:ascii="Arial" w:hAnsi="Arial" w:cs="Arial"/>
          <w:b/>
          <w:bCs/>
          <w:sz w:val="28"/>
          <w:szCs w:val="24"/>
        </w:rPr>
        <w:t xml:space="preserve"> Name: </w:t>
      </w:r>
      <w:r w:rsidR="004019A6" w:rsidRPr="0033338C">
        <w:rPr>
          <w:rFonts w:ascii="Arial" w:hAnsi="Arial" w:cs="Arial"/>
          <w:b/>
          <w:bCs/>
          <w:sz w:val="28"/>
          <w:szCs w:val="24"/>
        </w:rPr>
        <w:t>Financial Management</w:t>
      </w:r>
    </w:p>
    <w:p w14:paraId="5C80168B" w14:textId="5232350D" w:rsidR="00CD4561" w:rsidRPr="0033338C" w:rsidRDefault="00CD4561" w:rsidP="00CD4561">
      <w:pPr>
        <w:spacing w:line="360" w:lineRule="auto"/>
        <w:jc w:val="center"/>
        <w:rPr>
          <w:rFonts w:ascii="Arial" w:hAnsi="Arial" w:cs="Arial"/>
          <w:b/>
          <w:bCs/>
          <w:sz w:val="28"/>
          <w:szCs w:val="24"/>
        </w:rPr>
      </w:pPr>
      <w:r w:rsidRPr="0033338C">
        <w:rPr>
          <w:rFonts w:ascii="Arial" w:hAnsi="Arial" w:cs="Arial"/>
          <w:b/>
          <w:bCs/>
          <w:sz w:val="28"/>
          <w:szCs w:val="24"/>
        </w:rPr>
        <w:t xml:space="preserve">Lecturer: </w:t>
      </w:r>
      <w:r w:rsidR="00400BF4" w:rsidRPr="0033338C">
        <w:rPr>
          <w:rFonts w:ascii="Arial" w:hAnsi="Arial" w:cs="Arial"/>
          <w:b/>
          <w:bCs/>
          <w:sz w:val="28"/>
          <w:szCs w:val="24"/>
        </w:rPr>
        <w:t>Patrick Yeboah</w:t>
      </w:r>
    </w:p>
    <w:p w14:paraId="137D13F3" w14:textId="6430C5EA" w:rsidR="00CD4561" w:rsidRPr="0033338C" w:rsidRDefault="00CD4561" w:rsidP="00CD4561">
      <w:pPr>
        <w:spacing w:line="360" w:lineRule="auto"/>
        <w:jc w:val="center"/>
        <w:rPr>
          <w:rFonts w:ascii="Arial" w:hAnsi="Arial" w:cs="Arial"/>
          <w:b/>
          <w:bCs/>
          <w:sz w:val="28"/>
          <w:szCs w:val="24"/>
        </w:rPr>
      </w:pPr>
      <w:r w:rsidRPr="0033338C">
        <w:rPr>
          <w:rFonts w:ascii="Arial" w:hAnsi="Arial" w:cs="Arial"/>
          <w:b/>
          <w:bCs/>
          <w:sz w:val="28"/>
          <w:szCs w:val="24"/>
        </w:rPr>
        <w:t xml:space="preserve">Submission Deadline: </w:t>
      </w:r>
      <w:r w:rsidR="00400BF4" w:rsidRPr="0033338C">
        <w:rPr>
          <w:rFonts w:ascii="Arial" w:hAnsi="Arial" w:cs="Arial"/>
          <w:b/>
          <w:sz w:val="28"/>
          <w:szCs w:val="28"/>
        </w:rPr>
        <w:t>24</w:t>
      </w:r>
      <w:r w:rsidR="00400BF4" w:rsidRPr="0033338C">
        <w:rPr>
          <w:rFonts w:ascii="Arial" w:hAnsi="Arial" w:cs="Arial"/>
          <w:b/>
          <w:sz w:val="28"/>
          <w:szCs w:val="28"/>
          <w:vertAlign w:val="superscript"/>
        </w:rPr>
        <w:t>th</w:t>
      </w:r>
      <w:r w:rsidR="00400BF4" w:rsidRPr="0033338C">
        <w:rPr>
          <w:rFonts w:ascii="Arial" w:hAnsi="Arial" w:cs="Arial"/>
          <w:b/>
          <w:sz w:val="28"/>
          <w:szCs w:val="28"/>
        </w:rPr>
        <w:t xml:space="preserve"> November 2025</w:t>
      </w:r>
    </w:p>
    <w:p w14:paraId="407301E8" w14:textId="77777777" w:rsidR="00CD4561" w:rsidRPr="0033338C" w:rsidRDefault="00CD4561" w:rsidP="00CD4561">
      <w:pPr>
        <w:pStyle w:val="NoSpacing"/>
        <w:spacing w:before="1540" w:after="240" w:line="360" w:lineRule="auto"/>
        <w:jc w:val="center"/>
        <w:rPr>
          <w:rFonts w:ascii="Arial" w:hAnsi="Arial" w:cs="Arial"/>
          <w:sz w:val="24"/>
          <w:szCs w:val="24"/>
          <w:lang w:val="en-GB"/>
        </w:rPr>
      </w:pPr>
      <w:r w:rsidRPr="0033338C">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b w:val="0"/>
          <w:noProof/>
          <w:sz w:val="22"/>
          <w:szCs w:val="22"/>
        </w:rPr>
      </w:sdtEndPr>
      <w:sdtContent>
        <w:p w14:paraId="171CF6B4" w14:textId="77777777" w:rsidR="00CD4561" w:rsidRPr="0033338C" w:rsidRDefault="00CD4561" w:rsidP="00CD4561">
          <w:pPr>
            <w:pStyle w:val="TOCHeading"/>
            <w:spacing w:line="360" w:lineRule="auto"/>
            <w:jc w:val="center"/>
            <w:rPr>
              <w:rFonts w:cs="Arial"/>
              <w:b/>
              <w:iCs/>
              <w:color w:val="auto"/>
              <w:sz w:val="32"/>
              <w:szCs w:val="32"/>
              <w:u w:val="single"/>
            </w:rPr>
          </w:pPr>
          <w:r w:rsidRPr="0033338C">
            <w:rPr>
              <w:rFonts w:cs="Arial"/>
              <w:iCs/>
              <w:color w:val="auto"/>
              <w:sz w:val="32"/>
              <w:szCs w:val="32"/>
              <w:u w:val="single"/>
            </w:rPr>
            <w:t>Table of Contents</w:t>
          </w:r>
        </w:p>
        <w:p w14:paraId="10CEE8AC" w14:textId="77777777" w:rsidR="0033338C" w:rsidRPr="0033338C" w:rsidRDefault="00CD4561">
          <w:pPr>
            <w:pStyle w:val="TOC1"/>
            <w:tabs>
              <w:tab w:val="right" w:leader="dot" w:pos="9016"/>
            </w:tabs>
            <w:rPr>
              <w:rFonts w:ascii="Arial" w:eastAsiaTheme="minorEastAsia" w:hAnsi="Arial" w:cs="Arial"/>
              <w:noProof/>
              <w:lang w:val="en-US"/>
            </w:rPr>
          </w:pPr>
          <w:r w:rsidRPr="0033338C">
            <w:rPr>
              <w:rFonts w:ascii="Arial" w:hAnsi="Arial" w:cs="Arial"/>
              <w:b/>
              <w:bCs/>
              <w:noProof/>
            </w:rPr>
            <w:fldChar w:fldCharType="begin"/>
          </w:r>
          <w:r w:rsidRPr="0033338C">
            <w:rPr>
              <w:rFonts w:ascii="Arial" w:hAnsi="Arial" w:cs="Arial"/>
              <w:b/>
              <w:bCs/>
              <w:noProof/>
            </w:rPr>
            <w:instrText xml:space="preserve"> TOC \o "1-3" \h \z \u </w:instrText>
          </w:r>
          <w:r w:rsidRPr="0033338C">
            <w:rPr>
              <w:rFonts w:ascii="Arial" w:hAnsi="Arial" w:cs="Arial"/>
              <w:b/>
              <w:bCs/>
              <w:noProof/>
            </w:rPr>
            <w:fldChar w:fldCharType="separate"/>
          </w:r>
          <w:hyperlink w:anchor="_Toc214831122" w:history="1">
            <w:r w:rsidR="0033338C" w:rsidRPr="0033338C">
              <w:rPr>
                <w:rStyle w:val="Hyperlink"/>
                <w:rFonts w:ascii="Arial" w:hAnsi="Arial" w:cs="Arial"/>
                <w:noProof/>
              </w:rPr>
              <w:t>Introduction</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_Toc214831122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w:t>
            </w:r>
            <w:r w:rsidR="0033338C" w:rsidRPr="0033338C">
              <w:rPr>
                <w:rFonts w:ascii="Arial" w:hAnsi="Arial" w:cs="Arial"/>
                <w:noProof/>
                <w:webHidden/>
              </w:rPr>
              <w:fldChar w:fldCharType="end"/>
            </w:r>
          </w:hyperlink>
        </w:p>
        <w:p w14:paraId="6CC0D18B" w14:textId="77777777" w:rsidR="0033338C" w:rsidRPr="0033338C" w:rsidRDefault="00020729">
          <w:pPr>
            <w:pStyle w:val="TOC1"/>
            <w:tabs>
              <w:tab w:val="right" w:leader="dot" w:pos="9016"/>
            </w:tabs>
            <w:rPr>
              <w:rFonts w:ascii="Arial" w:eastAsiaTheme="minorEastAsia" w:hAnsi="Arial" w:cs="Arial"/>
              <w:noProof/>
              <w:lang w:val="en-US"/>
            </w:rPr>
          </w:pPr>
          <w:hyperlink w:anchor="_Toc214831123" w:history="1">
            <w:r w:rsidR="0033338C" w:rsidRPr="0033338C">
              <w:rPr>
                <w:rStyle w:val="Hyperlink"/>
                <w:rFonts w:ascii="Arial" w:hAnsi="Arial" w:cs="Arial"/>
                <w:noProof/>
              </w:rPr>
              <w:t>1. Financial Health Check</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_Toc214831123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2</w:t>
            </w:r>
            <w:r w:rsidR="0033338C" w:rsidRPr="0033338C">
              <w:rPr>
                <w:rFonts w:ascii="Arial" w:hAnsi="Arial" w:cs="Arial"/>
                <w:noProof/>
                <w:webHidden/>
              </w:rPr>
              <w:fldChar w:fldCharType="end"/>
            </w:r>
          </w:hyperlink>
        </w:p>
        <w:p w14:paraId="3C33B124" w14:textId="00481B7A" w:rsidR="0033338C" w:rsidRPr="0033338C" w:rsidRDefault="00020729">
          <w:pPr>
            <w:pStyle w:val="TOC2"/>
            <w:tabs>
              <w:tab w:val="right" w:leader="dot" w:pos="9016"/>
            </w:tabs>
            <w:rPr>
              <w:rFonts w:ascii="Arial" w:eastAsiaTheme="minorEastAsia" w:hAnsi="Arial" w:cs="Arial"/>
              <w:noProof/>
              <w:lang w:val="en-US"/>
            </w:rPr>
          </w:pPr>
          <w:hyperlink w:anchor="_Toc214831124" w:history="1">
            <w:r w:rsidR="0033338C" w:rsidRPr="0033338C">
              <w:rPr>
                <w:rStyle w:val="Hyperlink"/>
                <w:rFonts w:ascii="Arial" w:hAnsi="Arial" w:cs="Arial"/>
                <w:noProof/>
              </w:rPr>
              <w:t>A. Analysis of Financial S</w:t>
            </w:r>
            <w:r w:rsidR="00784C19">
              <w:rPr>
                <w:rStyle w:val="Hyperlink"/>
                <w:rFonts w:ascii="Arial" w:hAnsi="Arial" w:cs="Arial"/>
                <w:noProof/>
              </w:rPr>
              <w:t>tatements (£m)</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_Toc214831124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2</w:t>
            </w:r>
            <w:r w:rsidR="0033338C" w:rsidRPr="0033338C">
              <w:rPr>
                <w:rFonts w:ascii="Arial" w:hAnsi="Arial" w:cs="Arial"/>
                <w:noProof/>
                <w:webHidden/>
              </w:rPr>
              <w:fldChar w:fldCharType="end"/>
            </w:r>
          </w:hyperlink>
        </w:p>
        <w:p w14:paraId="261F7E6F" w14:textId="77777777" w:rsidR="0033338C" w:rsidRPr="0033338C" w:rsidRDefault="00020729">
          <w:pPr>
            <w:pStyle w:val="TOC2"/>
            <w:tabs>
              <w:tab w:val="right" w:leader="dot" w:pos="9016"/>
            </w:tabs>
            <w:rPr>
              <w:rFonts w:ascii="Arial" w:eastAsiaTheme="minorEastAsia" w:hAnsi="Arial" w:cs="Arial"/>
              <w:noProof/>
              <w:lang w:val="en-US"/>
            </w:rPr>
          </w:pPr>
          <w:hyperlink w:anchor="_Toc214831125" w:history="1">
            <w:r w:rsidR="0033338C" w:rsidRPr="0033338C">
              <w:rPr>
                <w:rStyle w:val="Hyperlink"/>
                <w:rFonts w:ascii="Arial" w:hAnsi="Arial" w:cs="Arial"/>
                <w:noProof/>
              </w:rPr>
              <w:t>B. Full Ratio Analysis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_Toc214831125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4</w:t>
            </w:r>
            <w:r w:rsidR="0033338C" w:rsidRPr="0033338C">
              <w:rPr>
                <w:rFonts w:ascii="Arial" w:hAnsi="Arial" w:cs="Arial"/>
                <w:noProof/>
                <w:webHidden/>
              </w:rPr>
              <w:fldChar w:fldCharType="end"/>
            </w:r>
          </w:hyperlink>
        </w:p>
        <w:p w14:paraId="21421F53" w14:textId="77777777" w:rsidR="0033338C" w:rsidRPr="0033338C" w:rsidRDefault="00020729">
          <w:pPr>
            <w:pStyle w:val="TOC2"/>
            <w:tabs>
              <w:tab w:val="right" w:leader="dot" w:pos="9016"/>
            </w:tabs>
            <w:rPr>
              <w:rFonts w:ascii="Arial" w:eastAsiaTheme="minorEastAsia" w:hAnsi="Arial" w:cs="Arial"/>
              <w:noProof/>
              <w:lang w:val="en-US"/>
            </w:rPr>
          </w:pPr>
          <w:hyperlink w:anchor="_Toc214831126" w:history="1">
            <w:r w:rsidR="0033338C" w:rsidRPr="0033338C">
              <w:rPr>
                <w:rStyle w:val="Hyperlink"/>
                <w:rFonts w:ascii="Arial" w:hAnsi="Arial" w:cs="Arial"/>
                <w:noProof/>
              </w:rPr>
              <w:t>C. Identified Trends, Strengths, and Threats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_Toc214831126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5</w:t>
            </w:r>
            <w:r w:rsidR="0033338C" w:rsidRPr="0033338C">
              <w:rPr>
                <w:rFonts w:ascii="Arial" w:hAnsi="Arial" w:cs="Arial"/>
                <w:noProof/>
                <w:webHidden/>
              </w:rPr>
              <w:fldChar w:fldCharType="end"/>
            </w:r>
          </w:hyperlink>
        </w:p>
        <w:p w14:paraId="00B87312" w14:textId="77777777" w:rsidR="0033338C" w:rsidRPr="0033338C" w:rsidRDefault="00020729">
          <w:pPr>
            <w:pStyle w:val="TOC2"/>
            <w:tabs>
              <w:tab w:val="right" w:leader="dot" w:pos="9016"/>
            </w:tabs>
            <w:rPr>
              <w:rFonts w:ascii="Arial" w:eastAsiaTheme="minorEastAsia" w:hAnsi="Arial" w:cs="Arial"/>
              <w:noProof/>
              <w:lang w:val="en-US"/>
            </w:rPr>
          </w:pPr>
          <w:hyperlink w:anchor="_Toc214831127" w:history="1">
            <w:r w:rsidR="0033338C" w:rsidRPr="0033338C">
              <w:rPr>
                <w:rStyle w:val="Hyperlink"/>
                <w:rFonts w:ascii="Arial" w:hAnsi="Arial" w:cs="Arial"/>
                <w:noProof/>
                <w:lang w:val="en-US"/>
              </w:rPr>
              <w:t>D. Corporate Failure Prediction: Altman Z-Score</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_Toc214831127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7</w:t>
            </w:r>
            <w:r w:rsidR="0033338C" w:rsidRPr="0033338C">
              <w:rPr>
                <w:rFonts w:ascii="Arial" w:hAnsi="Arial" w:cs="Arial"/>
                <w:noProof/>
                <w:webHidden/>
              </w:rPr>
              <w:fldChar w:fldCharType="end"/>
            </w:r>
          </w:hyperlink>
        </w:p>
        <w:p w14:paraId="3F232AB1" w14:textId="77777777" w:rsidR="0033338C" w:rsidRPr="0033338C" w:rsidRDefault="00020729">
          <w:pPr>
            <w:pStyle w:val="TOC1"/>
            <w:tabs>
              <w:tab w:val="right" w:leader="dot" w:pos="9016"/>
            </w:tabs>
            <w:rPr>
              <w:rFonts w:ascii="Arial" w:eastAsiaTheme="minorEastAsia" w:hAnsi="Arial" w:cs="Arial"/>
              <w:noProof/>
              <w:lang w:val="en-US"/>
            </w:rPr>
          </w:pPr>
          <w:hyperlink w:anchor="_Toc214831128" w:history="1">
            <w:r w:rsidR="0033338C" w:rsidRPr="0033338C">
              <w:rPr>
                <w:rStyle w:val="Hyperlink"/>
                <w:rFonts w:ascii="Arial" w:hAnsi="Arial" w:cs="Arial"/>
                <w:noProof/>
              </w:rPr>
              <w:t>2. Working Capital Management Analysis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_Toc214831128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10</w:t>
            </w:r>
            <w:r w:rsidR="0033338C" w:rsidRPr="0033338C">
              <w:rPr>
                <w:rFonts w:ascii="Arial" w:hAnsi="Arial" w:cs="Arial"/>
                <w:noProof/>
                <w:webHidden/>
              </w:rPr>
              <w:fldChar w:fldCharType="end"/>
            </w:r>
          </w:hyperlink>
        </w:p>
        <w:p w14:paraId="4329A823" w14:textId="77777777" w:rsidR="0033338C" w:rsidRPr="0033338C" w:rsidRDefault="00020729">
          <w:pPr>
            <w:pStyle w:val="TOC2"/>
            <w:tabs>
              <w:tab w:val="right" w:leader="dot" w:pos="9016"/>
            </w:tabs>
            <w:rPr>
              <w:rFonts w:ascii="Arial" w:eastAsiaTheme="minorEastAsia" w:hAnsi="Arial" w:cs="Arial"/>
              <w:noProof/>
              <w:lang w:val="en-US"/>
            </w:rPr>
          </w:pPr>
          <w:hyperlink w:anchor="_Toc214831129" w:history="1">
            <w:r w:rsidR="0033338C" w:rsidRPr="0033338C">
              <w:rPr>
                <w:rStyle w:val="Hyperlink"/>
                <w:rFonts w:ascii="Arial" w:hAnsi="Arial" w:cs="Arial"/>
                <w:noProof/>
                <w:lang w:val="en-US"/>
              </w:rPr>
              <w:t>2.1 Evaluation of the Cash Operating Cycle (COC).</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_Toc214831129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10</w:t>
            </w:r>
            <w:r w:rsidR="0033338C" w:rsidRPr="0033338C">
              <w:rPr>
                <w:rFonts w:ascii="Arial" w:hAnsi="Arial" w:cs="Arial"/>
                <w:noProof/>
                <w:webHidden/>
              </w:rPr>
              <w:fldChar w:fldCharType="end"/>
            </w:r>
          </w:hyperlink>
        </w:p>
        <w:p w14:paraId="302411DF" w14:textId="77777777" w:rsidR="0033338C" w:rsidRPr="0033338C" w:rsidRDefault="00020729">
          <w:pPr>
            <w:pStyle w:val="TOC2"/>
            <w:tabs>
              <w:tab w:val="right" w:leader="dot" w:pos="9016"/>
            </w:tabs>
            <w:rPr>
              <w:rFonts w:ascii="Arial" w:eastAsiaTheme="minorEastAsia" w:hAnsi="Arial" w:cs="Arial"/>
              <w:noProof/>
              <w:lang w:val="en-US"/>
            </w:rPr>
          </w:pPr>
          <w:hyperlink w:anchor="_Toc214831130" w:history="1">
            <w:r w:rsidR="0033338C" w:rsidRPr="0033338C">
              <w:rPr>
                <w:rStyle w:val="Hyperlink"/>
                <w:rFonts w:ascii="Arial" w:hAnsi="Arial" w:cs="Arial"/>
                <w:noProof/>
                <w:lang w:val="en-US"/>
              </w:rPr>
              <w:t>2.2 Liquidity-Enhancing Strategies in WCM Reforms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_Toc214831130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11</w:t>
            </w:r>
            <w:r w:rsidR="0033338C" w:rsidRPr="0033338C">
              <w:rPr>
                <w:rFonts w:ascii="Arial" w:hAnsi="Arial" w:cs="Arial"/>
                <w:noProof/>
                <w:webHidden/>
              </w:rPr>
              <w:fldChar w:fldCharType="end"/>
            </w:r>
          </w:hyperlink>
        </w:p>
        <w:p w14:paraId="72CE529A" w14:textId="3747B17F" w:rsidR="0033338C" w:rsidRPr="0033338C" w:rsidRDefault="00020729">
          <w:pPr>
            <w:pStyle w:val="TOC2"/>
            <w:tabs>
              <w:tab w:val="right" w:leader="dot" w:pos="9016"/>
            </w:tabs>
            <w:rPr>
              <w:rFonts w:ascii="Arial" w:eastAsiaTheme="minorEastAsia" w:hAnsi="Arial" w:cs="Arial"/>
              <w:noProof/>
              <w:lang w:val="en-US"/>
            </w:rPr>
          </w:pPr>
          <w:hyperlink w:anchor="_Toc214831131" w:history="1">
            <w:r w:rsidR="0033338C" w:rsidRPr="0033338C">
              <w:rPr>
                <w:rStyle w:val="Hyperlink"/>
                <w:rFonts w:ascii="Arial" w:hAnsi="Arial" w:cs="Arial"/>
                <w:noProof/>
                <w:lang w:val="en-US"/>
              </w:rPr>
              <w:t>2.3 Short- versus Long-Term financing Compared</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_Toc214831131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w:t>
            </w:r>
            <w:r w:rsidR="00102FE3">
              <w:rPr>
                <w:rFonts w:ascii="Arial" w:hAnsi="Arial" w:cs="Arial"/>
                <w:noProof/>
                <w:webHidden/>
              </w:rPr>
              <w:t>2</w:t>
            </w:r>
            <w:r w:rsidR="0033338C" w:rsidRPr="0033338C">
              <w:rPr>
                <w:rFonts w:ascii="Arial" w:hAnsi="Arial" w:cs="Arial"/>
                <w:noProof/>
                <w:webHidden/>
              </w:rPr>
              <w:fldChar w:fldCharType="end"/>
            </w:r>
          </w:hyperlink>
        </w:p>
        <w:p w14:paraId="7043DFCB" w14:textId="77777777" w:rsidR="0033338C" w:rsidRPr="0033338C" w:rsidRDefault="00020729">
          <w:pPr>
            <w:pStyle w:val="TOC1"/>
            <w:tabs>
              <w:tab w:val="right" w:leader="dot" w:pos="9016"/>
            </w:tabs>
            <w:rPr>
              <w:rFonts w:ascii="Arial" w:eastAsiaTheme="minorEastAsia" w:hAnsi="Arial" w:cs="Arial"/>
              <w:noProof/>
              <w:lang w:val="en-US"/>
            </w:rPr>
          </w:pPr>
          <w:hyperlink w:anchor="_Toc214831132" w:history="1">
            <w:r w:rsidR="0033338C" w:rsidRPr="0033338C">
              <w:rPr>
                <w:rStyle w:val="Hyperlink"/>
                <w:rFonts w:ascii="Arial" w:hAnsi="Arial" w:cs="Arial"/>
                <w:noProof/>
              </w:rPr>
              <w:t>3. Strategic Financial Restructuring Plan</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_Toc214831132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14</w:t>
            </w:r>
            <w:r w:rsidR="0033338C" w:rsidRPr="0033338C">
              <w:rPr>
                <w:rFonts w:ascii="Arial" w:hAnsi="Arial" w:cs="Arial"/>
                <w:noProof/>
                <w:webHidden/>
              </w:rPr>
              <w:fldChar w:fldCharType="end"/>
            </w:r>
          </w:hyperlink>
        </w:p>
        <w:p w14:paraId="76ED66B4" w14:textId="0571B834" w:rsidR="0033338C" w:rsidRPr="0033338C" w:rsidRDefault="00020729">
          <w:pPr>
            <w:pStyle w:val="TOC2"/>
            <w:tabs>
              <w:tab w:val="right" w:leader="dot" w:pos="9016"/>
            </w:tabs>
            <w:rPr>
              <w:rFonts w:ascii="Arial" w:eastAsiaTheme="minorEastAsia" w:hAnsi="Arial" w:cs="Arial"/>
              <w:noProof/>
              <w:lang w:val="en-US"/>
            </w:rPr>
          </w:pPr>
          <w:hyperlink w:anchor="_Toc214831133" w:history="1">
            <w:r w:rsidR="0033338C" w:rsidRPr="0033338C">
              <w:rPr>
                <w:rStyle w:val="Hyperlink"/>
                <w:rFonts w:ascii="Arial" w:hAnsi="Arial" w:cs="Arial"/>
                <w:noProof/>
              </w:rPr>
              <w:t xml:space="preserve">3.1 Recommended </w:t>
            </w:r>
            <w:r w:rsidR="00784C19">
              <w:rPr>
                <w:rStyle w:val="Hyperlink"/>
                <w:rFonts w:ascii="Arial" w:hAnsi="Arial" w:cs="Arial"/>
                <w:noProof/>
              </w:rPr>
              <w:t>Financial Restructuring Options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_Toc214831133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14</w:t>
            </w:r>
            <w:r w:rsidR="0033338C" w:rsidRPr="0033338C">
              <w:rPr>
                <w:rFonts w:ascii="Arial" w:hAnsi="Arial" w:cs="Arial"/>
                <w:noProof/>
                <w:webHidden/>
              </w:rPr>
              <w:fldChar w:fldCharType="end"/>
            </w:r>
          </w:hyperlink>
        </w:p>
        <w:p w14:paraId="0C8A0041" w14:textId="77777777" w:rsidR="0033338C" w:rsidRPr="0033338C" w:rsidRDefault="00020729">
          <w:pPr>
            <w:pStyle w:val="TOC2"/>
            <w:tabs>
              <w:tab w:val="right" w:leader="dot" w:pos="9016"/>
            </w:tabs>
            <w:rPr>
              <w:rFonts w:ascii="Arial" w:eastAsiaTheme="minorEastAsia" w:hAnsi="Arial" w:cs="Arial"/>
              <w:noProof/>
              <w:lang w:val="en-US"/>
            </w:rPr>
          </w:pPr>
          <w:hyperlink w:anchor="_Toc214831134" w:history="1">
            <w:r w:rsidR="0033338C" w:rsidRPr="0033338C">
              <w:rPr>
                <w:rStyle w:val="Hyperlink"/>
                <w:rFonts w:ascii="Arial" w:hAnsi="Arial" w:cs="Arial"/>
                <w:noProof/>
                <w:lang w:val="en-US"/>
              </w:rPr>
              <w:t xml:space="preserve">3.2 Impact on </w:t>
            </w:r>
            <w:r w:rsidR="0033338C" w:rsidRPr="0033338C">
              <w:rPr>
                <w:rStyle w:val="Hyperlink"/>
                <w:rFonts w:ascii="Arial" w:hAnsi="Arial" w:cs="Arial"/>
                <w:noProof/>
              </w:rPr>
              <w:t>Stakeholder</w:t>
            </w:r>
            <w:r w:rsidR="0033338C" w:rsidRPr="0033338C">
              <w:rPr>
                <w:rStyle w:val="Hyperlink"/>
                <w:rFonts w:ascii="Arial" w:hAnsi="Arial" w:cs="Arial"/>
                <w:noProof/>
                <w:lang w:val="en-US"/>
              </w:rPr>
              <w:t xml:space="preserve"> Evaluation</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_Toc214831134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15</w:t>
            </w:r>
            <w:r w:rsidR="0033338C" w:rsidRPr="0033338C">
              <w:rPr>
                <w:rFonts w:ascii="Arial" w:hAnsi="Arial" w:cs="Arial"/>
                <w:noProof/>
                <w:webHidden/>
              </w:rPr>
              <w:fldChar w:fldCharType="end"/>
            </w:r>
          </w:hyperlink>
        </w:p>
        <w:p w14:paraId="253870A4" w14:textId="77777777" w:rsidR="0033338C" w:rsidRPr="0033338C" w:rsidRDefault="00020729">
          <w:pPr>
            <w:pStyle w:val="TOC2"/>
            <w:tabs>
              <w:tab w:val="right" w:leader="dot" w:pos="9016"/>
            </w:tabs>
            <w:rPr>
              <w:rFonts w:ascii="Arial" w:eastAsiaTheme="minorEastAsia" w:hAnsi="Arial" w:cs="Arial"/>
              <w:noProof/>
              <w:lang w:val="en-US"/>
            </w:rPr>
          </w:pPr>
          <w:hyperlink w:anchor="_Toc214831135" w:history="1">
            <w:r w:rsidR="0033338C" w:rsidRPr="0033338C">
              <w:rPr>
                <w:rStyle w:val="Hyperlink"/>
                <w:rFonts w:ascii="Arial" w:hAnsi="Arial" w:cs="Arial"/>
                <w:noProof/>
                <w:lang w:val="en-US"/>
              </w:rPr>
              <w:t>3.3 International and Ethical Considerations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_Toc214831135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17</w:t>
            </w:r>
            <w:r w:rsidR="0033338C" w:rsidRPr="0033338C">
              <w:rPr>
                <w:rFonts w:ascii="Arial" w:hAnsi="Arial" w:cs="Arial"/>
                <w:noProof/>
                <w:webHidden/>
              </w:rPr>
              <w:fldChar w:fldCharType="end"/>
            </w:r>
          </w:hyperlink>
        </w:p>
        <w:p w14:paraId="014611CF" w14:textId="77777777" w:rsidR="0033338C" w:rsidRPr="0033338C" w:rsidRDefault="00020729">
          <w:pPr>
            <w:pStyle w:val="TOC3"/>
            <w:tabs>
              <w:tab w:val="right" w:leader="dot" w:pos="9016"/>
            </w:tabs>
            <w:rPr>
              <w:rFonts w:ascii="Arial" w:eastAsiaTheme="minorEastAsia" w:hAnsi="Arial" w:cs="Arial"/>
              <w:noProof/>
              <w:lang w:val="en-US"/>
            </w:rPr>
          </w:pPr>
          <w:hyperlink w:anchor="_Toc214831136" w:history="1">
            <w:r w:rsidR="0033338C" w:rsidRPr="0033338C">
              <w:rPr>
                <w:rStyle w:val="Hyperlink"/>
                <w:rFonts w:ascii="Arial" w:hAnsi="Arial" w:cs="Arial"/>
                <w:noProof/>
                <w:lang w:val="en-US"/>
              </w:rPr>
              <w:t>3.3.1 International Financial Risks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_Toc214831136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17</w:t>
            </w:r>
            <w:r w:rsidR="0033338C" w:rsidRPr="0033338C">
              <w:rPr>
                <w:rFonts w:ascii="Arial" w:hAnsi="Arial" w:cs="Arial"/>
                <w:noProof/>
                <w:webHidden/>
              </w:rPr>
              <w:fldChar w:fldCharType="end"/>
            </w:r>
          </w:hyperlink>
        </w:p>
        <w:p w14:paraId="7825D796" w14:textId="77777777" w:rsidR="0033338C" w:rsidRPr="0033338C" w:rsidRDefault="00020729">
          <w:pPr>
            <w:pStyle w:val="TOC2"/>
            <w:tabs>
              <w:tab w:val="right" w:leader="dot" w:pos="9016"/>
            </w:tabs>
            <w:rPr>
              <w:rFonts w:ascii="Arial" w:eastAsiaTheme="minorEastAsia" w:hAnsi="Arial" w:cs="Arial"/>
              <w:noProof/>
              <w:lang w:val="en-US"/>
            </w:rPr>
          </w:pPr>
          <w:hyperlink w:anchor="_Toc214831137" w:history="1">
            <w:r w:rsidR="0033338C" w:rsidRPr="0033338C">
              <w:rPr>
                <w:rStyle w:val="Hyperlink"/>
                <w:rFonts w:ascii="Arial" w:hAnsi="Arial" w:cs="Arial"/>
                <w:noProof/>
                <w:lang w:val="en-US"/>
              </w:rPr>
              <w:t>3.4 CSR and Ethical Requirements.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_Toc214831137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18</w:t>
            </w:r>
            <w:r w:rsidR="0033338C" w:rsidRPr="0033338C">
              <w:rPr>
                <w:rFonts w:ascii="Arial" w:hAnsi="Arial" w:cs="Arial"/>
                <w:noProof/>
                <w:webHidden/>
              </w:rPr>
              <w:fldChar w:fldCharType="end"/>
            </w:r>
          </w:hyperlink>
        </w:p>
        <w:p w14:paraId="5ECC87D5" w14:textId="77777777" w:rsidR="0033338C" w:rsidRPr="0033338C" w:rsidRDefault="00020729">
          <w:pPr>
            <w:pStyle w:val="TOC1"/>
            <w:tabs>
              <w:tab w:val="right" w:leader="dot" w:pos="9016"/>
            </w:tabs>
            <w:rPr>
              <w:rFonts w:ascii="Arial" w:eastAsiaTheme="minorEastAsia" w:hAnsi="Arial" w:cs="Arial"/>
              <w:noProof/>
              <w:lang w:val="en-US"/>
            </w:rPr>
          </w:pPr>
          <w:hyperlink w:anchor="_Toc214831138" w:history="1">
            <w:r w:rsidR="0033338C" w:rsidRPr="0033338C">
              <w:rPr>
                <w:rStyle w:val="Hyperlink"/>
                <w:rFonts w:ascii="Arial" w:hAnsi="Arial" w:cs="Arial"/>
                <w:noProof/>
              </w:rPr>
              <w:t>4. Investment Appraisal and Capital Budgeting</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_Toc214831138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20</w:t>
            </w:r>
            <w:r w:rsidR="0033338C" w:rsidRPr="0033338C">
              <w:rPr>
                <w:rFonts w:ascii="Arial" w:hAnsi="Arial" w:cs="Arial"/>
                <w:noProof/>
                <w:webHidden/>
              </w:rPr>
              <w:fldChar w:fldCharType="end"/>
            </w:r>
          </w:hyperlink>
        </w:p>
        <w:p w14:paraId="6783E2CC" w14:textId="77777777" w:rsidR="0033338C" w:rsidRPr="0033338C" w:rsidRDefault="00020729">
          <w:pPr>
            <w:pStyle w:val="TOC1"/>
            <w:tabs>
              <w:tab w:val="right" w:leader="dot" w:pos="9016"/>
            </w:tabs>
            <w:rPr>
              <w:rFonts w:ascii="Arial" w:eastAsiaTheme="minorEastAsia" w:hAnsi="Arial" w:cs="Arial"/>
              <w:noProof/>
              <w:lang w:val="en-US"/>
            </w:rPr>
          </w:pPr>
          <w:hyperlink w:anchor="_Toc214831139" w:history="1">
            <w:r w:rsidR="0033338C" w:rsidRPr="0033338C">
              <w:rPr>
                <w:rStyle w:val="Hyperlink"/>
                <w:rFonts w:ascii="Arial" w:hAnsi="Arial" w:cs="Arial"/>
                <w:noProof/>
              </w:rPr>
              <w:t>Conclusion</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_Toc214831139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26</w:t>
            </w:r>
            <w:r w:rsidR="0033338C" w:rsidRPr="0033338C">
              <w:rPr>
                <w:rFonts w:ascii="Arial" w:hAnsi="Arial" w:cs="Arial"/>
                <w:noProof/>
                <w:webHidden/>
              </w:rPr>
              <w:fldChar w:fldCharType="end"/>
            </w:r>
          </w:hyperlink>
        </w:p>
        <w:p w14:paraId="49A0A5F1" w14:textId="77777777" w:rsidR="0033338C" w:rsidRPr="0033338C" w:rsidRDefault="00020729">
          <w:pPr>
            <w:pStyle w:val="TOC1"/>
            <w:tabs>
              <w:tab w:val="right" w:leader="dot" w:pos="9016"/>
            </w:tabs>
            <w:rPr>
              <w:rFonts w:ascii="Arial" w:eastAsiaTheme="minorEastAsia" w:hAnsi="Arial" w:cs="Arial"/>
              <w:noProof/>
              <w:lang w:val="en-US"/>
            </w:rPr>
          </w:pPr>
          <w:hyperlink w:anchor="_Toc214831140" w:history="1">
            <w:r w:rsidR="0033338C" w:rsidRPr="0033338C">
              <w:rPr>
                <w:rStyle w:val="Hyperlink"/>
                <w:rFonts w:ascii="Arial" w:hAnsi="Arial" w:cs="Arial"/>
                <w:noProof/>
              </w:rPr>
              <w:t>Reference</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_Toc214831140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27</w:t>
            </w:r>
            <w:r w:rsidR="0033338C" w:rsidRPr="0033338C">
              <w:rPr>
                <w:rFonts w:ascii="Arial" w:hAnsi="Arial" w:cs="Arial"/>
                <w:noProof/>
                <w:webHidden/>
              </w:rPr>
              <w:fldChar w:fldCharType="end"/>
            </w:r>
          </w:hyperlink>
        </w:p>
        <w:p w14:paraId="330AF5BA" w14:textId="77777777" w:rsidR="0033338C" w:rsidRPr="0033338C" w:rsidRDefault="00020729">
          <w:pPr>
            <w:pStyle w:val="TOC1"/>
            <w:tabs>
              <w:tab w:val="right" w:leader="dot" w:pos="9016"/>
            </w:tabs>
            <w:rPr>
              <w:rFonts w:ascii="Arial" w:eastAsiaTheme="minorEastAsia" w:hAnsi="Arial" w:cs="Arial"/>
              <w:noProof/>
              <w:lang w:val="en-US"/>
            </w:rPr>
          </w:pPr>
          <w:hyperlink w:anchor="_Toc214831141" w:history="1">
            <w:r w:rsidR="0033338C" w:rsidRPr="0033338C">
              <w:rPr>
                <w:rStyle w:val="Hyperlink"/>
                <w:rFonts w:ascii="Arial" w:hAnsi="Arial" w:cs="Arial"/>
                <w:noProof/>
              </w:rPr>
              <w:t>Appendices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_Toc214831141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30</w:t>
            </w:r>
            <w:r w:rsidR="0033338C" w:rsidRPr="0033338C">
              <w:rPr>
                <w:rFonts w:ascii="Arial" w:hAnsi="Arial" w:cs="Arial"/>
                <w:noProof/>
                <w:webHidden/>
              </w:rPr>
              <w:fldChar w:fldCharType="end"/>
            </w:r>
          </w:hyperlink>
        </w:p>
        <w:p w14:paraId="4681BEFB" w14:textId="77777777" w:rsidR="0033338C" w:rsidRPr="0033338C" w:rsidRDefault="00020729">
          <w:pPr>
            <w:pStyle w:val="TOC2"/>
            <w:tabs>
              <w:tab w:val="right" w:leader="dot" w:pos="9016"/>
            </w:tabs>
            <w:rPr>
              <w:rFonts w:ascii="Arial" w:eastAsiaTheme="minorEastAsia" w:hAnsi="Arial" w:cs="Arial"/>
              <w:noProof/>
              <w:lang w:val="en-US"/>
            </w:rPr>
          </w:pPr>
          <w:hyperlink w:anchor="_Toc214831142" w:history="1">
            <w:r w:rsidR="0033338C" w:rsidRPr="0033338C">
              <w:rPr>
                <w:rStyle w:val="Hyperlink"/>
                <w:rFonts w:ascii="Arial" w:hAnsi="Arial" w:cs="Arial"/>
                <w:noProof/>
              </w:rPr>
              <w:t>APPENDIX A: Financial Ratio Tables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_Toc214831142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30</w:t>
            </w:r>
            <w:r w:rsidR="0033338C" w:rsidRPr="0033338C">
              <w:rPr>
                <w:rFonts w:ascii="Arial" w:hAnsi="Arial" w:cs="Arial"/>
                <w:noProof/>
                <w:webHidden/>
              </w:rPr>
              <w:fldChar w:fldCharType="end"/>
            </w:r>
          </w:hyperlink>
        </w:p>
        <w:p w14:paraId="7A8877ED" w14:textId="77777777" w:rsidR="0033338C" w:rsidRPr="0033338C" w:rsidRDefault="00020729">
          <w:pPr>
            <w:pStyle w:val="TOC2"/>
            <w:tabs>
              <w:tab w:val="right" w:leader="dot" w:pos="9016"/>
            </w:tabs>
            <w:rPr>
              <w:rFonts w:ascii="Arial" w:eastAsiaTheme="minorEastAsia" w:hAnsi="Arial" w:cs="Arial"/>
              <w:noProof/>
              <w:lang w:val="en-US"/>
            </w:rPr>
          </w:pPr>
          <w:hyperlink w:anchor="_Toc214831143" w:history="1">
            <w:r w:rsidR="0033338C" w:rsidRPr="0033338C">
              <w:rPr>
                <w:rStyle w:val="Hyperlink"/>
                <w:rFonts w:ascii="Arial" w:hAnsi="Arial" w:cs="Arial"/>
                <w:noProof/>
                <w:lang w:eastAsia="en-GB"/>
              </w:rPr>
              <w:t>APPENDIX B: Investment Appraisal Calculations</w:t>
            </w:r>
            <w:r w:rsidR="0033338C" w:rsidRPr="0033338C">
              <w:rPr>
                <w:rFonts w:ascii="Arial" w:hAnsi="Arial" w:cs="Arial"/>
                <w:noProof/>
                <w:webHidden/>
              </w:rPr>
              <w:tab/>
            </w:r>
            <w:r w:rsidR="0033338C" w:rsidRPr="0033338C">
              <w:rPr>
                <w:rFonts w:ascii="Arial" w:hAnsi="Arial" w:cs="Arial"/>
                <w:noProof/>
                <w:webHidden/>
              </w:rPr>
              <w:fldChar w:fldCharType="begin"/>
            </w:r>
            <w:r w:rsidR="0033338C" w:rsidRPr="0033338C">
              <w:rPr>
                <w:rFonts w:ascii="Arial" w:hAnsi="Arial" w:cs="Arial"/>
                <w:noProof/>
                <w:webHidden/>
              </w:rPr>
              <w:instrText xml:space="preserve"> PAGEREF _Toc214831143 \h </w:instrText>
            </w:r>
            <w:r w:rsidR="0033338C" w:rsidRPr="0033338C">
              <w:rPr>
                <w:rFonts w:ascii="Arial" w:hAnsi="Arial" w:cs="Arial"/>
                <w:noProof/>
                <w:webHidden/>
              </w:rPr>
            </w:r>
            <w:r w:rsidR="0033338C" w:rsidRPr="0033338C">
              <w:rPr>
                <w:rFonts w:ascii="Arial" w:hAnsi="Arial" w:cs="Arial"/>
                <w:noProof/>
                <w:webHidden/>
              </w:rPr>
              <w:fldChar w:fldCharType="separate"/>
            </w:r>
            <w:r w:rsidR="0033338C" w:rsidRPr="0033338C">
              <w:rPr>
                <w:rFonts w:ascii="Arial" w:hAnsi="Arial" w:cs="Arial"/>
                <w:noProof/>
                <w:webHidden/>
              </w:rPr>
              <w:t>31</w:t>
            </w:r>
            <w:r w:rsidR="0033338C" w:rsidRPr="0033338C">
              <w:rPr>
                <w:rFonts w:ascii="Arial" w:hAnsi="Arial" w:cs="Arial"/>
                <w:noProof/>
                <w:webHidden/>
              </w:rPr>
              <w:fldChar w:fldCharType="end"/>
            </w:r>
          </w:hyperlink>
        </w:p>
        <w:p w14:paraId="36E2A485" w14:textId="54887241" w:rsidR="00CD4561" w:rsidRPr="0033338C" w:rsidRDefault="00CD4561" w:rsidP="00CD4561">
          <w:pPr>
            <w:spacing w:line="360" w:lineRule="auto"/>
            <w:rPr>
              <w:rFonts w:ascii="Arial" w:hAnsi="Arial" w:cs="Arial"/>
            </w:rPr>
          </w:pPr>
          <w:r w:rsidRPr="0033338C">
            <w:rPr>
              <w:rFonts w:ascii="Arial" w:hAnsi="Arial" w:cs="Arial"/>
              <w:b/>
              <w:bCs/>
              <w:noProof/>
            </w:rPr>
            <w:fldChar w:fldCharType="end"/>
          </w:r>
        </w:p>
      </w:sdtContent>
    </w:sdt>
    <w:p w14:paraId="7C17B12A" w14:textId="77777777" w:rsidR="00E51711" w:rsidRPr="0033338C" w:rsidRDefault="00E51711" w:rsidP="00E51711">
      <w:pPr>
        <w:rPr>
          <w:rFonts w:ascii="Arial" w:hAnsi="Arial" w:cs="Arial"/>
        </w:rPr>
      </w:pPr>
    </w:p>
    <w:p w14:paraId="64E03418" w14:textId="77777777" w:rsidR="00E51711" w:rsidRPr="0033338C" w:rsidRDefault="00E51711" w:rsidP="00E51711">
      <w:pPr>
        <w:rPr>
          <w:rFonts w:ascii="Arial" w:hAnsi="Arial" w:cs="Arial"/>
        </w:rPr>
      </w:pPr>
    </w:p>
    <w:p w14:paraId="68EFEC8C" w14:textId="77777777" w:rsidR="00E51711" w:rsidRPr="0033338C" w:rsidRDefault="00E51711" w:rsidP="00E51711">
      <w:pPr>
        <w:rPr>
          <w:rFonts w:ascii="Arial" w:hAnsi="Arial" w:cs="Arial"/>
        </w:rPr>
      </w:pPr>
    </w:p>
    <w:p w14:paraId="63590ABB" w14:textId="77777777" w:rsidR="00E51711" w:rsidRPr="0033338C" w:rsidRDefault="00E51711" w:rsidP="00E51711">
      <w:pPr>
        <w:rPr>
          <w:rFonts w:ascii="Arial" w:hAnsi="Arial" w:cs="Arial"/>
        </w:rPr>
      </w:pPr>
    </w:p>
    <w:p w14:paraId="662CD3E8" w14:textId="77777777" w:rsidR="00E51711" w:rsidRPr="0033338C" w:rsidRDefault="00E51711" w:rsidP="00E51711">
      <w:pPr>
        <w:rPr>
          <w:rFonts w:ascii="Arial" w:hAnsi="Arial" w:cs="Arial"/>
        </w:rPr>
      </w:pPr>
      <w:bookmarkStart w:id="0" w:name="_GoBack"/>
      <w:bookmarkEnd w:id="0"/>
    </w:p>
    <w:p w14:paraId="75761C4B" w14:textId="77777777" w:rsidR="0033338C" w:rsidRPr="0033338C" w:rsidRDefault="0033338C" w:rsidP="00E51711">
      <w:pPr>
        <w:rPr>
          <w:rFonts w:ascii="Arial" w:hAnsi="Arial" w:cs="Arial"/>
        </w:rPr>
      </w:pPr>
    </w:p>
    <w:p w14:paraId="6041DB9E" w14:textId="77777777" w:rsidR="0033338C" w:rsidRPr="0033338C" w:rsidRDefault="0033338C" w:rsidP="00CD4561">
      <w:pPr>
        <w:pStyle w:val="Heading1"/>
        <w:spacing w:line="360" w:lineRule="auto"/>
        <w:rPr>
          <w:rFonts w:cs="Arial"/>
        </w:rPr>
        <w:sectPr w:rsidR="0033338C" w:rsidRPr="0033338C" w:rsidSect="00CD4561">
          <w:footerReference w:type="default" r:id="rId9"/>
          <w:pgSz w:w="11906" w:h="16838"/>
          <w:pgMar w:top="1440" w:right="1440" w:bottom="1440" w:left="1440" w:header="720" w:footer="720" w:gutter="0"/>
          <w:pgNumType w:start="1"/>
          <w:cols w:space="720"/>
          <w:docGrid w:linePitch="360"/>
        </w:sectPr>
      </w:pPr>
    </w:p>
    <w:p w14:paraId="72407D3A" w14:textId="59099910" w:rsidR="00CD4561" w:rsidRPr="0033338C" w:rsidRDefault="00CD4561" w:rsidP="00CD4561">
      <w:pPr>
        <w:pStyle w:val="Heading1"/>
        <w:spacing w:line="360" w:lineRule="auto"/>
        <w:rPr>
          <w:rFonts w:cs="Arial"/>
        </w:rPr>
      </w:pPr>
      <w:bookmarkStart w:id="1" w:name="_Toc214831122"/>
      <w:r w:rsidRPr="0033338C">
        <w:rPr>
          <w:rFonts w:cs="Arial"/>
        </w:rPr>
        <w:lastRenderedPageBreak/>
        <w:t>Introduction</w:t>
      </w:r>
      <w:bookmarkEnd w:id="1"/>
    </w:p>
    <w:p w14:paraId="4FC7D101" w14:textId="2A852B67" w:rsidR="00AB0055" w:rsidRPr="0033338C" w:rsidRDefault="004007FE" w:rsidP="00AB0055">
      <w:pPr>
        <w:spacing w:line="360" w:lineRule="auto"/>
        <w:jc w:val="both"/>
        <w:rPr>
          <w:rFonts w:ascii="Arial" w:hAnsi="Arial" w:cs="Arial"/>
          <w:sz w:val="24"/>
          <w:szCs w:val="24"/>
          <w:lang w:val="en-US"/>
        </w:rPr>
      </w:pPr>
      <w:r w:rsidRPr="0033338C">
        <w:rPr>
          <w:rFonts w:ascii="Arial" w:hAnsi="Arial" w:cs="Arial"/>
          <w:sz w:val="24"/>
          <w:szCs w:val="24"/>
        </w:rPr>
        <w:t xml:space="preserve">The following report provides a financial analysis of General Electronics, </w:t>
      </w:r>
      <w:r w:rsidR="00784C19">
        <w:rPr>
          <w:rFonts w:ascii="Arial" w:hAnsi="Arial" w:cs="Arial"/>
          <w:sz w:val="24"/>
          <w:szCs w:val="24"/>
        </w:rPr>
        <w:t>an</w:t>
      </w:r>
      <w:r w:rsidRPr="0033338C">
        <w:rPr>
          <w:rFonts w:ascii="Arial" w:hAnsi="Arial" w:cs="Arial"/>
          <w:sz w:val="24"/>
          <w:szCs w:val="24"/>
        </w:rPr>
        <w:t xml:space="preserve"> analysis of the performance, stability, and the long-term viability of the company, based on the analysis of the financial statements, ratio variations, and the working capital efficiency. It also evaluates the risk of insolvency of the firm based on corporate failure prediction model which includes the Altman Z-Score. This report also presents the international financial risks, CSR responsibilities and the ethical considerations of international operations. Besides this, it assesses the restructuring options including divestiture, mergers, and equity injections backed by the investment appraisal and capital budgeting principles to identify the value-enhancing strategic options. In general, the analysis will help to give clear insights to make financial recovery and sustainable decisions</w:t>
      </w:r>
      <w:r w:rsidR="00AB0055" w:rsidRPr="0033338C">
        <w:rPr>
          <w:rFonts w:ascii="Arial" w:hAnsi="Arial" w:cs="Arial"/>
          <w:sz w:val="24"/>
          <w:szCs w:val="24"/>
          <w:lang w:val="en-US"/>
        </w:rPr>
        <w:t>.</w:t>
      </w:r>
    </w:p>
    <w:p w14:paraId="2F110CC9" w14:textId="7BE50C11" w:rsidR="00CD4561" w:rsidRPr="0033338C" w:rsidRDefault="00CD4561" w:rsidP="00CD4561">
      <w:pPr>
        <w:spacing w:line="360" w:lineRule="auto"/>
        <w:jc w:val="both"/>
        <w:rPr>
          <w:rFonts w:ascii="Arial" w:hAnsi="Arial" w:cs="Arial"/>
          <w:sz w:val="24"/>
          <w:szCs w:val="24"/>
          <w:lang w:val="en-US"/>
        </w:rPr>
      </w:pPr>
    </w:p>
    <w:p w14:paraId="3C245875" w14:textId="77777777" w:rsidR="00CD4561" w:rsidRPr="0033338C" w:rsidRDefault="00CD4561" w:rsidP="00CD4561">
      <w:pPr>
        <w:spacing w:after="160" w:line="278" w:lineRule="auto"/>
        <w:rPr>
          <w:rFonts w:ascii="Arial" w:eastAsiaTheme="majorEastAsia" w:hAnsi="Arial" w:cs="Arial"/>
          <w:b/>
          <w:color w:val="000000" w:themeColor="text1"/>
          <w:sz w:val="32"/>
          <w:szCs w:val="40"/>
        </w:rPr>
      </w:pPr>
      <w:r w:rsidRPr="0033338C">
        <w:rPr>
          <w:rFonts w:ascii="Arial" w:hAnsi="Arial" w:cs="Arial"/>
        </w:rPr>
        <w:br w:type="page"/>
      </w:r>
    </w:p>
    <w:p w14:paraId="59624763" w14:textId="6CF7A818" w:rsidR="00CD4561" w:rsidRPr="0033338C" w:rsidRDefault="00D610AE" w:rsidP="00D610AE">
      <w:pPr>
        <w:pStyle w:val="Heading1"/>
        <w:rPr>
          <w:rFonts w:cs="Arial"/>
        </w:rPr>
      </w:pPr>
      <w:bookmarkStart w:id="2" w:name="_Toc214831123"/>
      <w:r w:rsidRPr="0033338C">
        <w:rPr>
          <w:rFonts w:cs="Arial"/>
        </w:rPr>
        <w:lastRenderedPageBreak/>
        <w:t>1. Financial Health Check</w:t>
      </w:r>
      <w:bookmarkEnd w:id="2"/>
    </w:p>
    <w:p w14:paraId="2A59745D" w14:textId="17FF8452" w:rsidR="00CD4561" w:rsidRPr="0033338C" w:rsidRDefault="00AF0650" w:rsidP="00CD4561">
      <w:pPr>
        <w:pStyle w:val="Heading2"/>
        <w:rPr>
          <w:rFonts w:cs="Arial"/>
        </w:rPr>
      </w:pPr>
      <w:bookmarkStart w:id="3" w:name="_Toc214831124"/>
      <w:r w:rsidRPr="0033338C">
        <w:rPr>
          <w:rFonts w:cs="Arial"/>
        </w:rPr>
        <w:t>A. Analysis of Financial Statements (£m)</w:t>
      </w:r>
      <w:r w:rsidR="00CD4561" w:rsidRPr="0033338C">
        <w:rPr>
          <w:rFonts w:cs="Arial"/>
        </w:rPr>
        <w:t>:</w:t>
      </w:r>
      <w:bookmarkEnd w:id="3"/>
    </w:p>
    <w:p w14:paraId="44D1CDA1" w14:textId="74F2D361" w:rsidR="00CD4561" w:rsidRPr="0033338C" w:rsidRDefault="001F3C98" w:rsidP="00CD4561">
      <w:pPr>
        <w:spacing w:line="360" w:lineRule="auto"/>
        <w:jc w:val="both"/>
        <w:rPr>
          <w:rFonts w:ascii="Arial" w:hAnsi="Arial" w:cs="Arial"/>
          <w:sz w:val="24"/>
          <w:szCs w:val="24"/>
        </w:rPr>
      </w:pPr>
      <w:r w:rsidRPr="0033338C">
        <w:rPr>
          <w:rFonts w:ascii="Arial" w:hAnsi="Arial" w:cs="Arial"/>
          <w:sz w:val="24"/>
          <w:szCs w:val="24"/>
        </w:rPr>
        <w:t xml:space="preserve">The financial statements </w:t>
      </w:r>
      <w:r w:rsidR="0090679B" w:rsidRPr="0033338C">
        <w:rPr>
          <w:rFonts w:ascii="Arial" w:hAnsi="Arial" w:cs="Arial"/>
          <w:sz w:val="24"/>
          <w:szCs w:val="24"/>
        </w:rPr>
        <w:t>express</w:t>
      </w:r>
      <w:r w:rsidRPr="0033338C">
        <w:rPr>
          <w:rFonts w:ascii="Arial" w:hAnsi="Arial" w:cs="Arial"/>
          <w:sz w:val="24"/>
          <w:szCs w:val="24"/>
        </w:rPr>
        <w:t xml:space="preserve"> a company that enjoyed exceptional profitability in 2020 and 2021 before entering a severe, equity-eroding financial crisis in 2023-2024.</w:t>
      </w:r>
    </w:p>
    <w:tbl>
      <w:tblPr>
        <w:tblStyle w:val="TableGrid"/>
        <w:tblW w:w="0" w:type="auto"/>
        <w:tblLayout w:type="fixed"/>
        <w:tblLook w:val="04A0" w:firstRow="1" w:lastRow="0" w:firstColumn="1" w:lastColumn="0" w:noHBand="0" w:noVBand="1"/>
      </w:tblPr>
      <w:tblGrid>
        <w:gridCol w:w="1413"/>
        <w:gridCol w:w="992"/>
        <w:gridCol w:w="851"/>
        <w:gridCol w:w="850"/>
        <w:gridCol w:w="1134"/>
        <w:gridCol w:w="1276"/>
        <w:gridCol w:w="2500"/>
      </w:tblGrid>
      <w:tr w:rsidR="0047629C" w:rsidRPr="0033338C" w14:paraId="7907B7C2" w14:textId="77777777" w:rsidTr="00EE696C">
        <w:tc>
          <w:tcPr>
            <w:tcW w:w="1413" w:type="dxa"/>
            <w:hideMark/>
          </w:tcPr>
          <w:p w14:paraId="4587B1E8" w14:textId="77777777" w:rsidR="0047629C" w:rsidRPr="0033338C" w:rsidRDefault="0047629C" w:rsidP="0047629C">
            <w:pPr>
              <w:spacing w:line="360" w:lineRule="auto"/>
              <w:jc w:val="both"/>
              <w:rPr>
                <w:rFonts w:ascii="Arial" w:hAnsi="Arial" w:cs="Arial"/>
                <w:sz w:val="24"/>
                <w:szCs w:val="24"/>
                <w:lang w:val="en-US"/>
              </w:rPr>
            </w:pPr>
            <w:r w:rsidRPr="0033338C">
              <w:rPr>
                <w:rFonts w:ascii="Arial" w:hAnsi="Arial" w:cs="Arial"/>
                <w:b/>
                <w:bCs/>
                <w:sz w:val="24"/>
                <w:szCs w:val="24"/>
                <w:lang w:val="en-US"/>
              </w:rPr>
              <w:t>Statement Item</w:t>
            </w:r>
          </w:p>
        </w:tc>
        <w:tc>
          <w:tcPr>
            <w:tcW w:w="992" w:type="dxa"/>
            <w:hideMark/>
          </w:tcPr>
          <w:p w14:paraId="01C0D94B" w14:textId="77777777" w:rsidR="0047629C" w:rsidRPr="0033338C" w:rsidRDefault="0047629C" w:rsidP="0047629C">
            <w:pPr>
              <w:spacing w:line="360" w:lineRule="auto"/>
              <w:jc w:val="both"/>
              <w:rPr>
                <w:rFonts w:ascii="Arial" w:hAnsi="Arial" w:cs="Arial"/>
                <w:sz w:val="24"/>
                <w:szCs w:val="24"/>
                <w:lang w:val="en-US"/>
              </w:rPr>
            </w:pPr>
            <w:r w:rsidRPr="0033338C">
              <w:rPr>
                <w:rFonts w:ascii="Arial" w:hAnsi="Arial" w:cs="Arial"/>
                <w:b/>
                <w:bCs/>
                <w:sz w:val="24"/>
                <w:szCs w:val="24"/>
                <w:lang w:val="en-US"/>
              </w:rPr>
              <w:t>2020</w:t>
            </w:r>
          </w:p>
        </w:tc>
        <w:tc>
          <w:tcPr>
            <w:tcW w:w="851" w:type="dxa"/>
            <w:hideMark/>
          </w:tcPr>
          <w:p w14:paraId="5E5CB4B6" w14:textId="77777777" w:rsidR="0047629C" w:rsidRPr="0033338C" w:rsidRDefault="0047629C" w:rsidP="0047629C">
            <w:pPr>
              <w:spacing w:line="360" w:lineRule="auto"/>
              <w:jc w:val="both"/>
              <w:rPr>
                <w:rFonts w:ascii="Arial" w:hAnsi="Arial" w:cs="Arial"/>
                <w:sz w:val="24"/>
                <w:szCs w:val="24"/>
                <w:lang w:val="en-US"/>
              </w:rPr>
            </w:pPr>
            <w:r w:rsidRPr="0033338C">
              <w:rPr>
                <w:rFonts w:ascii="Arial" w:hAnsi="Arial" w:cs="Arial"/>
                <w:b/>
                <w:bCs/>
                <w:sz w:val="24"/>
                <w:szCs w:val="24"/>
                <w:lang w:val="en-US"/>
              </w:rPr>
              <w:t>2021</w:t>
            </w:r>
          </w:p>
        </w:tc>
        <w:tc>
          <w:tcPr>
            <w:tcW w:w="850" w:type="dxa"/>
            <w:hideMark/>
          </w:tcPr>
          <w:p w14:paraId="258D993D" w14:textId="77777777" w:rsidR="0047629C" w:rsidRPr="0033338C" w:rsidRDefault="0047629C" w:rsidP="0047629C">
            <w:pPr>
              <w:spacing w:line="360" w:lineRule="auto"/>
              <w:jc w:val="both"/>
              <w:rPr>
                <w:rFonts w:ascii="Arial" w:hAnsi="Arial" w:cs="Arial"/>
                <w:sz w:val="24"/>
                <w:szCs w:val="24"/>
                <w:lang w:val="en-US"/>
              </w:rPr>
            </w:pPr>
            <w:r w:rsidRPr="0033338C">
              <w:rPr>
                <w:rFonts w:ascii="Arial" w:hAnsi="Arial" w:cs="Arial"/>
                <w:b/>
                <w:bCs/>
                <w:sz w:val="24"/>
                <w:szCs w:val="24"/>
                <w:lang w:val="en-US"/>
              </w:rPr>
              <w:t>2022</w:t>
            </w:r>
          </w:p>
        </w:tc>
        <w:tc>
          <w:tcPr>
            <w:tcW w:w="1134" w:type="dxa"/>
            <w:hideMark/>
          </w:tcPr>
          <w:p w14:paraId="443C91F3" w14:textId="77777777" w:rsidR="0047629C" w:rsidRPr="0033338C" w:rsidRDefault="0047629C" w:rsidP="0047629C">
            <w:pPr>
              <w:spacing w:line="360" w:lineRule="auto"/>
              <w:jc w:val="both"/>
              <w:rPr>
                <w:rFonts w:ascii="Arial" w:hAnsi="Arial" w:cs="Arial"/>
                <w:sz w:val="24"/>
                <w:szCs w:val="24"/>
                <w:lang w:val="en-US"/>
              </w:rPr>
            </w:pPr>
            <w:r w:rsidRPr="0033338C">
              <w:rPr>
                <w:rFonts w:ascii="Arial" w:hAnsi="Arial" w:cs="Arial"/>
                <w:b/>
                <w:bCs/>
                <w:sz w:val="24"/>
                <w:szCs w:val="24"/>
                <w:lang w:val="en-US"/>
              </w:rPr>
              <w:t>2023</w:t>
            </w:r>
          </w:p>
        </w:tc>
        <w:tc>
          <w:tcPr>
            <w:tcW w:w="1276" w:type="dxa"/>
            <w:hideMark/>
          </w:tcPr>
          <w:p w14:paraId="62B7FA7B" w14:textId="77777777" w:rsidR="0047629C" w:rsidRPr="0033338C" w:rsidRDefault="0047629C" w:rsidP="0047629C">
            <w:pPr>
              <w:spacing w:line="360" w:lineRule="auto"/>
              <w:jc w:val="both"/>
              <w:rPr>
                <w:rFonts w:ascii="Arial" w:hAnsi="Arial" w:cs="Arial"/>
                <w:sz w:val="24"/>
                <w:szCs w:val="24"/>
                <w:lang w:val="en-US"/>
              </w:rPr>
            </w:pPr>
            <w:r w:rsidRPr="0033338C">
              <w:rPr>
                <w:rFonts w:ascii="Arial" w:hAnsi="Arial" w:cs="Arial"/>
                <w:b/>
                <w:bCs/>
                <w:sz w:val="24"/>
                <w:szCs w:val="24"/>
                <w:lang w:val="en-US"/>
              </w:rPr>
              <w:t>2024</w:t>
            </w:r>
          </w:p>
        </w:tc>
        <w:tc>
          <w:tcPr>
            <w:tcW w:w="2500" w:type="dxa"/>
            <w:hideMark/>
          </w:tcPr>
          <w:p w14:paraId="47112D68" w14:textId="77777777" w:rsidR="0047629C" w:rsidRPr="0033338C" w:rsidRDefault="0047629C" w:rsidP="0047629C">
            <w:pPr>
              <w:spacing w:line="360" w:lineRule="auto"/>
              <w:jc w:val="both"/>
              <w:rPr>
                <w:rFonts w:ascii="Arial" w:hAnsi="Arial" w:cs="Arial"/>
                <w:sz w:val="24"/>
                <w:szCs w:val="24"/>
                <w:lang w:val="en-US"/>
              </w:rPr>
            </w:pPr>
            <w:r w:rsidRPr="0033338C">
              <w:rPr>
                <w:rFonts w:ascii="Arial" w:hAnsi="Arial" w:cs="Arial"/>
                <w:b/>
                <w:bCs/>
                <w:sz w:val="24"/>
                <w:szCs w:val="24"/>
                <w:lang w:val="en-US"/>
              </w:rPr>
              <w:t>Explanation</w:t>
            </w:r>
          </w:p>
        </w:tc>
      </w:tr>
      <w:tr w:rsidR="0047629C" w:rsidRPr="0033338C" w14:paraId="0B78B3D9" w14:textId="77777777" w:rsidTr="00EE696C">
        <w:tc>
          <w:tcPr>
            <w:tcW w:w="1413" w:type="dxa"/>
            <w:hideMark/>
          </w:tcPr>
          <w:p w14:paraId="38218A88" w14:textId="0758A0D1" w:rsidR="0047629C" w:rsidRPr="0033338C" w:rsidRDefault="005D67BF" w:rsidP="0047629C">
            <w:pPr>
              <w:spacing w:line="360" w:lineRule="auto"/>
              <w:jc w:val="both"/>
              <w:rPr>
                <w:rFonts w:ascii="Arial" w:hAnsi="Arial" w:cs="Arial"/>
                <w:sz w:val="24"/>
                <w:szCs w:val="24"/>
                <w:lang w:val="en-US"/>
              </w:rPr>
            </w:pPr>
            <w:r w:rsidRPr="0033338C">
              <w:rPr>
                <w:rFonts w:ascii="Arial" w:hAnsi="Arial" w:cs="Arial"/>
                <w:b/>
                <w:bCs/>
                <w:sz w:val="24"/>
                <w:szCs w:val="24"/>
              </w:rPr>
              <w:t>Net Sales (£m)</w:t>
            </w:r>
          </w:p>
        </w:tc>
        <w:tc>
          <w:tcPr>
            <w:tcW w:w="992" w:type="dxa"/>
            <w:hideMark/>
          </w:tcPr>
          <w:p w14:paraId="79CC6363" w14:textId="52D9CD34" w:rsidR="0047629C" w:rsidRPr="0033338C" w:rsidRDefault="00B01907" w:rsidP="0047629C">
            <w:pPr>
              <w:spacing w:line="360" w:lineRule="auto"/>
              <w:jc w:val="both"/>
              <w:rPr>
                <w:rFonts w:ascii="Arial" w:hAnsi="Arial" w:cs="Arial"/>
                <w:sz w:val="24"/>
                <w:szCs w:val="24"/>
                <w:lang w:val="en-US"/>
              </w:rPr>
            </w:pPr>
            <w:r w:rsidRPr="0033338C">
              <w:rPr>
                <w:rFonts w:ascii="Arial" w:hAnsi="Arial" w:cs="Arial"/>
                <w:sz w:val="24"/>
                <w:szCs w:val="24"/>
              </w:rPr>
              <w:t>614,680</w:t>
            </w:r>
            <w:r w:rsidR="0047629C" w:rsidRPr="0033338C">
              <w:rPr>
                <w:rFonts w:ascii="Arial" w:hAnsi="Arial" w:cs="Arial"/>
                <w:sz w:val="24"/>
                <w:szCs w:val="24"/>
                <w:lang w:val="en-US"/>
              </w:rPr>
              <w:t>,572</w:t>
            </w:r>
          </w:p>
        </w:tc>
        <w:tc>
          <w:tcPr>
            <w:tcW w:w="851" w:type="dxa"/>
            <w:hideMark/>
          </w:tcPr>
          <w:p w14:paraId="310DC0F4" w14:textId="19DCFD66" w:rsidR="0047629C" w:rsidRPr="0033338C" w:rsidRDefault="003D6404" w:rsidP="0047629C">
            <w:pPr>
              <w:spacing w:line="360" w:lineRule="auto"/>
              <w:jc w:val="both"/>
              <w:rPr>
                <w:rFonts w:ascii="Arial" w:hAnsi="Arial" w:cs="Arial"/>
                <w:sz w:val="24"/>
                <w:szCs w:val="24"/>
                <w:lang w:val="en-US"/>
              </w:rPr>
            </w:pPr>
            <w:r w:rsidRPr="0033338C">
              <w:rPr>
                <w:rFonts w:ascii="Arial" w:hAnsi="Arial" w:cs="Arial"/>
                <w:sz w:val="24"/>
                <w:szCs w:val="24"/>
              </w:rPr>
              <w:t>601,602</w:t>
            </w:r>
          </w:p>
        </w:tc>
        <w:tc>
          <w:tcPr>
            <w:tcW w:w="850" w:type="dxa"/>
            <w:hideMark/>
          </w:tcPr>
          <w:p w14:paraId="77B0315F" w14:textId="78E84A5F" w:rsidR="0047629C" w:rsidRPr="0033338C" w:rsidRDefault="003D6404" w:rsidP="0047629C">
            <w:pPr>
              <w:spacing w:line="360" w:lineRule="auto"/>
              <w:jc w:val="both"/>
              <w:rPr>
                <w:rFonts w:ascii="Arial" w:hAnsi="Arial" w:cs="Arial"/>
                <w:sz w:val="24"/>
                <w:szCs w:val="24"/>
                <w:lang w:val="en-US"/>
              </w:rPr>
            </w:pPr>
            <w:r w:rsidRPr="0033338C">
              <w:rPr>
                <w:rFonts w:ascii="Arial" w:hAnsi="Arial" w:cs="Arial"/>
                <w:sz w:val="24"/>
                <w:szCs w:val="24"/>
              </w:rPr>
              <w:t>542,751</w:t>
            </w:r>
          </w:p>
        </w:tc>
        <w:tc>
          <w:tcPr>
            <w:tcW w:w="1134" w:type="dxa"/>
            <w:hideMark/>
          </w:tcPr>
          <w:p w14:paraId="3D62F675" w14:textId="04B102AC" w:rsidR="0047629C" w:rsidRPr="0033338C" w:rsidRDefault="009F4E80" w:rsidP="0047629C">
            <w:pPr>
              <w:spacing w:line="360" w:lineRule="auto"/>
              <w:jc w:val="both"/>
              <w:rPr>
                <w:rFonts w:ascii="Arial" w:hAnsi="Arial" w:cs="Arial"/>
                <w:sz w:val="24"/>
                <w:szCs w:val="24"/>
                <w:lang w:val="en-US"/>
              </w:rPr>
            </w:pPr>
            <w:r w:rsidRPr="0033338C">
              <w:rPr>
                <w:rFonts w:ascii="Arial" w:hAnsi="Arial" w:cs="Arial"/>
                <w:b/>
                <w:bCs/>
                <w:sz w:val="24"/>
                <w:szCs w:val="24"/>
              </w:rPr>
              <w:t>420,457</w:t>
            </w:r>
          </w:p>
        </w:tc>
        <w:tc>
          <w:tcPr>
            <w:tcW w:w="1276" w:type="dxa"/>
            <w:hideMark/>
          </w:tcPr>
          <w:p w14:paraId="1895C48B" w14:textId="4D098E6C" w:rsidR="0047629C" w:rsidRPr="0033338C" w:rsidRDefault="00EE696C" w:rsidP="0047629C">
            <w:pPr>
              <w:spacing w:line="360" w:lineRule="auto"/>
              <w:jc w:val="both"/>
              <w:rPr>
                <w:rFonts w:ascii="Arial" w:hAnsi="Arial" w:cs="Arial"/>
                <w:sz w:val="24"/>
                <w:szCs w:val="24"/>
                <w:lang w:val="en-US"/>
              </w:rPr>
            </w:pPr>
            <w:r w:rsidRPr="0033338C">
              <w:rPr>
                <w:rFonts w:ascii="Arial" w:hAnsi="Arial" w:cs="Arial"/>
                <w:b/>
                <w:bCs/>
                <w:sz w:val="24"/>
                <w:szCs w:val="24"/>
              </w:rPr>
              <w:t>394,879</w:t>
            </w:r>
          </w:p>
        </w:tc>
        <w:tc>
          <w:tcPr>
            <w:tcW w:w="2500" w:type="dxa"/>
            <w:hideMark/>
          </w:tcPr>
          <w:p w14:paraId="44A1BA66" w14:textId="25367B0E" w:rsidR="0047629C" w:rsidRPr="0033338C" w:rsidRDefault="00EE696C" w:rsidP="00B0440C">
            <w:pPr>
              <w:spacing w:line="360" w:lineRule="auto"/>
              <w:jc w:val="both"/>
              <w:rPr>
                <w:rFonts w:ascii="Arial" w:hAnsi="Arial" w:cs="Arial"/>
                <w:sz w:val="24"/>
                <w:szCs w:val="24"/>
                <w:lang w:val="en-US"/>
              </w:rPr>
            </w:pPr>
            <w:r w:rsidRPr="0033338C">
              <w:rPr>
                <w:rFonts w:ascii="Arial" w:hAnsi="Arial" w:cs="Arial"/>
                <w:sz w:val="24"/>
                <w:szCs w:val="24"/>
              </w:rPr>
              <w:t>Sales decline continuously, showing loss of market share and weakening demand, with a sharp drop after 2022.</w:t>
            </w:r>
          </w:p>
        </w:tc>
      </w:tr>
      <w:tr w:rsidR="0047629C" w:rsidRPr="0033338C" w14:paraId="471E2F46" w14:textId="77777777" w:rsidTr="00EE696C">
        <w:tc>
          <w:tcPr>
            <w:tcW w:w="1413" w:type="dxa"/>
            <w:hideMark/>
          </w:tcPr>
          <w:p w14:paraId="309848AD" w14:textId="51DED320" w:rsidR="0047629C" w:rsidRPr="0033338C" w:rsidRDefault="003C568C" w:rsidP="0047629C">
            <w:pPr>
              <w:spacing w:line="360" w:lineRule="auto"/>
              <w:jc w:val="both"/>
              <w:rPr>
                <w:rFonts w:ascii="Arial" w:hAnsi="Arial" w:cs="Arial"/>
                <w:sz w:val="24"/>
                <w:szCs w:val="24"/>
                <w:lang w:val="en-US"/>
              </w:rPr>
            </w:pPr>
            <w:r w:rsidRPr="0033338C">
              <w:rPr>
                <w:rFonts w:ascii="Arial" w:hAnsi="Arial" w:cs="Arial"/>
                <w:b/>
                <w:bCs/>
                <w:sz w:val="24"/>
                <w:szCs w:val="24"/>
              </w:rPr>
              <w:t>Cost of Sales (£m</w:t>
            </w:r>
            <w:r w:rsidR="00784C19">
              <w:rPr>
                <w:rFonts w:ascii="Arial" w:hAnsi="Arial" w:cs="Arial"/>
                <w:b/>
                <w:bCs/>
                <w:sz w:val="24"/>
                <w:szCs w:val="24"/>
              </w:rPr>
              <w:t>)</w:t>
            </w:r>
          </w:p>
        </w:tc>
        <w:tc>
          <w:tcPr>
            <w:tcW w:w="992" w:type="dxa"/>
            <w:hideMark/>
          </w:tcPr>
          <w:p w14:paraId="5D28DB34" w14:textId="6A3F0D0D" w:rsidR="0047629C" w:rsidRPr="0033338C" w:rsidRDefault="003164BE" w:rsidP="0047629C">
            <w:pPr>
              <w:spacing w:line="360" w:lineRule="auto"/>
              <w:jc w:val="both"/>
              <w:rPr>
                <w:rFonts w:ascii="Arial" w:hAnsi="Arial" w:cs="Arial"/>
                <w:sz w:val="24"/>
                <w:szCs w:val="24"/>
                <w:lang w:val="en-US"/>
              </w:rPr>
            </w:pPr>
            <w:r w:rsidRPr="0033338C">
              <w:rPr>
                <w:rFonts w:ascii="Arial" w:hAnsi="Arial" w:cs="Arial"/>
                <w:sz w:val="24"/>
                <w:szCs w:val="24"/>
              </w:rPr>
              <w:t>(438,424)</w:t>
            </w:r>
          </w:p>
        </w:tc>
        <w:tc>
          <w:tcPr>
            <w:tcW w:w="851" w:type="dxa"/>
            <w:hideMark/>
          </w:tcPr>
          <w:p w14:paraId="036E493D" w14:textId="6D696465" w:rsidR="0047629C" w:rsidRPr="0033338C" w:rsidRDefault="005018C6" w:rsidP="0047629C">
            <w:pPr>
              <w:spacing w:line="360" w:lineRule="auto"/>
              <w:jc w:val="both"/>
              <w:rPr>
                <w:rFonts w:ascii="Arial" w:hAnsi="Arial" w:cs="Arial"/>
                <w:sz w:val="24"/>
                <w:szCs w:val="24"/>
                <w:lang w:val="en-US"/>
              </w:rPr>
            </w:pPr>
            <w:r w:rsidRPr="0033338C">
              <w:rPr>
                <w:rFonts w:ascii="Arial" w:hAnsi="Arial" w:cs="Arial"/>
                <w:sz w:val="24"/>
                <w:szCs w:val="24"/>
              </w:rPr>
              <w:t>(428,586)</w:t>
            </w:r>
          </w:p>
        </w:tc>
        <w:tc>
          <w:tcPr>
            <w:tcW w:w="850" w:type="dxa"/>
            <w:hideMark/>
          </w:tcPr>
          <w:p w14:paraId="38FC597D" w14:textId="1FA11623" w:rsidR="0047629C" w:rsidRPr="0033338C" w:rsidRDefault="005018C6" w:rsidP="0047629C">
            <w:pPr>
              <w:spacing w:line="360" w:lineRule="auto"/>
              <w:jc w:val="both"/>
              <w:rPr>
                <w:rFonts w:ascii="Arial" w:hAnsi="Arial" w:cs="Arial"/>
                <w:sz w:val="24"/>
                <w:szCs w:val="24"/>
                <w:lang w:val="en-US"/>
              </w:rPr>
            </w:pPr>
            <w:r w:rsidRPr="0033338C">
              <w:rPr>
                <w:rFonts w:ascii="Arial" w:hAnsi="Arial" w:cs="Arial"/>
                <w:sz w:val="24"/>
                <w:szCs w:val="24"/>
              </w:rPr>
              <w:t>(390,459)</w:t>
            </w:r>
          </w:p>
        </w:tc>
        <w:tc>
          <w:tcPr>
            <w:tcW w:w="1134" w:type="dxa"/>
            <w:hideMark/>
          </w:tcPr>
          <w:p w14:paraId="4401F052" w14:textId="21F56718" w:rsidR="0047629C" w:rsidRPr="0033338C" w:rsidRDefault="00A720E2" w:rsidP="0047629C">
            <w:pPr>
              <w:spacing w:line="360" w:lineRule="auto"/>
              <w:jc w:val="both"/>
              <w:rPr>
                <w:rFonts w:ascii="Arial" w:hAnsi="Arial" w:cs="Arial"/>
                <w:sz w:val="24"/>
                <w:szCs w:val="24"/>
                <w:lang w:val="en-US"/>
              </w:rPr>
            </w:pPr>
            <w:r w:rsidRPr="0033338C">
              <w:rPr>
                <w:rFonts w:ascii="Arial" w:hAnsi="Arial" w:cs="Arial"/>
                <w:b/>
                <w:bCs/>
                <w:sz w:val="24"/>
                <w:szCs w:val="24"/>
              </w:rPr>
              <w:t>(322,897)</w:t>
            </w:r>
          </w:p>
        </w:tc>
        <w:tc>
          <w:tcPr>
            <w:tcW w:w="1276" w:type="dxa"/>
            <w:hideMark/>
          </w:tcPr>
          <w:p w14:paraId="196D4073" w14:textId="234501F5" w:rsidR="0047629C" w:rsidRPr="0033338C" w:rsidRDefault="00A720E2" w:rsidP="0047629C">
            <w:pPr>
              <w:spacing w:line="360" w:lineRule="auto"/>
              <w:jc w:val="both"/>
              <w:rPr>
                <w:rFonts w:ascii="Arial" w:hAnsi="Arial" w:cs="Arial"/>
                <w:sz w:val="24"/>
                <w:szCs w:val="24"/>
                <w:lang w:val="en-US"/>
              </w:rPr>
            </w:pPr>
            <w:r w:rsidRPr="0033338C">
              <w:rPr>
                <w:rFonts w:ascii="Arial" w:hAnsi="Arial" w:cs="Arial"/>
                <w:b/>
                <w:bCs/>
                <w:sz w:val="24"/>
                <w:szCs w:val="24"/>
              </w:rPr>
              <w:t>(280,885)</w:t>
            </w:r>
          </w:p>
        </w:tc>
        <w:tc>
          <w:tcPr>
            <w:tcW w:w="2500" w:type="dxa"/>
            <w:hideMark/>
          </w:tcPr>
          <w:p w14:paraId="0F4E3A45" w14:textId="17CA652A" w:rsidR="0047629C" w:rsidRPr="0033338C" w:rsidRDefault="00B0440C" w:rsidP="0047629C">
            <w:pPr>
              <w:spacing w:line="360" w:lineRule="auto"/>
              <w:jc w:val="both"/>
              <w:rPr>
                <w:rFonts w:ascii="Arial" w:hAnsi="Arial" w:cs="Arial"/>
                <w:sz w:val="24"/>
                <w:szCs w:val="24"/>
                <w:lang w:val="en-US"/>
              </w:rPr>
            </w:pPr>
            <w:r w:rsidRPr="0033338C">
              <w:rPr>
                <w:rFonts w:ascii="Arial" w:hAnsi="Arial" w:cs="Arial"/>
                <w:sz w:val="24"/>
                <w:szCs w:val="24"/>
              </w:rPr>
              <w:t>COGS falls but not enough to offset declining sales; margins remain pressured.</w:t>
            </w:r>
          </w:p>
        </w:tc>
      </w:tr>
      <w:tr w:rsidR="0047629C" w:rsidRPr="0033338C" w14:paraId="22F2A8A4" w14:textId="77777777" w:rsidTr="00EE696C">
        <w:tc>
          <w:tcPr>
            <w:tcW w:w="1413" w:type="dxa"/>
            <w:hideMark/>
          </w:tcPr>
          <w:p w14:paraId="6C0871D6" w14:textId="5BE00D25" w:rsidR="0047629C" w:rsidRPr="0033338C" w:rsidRDefault="003C568C" w:rsidP="0047629C">
            <w:pPr>
              <w:spacing w:line="360" w:lineRule="auto"/>
              <w:jc w:val="both"/>
              <w:rPr>
                <w:rFonts w:ascii="Arial" w:hAnsi="Arial" w:cs="Arial"/>
                <w:sz w:val="24"/>
                <w:szCs w:val="24"/>
                <w:lang w:val="en-US"/>
              </w:rPr>
            </w:pPr>
            <w:r w:rsidRPr="0033338C">
              <w:rPr>
                <w:rFonts w:ascii="Arial" w:hAnsi="Arial" w:cs="Arial"/>
                <w:b/>
                <w:bCs/>
                <w:sz w:val="24"/>
                <w:szCs w:val="24"/>
              </w:rPr>
              <w:t>Gross Profit (£m)</w:t>
            </w:r>
          </w:p>
        </w:tc>
        <w:tc>
          <w:tcPr>
            <w:tcW w:w="992" w:type="dxa"/>
            <w:hideMark/>
          </w:tcPr>
          <w:p w14:paraId="1B03FDAE" w14:textId="5C23DE1B" w:rsidR="0047629C" w:rsidRPr="0033338C" w:rsidRDefault="00581329" w:rsidP="0047629C">
            <w:pPr>
              <w:spacing w:line="360" w:lineRule="auto"/>
              <w:jc w:val="both"/>
              <w:rPr>
                <w:rFonts w:ascii="Arial" w:hAnsi="Arial" w:cs="Arial"/>
                <w:sz w:val="24"/>
                <w:szCs w:val="24"/>
                <w:lang w:val="en-US"/>
              </w:rPr>
            </w:pPr>
            <w:r w:rsidRPr="0033338C">
              <w:rPr>
                <w:rFonts w:ascii="Arial" w:hAnsi="Arial" w:cs="Arial"/>
                <w:sz w:val="24"/>
                <w:szCs w:val="24"/>
              </w:rPr>
              <w:t>176,256</w:t>
            </w:r>
          </w:p>
        </w:tc>
        <w:tc>
          <w:tcPr>
            <w:tcW w:w="851" w:type="dxa"/>
            <w:hideMark/>
          </w:tcPr>
          <w:p w14:paraId="0327B516" w14:textId="447B1EF6" w:rsidR="0047629C" w:rsidRPr="0033338C" w:rsidRDefault="00D82017" w:rsidP="0047629C">
            <w:pPr>
              <w:spacing w:line="360" w:lineRule="auto"/>
              <w:jc w:val="both"/>
              <w:rPr>
                <w:rFonts w:ascii="Arial" w:hAnsi="Arial" w:cs="Arial"/>
                <w:sz w:val="24"/>
                <w:szCs w:val="24"/>
                <w:lang w:val="en-US"/>
              </w:rPr>
            </w:pPr>
            <w:r w:rsidRPr="0033338C">
              <w:rPr>
                <w:rFonts w:ascii="Arial" w:hAnsi="Arial" w:cs="Arial"/>
                <w:sz w:val="24"/>
                <w:szCs w:val="24"/>
              </w:rPr>
              <w:t>173,016</w:t>
            </w:r>
          </w:p>
        </w:tc>
        <w:tc>
          <w:tcPr>
            <w:tcW w:w="850" w:type="dxa"/>
            <w:hideMark/>
          </w:tcPr>
          <w:p w14:paraId="255ABB4D" w14:textId="5B845726" w:rsidR="0047629C" w:rsidRPr="0033338C" w:rsidRDefault="00D82017" w:rsidP="0047629C">
            <w:pPr>
              <w:spacing w:line="360" w:lineRule="auto"/>
              <w:jc w:val="both"/>
              <w:rPr>
                <w:rFonts w:ascii="Arial" w:hAnsi="Arial" w:cs="Arial"/>
                <w:sz w:val="24"/>
                <w:szCs w:val="24"/>
                <w:lang w:val="en-US"/>
              </w:rPr>
            </w:pPr>
            <w:r w:rsidRPr="0033338C">
              <w:rPr>
                <w:rFonts w:ascii="Arial" w:hAnsi="Arial" w:cs="Arial"/>
                <w:sz w:val="24"/>
                <w:szCs w:val="24"/>
              </w:rPr>
              <w:t>152,292</w:t>
            </w:r>
          </w:p>
        </w:tc>
        <w:tc>
          <w:tcPr>
            <w:tcW w:w="1134" w:type="dxa"/>
            <w:hideMark/>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750"/>
            </w:tblGrid>
            <w:tr w:rsidR="00D82017" w:rsidRPr="0033338C" w14:paraId="4F37ED55" w14:textId="77777777">
              <w:trPr>
                <w:tblCellSpacing w:w="15" w:type="dxa"/>
              </w:trPr>
              <w:tc>
                <w:tcPr>
                  <w:tcW w:w="690" w:type="dxa"/>
                  <w:vAlign w:val="center"/>
                  <w:hideMark/>
                </w:tcPr>
                <w:p w14:paraId="14745D9C" w14:textId="77777777" w:rsidR="00D82017" w:rsidRPr="0033338C" w:rsidRDefault="00D82017" w:rsidP="00D82017">
                  <w:pPr>
                    <w:spacing w:line="360" w:lineRule="auto"/>
                    <w:jc w:val="both"/>
                    <w:rPr>
                      <w:rFonts w:ascii="Arial" w:hAnsi="Arial" w:cs="Arial"/>
                      <w:sz w:val="24"/>
                      <w:szCs w:val="24"/>
                    </w:rPr>
                  </w:pPr>
                  <w:r w:rsidRPr="0033338C">
                    <w:rPr>
                      <w:rFonts w:ascii="Arial" w:hAnsi="Arial" w:cs="Arial"/>
                      <w:sz w:val="24"/>
                      <w:szCs w:val="24"/>
                    </w:rPr>
                    <w:t>97,560</w:t>
                  </w:r>
                </w:p>
              </w:tc>
            </w:tr>
          </w:tbl>
          <w:p w14:paraId="2F98B08B" w14:textId="77777777" w:rsidR="00D82017" w:rsidRPr="0033338C" w:rsidRDefault="00D82017" w:rsidP="00D82017">
            <w:pPr>
              <w:spacing w:line="360" w:lineRule="auto"/>
              <w:jc w:val="both"/>
              <w:rPr>
                <w:rFonts w:ascii="Arial" w:hAnsi="Arial" w:cs="Arial"/>
                <w:vanish/>
                <w:sz w:val="24"/>
                <w:szCs w:val="24"/>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D82017" w:rsidRPr="0033338C" w14:paraId="5DBFE923" w14:textId="77777777">
              <w:trPr>
                <w:tblCellSpacing w:w="15" w:type="dxa"/>
              </w:trPr>
              <w:tc>
                <w:tcPr>
                  <w:tcW w:w="36" w:type="dxa"/>
                  <w:vAlign w:val="center"/>
                  <w:hideMark/>
                </w:tcPr>
                <w:p w14:paraId="0FB99619" w14:textId="77777777" w:rsidR="00D82017" w:rsidRPr="0033338C" w:rsidRDefault="00D82017" w:rsidP="00D82017">
                  <w:pPr>
                    <w:spacing w:line="360" w:lineRule="auto"/>
                    <w:jc w:val="both"/>
                    <w:rPr>
                      <w:rFonts w:ascii="Arial" w:hAnsi="Arial" w:cs="Arial"/>
                      <w:sz w:val="24"/>
                      <w:szCs w:val="24"/>
                    </w:rPr>
                  </w:pPr>
                </w:p>
              </w:tc>
            </w:tr>
          </w:tbl>
          <w:p w14:paraId="24D03632" w14:textId="0C542DF9" w:rsidR="0047629C" w:rsidRPr="0033338C" w:rsidRDefault="0047629C" w:rsidP="0047629C">
            <w:pPr>
              <w:spacing w:line="360" w:lineRule="auto"/>
              <w:jc w:val="both"/>
              <w:rPr>
                <w:rFonts w:ascii="Arial" w:hAnsi="Arial" w:cs="Arial"/>
                <w:sz w:val="24"/>
                <w:szCs w:val="24"/>
                <w:lang w:val="en-US"/>
              </w:rPr>
            </w:pPr>
          </w:p>
        </w:tc>
        <w:tc>
          <w:tcPr>
            <w:tcW w:w="1276" w:type="dxa"/>
            <w:hideMark/>
          </w:tcPr>
          <w:p w14:paraId="62BBCFA3" w14:textId="3A41F5D7" w:rsidR="0047629C" w:rsidRPr="0033338C" w:rsidRDefault="00F77637" w:rsidP="0047629C">
            <w:pPr>
              <w:spacing w:line="360" w:lineRule="auto"/>
              <w:jc w:val="both"/>
              <w:rPr>
                <w:rFonts w:ascii="Arial" w:hAnsi="Arial" w:cs="Arial"/>
                <w:sz w:val="24"/>
                <w:szCs w:val="24"/>
                <w:lang w:val="en-US"/>
              </w:rPr>
            </w:pPr>
            <w:r w:rsidRPr="0033338C">
              <w:rPr>
                <w:rFonts w:ascii="Arial" w:hAnsi="Arial" w:cs="Arial"/>
                <w:b/>
                <w:bCs/>
                <w:sz w:val="24"/>
                <w:szCs w:val="24"/>
              </w:rPr>
              <w:t>113,994</w:t>
            </w:r>
          </w:p>
        </w:tc>
        <w:tc>
          <w:tcPr>
            <w:tcW w:w="2500" w:type="dxa"/>
            <w:hideMark/>
          </w:tcPr>
          <w:p w14:paraId="5A199840" w14:textId="7B0D3C09" w:rsidR="0047629C" w:rsidRPr="0033338C" w:rsidRDefault="00F77637" w:rsidP="0047629C">
            <w:pPr>
              <w:spacing w:line="360" w:lineRule="auto"/>
              <w:jc w:val="both"/>
              <w:rPr>
                <w:rFonts w:ascii="Arial" w:hAnsi="Arial" w:cs="Arial"/>
                <w:sz w:val="24"/>
                <w:szCs w:val="24"/>
                <w:lang w:val="en-US"/>
              </w:rPr>
            </w:pPr>
            <w:r w:rsidRPr="0033338C">
              <w:rPr>
                <w:rFonts w:ascii="Arial" w:hAnsi="Arial" w:cs="Arial"/>
                <w:sz w:val="24"/>
                <w:szCs w:val="24"/>
              </w:rPr>
              <w:t>Gross profit deteriorates with lower sales; the fall in 2023 shows severe revenue shock.</w:t>
            </w:r>
          </w:p>
        </w:tc>
      </w:tr>
      <w:tr w:rsidR="0047629C" w:rsidRPr="0033338C" w14:paraId="25FB69CE" w14:textId="77777777" w:rsidTr="00EE696C">
        <w:tc>
          <w:tcPr>
            <w:tcW w:w="1413" w:type="dxa"/>
            <w:hideMark/>
          </w:tcPr>
          <w:p w14:paraId="523C69CD" w14:textId="35700713" w:rsidR="0047629C" w:rsidRPr="0033338C" w:rsidRDefault="0029341A" w:rsidP="0047629C">
            <w:pPr>
              <w:spacing w:line="360" w:lineRule="auto"/>
              <w:jc w:val="both"/>
              <w:rPr>
                <w:rFonts w:ascii="Arial" w:hAnsi="Arial" w:cs="Arial"/>
                <w:sz w:val="24"/>
                <w:szCs w:val="24"/>
                <w:lang w:val="en-US"/>
              </w:rPr>
            </w:pPr>
            <w:r w:rsidRPr="0033338C">
              <w:rPr>
                <w:rFonts w:ascii="Arial" w:hAnsi="Arial" w:cs="Arial"/>
                <w:b/>
                <w:bCs/>
                <w:sz w:val="24"/>
                <w:szCs w:val="24"/>
              </w:rPr>
              <w:t>Operating Expenses (£m)</w:t>
            </w:r>
          </w:p>
        </w:tc>
        <w:tc>
          <w:tcPr>
            <w:tcW w:w="992" w:type="dxa"/>
            <w:hideMark/>
          </w:tcPr>
          <w:p w14:paraId="72B3CF96" w14:textId="73331BEE" w:rsidR="0047629C" w:rsidRPr="0033338C" w:rsidRDefault="002323BA" w:rsidP="0047629C">
            <w:pPr>
              <w:spacing w:line="360" w:lineRule="auto"/>
              <w:jc w:val="both"/>
              <w:rPr>
                <w:rFonts w:ascii="Arial" w:hAnsi="Arial" w:cs="Arial"/>
                <w:sz w:val="24"/>
                <w:szCs w:val="24"/>
                <w:lang w:val="en-US"/>
              </w:rPr>
            </w:pPr>
            <w:r w:rsidRPr="0033338C">
              <w:rPr>
                <w:rFonts w:ascii="Arial" w:hAnsi="Arial" w:cs="Arial"/>
                <w:sz w:val="24"/>
                <w:szCs w:val="24"/>
              </w:rPr>
              <w:t>138,989</w:t>
            </w:r>
          </w:p>
        </w:tc>
        <w:tc>
          <w:tcPr>
            <w:tcW w:w="851" w:type="dxa"/>
            <w:hideMark/>
          </w:tcPr>
          <w:p w14:paraId="772F9FD4" w14:textId="6987A4E2" w:rsidR="0047629C" w:rsidRPr="0033338C" w:rsidRDefault="00847DD3" w:rsidP="0047629C">
            <w:pPr>
              <w:spacing w:line="360" w:lineRule="auto"/>
              <w:jc w:val="both"/>
              <w:rPr>
                <w:rFonts w:ascii="Arial" w:hAnsi="Arial" w:cs="Arial"/>
                <w:sz w:val="24"/>
                <w:szCs w:val="24"/>
                <w:lang w:val="en-US"/>
              </w:rPr>
            </w:pPr>
            <w:r w:rsidRPr="0033338C">
              <w:rPr>
                <w:rFonts w:ascii="Arial" w:hAnsi="Arial" w:cs="Arial"/>
                <w:sz w:val="24"/>
                <w:szCs w:val="24"/>
              </w:rPr>
              <w:t>149,763</w:t>
            </w:r>
          </w:p>
        </w:tc>
        <w:tc>
          <w:tcPr>
            <w:tcW w:w="850" w:type="dxa"/>
            <w:hideMark/>
          </w:tcPr>
          <w:p w14:paraId="79138F68" w14:textId="19212731" w:rsidR="0047629C" w:rsidRPr="0033338C" w:rsidRDefault="00847DD3" w:rsidP="0047629C">
            <w:pPr>
              <w:spacing w:line="360" w:lineRule="auto"/>
              <w:jc w:val="both"/>
              <w:rPr>
                <w:rFonts w:ascii="Arial" w:hAnsi="Arial" w:cs="Arial"/>
                <w:sz w:val="24"/>
                <w:szCs w:val="24"/>
                <w:lang w:val="en-US"/>
              </w:rPr>
            </w:pPr>
            <w:r w:rsidRPr="0033338C">
              <w:rPr>
                <w:rFonts w:ascii="Arial" w:hAnsi="Arial" w:cs="Arial"/>
                <w:sz w:val="24"/>
                <w:szCs w:val="24"/>
              </w:rPr>
              <w:t>137,744</w:t>
            </w:r>
          </w:p>
        </w:tc>
        <w:tc>
          <w:tcPr>
            <w:tcW w:w="1134" w:type="dxa"/>
            <w:hideMark/>
          </w:tcPr>
          <w:p w14:paraId="7E7191AC" w14:textId="339B6B26" w:rsidR="0047629C" w:rsidRPr="0033338C" w:rsidRDefault="00847DD3" w:rsidP="0047629C">
            <w:pPr>
              <w:spacing w:line="360" w:lineRule="auto"/>
              <w:jc w:val="both"/>
              <w:rPr>
                <w:rFonts w:ascii="Arial" w:hAnsi="Arial" w:cs="Arial"/>
                <w:sz w:val="24"/>
                <w:szCs w:val="24"/>
                <w:lang w:val="en-US"/>
              </w:rPr>
            </w:pPr>
            <w:r w:rsidRPr="0033338C">
              <w:rPr>
                <w:rFonts w:ascii="Arial" w:hAnsi="Arial" w:cs="Arial"/>
                <w:sz w:val="24"/>
                <w:szCs w:val="24"/>
              </w:rPr>
              <w:t>182,861</w:t>
            </w:r>
          </w:p>
        </w:tc>
        <w:tc>
          <w:tcPr>
            <w:tcW w:w="1276" w:type="dxa"/>
            <w:hideMark/>
          </w:tcPr>
          <w:p w14:paraId="65EE6E4A" w14:textId="72C2DBB1" w:rsidR="0047629C" w:rsidRPr="0033338C" w:rsidRDefault="009C207F" w:rsidP="0047629C">
            <w:pPr>
              <w:spacing w:line="360" w:lineRule="auto"/>
              <w:jc w:val="both"/>
              <w:rPr>
                <w:rFonts w:ascii="Arial" w:hAnsi="Arial" w:cs="Arial"/>
                <w:sz w:val="24"/>
                <w:szCs w:val="24"/>
                <w:lang w:val="en-US"/>
              </w:rPr>
            </w:pPr>
            <w:r w:rsidRPr="0033338C">
              <w:rPr>
                <w:rFonts w:ascii="Arial" w:hAnsi="Arial" w:cs="Arial"/>
                <w:sz w:val="24"/>
                <w:szCs w:val="24"/>
              </w:rPr>
              <w:t>129,291</w:t>
            </w:r>
          </w:p>
        </w:tc>
        <w:tc>
          <w:tcPr>
            <w:tcW w:w="2500" w:type="dxa"/>
            <w:hideMark/>
          </w:tcPr>
          <w:p w14:paraId="070A0200" w14:textId="1E29C794" w:rsidR="0047629C" w:rsidRPr="0033338C" w:rsidRDefault="009C207F" w:rsidP="0047629C">
            <w:pPr>
              <w:spacing w:line="360" w:lineRule="auto"/>
              <w:jc w:val="both"/>
              <w:rPr>
                <w:rFonts w:ascii="Arial" w:hAnsi="Arial" w:cs="Arial"/>
                <w:sz w:val="24"/>
                <w:szCs w:val="24"/>
                <w:lang w:val="en-US"/>
              </w:rPr>
            </w:pPr>
            <w:r w:rsidRPr="0033338C">
              <w:rPr>
                <w:rFonts w:ascii="Arial" w:hAnsi="Arial" w:cs="Arial"/>
                <w:sz w:val="24"/>
                <w:szCs w:val="24"/>
              </w:rPr>
              <w:t>Operating expenses spike in 2023, intensifying losses; cost control appears weak.</w:t>
            </w:r>
          </w:p>
        </w:tc>
      </w:tr>
      <w:tr w:rsidR="0047629C" w:rsidRPr="0033338C" w14:paraId="212B920F" w14:textId="77777777" w:rsidTr="00EE696C">
        <w:tc>
          <w:tcPr>
            <w:tcW w:w="1413" w:type="dxa"/>
            <w:hideMark/>
          </w:tcPr>
          <w:p w14:paraId="3916D954" w14:textId="6802C363" w:rsidR="0047629C" w:rsidRPr="0033338C" w:rsidRDefault="00EA08CE" w:rsidP="0047629C">
            <w:pPr>
              <w:spacing w:line="360" w:lineRule="auto"/>
              <w:jc w:val="both"/>
              <w:rPr>
                <w:rFonts w:ascii="Arial" w:hAnsi="Arial" w:cs="Arial"/>
                <w:sz w:val="24"/>
                <w:szCs w:val="24"/>
                <w:lang w:val="en-US"/>
              </w:rPr>
            </w:pPr>
            <w:r w:rsidRPr="0033338C">
              <w:rPr>
                <w:rFonts w:ascii="Arial" w:hAnsi="Arial" w:cs="Arial"/>
                <w:b/>
                <w:bCs/>
                <w:sz w:val="24"/>
                <w:szCs w:val="24"/>
              </w:rPr>
              <w:lastRenderedPageBreak/>
              <w:t>Operating Income (£m)</w:t>
            </w:r>
          </w:p>
        </w:tc>
        <w:tc>
          <w:tcPr>
            <w:tcW w:w="992" w:type="dxa"/>
            <w:hideMark/>
          </w:tcPr>
          <w:p w14:paraId="3C9C4F05" w14:textId="55EF614C" w:rsidR="0047629C" w:rsidRPr="0033338C" w:rsidRDefault="00001166" w:rsidP="0047629C">
            <w:pPr>
              <w:spacing w:line="360" w:lineRule="auto"/>
              <w:jc w:val="both"/>
              <w:rPr>
                <w:rFonts w:ascii="Arial" w:hAnsi="Arial" w:cs="Arial"/>
                <w:sz w:val="24"/>
                <w:szCs w:val="24"/>
                <w:lang w:val="en-US"/>
              </w:rPr>
            </w:pPr>
            <w:r w:rsidRPr="0033338C">
              <w:rPr>
                <w:rFonts w:ascii="Arial" w:hAnsi="Arial" w:cs="Arial"/>
                <w:sz w:val="24"/>
                <w:szCs w:val="24"/>
              </w:rPr>
              <w:t>37,267</w:t>
            </w:r>
          </w:p>
        </w:tc>
        <w:tc>
          <w:tcPr>
            <w:tcW w:w="851" w:type="dxa"/>
            <w:hideMark/>
          </w:tcPr>
          <w:p w14:paraId="5390550C" w14:textId="48D7E450" w:rsidR="0047629C" w:rsidRPr="0033338C" w:rsidRDefault="0052136D" w:rsidP="0047629C">
            <w:pPr>
              <w:spacing w:line="360" w:lineRule="auto"/>
              <w:jc w:val="both"/>
              <w:rPr>
                <w:rFonts w:ascii="Arial" w:hAnsi="Arial" w:cs="Arial"/>
                <w:sz w:val="24"/>
                <w:szCs w:val="24"/>
                <w:lang w:val="en-US"/>
              </w:rPr>
            </w:pPr>
            <w:r w:rsidRPr="0033338C">
              <w:rPr>
                <w:rFonts w:ascii="Arial" w:hAnsi="Arial" w:cs="Arial"/>
                <w:sz w:val="24"/>
                <w:szCs w:val="24"/>
              </w:rPr>
              <w:t>23,253</w:t>
            </w:r>
          </w:p>
        </w:tc>
        <w:tc>
          <w:tcPr>
            <w:tcW w:w="850" w:type="dxa"/>
            <w:hideMark/>
          </w:tcPr>
          <w:p w14:paraId="631B8C37" w14:textId="4F683A45" w:rsidR="0047629C" w:rsidRPr="0033338C" w:rsidRDefault="0052136D" w:rsidP="0047629C">
            <w:pPr>
              <w:spacing w:line="360" w:lineRule="auto"/>
              <w:jc w:val="both"/>
              <w:rPr>
                <w:rFonts w:ascii="Arial" w:hAnsi="Arial" w:cs="Arial"/>
                <w:sz w:val="24"/>
                <w:szCs w:val="24"/>
                <w:lang w:val="en-US"/>
              </w:rPr>
            </w:pPr>
            <w:r w:rsidRPr="0033338C">
              <w:rPr>
                <w:rFonts w:ascii="Arial" w:hAnsi="Arial" w:cs="Arial"/>
                <w:sz w:val="24"/>
                <w:szCs w:val="24"/>
              </w:rPr>
              <w:t>14,548</w:t>
            </w:r>
          </w:p>
        </w:tc>
        <w:tc>
          <w:tcPr>
            <w:tcW w:w="1134" w:type="dxa"/>
            <w:hideMark/>
          </w:tcPr>
          <w:p w14:paraId="32DF1889" w14:textId="01CC2D59" w:rsidR="0047629C" w:rsidRPr="0033338C" w:rsidRDefault="0052136D" w:rsidP="0047629C">
            <w:pPr>
              <w:spacing w:line="360" w:lineRule="auto"/>
              <w:jc w:val="both"/>
              <w:rPr>
                <w:rFonts w:ascii="Arial" w:hAnsi="Arial" w:cs="Arial"/>
                <w:sz w:val="24"/>
                <w:szCs w:val="24"/>
                <w:lang w:val="en-US"/>
              </w:rPr>
            </w:pPr>
            <w:r w:rsidRPr="0033338C">
              <w:rPr>
                <w:rFonts w:ascii="Arial" w:hAnsi="Arial" w:cs="Arial"/>
                <w:sz w:val="24"/>
                <w:szCs w:val="24"/>
              </w:rPr>
              <w:t>(85,301)</w:t>
            </w:r>
          </w:p>
        </w:tc>
        <w:tc>
          <w:tcPr>
            <w:tcW w:w="1276" w:type="dxa"/>
            <w:hideMark/>
          </w:tcPr>
          <w:p w14:paraId="33BD1198" w14:textId="54415A30" w:rsidR="0047629C" w:rsidRPr="0033338C" w:rsidRDefault="00712B9D" w:rsidP="0047629C">
            <w:pPr>
              <w:spacing w:line="360" w:lineRule="auto"/>
              <w:jc w:val="both"/>
              <w:rPr>
                <w:rFonts w:ascii="Arial" w:hAnsi="Arial" w:cs="Arial"/>
                <w:sz w:val="24"/>
                <w:szCs w:val="24"/>
                <w:lang w:val="en-US"/>
              </w:rPr>
            </w:pPr>
            <w:r w:rsidRPr="0033338C">
              <w:rPr>
                <w:rFonts w:ascii="Arial" w:hAnsi="Arial" w:cs="Arial"/>
                <w:sz w:val="24"/>
                <w:szCs w:val="24"/>
              </w:rPr>
              <w:t>(15,297)</w:t>
            </w:r>
          </w:p>
        </w:tc>
        <w:tc>
          <w:tcPr>
            <w:tcW w:w="2500" w:type="dxa"/>
            <w:hideMark/>
          </w:tcPr>
          <w:p w14:paraId="7758B52E" w14:textId="3D6735E5" w:rsidR="0047629C" w:rsidRPr="0033338C" w:rsidRDefault="00712B9D" w:rsidP="0047629C">
            <w:pPr>
              <w:spacing w:line="360" w:lineRule="auto"/>
              <w:jc w:val="both"/>
              <w:rPr>
                <w:rFonts w:ascii="Arial" w:hAnsi="Arial" w:cs="Arial"/>
                <w:sz w:val="24"/>
                <w:szCs w:val="24"/>
                <w:lang w:val="en-US"/>
              </w:rPr>
            </w:pPr>
            <w:r w:rsidRPr="0033338C">
              <w:rPr>
                <w:rFonts w:ascii="Arial" w:hAnsi="Arial" w:cs="Arial"/>
                <w:sz w:val="24"/>
                <w:szCs w:val="24"/>
              </w:rPr>
              <w:t>Profitability collapses, with operating losses in 2023–2024 indicating structural and managerial issues.</w:t>
            </w:r>
          </w:p>
        </w:tc>
      </w:tr>
      <w:tr w:rsidR="00EA08CE" w:rsidRPr="0033338C" w14:paraId="60263D17" w14:textId="77777777" w:rsidTr="00EE696C">
        <w:tc>
          <w:tcPr>
            <w:tcW w:w="1413" w:type="dxa"/>
          </w:tcPr>
          <w:p w14:paraId="09C69AE1" w14:textId="275D09EA" w:rsidR="00EA08CE" w:rsidRPr="0033338C" w:rsidRDefault="00BA47B9" w:rsidP="0047629C">
            <w:pPr>
              <w:spacing w:line="360" w:lineRule="auto"/>
              <w:jc w:val="both"/>
              <w:rPr>
                <w:rFonts w:ascii="Arial" w:hAnsi="Arial" w:cs="Arial"/>
                <w:b/>
                <w:bCs/>
                <w:sz w:val="24"/>
                <w:szCs w:val="24"/>
              </w:rPr>
            </w:pPr>
            <w:r w:rsidRPr="0033338C">
              <w:rPr>
                <w:rFonts w:ascii="Arial" w:hAnsi="Arial" w:cs="Arial"/>
                <w:b/>
                <w:bCs/>
                <w:sz w:val="24"/>
                <w:szCs w:val="24"/>
              </w:rPr>
              <w:t>Interest Income/Expense (£m)</w:t>
            </w:r>
          </w:p>
        </w:tc>
        <w:tc>
          <w:tcPr>
            <w:tcW w:w="992" w:type="dxa"/>
          </w:tcPr>
          <w:p w14:paraId="233071D2" w14:textId="6C592F35" w:rsidR="00EA08CE" w:rsidRPr="0033338C" w:rsidRDefault="00191BD8" w:rsidP="0047629C">
            <w:pPr>
              <w:spacing w:line="360" w:lineRule="auto"/>
              <w:jc w:val="both"/>
              <w:rPr>
                <w:rFonts w:ascii="Arial" w:hAnsi="Arial" w:cs="Arial"/>
                <w:sz w:val="24"/>
                <w:szCs w:val="24"/>
                <w:lang w:val="en-US"/>
              </w:rPr>
            </w:pPr>
            <w:r w:rsidRPr="0033338C">
              <w:rPr>
                <w:rFonts w:ascii="Arial" w:hAnsi="Arial" w:cs="Arial"/>
                <w:sz w:val="24"/>
                <w:szCs w:val="24"/>
              </w:rPr>
              <w:t>(1,422)</w:t>
            </w:r>
          </w:p>
        </w:tc>
        <w:tc>
          <w:tcPr>
            <w:tcW w:w="851" w:type="dxa"/>
          </w:tcPr>
          <w:p w14:paraId="148B5517" w14:textId="65D11583" w:rsidR="00EA08CE" w:rsidRPr="0033338C" w:rsidRDefault="00191BD8" w:rsidP="0047629C">
            <w:pPr>
              <w:spacing w:line="360" w:lineRule="auto"/>
              <w:jc w:val="both"/>
              <w:rPr>
                <w:rFonts w:ascii="Arial" w:hAnsi="Arial" w:cs="Arial"/>
                <w:sz w:val="24"/>
                <w:szCs w:val="24"/>
                <w:lang w:val="en-US"/>
              </w:rPr>
            </w:pPr>
            <w:r w:rsidRPr="0033338C">
              <w:rPr>
                <w:rFonts w:ascii="Arial" w:hAnsi="Arial" w:cs="Arial"/>
                <w:sz w:val="24"/>
                <w:szCs w:val="24"/>
              </w:rPr>
              <w:t>(566)</w:t>
            </w:r>
          </w:p>
        </w:tc>
        <w:tc>
          <w:tcPr>
            <w:tcW w:w="850" w:type="dxa"/>
          </w:tcPr>
          <w:p w14:paraId="404C17FD" w14:textId="7F689679" w:rsidR="00EA08CE" w:rsidRPr="0033338C" w:rsidRDefault="00191BD8" w:rsidP="0047629C">
            <w:pPr>
              <w:spacing w:line="360" w:lineRule="auto"/>
              <w:jc w:val="both"/>
              <w:rPr>
                <w:rFonts w:ascii="Arial" w:hAnsi="Arial" w:cs="Arial"/>
                <w:sz w:val="24"/>
                <w:szCs w:val="24"/>
                <w:lang w:val="en-US"/>
              </w:rPr>
            </w:pPr>
            <w:r w:rsidRPr="0033338C">
              <w:rPr>
                <w:rFonts w:ascii="Arial" w:hAnsi="Arial" w:cs="Arial"/>
                <w:sz w:val="24"/>
                <w:szCs w:val="24"/>
              </w:rPr>
              <w:t>(2,200)</w:t>
            </w:r>
          </w:p>
        </w:tc>
        <w:tc>
          <w:tcPr>
            <w:tcW w:w="1134" w:type="dxa"/>
          </w:tcPr>
          <w:p w14:paraId="42412D6F" w14:textId="45F163F8" w:rsidR="00EA08CE" w:rsidRPr="0033338C" w:rsidRDefault="00191BD8" w:rsidP="0047629C">
            <w:pPr>
              <w:spacing w:line="360" w:lineRule="auto"/>
              <w:jc w:val="both"/>
              <w:rPr>
                <w:rFonts w:ascii="Arial" w:hAnsi="Arial" w:cs="Arial"/>
                <w:sz w:val="24"/>
                <w:szCs w:val="24"/>
                <w:lang w:val="en-US"/>
              </w:rPr>
            </w:pPr>
            <w:r w:rsidRPr="0033338C">
              <w:rPr>
                <w:rFonts w:ascii="Arial" w:hAnsi="Arial" w:cs="Arial"/>
                <w:sz w:val="24"/>
                <w:szCs w:val="24"/>
              </w:rPr>
              <w:t>(4,332)</w:t>
            </w:r>
          </w:p>
        </w:tc>
        <w:tc>
          <w:tcPr>
            <w:tcW w:w="1276" w:type="dxa"/>
          </w:tcPr>
          <w:p w14:paraId="5978E413" w14:textId="68B4E1B2" w:rsidR="00EA08CE" w:rsidRPr="0033338C" w:rsidRDefault="00441FD6" w:rsidP="0047629C">
            <w:pPr>
              <w:spacing w:line="360" w:lineRule="auto"/>
              <w:jc w:val="both"/>
              <w:rPr>
                <w:rFonts w:ascii="Arial" w:hAnsi="Arial" w:cs="Arial"/>
                <w:sz w:val="24"/>
                <w:szCs w:val="24"/>
                <w:lang w:val="en-US"/>
              </w:rPr>
            </w:pPr>
            <w:r w:rsidRPr="0033338C">
              <w:rPr>
                <w:rFonts w:ascii="Arial" w:hAnsi="Arial" w:cs="Arial"/>
                <w:sz w:val="24"/>
                <w:szCs w:val="24"/>
              </w:rPr>
              <w:t>(3,361)</w:t>
            </w:r>
          </w:p>
        </w:tc>
        <w:tc>
          <w:tcPr>
            <w:tcW w:w="2500" w:type="dxa"/>
          </w:tcPr>
          <w:p w14:paraId="0DD28432" w14:textId="37A3E038" w:rsidR="00EA08CE" w:rsidRPr="0033338C" w:rsidRDefault="00441FD6" w:rsidP="0047629C">
            <w:pPr>
              <w:spacing w:line="360" w:lineRule="auto"/>
              <w:jc w:val="both"/>
              <w:rPr>
                <w:rFonts w:ascii="Arial" w:hAnsi="Arial" w:cs="Arial"/>
                <w:sz w:val="24"/>
                <w:szCs w:val="24"/>
                <w:lang w:val="en-US"/>
              </w:rPr>
            </w:pPr>
            <w:r w:rsidRPr="0033338C">
              <w:rPr>
                <w:rFonts w:ascii="Arial" w:hAnsi="Arial" w:cs="Arial"/>
                <w:sz w:val="24"/>
                <w:szCs w:val="24"/>
              </w:rPr>
              <w:t>Rising financing costs reflect higher dependence on debt and worsening solvency.</w:t>
            </w:r>
          </w:p>
        </w:tc>
      </w:tr>
      <w:tr w:rsidR="00BA47B9" w:rsidRPr="0033338C" w14:paraId="6B76002F" w14:textId="77777777" w:rsidTr="00EE696C">
        <w:tc>
          <w:tcPr>
            <w:tcW w:w="1413" w:type="dxa"/>
          </w:tcPr>
          <w:p w14:paraId="616BE8E0" w14:textId="5F4A73A8" w:rsidR="00BA47B9" w:rsidRPr="0033338C" w:rsidRDefault="00BA47B9" w:rsidP="0047629C">
            <w:pPr>
              <w:spacing w:line="360" w:lineRule="auto"/>
              <w:jc w:val="both"/>
              <w:rPr>
                <w:rFonts w:ascii="Arial" w:hAnsi="Arial" w:cs="Arial"/>
                <w:b/>
                <w:bCs/>
                <w:sz w:val="24"/>
                <w:szCs w:val="24"/>
              </w:rPr>
            </w:pPr>
            <w:r w:rsidRPr="0033338C">
              <w:rPr>
                <w:rFonts w:ascii="Arial" w:hAnsi="Arial" w:cs="Arial"/>
                <w:b/>
                <w:bCs/>
                <w:sz w:val="24"/>
                <w:szCs w:val="24"/>
              </w:rPr>
              <w:t>Other Income/Expenses (£m)</w:t>
            </w:r>
          </w:p>
        </w:tc>
        <w:tc>
          <w:tcPr>
            <w:tcW w:w="992" w:type="dxa"/>
          </w:tcPr>
          <w:p w14:paraId="03D1B6E4" w14:textId="4B94CEFF" w:rsidR="00BA47B9" w:rsidRPr="0033338C" w:rsidRDefault="0049022D" w:rsidP="0047629C">
            <w:pPr>
              <w:spacing w:line="360" w:lineRule="auto"/>
              <w:jc w:val="both"/>
              <w:rPr>
                <w:rFonts w:ascii="Arial" w:hAnsi="Arial" w:cs="Arial"/>
                <w:sz w:val="24"/>
                <w:szCs w:val="24"/>
                <w:lang w:val="en-US"/>
              </w:rPr>
            </w:pPr>
            <w:r w:rsidRPr="0033338C">
              <w:rPr>
                <w:rFonts w:ascii="Arial" w:hAnsi="Arial" w:cs="Arial"/>
                <w:sz w:val="24"/>
                <w:szCs w:val="24"/>
              </w:rPr>
              <w:t>8,060</w:t>
            </w:r>
          </w:p>
        </w:tc>
        <w:tc>
          <w:tcPr>
            <w:tcW w:w="851" w:type="dxa"/>
          </w:tcPr>
          <w:p w14:paraId="1F61F051" w14:textId="44FBC415" w:rsidR="00BA47B9" w:rsidRPr="0033338C" w:rsidRDefault="0049022D" w:rsidP="0047629C">
            <w:pPr>
              <w:spacing w:line="360" w:lineRule="auto"/>
              <w:jc w:val="both"/>
              <w:rPr>
                <w:rFonts w:ascii="Arial" w:hAnsi="Arial" w:cs="Arial"/>
                <w:sz w:val="24"/>
                <w:szCs w:val="24"/>
                <w:lang w:val="en-US"/>
              </w:rPr>
            </w:pPr>
            <w:r w:rsidRPr="0033338C">
              <w:rPr>
                <w:rFonts w:ascii="Arial" w:hAnsi="Arial" w:cs="Arial"/>
                <w:sz w:val="24"/>
                <w:szCs w:val="24"/>
              </w:rPr>
              <w:t>(6,607)</w:t>
            </w:r>
          </w:p>
        </w:tc>
        <w:tc>
          <w:tcPr>
            <w:tcW w:w="850" w:type="dxa"/>
          </w:tcPr>
          <w:p w14:paraId="0B4D22B4" w14:textId="4B99CEEB" w:rsidR="00BA47B9" w:rsidRPr="0033338C" w:rsidRDefault="0049022D" w:rsidP="0047629C">
            <w:pPr>
              <w:spacing w:line="360" w:lineRule="auto"/>
              <w:jc w:val="both"/>
              <w:rPr>
                <w:rFonts w:ascii="Arial" w:hAnsi="Arial" w:cs="Arial"/>
                <w:sz w:val="24"/>
                <w:szCs w:val="24"/>
                <w:lang w:val="en-US"/>
              </w:rPr>
            </w:pPr>
            <w:r w:rsidRPr="0033338C">
              <w:rPr>
                <w:rFonts w:ascii="Arial" w:hAnsi="Arial" w:cs="Arial"/>
                <w:sz w:val="24"/>
                <w:szCs w:val="24"/>
              </w:rPr>
              <w:t>(955)</w:t>
            </w:r>
          </w:p>
        </w:tc>
        <w:tc>
          <w:tcPr>
            <w:tcW w:w="1134" w:type="dxa"/>
          </w:tcPr>
          <w:p w14:paraId="29390D9D" w14:textId="142CD91E" w:rsidR="00BA47B9" w:rsidRPr="0033338C" w:rsidRDefault="0049022D" w:rsidP="0047629C">
            <w:pPr>
              <w:spacing w:line="360" w:lineRule="auto"/>
              <w:jc w:val="both"/>
              <w:rPr>
                <w:rFonts w:ascii="Arial" w:hAnsi="Arial" w:cs="Arial"/>
                <w:sz w:val="24"/>
                <w:szCs w:val="24"/>
                <w:lang w:val="en-US"/>
              </w:rPr>
            </w:pPr>
            <w:r w:rsidRPr="0033338C">
              <w:rPr>
                <w:rFonts w:ascii="Arial" w:hAnsi="Arial" w:cs="Arial"/>
                <w:sz w:val="24"/>
                <w:szCs w:val="24"/>
              </w:rPr>
              <w:t>(2,621)</w:t>
            </w:r>
          </w:p>
        </w:tc>
        <w:tc>
          <w:tcPr>
            <w:tcW w:w="1276" w:type="dxa"/>
          </w:tcPr>
          <w:p w14:paraId="0CCBF8AF" w14:textId="5AE13B40" w:rsidR="00BA47B9" w:rsidRPr="0033338C" w:rsidRDefault="005C7A43" w:rsidP="0047629C">
            <w:pPr>
              <w:spacing w:line="360" w:lineRule="auto"/>
              <w:jc w:val="both"/>
              <w:rPr>
                <w:rFonts w:ascii="Arial" w:hAnsi="Arial" w:cs="Arial"/>
                <w:sz w:val="24"/>
                <w:szCs w:val="24"/>
                <w:lang w:val="en-US"/>
              </w:rPr>
            </w:pPr>
            <w:r w:rsidRPr="0033338C">
              <w:rPr>
                <w:rFonts w:ascii="Arial" w:hAnsi="Arial" w:cs="Arial"/>
                <w:sz w:val="24"/>
                <w:szCs w:val="24"/>
                <w:lang w:val="en-US"/>
              </w:rPr>
              <w:t>60</w:t>
            </w:r>
          </w:p>
        </w:tc>
        <w:tc>
          <w:tcPr>
            <w:tcW w:w="2500" w:type="dxa"/>
          </w:tcPr>
          <w:p w14:paraId="08101158" w14:textId="1D6FD3BF" w:rsidR="00BA47B9" w:rsidRPr="0033338C" w:rsidRDefault="005C7A43" w:rsidP="0047629C">
            <w:pPr>
              <w:spacing w:line="360" w:lineRule="auto"/>
              <w:jc w:val="both"/>
              <w:rPr>
                <w:rFonts w:ascii="Arial" w:hAnsi="Arial" w:cs="Arial"/>
                <w:sz w:val="24"/>
                <w:szCs w:val="24"/>
                <w:lang w:val="en-US"/>
              </w:rPr>
            </w:pPr>
            <w:r w:rsidRPr="0033338C">
              <w:rPr>
                <w:rFonts w:ascii="Arial" w:hAnsi="Arial" w:cs="Arial"/>
                <w:sz w:val="24"/>
                <w:szCs w:val="24"/>
              </w:rPr>
              <w:t>Highly unstable, indicating volatility in non-core activities.</w:t>
            </w:r>
          </w:p>
        </w:tc>
      </w:tr>
      <w:tr w:rsidR="00C417C2" w:rsidRPr="0033338C" w14:paraId="3547DEA6" w14:textId="77777777" w:rsidTr="00EE696C">
        <w:tc>
          <w:tcPr>
            <w:tcW w:w="1413" w:type="dxa"/>
          </w:tcPr>
          <w:p w14:paraId="46C59044" w14:textId="69A3B71C" w:rsidR="00C417C2" w:rsidRPr="0033338C" w:rsidRDefault="00C417C2" w:rsidP="0047629C">
            <w:pPr>
              <w:spacing w:line="360" w:lineRule="auto"/>
              <w:jc w:val="both"/>
              <w:rPr>
                <w:rFonts w:ascii="Arial" w:hAnsi="Arial" w:cs="Arial"/>
                <w:b/>
                <w:bCs/>
                <w:sz w:val="24"/>
                <w:szCs w:val="24"/>
              </w:rPr>
            </w:pPr>
            <w:r w:rsidRPr="0033338C">
              <w:rPr>
                <w:rFonts w:ascii="Arial" w:hAnsi="Arial" w:cs="Arial"/>
                <w:b/>
                <w:bCs/>
                <w:sz w:val="24"/>
                <w:szCs w:val="24"/>
              </w:rPr>
              <w:t>Income Before Tax (£m)</w:t>
            </w:r>
          </w:p>
        </w:tc>
        <w:tc>
          <w:tcPr>
            <w:tcW w:w="992" w:type="dxa"/>
          </w:tcPr>
          <w:p w14:paraId="243C61BD" w14:textId="7038678A" w:rsidR="00C417C2" w:rsidRPr="0033338C" w:rsidRDefault="005C7A43" w:rsidP="0047629C">
            <w:pPr>
              <w:spacing w:line="360" w:lineRule="auto"/>
              <w:jc w:val="both"/>
              <w:rPr>
                <w:rFonts w:ascii="Arial" w:hAnsi="Arial" w:cs="Arial"/>
                <w:sz w:val="24"/>
                <w:szCs w:val="24"/>
                <w:lang w:val="en-US"/>
              </w:rPr>
            </w:pPr>
            <w:r w:rsidRPr="0033338C">
              <w:rPr>
                <w:rFonts w:ascii="Arial" w:hAnsi="Arial" w:cs="Arial"/>
                <w:sz w:val="24"/>
                <w:szCs w:val="24"/>
              </w:rPr>
              <w:t>43,905</w:t>
            </w:r>
          </w:p>
        </w:tc>
        <w:tc>
          <w:tcPr>
            <w:tcW w:w="851" w:type="dxa"/>
          </w:tcPr>
          <w:p w14:paraId="3B7E4BC1" w14:textId="43CCC54C" w:rsidR="00C417C2" w:rsidRPr="0033338C" w:rsidRDefault="006D46C4" w:rsidP="0047629C">
            <w:pPr>
              <w:spacing w:line="360" w:lineRule="auto"/>
              <w:jc w:val="both"/>
              <w:rPr>
                <w:rFonts w:ascii="Arial" w:hAnsi="Arial" w:cs="Arial"/>
                <w:sz w:val="24"/>
                <w:szCs w:val="24"/>
                <w:lang w:val="en-US"/>
              </w:rPr>
            </w:pPr>
            <w:r w:rsidRPr="0033338C">
              <w:rPr>
                <w:rFonts w:ascii="Arial" w:hAnsi="Arial" w:cs="Arial"/>
                <w:sz w:val="24"/>
                <w:szCs w:val="24"/>
              </w:rPr>
              <w:t>16,080</w:t>
            </w:r>
          </w:p>
        </w:tc>
        <w:tc>
          <w:tcPr>
            <w:tcW w:w="850" w:type="dxa"/>
          </w:tcPr>
          <w:p w14:paraId="772CF883" w14:textId="257765FD" w:rsidR="00C417C2" w:rsidRPr="0033338C" w:rsidRDefault="006D46C4" w:rsidP="0047629C">
            <w:pPr>
              <w:spacing w:line="360" w:lineRule="auto"/>
              <w:jc w:val="both"/>
              <w:rPr>
                <w:rFonts w:ascii="Arial" w:hAnsi="Arial" w:cs="Arial"/>
                <w:sz w:val="24"/>
                <w:szCs w:val="24"/>
                <w:lang w:val="en-US"/>
              </w:rPr>
            </w:pPr>
            <w:r w:rsidRPr="0033338C">
              <w:rPr>
                <w:rFonts w:ascii="Arial" w:hAnsi="Arial" w:cs="Arial"/>
                <w:sz w:val="24"/>
                <w:szCs w:val="24"/>
              </w:rPr>
              <w:t>11,393</w:t>
            </w:r>
          </w:p>
        </w:tc>
        <w:tc>
          <w:tcPr>
            <w:tcW w:w="1134" w:type="dxa"/>
          </w:tcPr>
          <w:p w14:paraId="1346ABC9" w14:textId="30FAA618" w:rsidR="00C417C2" w:rsidRPr="0033338C" w:rsidRDefault="006D46C4" w:rsidP="0047629C">
            <w:pPr>
              <w:spacing w:line="360" w:lineRule="auto"/>
              <w:jc w:val="both"/>
              <w:rPr>
                <w:rFonts w:ascii="Arial" w:hAnsi="Arial" w:cs="Arial"/>
                <w:sz w:val="24"/>
                <w:szCs w:val="24"/>
                <w:lang w:val="en-US"/>
              </w:rPr>
            </w:pPr>
            <w:r w:rsidRPr="0033338C">
              <w:rPr>
                <w:rFonts w:ascii="Arial" w:hAnsi="Arial" w:cs="Arial"/>
                <w:sz w:val="24"/>
                <w:szCs w:val="24"/>
              </w:rPr>
              <w:t>(92,254)</w:t>
            </w:r>
          </w:p>
        </w:tc>
        <w:tc>
          <w:tcPr>
            <w:tcW w:w="1276"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6D46C4" w:rsidRPr="0033338C" w14:paraId="584F697E" w14:textId="77777777">
              <w:trPr>
                <w:tblCellSpacing w:w="15" w:type="dxa"/>
              </w:trPr>
              <w:tc>
                <w:tcPr>
                  <w:tcW w:w="36" w:type="dxa"/>
                  <w:vAlign w:val="center"/>
                  <w:hideMark/>
                </w:tcPr>
                <w:p w14:paraId="40ECD25F" w14:textId="77777777" w:rsidR="006D46C4" w:rsidRPr="0033338C" w:rsidRDefault="006D46C4" w:rsidP="006D46C4">
                  <w:pPr>
                    <w:spacing w:line="360" w:lineRule="auto"/>
                    <w:jc w:val="both"/>
                    <w:rPr>
                      <w:rFonts w:ascii="Arial" w:hAnsi="Arial" w:cs="Arial"/>
                      <w:sz w:val="24"/>
                      <w:szCs w:val="24"/>
                    </w:rPr>
                  </w:pPr>
                </w:p>
              </w:tc>
            </w:tr>
          </w:tbl>
          <w:p w14:paraId="798EDE96" w14:textId="77777777" w:rsidR="006D46C4" w:rsidRPr="0033338C" w:rsidRDefault="006D46C4" w:rsidP="006D46C4">
            <w:pPr>
              <w:spacing w:line="360" w:lineRule="auto"/>
              <w:jc w:val="both"/>
              <w:rPr>
                <w:rFonts w:ascii="Arial" w:hAnsi="Arial" w:cs="Arial"/>
                <w:vanish/>
                <w:sz w:val="24"/>
                <w:szCs w:val="24"/>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10"/>
            </w:tblGrid>
            <w:tr w:rsidR="006D46C4" w:rsidRPr="0033338C" w14:paraId="478CA62C" w14:textId="77777777">
              <w:trPr>
                <w:tblCellSpacing w:w="15" w:type="dxa"/>
              </w:trPr>
              <w:tc>
                <w:tcPr>
                  <w:tcW w:w="850" w:type="dxa"/>
                  <w:vAlign w:val="center"/>
                  <w:hideMark/>
                </w:tcPr>
                <w:p w14:paraId="78FE1C32" w14:textId="48FEFD87" w:rsidR="006D46C4" w:rsidRPr="0033338C" w:rsidRDefault="006D46C4" w:rsidP="006D46C4">
                  <w:pPr>
                    <w:spacing w:line="360" w:lineRule="auto"/>
                    <w:jc w:val="both"/>
                    <w:rPr>
                      <w:rFonts w:ascii="Arial" w:hAnsi="Arial" w:cs="Arial"/>
                      <w:sz w:val="24"/>
                      <w:szCs w:val="24"/>
                    </w:rPr>
                  </w:pPr>
                  <w:r w:rsidRPr="0033338C">
                    <w:rPr>
                      <w:rFonts w:ascii="Arial" w:hAnsi="Arial" w:cs="Arial"/>
                      <w:sz w:val="24"/>
                      <w:szCs w:val="24"/>
                    </w:rPr>
                    <w:t>(18,598)</w:t>
                  </w:r>
                </w:p>
              </w:tc>
            </w:tr>
          </w:tbl>
          <w:p w14:paraId="1938EA9B" w14:textId="77777777" w:rsidR="00C417C2" w:rsidRPr="0033338C" w:rsidRDefault="00C417C2" w:rsidP="0047629C">
            <w:pPr>
              <w:spacing w:line="360" w:lineRule="auto"/>
              <w:jc w:val="both"/>
              <w:rPr>
                <w:rFonts w:ascii="Arial" w:hAnsi="Arial" w:cs="Arial"/>
                <w:sz w:val="24"/>
                <w:szCs w:val="24"/>
                <w:lang w:val="en-US"/>
              </w:rPr>
            </w:pPr>
          </w:p>
        </w:tc>
        <w:tc>
          <w:tcPr>
            <w:tcW w:w="2500" w:type="dxa"/>
          </w:tcPr>
          <w:p w14:paraId="378CF2B5" w14:textId="5534B7A7" w:rsidR="00C417C2" w:rsidRPr="0033338C" w:rsidRDefault="00DE7F20" w:rsidP="0047629C">
            <w:pPr>
              <w:spacing w:line="360" w:lineRule="auto"/>
              <w:jc w:val="both"/>
              <w:rPr>
                <w:rFonts w:ascii="Arial" w:hAnsi="Arial" w:cs="Arial"/>
                <w:sz w:val="24"/>
                <w:szCs w:val="24"/>
                <w:lang w:val="en-US"/>
              </w:rPr>
            </w:pPr>
            <w:r w:rsidRPr="0033338C">
              <w:rPr>
                <w:rFonts w:ascii="Arial" w:hAnsi="Arial" w:cs="Arial"/>
                <w:sz w:val="24"/>
                <w:szCs w:val="24"/>
              </w:rPr>
              <w:t>Sharp drop after 2022, demonstrating loss escalation and weakening financial performance.</w:t>
            </w:r>
          </w:p>
        </w:tc>
      </w:tr>
      <w:tr w:rsidR="00C417C2" w:rsidRPr="0033338C" w14:paraId="338F2EE0" w14:textId="77777777" w:rsidTr="00EE696C">
        <w:tc>
          <w:tcPr>
            <w:tcW w:w="1413" w:type="dxa"/>
          </w:tcPr>
          <w:p w14:paraId="0B71C4FE" w14:textId="1597CB0C" w:rsidR="00C417C2" w:rsidRPr="0033338C" w:rsidRDefault="008731D3" w:rsidP="0047629C">
            <w:pPr>
              <w:spacing w:line="360" w:lineRule="auto"/>
              <w:jc w:val="both"/>
              <w:rPr>
                <w:rFonts w:ascii="Arial" w:hAnsi="Arial" w:cs="Arial"/>
                <w:b/>
                <w:bCs/>
                <w:sz w:val="24"/>
                <w:szCs w:val="24"/>
              </w:rPr>
            </w:pPr>
            <w:r w:rsidRPr="0033338C">
              <w:rPr>
                <w:rFonts w:ascii="Arial" w:hAnsi="Arial" w:cs="Arial"/>
                <w:b/>
                <w:bCs/>
                <w:sz w:val="24"/>
                <w:szCs w:val="24"/>
              </w:rPr>
              <w:t>Income Taxes (£m)</w:t>
            </w:r>
          </w:p>
        </w:tc>
        <w:tc>
          <w:tcPr>
            <w:tcW w:w="992" w:type="dxa"/>
          </w:tcPr>
          <w:p w14:paraId="269EF25B" w14:textId="43C3C1C8" w:rsidR="00C417C2" w:rsidRPr="0033338C" w:rsidRDefault="00DE7F20" w:rsidP="0047629C">
            <w:pPr>
              <w:spacing w:line="360" w:lineRule="auto"/>
              <w:jc w:val="both"/>
              <w:rPr>
                <w:rFonts w:ascii="Arial" w:hAnsi="Arial" w:cs="Arial"/>
                <w:sz w:val="24"/>
                <w:szCs w:val="24"/>
                <w:lang w:val="en-US"/>
              </w:rPr>
            </w:pPr>
            <w:r w:rsidRPr="0033338C">
              <w:rPr>
                <w:rFonts w:ascii="Arial" w:hAnsi="Arial" w:cs="Arial"/>
                <w:sz w:val="24"/>
                <w:szCs w:val="24"/>
              </w:rPr>
              <w:t>(5,333)</w:t>
            </w:r>
          </w:p>
        </w:tc>
        <w:tc>
          <w:tcPr>
            <w:tcW w:w="851" w:type="dxa"/>
          </w:tcPr>
          <w:p w14:paraId="3AC45BBC" w14:textId="6F394BDF" w:rsidR="00C417C2" w:rsidRPr="0033338C" w:rsidRDefault="00DE7F20" w:rsidP="0047629C">
            <w:pPr>
              <w:spacing w:line="360" w:lineRule="auto"/>
              <w:jc w:val="both"/>
              <w:rPr>
                <w:rFonts w:ascii="Arial" w:hAnsi="Arial" w:cs="Arial"/>
                <w:sz w:val="24"/>
                <w:szCs w:val="24"/>
                <w:lang w:val="en-US"/>
              </w:rPr>
            </w:pPr>
            <w:r w:rsidRPr="0033338C">
              <w:rPr>
                <w:rFonts w:ascii="Arial" w:hAnsi="Arial" w:cs="Arial"/>
                <w:sz w:val="24"/>
                <w:szCs w:val="24"/>
              </w:rPr>
              <w:t>(10,779)</w:t>
            </w:r>
          </w:p>
        </w:tc>
        <w:tc>
          <w:tcPr>
            <w:tcW w:w="850" w:type="dxa"/>
          </w:tcPr>
          <w:p w14:paraId="1A000A80" w14:textId="45E702D4" w:rsidR="00C417C2" w:rsidRPr="0033338C" w:rsidRDefault="00DE7F20" w:rsidP="0047629C">
            <w:pPr>
              <w:spacing w:line="360" w:lineRule="auto"/>
              <w:jc w:val="both"/>
              <w:rPr>
                <w:rFonts w:ascii="Arial" w:hAnsi="Arial" w:cs="Arial"/>
                <w:sz w:val="24"/>
                <w:szCs w:val="24"/>
                <w:lang w:val="en-US"/>
              </w:rPr>
            </w:pPr>
            <w:r w:rsidRPr="0033338C">
              <w:rPr>
                <w:rFonts w:ascii="Arial" w:hAnsi="Arial" w:cs="Arial"/>
                <w:sz w:val="24"/>
                <w:szCs w:val="24"/>
              </w:rPr>
              <w:t>(10,986)</w:t>
            </w:r>
          </w:p>
        </w:tc>
        <w:tc>
          <w:tcPr>
            <w:tcW w:w="1134" w:type="dxa"/>
          </w:tcPr>
          <w:p w14:paraId="0E9F83C1" w14:textId="01DC6DF6" w:rsidR="00C417C2" w:rsidRPr="0033338C" w:rsidRDefault="000D2F0E" w:rsidP="0047629C">
            <w:pPr>
              <w:spacing w:line="360" w:lineRule="auto"/>
              <w:jc w:val="both"/>
              <w:rPr>
                <w:rFonts w:ascii="Arial" w:hAnsi="Arial" w:cs="Arial"/>
                <w:sz w:val="24"/>
                <w:szCs w:val="24"/>
                <w:lang w:val="en-US"/>
              </w:rPr>
            </w:pPr>
            <w:r w:rsidRPr="0033338C">
              <w:rPr>
                <w:rFonts w:ascii="Arial" w:hAnsi="Arial" w:cs="Arial"/>
                <w:sz w:val="24"/>
                <w:szCs w:val="24"/>
              </w:rPr>
              <w:t>(5,984)</w:t>
            </w:r>
          </w:p>
        </w:tc>
        <w:tc>
          <w:tcPr>
            <w:tcW w:w="1276" w:type="dxa"/>
          </w:tcPr>
          <w:p w14:paraId="188E3FE2" w14:textId="1FAD97B3" w:rsidR="00C417C2" w:rsidRPr="0033338C" w:rsidRDefault="000D2F0E" w:rsidP="0047629C">
            <w:pPr>
              <w:spacing w:line="360" w:lineRule="auto"/>
              <w:jc w:val="both"/>
              <w:rPr>
                <w:rFonts w:ascii="Arial" w:hAnsi="Arial" w:cs="Arial"/>
                <w:sz w:val="24"/>
                <w:szCs w:val="24"/>
                <w:lang w:val="en-US"/>
              </w:rPr>
            </w:pPr>
            <w:r w:rsidRPr="0033338C">
              <w:rPr>
                <w:rFonts w:ascii="Arial" w:hAnsi="Arial" w:cs="Arial"/>
                <w:sz w:val="24"/>
                <w:szCs w:val="24"/>
              </w:rPr>
              <w:t>(5,431)</w:t>
            </w:r>
          </w:p>
        </w:tc>
        <w:tc>
          <w:tcPr>
            <w:tcW w:w="2500" w:type="dxa"/>
          </w:tcPr>
          <w:p w14:paraId="2435807E" w14:textId="45FC50D1" w:rsidR="00C417C2" w:rsidRPr="0033338C" w:rsidRDefault="000D2F0E" w:rsidP="0047629C">
            <w:pPr>
              <w:spacing w:line="360" w:lineRule="auto"/>
              <w:jc w:val="both"/>
              <w:rPr>
                <w:rFonts w:ascii="Arial" w:hAnsi="Arial" w:cs="Arial"/>
                <w:sz w:val="24"/>
                <w:szCs w:val="24"/>
                <w:lang w:val="en-US"/>
              </w:rPr>
            </w:pPr>
            <w:r w:rsidRPr="0033338C">
              <w:rPr>
                <w:rFonts w:ascii="Arial" w:hAnsi="Arial" w:cs="Arial"/>
                <w:sz w:val="24"/>
                <w:szCs w:val="24"/>
              </w:rPr>
              <w:t>Tax expense declines due to lower profits; losses reduce tax burden.</w:t>
            </w:r>
          </w:p>
        </w:tc>
      </w:tr>
      <w:tr w:rsidR="008731D3" w:rsidRPr="0033338C" w14:paraId="17948271" w14:textId="77777777" w:rsidTr="00EE696C">
        <w:tc>
          <w:tcPr>
            <w:tcW w:w="1413" w:type="dxa"/>
          </w:tcPr>
          <w:p w14:paraId="2D58703D" w14:textId="380DB112" w:rsidR="008731D3" w:rsidRPr="0033338C" w:rsidRDefault="008731D3" w:rsidP="0047629C">
            <w:pPr>
              <w:spacing w:line="360" w:lineRule="auto"/>
              <w:jc w:val="both"/>
              <w:rPr>
                <w:rFonts w:ascii="Arial" w:hAnsi="Arial" w:cs="Arial"/>
                <w:b/>
                <w:bCs/>
                <w:sz w:val="24"/>
                <w:szCs w:val="24"/>
              </w:rPr>
            </w:pPr>
            <w:r w:rsidRPr="0033338C">
              <w:rPr>
                <w:rFonts w:ascii="Arial" w:hAnsi="Arial" w:cs="Arial"/>
                <w:b/>
                <w:bCs/>
                <w:sz w:val="24"/>
                <w:szCs w:val="24"/>
              </w:rPr>
              <w:t>Net Income (£m)</w:t>
            </w:r>
          </w:p>
        </w:tc>
        <w:tc>
          <w:tcPr>
            <w:tcW w:w="992" w:type="dxa"/>
          </w:tcPr>
          <w:p w14:paraId="34D68D1B" w14:textId="16E61F45" w:rsidR="008731D3" w:rsidRPr="0033338C" w:rsidRDefault="0001625B" w:rsidP="0047629C">
            <w:pPr>
              <w:spacing w:line="360" w:lineRule="auto"/>
              <w:jc w:val="both"/>
              <w:rPr>
                <w:rFonts w:ascii="Arial" w:hAnsi="Arial" w:cs="Arial"/>
                <w:sz w:val="24"/>
                <w:szCs w:val="24"/>
                <w:lang w:val="en-US"/>
              </w:rPr>
            </w:pPr>
            <w:r w:rsidRPr="0033338C">
              <w:rPr>
                <w:rFonts w:ascii="Arial" w:hAnsi="Arial" w:cs="Arial"/>
                <w:sz w:val="24"/>
                <w:szCs w:val="24"/>
              </w:rPr>
              <w:t>38,572</w:t>
            </w:r>
          </w:p>
        </w:tc>
        <w:tc>
          <w:tcPr>
            <w:tcW w:w="851" w:type="dxa"/>
          </w:tcPr>
          <w:p w14:paraId="25F02073" w14:textId="795BC06F" w:rsidR="008731D3" w:rsidRPr="0033338C" w:rsidRDefault="0001625B" w:rsidP="0047629C">
            <w:pPr>
              <w:spacing w:line="360" w:lineRule="auto"/>
              <w:jc w:val="both"/>
              <w:rPr>
                <w:rFonts w:ascii="Arial" w:hAnsi="Arial" w:cs="Arial"/>
                <w:sz w:val="24"/>
                <w:szCs w:val="24"/>
                <w:lang w:val="en-US"/>
              </w:rPr>
            </w:pPr>
            <w:r w:rsidRPr="0033338C">
              <w:rPr>
                <w:rFonts w:ascii="Arial" w:hAnsi="Arial" w:cs="Arial"/>
                <w:sz w:val="24"/>
                <w:szCs w:val="24"/>
              </w:rPr>
              <w:t>5,301</w:t>
            </w:r>
          </w:p>
        </w:tc>
        <w:tc>
          <w:tcPr>
            <w:tcW w:w="850" w:type="dxa"/>
          </w:tcPr>
          <w:p w14:paraId="081994E0" w14:textId="793D9400" w:rsidR="008731D3" w:rsidRPr="0033338C" w:rsidRDefault="0001625B" w:rsidP="0047629C">
            <w:pPr>
              <w:spacing w:line="360" w:lineRule="auto"/>
              <w:jc w:val="both"/>
              <w:rPr>
                <w:rFonts w:ascii="Arial" w:hAnsi="Arial" w:cs="Arial"/>
                <w:sz w:val="24"/>
                <w:szCs w:val="24"/>
                <w:lang w:val="en-US"/>
              </w:rPr>
            </w:pPr>
            <w:r w:rsidRPr="0033338C">
              <w:rPr>
                <w:rFonts w:ascii="Arial" w:hAnsi="Arial" w:cs="Arial"/>
                <w:sz w:val="24"/>
                <w:szCs w:val="24"/>
              </w:rPr>
              <w:t>407</w:t>
            </w:r>
          </w:p>
        </w:tc>
        <w:tc>
          <w:tcPr>
            <w:tcW w:w="1134" w:type="dxa"/>
          </w:tcPr>
          <w:p w14:paraId="58711896" w14:textId="57CC6BBB" w:rsidR="008731D3" w:rsidRPr="0033338C" w:rsidRDefault="0001625B" w:rsidP="0047629C">
            <w:pPr>
              <w:spacing w:line="360" w:lineRule="auto"/>
              <w:jc w:val="both"/>
              <w:rPr>
                <w:rFonts w:ascii="Arial" w:hAnsi="Arial" w:cs="Arial"/>
                <w:sz w:val="24"/>
                <w:szCs w:val="24"/>
                <w:lang w:val="en-US"/>
              </w:rPr>
            </w:pPr>
            <w:r w:rsidRPr="0033338C">
              <w:rPr>
                <w:rFonts w:ascii="Arial" w:hAnsi="Arial" w:cs="Arial"/>
                <w:sz w:val="24"/>
                <w:szCs w:val="24"/>
              </w:rPr>
              <w:t>(98,238)</w:t>
            </w:r>
          </w:p>
        </w:tc>
        <w:tc>
          <w:tcPr>
            <w:tcW w:w="1276" w:type="dxa"/>
          </w:tcPr>
          <w:p w14:paraId="05C909B6" w14:textId="619002D7" w:rsidR="008731D3" w:rsidRPr="0033338C" w:rsidRDefault="00DA1123" w:rsidP="0047629C">
            <w:pPr>
              <w:spacing w:line="360" w:lineRule="auto"/>
              <w:jc w:val="both"/>
              <w:rPr>
                <w:rFonts w:ascii="Arial" w:hAnsi="Arial" w:cs="Arial"/>
                <w:sz w:val="24"/>
                <w:szCs w:val="24"/>
                <w:lang w:val="en-US"/>
              </w:rPr>
            </w:pPr>
            <w:r w:rsidRPr="0033338C">
              <w:rPr>
                <w:rFonts w:ascii="Arial" w:hAnsi="Arial" w:cs="Arial"/>
                <w:sz w:val="24"/>
                <w:szCs w:val="24"/>
                <w:lang w:val="en-US"/>
              </w:rPr>
              <w:t>(24,029)</w:t>
            </w:r>
          </w:p>
        </w:tc>
        <w:tc>
          <w:tcPr>
            <w:tcW w:w="2500" w:type="dxa"/>
          </w:tcPr>
          <w:p w14:paraId="0C864F15" w14:textId="2B3AEABC" w:rsidR="008731D3" w:rsidRPr="0033338C" w:rsidRDefault="00DA1123" w:rsidP="0047629C">
            <w:pPr>
              <w:spacing w:line="360" w:lineRule="auto"/>
              <w:jc w:val="both"/>
              <w:rPr>
                <w:rFonts w:ascii="Arial" w:hAnsi="Arial" w:cs="Arial"/>
                <w:sz w:val="24"/>
                <w:szCs w:val="24"/>
                <w:lang w:val="en-US"/>
              </w:rPr>
            </w:pPr>
            <w:r w:rsidRPr="0033338C">
              <w:rPr>
                <w:rFonts w:ascii="Arial" w:hAnsi="Arial" w:cs="Arial"/>
                <w:sz w:val="24"/>
                <w:szCs w:val="24"/>
              </w:rPr>
              <w:t>Profit collapses into deep losses in 2023–2024, signalling crisis-level financial deterioration.</w:t>
            </w:r>
          </w:p>
        </w:tc>
      </w:tr>
    </w:tbl>
    <w:p w14:paraId="3127BCEA" w14:textId="77777777" w:rsidR="00C33465" w:rsidRPr="0033338C" w:rsidRDefault="00C33465">
      <w:pPr>
        <w:spacing w:after="160" w:line="278" w:lineRule="auto"/>
        <w:rPr>
          <w:rFonts w:ascii="Arial" w:hAnsi="Arial" w:cs="Arial"/>
          <w:b/>
          <w:bCs/>
          <w:sz w:val="24"/>
          <w:szCs w:val="24"/>
        </w:rPr>
      </w:pPr>
      <w:r w:rsidRPr="0033338C">
        <w:rPr>
          <w:rFonts w:ascii="Arial" w:hAnsi="Arial" w:cs="Arial"/>
          <w:b/>
          <w:bCs/>
          <w:sz w:val="24"/>
          <w:szCs w:val="24"/>
        </w:rPr>
        <w:br w:type="page"/>
      </w:r>
    </w:p>
    <w:p w14:paraId="41A13E2F" w14:textId="41F6B919" w:rsidR="0047629C" w:rsidRPr="0033338C" w:rsidRDefault="003B1879" w:rsidP="00840E24">
      <w:pPr>
        <w:pStyle w:val="Heading2"/>
        <w:rPr>
          <w:rFonts w:cs="Arial"/>
        </w:rPr>
      </w:pPr>
      <w:bookmarkStart w:id="4" w:name="_Toc214831125"/>
      <w:r w:rsidRPr="0033338C">
        <w:rPr>
          <w:rFonts w:cs="Arial"/>
        </w:rPr>
        <w:lastRenderedPageBreak/>
        <w:t>B. Full Ratio Analysis</w:t>
      </w:r>
      <w:bookmarkEnd w:id="4"/>
    </w:p>
    <w:tbl>
      <w:tblPr>
        <w:tblStyle w:val="TableGrid"/>
        <w:tblW w:w="0" w:type="auto"/>
        <w:tblLayout w:type="fixed"/>
        <w:tblLook w:val="04A0" w:firstRow="1" w:lastRow="0" w:firstColumn="1" w:lastColumn="0" w:noHBand="0" w:noVBand="1"/>
      </w:tblPr>
      <w:tblGrid>
        <w:gridCol w:w="995"/>
        <w:gridCol w:w="985"/>
        <w:gridCol w:w="1701"/>
        <w:gridCol w:w="850"/>
        <w:gridCol w:w="709"/>
        <w:gridCol w:w="851"/>
        <w:gridCol w:w="850"/>
        <w:gridCol w:w="2075"/>
      </w:tblGrid>
      <w:tr w:rsidR="008F513D" w:rsidRPr="0033338C" w14:paraId="312A5957" w14:textId="77777777" w:rsidTr="002908C5">
        <w:tc>
          <w:tcPr>
            <w:tcW w:w="995" w:type="dxa"/>
            <w:hideMark/>
          </w:tcPr>
          <w:p w14:paraId="012A2612"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Ratio Category</w:t>
            </w:r>
          </w:p>
        </w:tc>
        <w:tc>
          <w:tcPr>
            <w:tcW w:w="985" w:type="dxa"/>
            <w:hideMark/>
          </w:tcPr>
          <w:p w14:paraId="49033151" w14:textId="54F73B1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 xml:space="preserve">Ratio </w:t>
            </w:r>
            <w:r w:rsidR="004663E1" w:rsidRPr="0033338C">
              <w:rPr>
                <w:rFonts w:ascii="Arial" w:hAnsi="Arial" w:cs="Arial"/>
                <w:b/>
                <w:bCs/>
                <w:lang w:val="en-US"/>
              </w:rPr>
              <w:t>Name</w:t>
            </w:r>
          </w:p>
        </w:tc>
        <w:tc>
          <w:tcPr>
            <w:tcW w:w="1701" w:type="dxa"/>
            <w:hideMark/>
          </w:tcPr>
          <w:p w14:paraId="1A87D3C9" w14:textId="36FD4581" w:rsidR="00C33465" w:rsidRPr="0033338C" w:rsidRDefault="004C53AA" w:rsidP="00C33465">
            <w:pPr>
              <w:spacing w:line="360" w:lineRule="auto"/>
              <w:jc w:val="both"/>
              <w:rPr>
                <w:rFonts w:ascii="Arial" w:hAnsi="Arial" w:cs="Arial"/>
                <w:lang w:val="en-US"/>
              </w:rPr>
            </w:pPr>
            <w:r w:rsidRPr="0033338C">
              <w:rPr>
                <w:rFonts w:ascii="Arial" w:hAnsi="Arial" w:cs="Arial"/>
                <w:b/>
                <w:bCs/>
                <w:lang w:val="en-US"/>
              </w:rPr>
              <w:t>Ratio Formula</w:t>
            </w:r>
          </w:p>
        </w:tc>
        <w:tc>
          <w:tcPr>
            <w:tcW w:w="850" w:type="dxa"/>
            <w:hideMark/>
          </w:tcPr>
          <w:p w14:paraId="67D47F6A"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2021</w:t>
            </w:r>
          </w:p>
        </w:tc>
        <w:tc>
          <w:tcPr>
            <w:tcW w:w="709" w:type="dxa"/>
            <w:hideMark/>
          </w:tcPr>
          <w:p w14:paraId="5E28E497"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2022</w:t>
            </w:r>
          </w:p>
        </w:tc>
        <w:tc>
          <w:tcPr>
            <w:tcW w:w="851" w:type="dxa"/>
            <w:hideMark/>
          </w:tcPr>
          <w:p w14:paraId="61D661F3"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2023</w:t>
            </w:r>
          </w:p>
        </w:tc>
        <w:tc>
          <w:tcPr>
            <w:tcW w:w="850" w:type="dxa"/>
            <w:hideMark/>
          </w:tcPr>
          <w:p w14:paraId="78789319"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2024</w:t>
            </w:r>
          </w:p>
        </w:tc>
        <w:tc>
          <w:tcPr>
            <w:tcW w:w="2075" w:type="dxa"/>
            <w:hideMark/>
          </w:tcPr>
          <w:p w14:paraId="44B00E88"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Trend &amp; Interpretation</w:t>
            </w:r>
          </w:p>
        </w:tc>
      </w:tr>
      <w:tr w:rsidR="008F513D" w:rsidRPr="0033338C" w14:paraId="64B4ABC8" w14:textId="77777777" w:rsidTr="002908C5">
        <w:tc>
          <w:tcPr>
            <w:tcW w:w="995" w:type="dxa"/>
            <w:hideMark/>
          </w:tcPr>
          <w:p w14:paraId="40B22197"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Profitability</w:t>
            </w:r>
          </w:p>
        </w:tc>
        <w:tc>
          <w:tcPr>
            <w:tcW w:w="985" w:type="dxa"/>
            <w:hideMark/>
          </w:tcPr>
          <w:p w14:paraId="0CBF8689" w14:textId="004CD88D" w:rsidR="00C33465" w:rsidRPr="0033338C" w:rsidRDefault="00256284" w:rsidP="00C33465">
            <w:pPr>
              <w:spacing w:line="360" w:lineRule="auto"/>
              <w:jc w:val="both"/>
              <w:rPr>
                <w:rFonts w:ascii="Arial" w:hAnsi="Arial" w:cs="Arial"/>
                <w:lang w:val="en-US"/>
              </w:rPr>
            </w:pPr>
            <w:r w:rsidRPr="0033338C">
              <w:rPr>
                <w:rFonts w:ascii="Arial" w:hAnsi="Arial" w:cs="Arial"/>
              </w:rPr>
              <w:t>Gross Profit Margin</w:t>
            </w:r>
          </w:p>
        </w:tc>
        <w:tc>
          <w:tcPr>
            <w:tcW w:w="1701" w:type="dxa"/>
            <w:hideMark/>
          </w:tcPr>
          <w:p w14:paraId="2A98DFBB" w14:textId="7B8A2C51"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Gross Profit</m:t>
                    </m:r>
                    <m:ctrlPr>
                      <w:rPr>
                        <w:rFonts w:ascii="Cambria Math" w:hAnsi="Cambria Math" w:cs="Arial"/>
                        <w:lang w:val="en-US"/>
                      </w:rPr>
                    </m:ctrlPr>
                  </m:num>
                  <m:den>
                    <m:r>
                      <m:rPr>
                        <m:sty m:val="p"/>
                      </m:rPr>
                      <w:rPr>
                        <w:rFonts w:ascii="Cambria Math" w:hAnsi="Cambria Math" w:cs="Arial"/>
                        <w:lang w:val="en-US"/>
                      </w:rPr>
                      <m:t>Sales</m:t>
                    </m:r>
                  </m:den>
                </m:f>
              </m:oMath>
            </m:oMathPara>
          </w:p>
        </w:tc>
        <w:tc>
          <w:tcPr>
            <w:tcW w:w="850" w:type="dxa"/>
            <w:hideMark/>
          </w:tcPr>
          <w:p w14:paraId="45CBD7FC" w14:textId="4DB85713" w:rsidR="00C33465" w:rsidRPr="0033338C" w:rsidRDefault="0055094B" w:rsidP="00C33465">
            <w:pPr>
              <w:spacing w:line="360" w:lineRule="auto"/>
              <w:jc w:val="both"/>
              <w:rPr>
                <w:rFonts w:ascii="Arial" w:hAnsi="Arial" w:cs="Arial"/>
                <w:lang w:val="en-US"/>
              </w:rPr>
            </w:pPr>
            <w:r w:rsidRPr="0033338C">
              <w:rPr>
                <w:rFonts w:ascii="Arial" w:hAnsi="Arial" w:cs="Arial"/>
              </w:rPr>
              <w:t>28.75%</w:t>
            </w:r>
          </w:p>
        </w:tc>
        <w:tc>
          <w:tcPr>
            <w:tcW w:w="709" w:type="dxa"/>
            <w:hideMark/>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830"/>
            </w:tblGrid>
            <w:tr w:rsidR="0055094B" w:rsidRPr="0033338C" w14:paraId="2874982A" w14:textId="77777777">
              <w:trPr>
                <w:tblCellSpacing w:w="15" w:type="dxa"/>
              </w:trPr>
              <w:tc>
                <w:tcPr>
                  <w:tcW w:w="770" w:type="dxa"/>
                  <w:vAlign w:val="center"/>
                  <w:hideMark/>
                </w:tcPr>
                <w:p w14:paraId="3C94830F" w14:textId="77777777" w:rsidR="0055094B" w:rsidRPr="0033338C" w:rsidRDefault="0055094B" w:rsidP="0055094B">
                  <w:pPr>
                    <w:spacing w:line="360" w:lineRule="auto"/>
                    <w:jc w:val="both"/>
                    <w:rPr>
                      <w:rFonts w:ascii="Arial" w:hAnsi="Arial" w:cs="Arial"/>
                    </w:rPr>
                  </w:pPr>
                  <w:r w:rsidRPr="0033338C">
                    <w:rPr>
                      <w:rFonts w:ascii="Arial" w:hAnsi="Arial" w:cs="Arial"/>
                    </w:rPr>
                    <w:t>28.06%</w:t>
                  </w:r>
                </w:p>
              </w:tc>
            </w:tr>
          </w:tbl>
          <w:p w14:paraId="1BFE4233" w14:textId="77777777" w:rsidR="0055094B" w:rsidRPr="0033338C" w:rsidRDefault="0055094B" w:rsidP="0055094B">
            <w:pPr>
              <w:spacing w:line="360" w:lineRule="auto"/>
              <w:jc w:val="both"/>
              <w:rPr>
                <w:rFonts w:ascii="Arial" w:hAnsi="Arial" w:cs="Arial"/>
                <w:vanish/>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55094B" w:rsidRPr="0033338C" w14:paraId="692F9BC1" w14:textId="77777777">
              <w:trPr>
                <w:tblCellSpacing w:w="15" w:type="dxa"/>
              </w:trPr>
              <w:tc>
                <w:tcPr>
                  <w:tcW w:w="36" w:type="dxa"/>
                  <w:vAlign w:val="center"/>
                  <w:hideMark/>
                </w:tcPr>
                <w:p w14:paraId="043E6830" w14:textId="77777777" w:rsidR="0055094B" w:rsidRPr="0033338C" w:rsidRDefault="0055094B" w:rsidP="0055094B">
                  <w:pPr>
                    <w:spacing w:line="360" w:lineRule="auto"/>
                    <w:jc w:val="both"/>
                    <w:rPr>
                      <w:rFonts w:ascii="Arial" w:hAnsi="Arial" w:cs="Arial"/>
                    </w:rPr>
                  </w:pPr>
                </w:p>
              </w:tc>
            </w:tr>
          </w:tbl>
          <w:p w14:paraId="3829AA3A" w14:textId="543CD3C1" w:rsidR="00C33465" w:rsidRPr="0033338C" w:rsidRDefault="00C33465" w:rsidP="00C33465">
            <w:pPr>
              <w:spacing w:line="360" w:lineRule="auto"/>
              <w:jc w:val="both"/>
              <w:rPr>
                <w:rFonts w:ascii="Arial" w:hAnsi="Arial" w:cs="Arial"/>
                <w:lang w:val="en-US"/>
              </w:rPr>
            </w:pPr>
          </w:p>
        </w:tc>
        <w:tc>
          <w:tcPr>
            <w:tcW w:w="851" w:type="dxa"/>
            <w:hideMark/>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830"/>
            </w:tblGrid>
            <w:tr w:rsidR="005563D3" w:rsidRPr="0033338C" w14:paraId="6B221211" w14:textId="77777777">
              <w:trPr>
                <w:tblCellSpacing w:w="15" w:type="dxa"/>
              </w:trPr>
              <w:tc>
                <w:tcPr>
                  <w:tcW w:w="770" w:type="dxa"/>
                  <w:vAlign w:val="center"/>
                  <w:hideMark/>
                </w:tcPr>
                <w:p w14:paraId="4BD5FB9A" w14:textId="77777777" w:rsidR="005563D3" w:rsidRPr="0033338C" w:rsidRDefault="005563D3" w:rsidP="005563D3">
                  <w:pPr>
                    <w:spacing w:line="360" w:lineRule="auto"/>
                    <w:jc w:val="both"/>
                    <w:rPr>
                      <w:rFonts w:ascii="Arial" w:hAnsi="Arial" w:cs="Arial"/>
                    </w:rPr>
                  </w:pPr>
                  <w:r w:rsidRPr="0033338C">
                    <w:rPr>
                      <w:rFonts w:ascii="Arial" w:hAnsi="Arial" w:cs="Arial"/>
                    </w:rPr>
                    <w:t>23.21%</w:t>
                  </w:r>
                </w:p>
              </w:tc>
            </w:tr>
          </w:tbl>
          <w:p w14:paraId="151C0F30" w14:textId="77777777" w:rsidR="005563D3" w:rsidRPr="0033338C" w:rsidRDefault="005563D3" w:rsidP="005563D3">
            <w:pPr>
              <w:spacing w:line="360" w:lineRule="auto"/>
              <w:jc w:val="both"/>
              <w:rPr>
                <w:rFonts w:ascii="Arial" w:hAnsi="Arial" w:cs="Arial"/>
                <w:vanish/>
              </w:rPr>
            </w:pPr>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10"/>
            </w:tblGrid>
            <w:tr w:rsidR="005563D3" w:rsidRPr="0033338C" w14:paraId="6261E666" w14:textId="77777777">
              <w:trPr>
                <w:tblCellSpacing w:w="15" w:type="dxa"/>
              </w:trPr>
              <w:tc>
                <w:tcPr>
                  <w:tcW w:w="36" w:type="dxa"/>
                  <w:vAlign w:val="center"/>
                  <w:hideMark/>
                </w:tcPr>
                <w:p w14:paraId="707F6566" w14:textId="77777777" w:rsidR="005563D3" w:rsidRPr="0033338C" w:rsidRDefault="005563D3" w:rsidP="005563D3">
                  <w:pPr>
                    <w:spacing w:line="360" w:lineRule="auto"/>
                    <w:jc w:val="both"/>
                    <w:rPr>
                      <w:rFonts w:ascii="Arial" w:hAnsi="Arial" w:cs="Arial"/>
                    </w:rPr>
                  </w:pPr>
                </w:p>
              </w:tc>
            </w:tr>
          </w:tbl>
          <w:p w14:paraId="31743815" w14:textId="0C73A6E3" w:rsidR="00C33465" w:rsidRPr="0033338C" w:rsidRDefault="00C33465" w:rsidP="00C33465">
            <w:pPr>
              <w:spacing w:line="360" w:lineRule="auto"/>
              <w:jc w:val="both"/>
              <w:rPr>
                <w:rFonts w:ascii="Arial" w:hAnsi="Arial" w:cs="Arial"/>
                <w:lang w:val="en-US"/>
              </w:rPr>
            </w:pPr>
          </w:p>
        </w:tc>
        <w:tc>
          <w:tcPr>
            <w:tcW w:w="850" w:type="dxa"/>
            <w:hideMark/>
          </w:tcPr>
          <w:p w14:paraId="52983C45" w14:textId="35595AD7" w:rsidR="00C33465" w:rsidRPr="0033338C" w:rsidRDefault="005563D3" w:rsidP="00C33465">
            <w:pPr>
              <w:spacing w:line="360" w:lineRule="auto"/>
              <w:jc w:val="both"/>
              <w:rPr>
                <w:rFonts w:ascii="Arial" w:hAnsi="Arial" w:cs="Arial"/>
                <w:lang w:val="en-US"/>
              </w:rPr>
            </w:pPr>
            <w:r w:rsidRPr="0033338C">
              <w:rPr>
                <w:rFonts w:ascii="Arial" w:hAnsi="Arial" w:cs="Arial"/>
              </w:rPr>
              <w:t>28.88%</w:t>
            </w:r>
          </w:p>
        </w:tc>
        <w:tc>
          <w:tcPr>
            <w:tcW w:w="2075" w:type="dxa"/>
            <w:hideMark/>
          </w:tcPr>
          <w:p w14:paraId="354CF736" w14:textId="557997C2" w:rsidR="00C33465" w:rsidRPr="0033338C" w:rsidRDefault="00763476" w:rsidP="00C33465">
            <w:pPr>
              <w:spacing w:line="360" w:lineRule="auto"/>
              <w:jc w:val="both"/>
              <w:rPr>
                <w:rFonts w:ascii="Arial" w:hAnsi="Arial" w:cs="Arial"/>
                <w:lang w:val="en-US"/>
              </w:rPr>
            </w:pPr>
            <w:r w:rsidRPr="0033338C">
              <w:rPr>
                <w:rFonts w:ascii="Arial" w:hAnsi="Arial" w:cs="Arial"/>
              </w:rPr>
              <w:t>Margin falls sharply in 2023 due to revenue collapse; slight recovery in 2024 but still unstable.</w:t>
            </w:r>
          </w:p>
        </w:tc>
      </w:tr>
      <w:tr w:rsidR="008F513D" w:rsidRPr="0033338C" w14:paraId="050BE52D" w14:textId="77777777" w:rsidTr="002908C5">
        <w:tc>
          <w:tcPr>
            <w:tcW w:w="995" w:type="dxa"/>
            <w:hideMark/>
          </w:tcPr>
          <w:p w14:paraId="022EF758" w14:textId="77777777" w:rsidR="00C33465" w:rsidRPr="0033338C" w:rsidRDefault="00C33465" w:rsidP="00C33465">
            <w:pPr>
              <w:spacing w:line="360" w:lineRule="auto"/>
              <w:jc w:val="both"/>
              <w:rPr>
                <w:rFonts w:ascii="Arial" w:hAnsi="Arial" w:cs="Arial"/>
                <w:lang w:val="en-US"/>
              </w:rPr>
            </w:pPr>
          </w:p>
        </w:tc>
        <w:tc>
          <w:tcPr>
            <w:tcW w:w="985" w:type="dxa"/>
            <w:hideMark/>
          </w:tcPr>
          <w:p w14:paraId="5ED39CB8" w14:textId="200232B8" w:rsidR="00C33465" w:rsidRPr="0033338C" w:rsidRDefault="00883B8D" w:rsidP="00C33465">
            <w:pPr>
              <w:spacing w:line="360" w:lineRule="auto"/>
              <w:jc w:val="both"/>
              <w:rPr>
                <w:rFonts w:ascii="Arial" w:hAnsi="Arial" w:cs="Arial"/>
                <w:lang w:val="en-US"/>
              </w:rPr>
            </w:pPr>
            <w:r w:rsidRPr="0033338C">
              <w:rPr>
                <w:rFonts w:ascii="Arial" w:hAnsi="Arial" w:cs="Arial"/>
              </w:rPr>
              <w:t>Operating Profit Margin</w:t>
            </w:r>
          </w:p>
        </w:tc>
        <w:tc>
          <w:tcPr>
            <w:tcW w:w="1701" w:type="dxa"/>
            <w:hideMark/>
          </w:tcPr>
          <w:p w14:paraId="7730300F" w14:textId="6C1E64E8"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Operating Income</m:t>
                    </m:r>
                    <m:ctrlPr>
                      <w:rPr>
                        <w:rFonts w:ascii="Cambria Math" w:hAnsi="Cambria Math" w:cs="Arial"/>
                        <w:lang w:val="en-US"/>
                      </w:rPr>
                    </m:ctrlPr>
                  </m:num>
                  <m:den>
                    <m:r>
                      <m:rPr>
                        <m:sty m:val="p"/>
                      </m:rPr>
                      <w:rPr>
                        <w:rFonts w:ascii="Cambria Math" w:hAnsi="Cambria Math" w:cs="Arial"/>
                        <w:lang w:val="en-US"/>
                      </w:rPr>
                      <m:t>Sales</m:t>
                    </m:r>
                  </m:den>
                </m:f>
              </m:oMath>
            </m:oMathPara>
          </w:p>
        </w:tc>
        <w:tc>
          <w:tcPr>
            <w:tcW w:w="850" w:type="dxa"/>
            <w:hideMark/>
          </w:tcPr>
          <w:p w14:paraId="0EB0B1E7" w14:textId="71ED0DB0" w:rsidR="00C33465" w:rsidRPr="0033338C" w:rsidRDefault="007C59F0" w:rsidP="00C33465">
            <w:pPr>
              <w:spacing w:line="360" w:lineRule="auto"/>
              <w:jc w:val="both"/>
              <w:rPr>
                <w:rFonts w:ascii="Arial" w:hAnsi="Arial" w:cs="Arial"/>
                <w:lang w:val="en-US"/>
              </w:rPr>
            </w:pPr>
            <w:r w:rsidRPr="0033338C">
              <w:rPr>
                <w:rFonts w:ascii="Arial" w:hAnsi="Arial" w:cs="Arial"/>
              </w:rPr>
              <w:t>3.86%</w:t>
            </w:r>
          </w:p>
        </w:tc>
        <w:tc>
          <w:tcPr>
            <w:tcW w:w="709" w:type="dxa"/>
            <w:hideMark/>
          </w:tcPr>
          <w:p w14:paraId="2BA5A789" w14:textId="0AF7C84A" w:rsidR="00C33465" w:rsidRPr="0033338C" w:rsidRDefault="007C59F0" w:rsidP="00C33465">
            <w:pPr>
              <w:spacing w:line="360" w:lineRule="auto"/>
              <w:jc w:val="both"/>
              <w:rPr>
                <w:rFonts w:ascii="Arial" w:hAnsi="Arial" w:cs="Arial"/>
                <w:lang w:val="en-US"/>
              </w:rPr>
            </w:pPr>
            <w:r w:rsidRPr="0033338C">
              <w:rPr>
                <w:rFonts w:ascii="Arial" w:hAnsi="Arial" w:cs="Arial"/>
              </w:rPr>
              <w:t>2.68%</w:t>
            </w:r>
          </w:p>
        </w:tc>
        <w:tc>
          <w:tcPr>
            <w:tcW w:w="851" w:type="dxa"/>
            <w:hideMark/>
          </w:tcPr>
          <w:p w14:paraId="0D190A97" w14:textId="53DE378F" w:rsidR="00C33465" w:rsidRPr="0033338C" w:rsidRDefault="003E5DF1" w:rsidP="00C33465">
            <w:pPr>
              <w:spacing w:line="360" w:lineRule="auto"/>
              <w:jc w:val="both"/>
              <w:rPr>
                <w:rFonts w:ascii="Arial" w:hAnsi="Arial" w:cs="Arial"/>
                <w:lang w:val="en-US"/>
              </w:rPr>
            </w:pPr>
            <w:r w:rsidRPr="0033338C">
              <w:rPr>
                <w:rFonts w:ascii="Arial" w:hAnsi="Arial" w:cs="Arial"/>
              </w:rPr>
              <w:t>-20.29%</w:t>
            </w:r>
          </w:p>
        </w:tc>
        <w:tc>
          <w:tcPr>
            <w:tcW w:w="850" w:type="dxa"/>
            <w:hideMark/>
          </w:tcPr>
          <w:p w14:paraId="14B7F1D7" w14:textId="04AB102B" w:rsidR="00C33465" w:rsidRPr="0033338C" w:rsidRDefault="003E5DF1" w:rsidP="00C33465">
            <w:pPr>
              <w:spacing w:line="360" w:lineRule="auto"/>
              <w:jc w:val="both"/>
              <w:rPr>
                <w:rFonts w:ascii="Arial" w:hAnsi="Arial" w:cs="Arial"/>
                <w:lang w:val="en-US"/>
              </w:rPr>
            </w:pPr>
            <w:r w:rsidRPr="0033338C">
              <w:rPr>
                <w:rFonts w:ascii="Arial" w:hAnsi="Arial" w:cs="Arial"/>
              </w:rPr>
              <w:t>-3.87%</w:t>
            </w:r>
          </w:p>
        </w:tc>
        <w:tc>
          <w:tcPr>
            <w:tcW w:w="2075" w:type="dxa"/>
            <w:hideMark/>
          </w:tcPr>
          <w:p w14:paraId="6FC5744F" w14:textId="31A4651D" w:rsidR="00C33465" w:rsidRPr="0033338C" w:rsidRDefault="003E5DF1" w:rsidP="00C33465">
            <w:pPr>
              <w:spacing w:line="360" w:lineRule="auto"/>
              <w:jc w:val="both"/>
              <w:rPr>
                <w:rFonts w:ascii="Arial" w:hAnsi="Arial" w:cs="Arial"/>
                <w:lang w:val="en-US"/>
              </w:rPr>
            </w:pPr>
            <w:r w:rsidRPr="0033338C">
              <w:rPr>
                <w:rFonts w:ascii="Arial" w:hAnsi="Arial" w:cs="Arial"/>
              </w:rPr>
              <w:t>Operating losses in 2023–2024 indicate high cost structure and poor operational control.</w:t>
            </w:r>
          </w:p>
        </w:tc>
      </w:tr>
      <w:tr w:rsidR="00883B8D" w:rsidRPr="0033338C" w14:paraId="6139637D" w14:textId="77777777" w:rsidTr="002908C5">
        <w:tc>
          <w:tcPr>
            <w:tcW w:w="995" w:type="dxa"/>
          </w:tcPr>
          <w:p w14:paraId="03F6F1CF" w14:textId="77777777" w:rsidR="00883B8D" w:rsidRPr="0033338C" w:rsidRDefault="00883B8D" w:rsidP="00C33465">
            <w:pPr>
              <w:spacing w:line="360" w:lineRule="auto"/>
              <w:jc w:val="both"/>
              <w:rPr>
                <w:rFonts w:ascii="Arial" w:hAnsi="Arial" w:cs="Arial"/>
                <w:lang w:val="en-US"/>
              </w:rPr>
            </w:pPr>
          </w:p>
        </w:tc>
        <w:tc>
          <w:tcPr>
            <w:tcW w:w="985" w:type="dxa"/>
          </w:tcPr>
          <w:p w14:paraId="33A7411B" w14:textId="33C08B74" w:rsidR="00883B8D" w:rsidRPr="0033338C" w:rsidRDefault="00883B8D" w:rsidP="00C33465">
            <w:pPr>
              <w:spacing w:line="360" w:lineRule="auto"/>
              <w:jc w:val="both"/>
              <w:rPr>
                <w:rFonts w:ascii="Arial" w:hAnsi="Arial" w:cs="Arial"/>
              </w:rPr>
            </w:pPr>
            <w:r w:rsidRPr="0033338C">
              <w:rPr>
                <w:rFonts w:ascii="Arial" w:hAnsi="Arial" w:cs="Arial"/>
              </w:rPr>
              <w:t>Net Profit Margin</w:t>
            </w:r>
          </w:p>
        </w:tc>
        <w:tc>
          <w:tcPr>
            <w:tcW w:w="1701" w:type="dxa"/>
          </w:tcPr>
          <w:p w14:paraId="32797769" w14:textId="1030C2EA" w:rsidR="00883B8D" w:rsidRPr="0033338C" w:rsidRDefault="00020729" w:rsidP="00C33465">
            <w:pPr>
              <w:spacing w:line="360" w:lineRule="auto"/>
              <w:jc w:val="both"/>
              <w:rPr>
                <w:rFonts w:ascii="Arial" w:eastAsia="Calibri"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Net Income</m:t>
                    </m:r>
                    <m:ctrlPr>
                      <w:rPr>
                        <w:rFonts w:ascii="Cambria Math" w:hAnsi="Cambria Math" w:cs="Arial"/>
                        <w:lang w:val="en-US"/>
                      </w:rPr>
                    </m:ctrlPr>
                  </m:num>
                  <m:den>
                    <m:r>
                      <m:rPr>
                        <m:sty m:val="p"/>
                      </m:rPr>
                      <w:rPr>
                        <w:rFonts w:ascii="Cambria Math" w:hAnsi="Cambria Math" w:cs="Arial"/>
                        <w:lang w:val="en-US"/>
                      </w:rPr>
                      <m:t>Sales</m:t>
                    </m:r>
                  </m:den>
                </m:f>
              </m:oMath>
            </m:oMathPara>
          </w:p>
        </w:tc>
        <w:tc>
          <w:tcPr>
            <w:tcW w:w="850" w:type="dxa"/>
          </w:tcPr>
          <w:p w14:paraId="78E6BF5F" w14:textId="2B3CB7FF" w:rsidR="00883B8D" w:rsidRPr="0033338C" w:rsidRDefault="00B25BCA" w:rsidP="00C33465">
            <w:pPr>
              <w:spacing w:line="360" w:lineRule="auto"/>
              <w:jc w:val="both"/>
              <w:rPr>
                <w:rFonts w:ascii="Arial" w:hAnsi="Arial" w:cs="Arial"/>
                <w:lang w:val="en-US"/>
              </w:rPr>
            </w:pPr>
            <w:r w:rsidRPr="0033338C">
              <w:rPr>
                <w:rFonts w:ascii="Arial" w:hAnsi="Arial" w:cs="Arial"/>
              </w:rPr>
              <w:t>0.88%</w:t>
            </w:r>
          </w:p>
        </w:tc>
        <w:tc>
          <w:tcPr>
            <w:tcW w:w="709" w:type="dxa"/>
          </w:tcPr>
          <w:p w14:paraId="4748A39C" w14:textId="46A8318E" w:rsidR="00883B8D" w:rsidRPr="0033338C" w:rsidRDefault="00B25BCA" w:rsidP="00C33465">
            <w:pPr>
              <w:spacing w:line="360" w:lineRule="auto"/>
              <w:jc w:val="both"/>
              <w:rPr>
                <w:rFonts w:ascii="Arial" w:hAnsi="Arial" w:cs="Arial"/>
                <w:lang w:val="en-US"/>
              </w:rPr>
            </w:pPr>
            <w:r w:rsidRPr="0033338C">
              <w:rPr>
                <w:rFonts w:ascii="Arial" w:hAnsi="Arial" w:cs="Arial"/>
              </w:rPr>
              <w:t>0.07%</w:t>
            </w:r>
          </w:p>
        </w:tc>
        <w:tc>
          <w:tcPr>
            <w:tcW w:w="851" w:type="dxa"/>
          </w:tcPr>
          <w:p w14:paraId="48B97A81" w14:textId="2DCE367C" w:rsidR="00883B8D" w:rsidRPr="0033338C" w:rsidRDefault="00B25BCA" w:rsidP="00C33465">
            <w:pPr>
              <w:spacing w:line="360" w:lineRule="auto"/>
              <w:jc w:val="both"/>
              <w:rPr>
                <w:rFonts w:ascii="Arial" w:hAnsi="Arial" w:cs="Arial"/>
                <w:lang w:val="en-US"/>
              </w:rPr>
            </w:pPr>
            <w:r w:rsidRPr="0033338C">
              <w:rPr>
                <w:rFonts w:ascii="Arial" w:hAnsi="Arial" w:cs="Arial"/>
              </w:rPr>
              <w:t>-23.37%</w:t>
            </w:r>
          </w:p>
        </w:tc>
        <w:tc>
          <w:tcPr>
            <w:tcW w:w="850" w:type="dxa"/>
          </w:tcPr>
          <w:p w14:paraId="0E9D70BF" w14:textId="1718F89F" w:rsidR="00883B8D" w:rsidRPr="0033338C" w:rsidRDefault="00B25BCA" w:rsidP="00C33465">
            <w:pPr>
              <w:spacing w:line="360" w:lineRule="auto"/>
              <w:jc w:val="both"/>
              <w:rPr>
                <w:rFonts w:ascii="Arial" w:hAnsi="Arial" w:cs="Arial"/>
                <w:lang w:val="en-US"/>
              </w:rPr>
            </w:pPr>
            <w:r w:rsidRPr="0033338C">
              <w:rPr>
                <w:rFonts w:ascii="Arial" w:hAnsi="Arial" w:cs="Arial"/>
              </w:rPr>
              <w:t>-6.08%</w:t>
            </w:r>
          </w:p>
        </w:tc>
        <w:tc>
          <w:tcPr>
            <w:tcW w:w="2075" w:type="dxa"/>
          </w:tcPr>
          <w:p w14:paraId="48FB069C" w14:textId="360973CE" w:rsidR="00883B8D" w:rsidRPr="0033338C" w:rsidRDefault="002908C5" w:rsidP="00C33465">
            <w:pPr>
              <w:spacing w:line="360" w:lineRule="auto"/>
              <w:jc w:val="both"/>
              <w:rPr>
                <w:rFonts w:ascii="Arial" w:hAnsi="Arial" w:cs="Arial"/>
                <w:lang w:val="en-US"/>
              </w:rPr>
            </w:pPr>
            <w:r w:rsidRPr="0033338C">
              <w:rPr>
                <w:rFonts w:ascii="Arial" w:hAnsi="Arial" w:cs="Arial"/>
              </w:rPr>
              <w:t>Dramatic deterioration; deep net losses signal crisis-level profitability weakness.</w:t>
            </w:r>
          </w:p>
        </w:tc>
      </w:tr>
      <w:tr w:rsidR="008F513D" w:rsidRPr="0033338C" w14:paraId="67E3864D" w14:textId="77777777" w:rsidTr="002908C5">
        <w:tc>
          <w:tcPr>
            <w:tcW w:w="995" w:type="dxa"/>
            <w:hideMark/>
          </w:tcPr>
          <w:p w14:paraId="3463A72C"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Liquidity</w:t>
            </w:r>
          </w:p>
        </w:tc>
        <w:tc>
          <w:tcPr>
            <w:tcW w:w="985" w:type="dxa"/>
            <w:hideMark/>
          </w:tcPr>
          <w:p w14:paraId="6E1102D2"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Current Ratio</w:t>
            </w:r>
          </w:p>
        </w:tc>
        <w:tc>
          <w:tcPr>
            <w:tcW w:w="1701" w:type="dxa"/>
            <w:hideMark/>
          </w:tcPr>
          <w:p w14:paraId="1DA62934" w14:textId="7FAC9A55"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Current Assets</m:t>
                    </m:r>
                    <m:ctrlPr>
                      <w:rPr>
                        <w:rFonts w:ascii="Cambria Math" w:hAnsi="Cambria Math" w:cs="Arial"/>
                        <w:lang w:val="en-US"/>
                      </w:rPr>
                    </m:ctrlPr>
                  </m:num>
                  <m:den>
                    <m:r>
                      <m:rPr>
                        <m:sty m:val="p"/>
                      </m:rPr>
                      <w:rPr>
                        <w:rFonts w:ascii="Cambria Math" w:hAnsi="Cambria Math" w:cs="Arial"/>
                        <w:lang w:val="en-US"/>
                      </w:rPr>
                      <m:t>Current Liabilities</m:t>
                    </m:r>
                  </m:den>
                </m:f>
              </m:oMath>
            </m:oMathPara>
          </w:p>
        </w:tc>
        <w:tc>
          <w:tcPr>
            <w:tcW w:w="850" w:type="dxa"/>
            <w:hideMark/>
          </w:tcPr>
          <w:p w14:paraId="0A876D8F"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1.87</w:t>
            </w:r>
          </w:p>
        </w:tc>
        <w:tc>
          <w:tcPr>
            <w:tcW w:w="709" w:type="dxa"/>
            <w:hideMark/>
          </w:tcPr>
          <w:p w14:paraId="0882CD3C"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1.70</w:t>
            </w:r>
          </w:p>
        </w:tc>
        <w:tc>
          <w:tcPr>
            <w:tcW w:w="851" w:type="dxa"/>
            <w:hideMark/>
          </w:tcPr>
          <w:p w14:paraId="1D0838D0"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1.76</w:t>
            </w:r>
          </w:p>
        </w:tc>
        <w:tc>
          <w:tcPr>
            <w:tcW w:w="850" w:type="dxa"/>
            <w:hideMark/>
          </w:tcPr>
          <w:p w14:paraId="5F783803"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1.53</w:t>
            </w:r>
          </w:p>
        </w:tc>
        <w:tc>
          <w:tcPr>
            <w:tcW w:w="2075" w:type="dxa"/>
            <w:hideMark/>
          </w:tcPr>
          <w:p w14:paraId="2209AAA0"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1.53</w:t>
            </w:r>
          </w:p>
        </w:tc>
      </w:tr>
      <w:tr w:rsidR="008F513D" w:rsidRPr="0033338C" w14:paraId="30009720" w14:textId="77777777" w:rsidTr="002908C5">
        <w:tc>
          <w:tcPr>
            <w:tcW w:w="995" w:type="dxa"/>
            <w:hideMark/>
          </w:tcPr>
          <w:p w14:paraId="1EA4316F" w14:textId="77777777" w:rsidR="00C33465" w:rsidRPr="0033338C" w:rsidRDefault="00C33465" w:rsidP="00C33465">
            <w:pPr>
              <w:spacing w:line="360" w:lineRule="auto"/>
              <w:jc w:val="both"/>
              <w:rPr>
                <w:rFonts w:ascii="Arial" w:hAnsi="Arial" w:cs="Arial"/>
                <w:lang w:val="en-US"/>
              </w:rPr>
            </w:pPr>
          </w:p>
        </w:tc>
        <w:tc>
          <w:tcPr>
            <w:tcW w:w="985" w:type="dxa"/>
            <w:hideMark/>
          </w:tcPr>
          <w:p w14:paraId="1C0933A9"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Quick Ratio (Acid-Test)</w:t>
            </w:r>
          </w:p>
        </w:tc>
        <w:tc>
          <w:tcPr>
            <w:tcW w:w="1701" w:type="dxa"/>
            <w:hideMark/>
          </w:tcPr>
          <w:p w14:paraId="280FA70C" w14:textId="03B49793" w:rsidR="00C33465" w:rsidRPr="0033338C" w:rsidRDefault="00020729" w:rsidP="00277DB0">
            <w:pPr>
              <w:spacing w:line="360" w:lineRule="auto"/>
              <w:jc w:val="both"/>
              <w:rPr>
                <w:rFonts w:ascii="Arial" w:hAnsi="Arial" w:cs="Arial"/>
                <w:lang w:val="en-US"/>
              </w:rPr>
            </w:pPr>
            <m:oMathPara>
              <m:oMath>
                <m:f>
                  <m:fPr>
                    <m:ctrlPr>
                      <w:rPr>
                        <w:rFonts w:ascii="Cambria Math" w:hAnsi="Cambria Math" w:cs="Arial"/>
                        <w:i/>
                        <w:sz w:val="10"/>
                        <w:szCs w:val="10"/>
                        <w:lang w:val="en-US"/>
                      </w:rPr>
                    </m:ctrlPr>
                  </m:fPr>
                  <m:num>
                    <m:r>
                      <m:rPr>
                        <m:sty m:val="p"/>
                      </m:rPr>
                      <w:rPr>
                        <w:rFonts w:ascii="Cambria Math" w:hAnsi="Cambria Math" w:cs="Arial"/>
                        <w:sz w:val="10"/>
                        <w:szCs w:val="10"/>
                        <w:lang w:val="en-US"/>
                      </w:rPr>
                      <m:t>Current Assets - Inventory</m:t>
                    </m:r>
                    <m:ctrlPr>
                      <w:rPr>
                        <w:rFonts w:ascii="Cambria Math" w:hAnsi="Cambria Math" w:cs="Arial"/>
                        <w:sz w:val="10"/>
                        <w:szCs w:val="10"/>
                        <w:lang w:val="en-US"/>
                      </w:rPr>
                    </m:ctrlPr>
                  </m:num>
                  <m:den>
                    <m:r>
                      <m:rPr>
                        <m:sty m:val="p"/>
                      </m:rPr>
                      <w:rPr>
                        <w:rFonts w:ascii="Cambria Math" w:hAnsi="Cambria Math" w:cs="Arial"/>
                        <w:sz w:val="10"/>
                        <w:szCs w:val="10"/>
                        <w:lang w:val="en-US"/>
                      </w:rPr>
                      <m:t>Current Liabilities</m:t>
                    </m:r>
                  </m:den>
                </m:f>
              </m:oMath>
            </m:oMathPara>
          </w:p>
        </w:tc>
        <w:tc>
          <w:tcPr>
            <w:tcW w:w="850" w:type="dxa"/>
            <w:hideMark/>
          </w:tcPr>
          <w:p w14:paraId="7B884A3A"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1.25</w:t>
            </w:r>
          </w:p>
        </w:tc>
        <w:tc>
          <w:tcPr>
            <w:tcW w:w="709" w:type="dxa"/>
            <w:hideMark/>
          </w:tcPr>
          <w:p w14:paraId="36948F3A"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1.05</w:t>
            </w:r>
          </w:p>
        </w:tc>
        <w:tc>
          <w:tcPr>
            <w:tcW w:w="851" w:type="dxa"/>
            <w:hideMark/>
          </w:tcPr>
          <w:p w14:paraId="7C477D28"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0.93</w:t>
            </w:r>
          </w:p>
        </w:tc>
        <w:tc>
          <w:tcPr>
            <w:tcW w:w="850" w:type="dxa"/>
            <w:hideMark/>
          </w:tcPr>
          <w:p w14:paraId="5D99669C"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0.77</w:t>
            </w:r>
          </w:p>
        </w:tc>
        <w:tc>
          <w:tcPr>
            <w:tcW w:w="2075" w:type="dxa"/>
            <w:hideMark/>
          </w:tcPr>
          <w:p w14:paraId="61024AE8"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0.87</w:t>
            </w:r>
          </w:p>
        </w:tc>
      </w:tr>
      <w:tr w:rsidR="008F513D" w:rsidRPr="0033338C" w14:paraId="5C2D3BDB" w14:textId="77777777" w:rsidTr="002908C5">
        <w:tc>
          <w:tcPr>
            <w:tcW w:w="995" w:type="dxa"/>
            <w:hideMark/>
          </w:tcPr>
          <w:p w14:paraId="21B26F3C"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Efficiency</w:t>
            </w:r>
          </w:p>
        </w:tc>
        <w:tc>
          <w:tcPr>
            <w:tcW w:w="985" w:type="dxa"/>
            <w:hideMark/>
          </w:tcPr>
          <w:p w14:paraId="556204A5"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Inventory Turnover</w:t>
            </w:r>
          </w:p>
        </w:tc>
        <w:tc>
          <w:tcPr>
            <w:tcW w:w="1701" w:type="dxa"/>
            <w:hideMark/>
          </w:tcPr>
          <w:p w14:paraId="2C592275" w14:textId="74ED14A6"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Cost of Sales</m:t>
                    </m:r>
                    <m:ctrlPr>
                      <w:rPr>
                        <w:rFonts w:ascii="Cambria Math" w:hAnsi="Cambria Math" w:cs="Arial"/>
                        <w:lang w:val="en-US"/>
                      </w:rPr>
                    </m:ctrlPr>
                  </m:num>
                  <m:den>
                    <m:r>
                      <m:rPr>
                        <m:sty m:val="p"/>
                      </m:rPr>
                      <w:rPr>
                        <w:rFonts w:ascii="Cambria Math" w:hAnsi="Cambria Math" w:cs="Arial"/>
                        <w:lang w:val="en-US"/>
                      </w:rPr>
                      <m:t>Inventories</m:t>
                    </m:r>
                  </m:den>
                </m:f>
              </m:oMath>
            </m:oMathPara>
          </w:p>
        </w:tc>
        <w:tc>
          <w:tcPr>
            <w:tcW w:w="850" w:type="dxa"/>
            <w:hideMark/>
          </w:tcPr>
          <w:p w14:paraId="728BA749"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N/A</w:t>
            </w:r>
          </w:p>
        </w:tc>
        <w:tc>
          <w:tcPr>
            <w:tcW w:w="709" w:type="dxa"/>
            <w:hideMark/>
          </w:tcPr>
          <w:p w14:paraId="729D91FA"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N/A</w:t>
            </w:r>
          </w:p>
        </w:tc>
        <w:tc>
          <w:tcPr>
            <w:tcW w:w="851" w:type="dxa"/>
            <w:hideMark/>
          </w:tcPr>
          <w:p w14:paraId="21F62AC5"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N/A</w:t>
            </w:r>
          </w:p>
        </w:tc>
        <w:tc>
          <w:tcPr>
            <w:tcW w:w="850" w:type="dxa"/>
            <w:hideMark/>
          </w:tcPr>
          <w:p w14:paraId="7BD38049"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N/A</w:t>
            </w:r>
          </w:p>
        </w:tc>
        <w:tc>
          <w:tcPr>
            <w:tcW w:w="2075" w:type="dxa"/>
            <w:hideMark/>
          </w:tcPr>
          <w:p w14:paraId="7BED5D9D"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N/A</w:t>
            </w:r>
          </w:p>
        </w:tc>
      </w:tr>
      <w:tr w:rsidR="008F513D" w:rsidRPr="0033338C" w14:paraId="4F61AF26" w14:textId="77777777" w:rsidTr="002908C5">
        <w:tc>
          <w:tcPr>
            <w:tcW w:w="995" w:type="dxa"/>
            <w:hideMark/>
          </w:tcPr>
          <w:p w14:paraId="4E5E2915" w14:textId="77777777" w:rsidR="00C33465" w:rsidRPr="0033338C" w:rsidRDefault="00C33465" w:rsidP="00C33465">
            <w:pPr>
              <w:spacing w:line="360" w:lineRule="auto"/>
              <w:jc w:val="both"/>
              <w:rPr>
                <w:rFonts w:ascii="Arial" w:hAnsi="Arial" w:cs="Arial"/>
                <w:lang w:val="en-US"/>
              </w:rPr>
            </w:pPr>
          </w:p>
        </w:tc>
        <w:tc>
          <w:tcPr>
            <w:tcW w:w="985" w:type="dxa"/>
            <w:hideMark/>
          </w:tcPr>
          <w:p w14:paraId="0D5AF362"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Asset Turnover</w:t>
            </w:r>
          </w:p>
        </w:tc>
        <w:tc>
          <w:tcPr>
            <w:tcW w:w="1701" w:type="dxa"/>
            <w:hideMark/>
          </w:tcPr>
          <w:p w14:paraId="7537A787" w14:textId="648D8D3E"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Sales</m:t>
                    </m:r>
                    <m:ctrlPr>
                      <w:rPr>
                        <w:rFonts w:ascii="Cambria Math" w:hAnsi="Cambria Math" w:cs="Arial"/>
                        <w:lang w:val="en-US"/>
                      </w:rPr>
                    </m:ctrlPr>
                  </m:num>
                  <m:den>
                    <m:r>
                      <m:rPr>
                        <m:sty m:val="p"/>
                      </m:rPr>
                      <w:rPr>
                        <w:rFonts w:ascii="Cambria Math" w:hAnsi="Cambria Math" w:cs="Arial"/>
                        <w:lang w:val="en-US"/>
                      </w:rPr>
                      <m:t>Total Assets</m:t>
                    </m:r>
                  </m:den>
                </m:f>
              </m:oMath>
            </m:oMathPara>
          </w:p>
        </w:tc>
        <w:tc>
          <w:tcPr>
            <w:tcW w:w="850" w:type="dxa"/>
            <w:hideMark/>
          </w:tcPr>
          <w:p w14:paraId="7322D755" w14:textId="67C91B2B" w:rsidR="00C33465" w:rsidRPr="0033338C" w:rsidRDefault="00A532B3" w:rsidP="00C33465">
            <w:pPr>
              <w:spacing w:line="360" w:lineRule="auto"/>
              <w:jc w:val="both"/>
              <w:rPr>
                <w:rFonts w:ascii="Arial" w:hAnsi="Arial" w:cs="Arial"/>
                <w:lang w:val="en-US"/>
              </w:rPr>
            </w:pPr>
            <w:r w:rsidRPr="0033338C">
              <w:rPr>
                <w:rFonts w:ascii="Arial" w:hAnsi="Arial" w:cs="Arial"/>
              </w:rPr>
              <w:t>1.18</w:t>
            </w:r>
          </w:p>
        </w:tc>
        <w:tc>
          <w:tcPr>
            <w:tcW w:w="709" w:type="dxa"/>
            <w:hideMark/>
          </w:tcPr>
          <w:p w14:paraId="1AABCA4C" w14:textId="0616488C" w:rsidR="00C33465" w:rsidRPr="0033338C" w:rsidRDefault="00A532B3" w:rsidP="00C33465">
            <w:pPr>
              <w:spacing w:line="360" w:lineRule="auto"/>
              <w:jc w:val="both"/>
              <w:rPr>
                <w:rFonts w:ascii="Arial" w:hAnsi="Arial" w:cs="Arial"/>
                <w:lang w:val="en-US"/>
              </w:rPr>
            </w:pPr>
            <w:r w:rsidRPr="0033338C">
              <w:rPr>
                <w:rFonts w:ascii="Arial" w:hAnsi="Arial" w:cs="Arial"/>
              </w:rPr>
              <w:t>1.08</w:t>
            </w:r>
          </w:p>
        </w:tc>
        <w:tc>
          <w:tcPr>
            <w:tcW w:w="851" w:type="dxa"/>
            <w:hideMark/>
          </w:tcPr>
          <w:p w14:paraId="4B7C872C" w14:textId="4D51D916" w:rsidR="00C33465" w:rsidRPr="0033338C" w:rsidRDefault="00A532B3" w:rsidP="00C33465">
            <w:pPr>
              <w:spacing w:line="360" w:lineRule="auto"/>
              <w:jc w:val="both"/>
              <w:rPr>
                <w:rFonts w:ascii="Arial" w:hAnsi="Arial" w:cs="Arial"/>
                <w:lang w:val="en-US"/>
              </w:rPr>
            </w:pPr>
            <w:r w:rsidRPr="0033338C">
              <w:rPr>
                <w:rFonts w:ascii="Arial" w:hAnsi="Arial" w:cs="Arial"/>
              </w:rPr>
              <w:t>0.87</w:t>
            </w:r>
          </w:p>
        </w:tc>
        <w:tc>
          <w:tcPr>
            <w:tcW w:w="850" w:type="dxa"/>
            <w:hideMark/>
          </w:tcPr>
          <w:p w14:paraId="035A7A5B" w14:textId="17C750AA" w:rsidR="00C33465" w:rsidRPr="0033338C" w:rsidRDefault="00A532B3" w:rsidP="00C33465">
            <w:pPr>
              <w:spacing w:line="360" w:lineRule="auto"/>
              <w:jc w:val="both"/>
              <w:rPr>
                <w:rFonts w:ascii="Arial" w:hAnsi="Arial" w:cs="Arial"/>
                <w:lang w:val="en-US"/>
              </w:rPr>
            </w:pPr>
            <w:r w:rsidRPr="0033338C">
              <w:rPr>
                <w:rFonts w:ascii="Arial" w:hAnsi="Arial" w:cs="Arial"/>
              </w:rPr>
              <w:t>1.22</w:t>
            </w:r>
          </w:p>
        </w:tc>
        <w:tc>
          <w:tcPr>
            <w:tcW w:w="2075" w:type="dxa"/>
            <w:hideMark/>
          </w:tcPr>
          <w:p w14:paraId="4114A098" w14:textId="0B9AF2DB" w:rsidR="00C33465" w:rsidRPr="0033338C" w:rsidRDefault="00EA2097" w:rsidP="00EA2097">
            <w:pPr>
              <w:spacing w:after="0" w:line="240" w:lineRule="auto"/>
              <w:jc w:val="both"/>
              <w:rPr>
                <w:rFonts w:ascii="Arial" w:hAnsi="Arial" w:cs="Arial"/>
                <w:sz w:val="24"/>
                <w:szCs w:val="24"/>
              </w:rPr>
            </w:pPr>
            <w:r w:rsidRPr="0033338C">
              <w:rPr>
                <w:rFonts w:ascii="Arial" w:hAnsi="Arial" w:cs="Arial"/>
              </w:rPr>
              <w:t>Dips in 2023 reflect collapsing sales; 2024 rebound driven by asset reductions.</w:t>
            </w:r>
          </w:p>
        </w:tc>
      </w:tr>
      <w:tr w:rsidR="008F513D" w:rsidRPr="0033338C" w14:paraId="56BA67E8" w14:textId="77777777" w:rsidTr="002908C5">
        <w:tc>
          <w:tcPr>
            <w:tcW w:w="995" w:type="dxa"/>
            <w:hideMark/>
          </w:tcPr>
          <w:p w14:paraId="71892D07"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Gearing</w:t>
            </w:r>
          </w:p>
        </w:tc>
        <w:tc>
          <w:tcPr>
            <w:tcW w:w="985" w:type="dxa"/>
            <w:hideMark/>
          </w:tcPr>
          <w:p w14:paraId="369158C9"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Debt-to-Equity Ratio (D/E)</w:t>
            </w:r>
          </w:p>
        </w:tc>
        <w:tc>
          <w:tcPr>
            <w:tcW w:w="1701" w:type="dxa"/>
            <w:hideMark/>
          </w:tcPr>
          <w:p w14:paraId="0107D896" w14:textId="6B82793B"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Total Liabilities</m:t>
                    </m:r>
                    <m:ctrlPr>
                      <w:rPr>
                        <w:rFonts w:ascii="Cambria Math" w:hAnsi="Cambria Math" w:cs="Arial"/>
                        <w:lang w:val="en-US"/>
                      </w:rPr>
                    </m:ctrlPr>
                  </m:num>
                  <m:den>
                    <m:r>
                      <m:rPr>
                        <m:sty m:val="p"/>
                      </m:rPr>
                      <w:rPr>
                        <w:rFonts w:ascii="Cambria Math" w:hAnsi="Cambria Math" w:cs="Arial"/>
                        <w:lang w:val="en-US"/>
                      </w:rPr>
                      <m:t>Total Equity</m:t>
                    </m:r>
                  </m:den>
                </m:f>
              </m:oMath>
            </m:oMathPara>
          </w:p>
        </w:tc>
        <w:tc>
          <w:tcPr>
            <w:tcW w:w="850" w:type="dxa"/>
            <w:hideMark/>
          </w:tcPr>
          <w:p w14:paraId="250CA37F"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0.63</w:t>
            </w:r>
          </w:p>
        </w:tc>
        <w:tc>
          <w:tcPr>
            <w:tcW w:w="709" w:type="dxa"/>
            <w:hideMark/>
          </w:tcPr>
          <w:p w14:paraId="70E91108"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1.02</w:t>
            </w:r>
          </w:p>
        </w:tc>
        <w:tc>
          <w:tcPr>
            <w:tcW w:w="851" w:type="dxa"/>
            <w:hideMark/>
          </w:tcPr>
          <w:p w14:paraId="383F59B4"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0.61</w:t>
            </w:r>
          </w:p>
        </w:tc>
        <w:tc>
          <w:tcPr>
            <w:tcW w:w="850" w:type="dxa"/>
            <w:hideMark/>
          </w:tcPr>
          <w:p w14:paraId="71611EF0"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1.17</w:t>
            </w:r>
          </w:p>
        </w:tc>
        <w:tc>
          <w:tcPr>
            <w:tcW w:w="2075" w:type="dxa"/>
            <w:hideMark/>
          </w:tcPr>
          <w:p w14:paraId="35ECC125"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1.11</w:t>
            </w:r>
          </w:p>
        </w:tc>
      </w:tr>
      <w:tr w:rsidR="008F513D" w:rsidRPr="0033338C" w14:paraId="540A6D52" w14:textId="77777777" w:rsidTr="002908C5">
        <w:tc>
          <w:tcPr>
            <w:tcW w:w="995" w:type="dxa"/>
            <w:hideMark/>
          </w:tcPr>
          <w:p w14:paraId="4831035A" w14:textId="77777777" w:rsidR="00C33465" w:rsidRPr="0033338C" w:rsidRDefault="00C33465" w:rsidP="00C33465">
            <w:pPr>
              <w:spacing w:line="360" w:lineRule="auto"/>
              <w:jc w:val="both"/>
              <w:rPr>
                <w:rFonts w:ascii="Arial" w:hAnsi="Arial" w:cs="Arial"/>
                <w:lang w:val="en-US"/>
              </w:rPr>
            </w:pPr>
          </w:p>
        </w:tc>
        <w:tc>
          <w:tcPr>
            <w:tcW w:w="985" w:type="dxa"/>
            <w:hideMark/>
          </w:tcPr>
          <w:p w14:paraId="1B5A65E5"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Interest Coverage</w:t>
            </w:r>
          </w:p>
        </w:tc>
        <w:tc>
          <w:tcPr>
            <w:tcW w:w="1701" w:type="dxa"/>
            <w:hideMark/>
          </w:tcPr>
          <w:p w14:paraId="7603BFA1" w14:textId="396D4F69"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sz w:val="20"/>
                        <w:szCs w:val="20"/>
                        <w:lang w:val="en-US"/>
                      </w:rPr>
                    </m:ctrlPr>
                  </m:fPr>
                  <m:num>
                    <m:r>
                      <m:rPr>
                        <m:sty m:val="p"/>
                      </m:rPr>
                      <w:rPr>
                        <w:rFonts w:ascii="Cambria Math" w:hAnsi="Cambria Math" w:cs="Arial"/>
                        <w:sz w:val="20"/>
                        <w:szCs w:val="20"/>
                        <w:lang w:val="en-US"/>
                      </w:rPr>
                      <m:t>Operating Income</m:t>
                    </m:r>
                    <m:ctrlPr>
                      <w:rPr>
                        <w:rFonts w:ascii="Cambria Math" w:hAnsi="Cambria Math" w:cs="Arial"/>
                        <w:sz w:val="20"/>
                        <w:szCs w:val="20"/>
                        <w:lang w:val="en-US"/>
                      </w:rPr>
                    </m:ctrlPr>
                  </m:num>
                  <m:den>
                    <m:r>
                      <m:rPr>
                        <m:sty m:val="p"/>
                      </m:rPr>
                      <w:rPr>
                        <w:rFonts w:ascii="Cambria Math" w:hAnsi="Cambria Math" w:cs="Arial"/>
                        <w:sz w:val="20"/>
                        <w:szCs w:val="20"/>
                        <w:lang w:val="en-US"/>
                      </w:rPr>
                      <m:t>Interest Expense</m:t>
                    </m:r>
                  </m:den>
                </m:f>
              </m:oMath>
            </m:oMathPara>
          </w:p>
        </w:tc>
        <w:tc>
          <w:tcPr>
            <w:tcW w:w="850" w:type="dxa"/>
            <w:hideMark/>
          </w:tcPr>
          <w:p w14:paraId="08DB8199" w14:textId="583EED4C" w:rsidR="00C33465" w:rsidRPr="0033338C" w:rsidRDefault="00F24553" w:rsidP="00C33465">
            <w:pPr>
              <w:spacing w:line="360" w:lineRule="auto"/>
              <w:jc w:val="both"/>
              <w:rPr>
                <w:rFonts w:ascii="Arial" w:hAnsi="Arial" w:cs="Arial"/>
                <w:lang w:val="en-US"/>
              </w:rPr>
            </w:pPr>
            <w:r w:rsidRPr="0033338C">
              <w:rPr>
                <w:rFonts w:ascii="Arial" w:hAnsi="Arial" w:cs="Arial"/>
              </w:rPr>
              <w:t>41.1</w:t>
            </w:r>
          </w:p>
        </w:tc>
        <w:tc>
          <w:tcPr>
            <w:tcW w:w="709" w:type="dxa"/>
            <w:hideMark/>
          </w:tcPr>
          <w:p w14:paraId="680772AB" w14:textId="3DB91EA0" w:rsidR="00C33465" w:rsidRPr="0033338C" w:rsidRDefault="00F24553" w:rsidP="00C33465">
            <w:pPr>
              <w:spacing w:line="360" w:lineRule="auto"/>
              <w:jc w:val="both"/>
              <w:rPr>
                <w:rFonts w:ascii="Arial" w:hAnsi="Arial" w:cs="Arial"/>
                <w:lang w:val="en-US"/>
              </w:rPr>
            </w:pPr>
            <w:r w:rsidRPr="0033338C">
              <w:rPr>
                <w:rFonts w:ascii="Arial" w:hAnsi="Arial" w:cs="Arial"/>
              </w:rPr>
              <w:t>6.6</w:t>
            </w:r>
          </w:p>
        </w:tc>
        <w:tc>
          <w:tcPr>
            <w:tcW w:w="851" w:type="dxa"/>
            <w:hideMark/>
          </w:tcPr>
          <w:p w14:paraId="00C6EAC8" w14:textId="5CA36E23" w:rsidR="00C33465" w:rsidRPr="0033338C" w:rsidRDefault="00F24553" w:rsidP="00C33465">
            <w:pPr>
              <w:spacing w:line="360" w:lineRule="auto"/>
              <w:jc w:val="both"/>
              <w:rPr>
                <w:rFonts w:ascii="Arial" w:hAnsi="Arial" w:cs="Arial"/>
                <w:lang w:val="en-US"/>
              </w:rPr>
            </w:pPr>
            <w:r w:rsidRPr="0033338C">
              <w:rPr>
                <w:rFonts w:ascii="Arial" w:hAnsi="Arial" w:cs="Arial"/>
              </w:rPr>
              <w:t>-19.7</w:t>
            </w:r>
          </w:p>
        </w:tc>
        <w:tc>
          <w:tcPr>
            <w:tcW w:w="850" w:type="dxa"/>
            <w:hideMark/>
          </w:tcPr>
          <w:p w14:paraId="6A29BA45" w14:textId="5E202D4E" w:rsidR="00C33465" w:rsidRPr="0033338C" w:rsidRDefault="00253B80" w:rsidP="00C33465">
            <w:pPr>
              <w:spacing w:line="360" w:lineRule="auto"/>
              <w:jc w:val="both"/>
              <w:rPr>
                <w:rFonts w:ascii="Arial" w:hAnsi="Arial" w:cs="Arial"/>
                <w:lang w:val="en-US"/>
              </w:rPr>
            </w:pPr>
            <w:r w:rsidRPr="0033338C">
              <w:rPr>
                <w:rFonts w:ascii="Arial" w:hAnsi="Arial" w:cs="Arial"/>
              </w:rPr>
              <w:t>-4.5</w:t>
            </w:r>
          </w:p>
        </w:tc>
        <w:tc>
          <w:tcPr>
            <w:tcW w:w="2075" w:type="dxa"/>
            <w:hideMark/>
          </w:tcPr>
          <w:p w14:paraId="5DDBCB13" w14:textId="5EAAD901" w:rsidR="00C33465" w:rsidRPr="0033338C" w:rsidRDefault="00253B80" w:rsidP="00253B80">
            <w:pPr>
              <w:spacing w:after="0" w:line="240" w:lineRule="auto"/>
              <w:jc w:val="both"/>
              <w:rPr>
                <w:rFonts w:ascii="Arial" w:hAnsi="Arial" w:cs="Arial"/>
                <w:sz w:val="24"/>
                <w:szCs w:val="24"/>
              </w:rPr>
            </w:pPr>
            <w:r w:rsidRPr="0033338C">
              <w:rPr>
                <w:rFonts w:ascii="Arial" w:hAnsi="Arial" w:cs="Arial"/>
              </w:rPr>
              <w:t>Sharp collapse after 2022; company unable to cover interest costs.</w:t>
            </w:r>
          </w:p>
        </w:tc>
      </w:tr>
      <w:tr w:rsidR="008F513D" w:rsidRPr="0033338C" w14:paraId="26C56E59" w14:textId="77777777" w:rsidTr="002908C5">
        <w:tc>
          <w:tcPr>
            <w:tcW w:w="995" w:type="dxa"/>
            <w:hideMark/>
          </w:tcPr>
          <w:p w14:paraId="2F10BF54" w14:textId="77777777" w:rsidR="00C33465" w:rsidRPr="0033338C" w:rsidRDefault="00C33465" w:rsidP="00C33465">
            <w:pPr>
              <w:spacing w:line="360" w:lineRule="auto"/>
              <w:jc w:val="both"/>
              <w:rPr>
                <w:rFonts w:ascii="Arial" w:hAnsi="Arial" w:cs="Arial"/>
                <w:lang w:val="en-US"/>
              </w:rPr>
            </w:pPr>
            <w:r w:rsidRPr="0033338C">
              <w:rPr>
                <w:rFonts w:ascii="Arial" w:hAnsi="Arial" w:cs="Arial"/>
                <w:b/>
                <w:bCs/>
                <w:lang w:val="en-US"/>
              </w:rPr>
              <w:t>Cash Flow</w:t>
            </w:r>
          </w:p>
        </w:tc>
        <w:tc>
          <w:tcPr>
            <w:tcW w:w="985" w:type="dxa"/>
            <w:hideMark/>
          </w:tcPr>
          <w:p w14:paraId="3088B981"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Operating Cash Flow Ratio</w:t>
            </w:r>
          </w:p>
        </w:tc>
        <w:tc>
          <w:tcPr>
            <w:tcW w:w="1701" w:type="dxa"/>
            <w:hideMark/>
          </w:tcPr>
          <w:p w14:paraId="0841685A" w14:textId="05363874"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CFO</m:t>
                    </m:r>
                    <m:ctrlPr>
                      <w:rPr>
                        <w:rFonts w:ascii="Cambria Math" w:hAnsi="Cambria Math" w:cs="Arial"/>
                        <w:lang w:val="en-US"/>
                      </w:rPr>
                    </m:ctrlPr>
                  </m:num>
                  <m:den>
                    <m:r>
                      <m:rPr>
                        <m:sty m:val="p"/>
                      </m:rPr>
                      <w:rPr>
                        <w:rFonts w:ascii="Cambria Math" w:hAnsi="Cambria Math" w:cs="Arial"/>
                        <w:lang w:val="en-US"/>
                      </w:rPr>
                      <m:t>Total Liabilities</m:t>
                    </m:r>
                  </m:den>
                </m:f>
              </m:oMath>
            </m:oMathPara>
          </w:p>
        </w:tc>
        <w:tc>
          <w:tcPr>
            <w:tcW w:w="850" w:type="dxa"/>
            <w:hideMark/>
          </w:tcPr>
          <w:p w14:paraId="504CFA0B" w14:textId="14EC08AE"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14.39%</w:t>
            </w:r>
          </w:p>
        </w:tc>
        <w:tc>
          <w:tcPr>
            <w:tcW w:w="709" w:type="dxa"/>
            <w:hideMark/>
          </w:tcPr>
          <w:p w14:paraId="34215E6D" w14:textId="30F4CB7B" w:rsidR="00C33465" w:rsidRPr="0033338C" w:rsidRDefault="00C33465" w:rsidP="00C33465">
            <w:pPr>
              <w:spacing w:line="360" w:lineRule="auto"/>
              <w:jc w:val="both"/>
              <w:rPr>
                <w:rFonts w:ascii="Arial" w:hAnsi="Arial" w:cs="Arial"/>
                <w:lang w:val="en-US"/>
              </w:rPr>
            </w:pPr>
            <w:r w:rsidRPr="0033338C">
              <w:rPr>
                <w:rFonts w:ascii="Arial" w:hAnsi="Arial" w:cs="Arial"/>
                <w:lang w:val="en-US"/>
              </w:rPr>
              <w:t>8.29%</w:t>
            </w:r>
          </w:p>
        </w:tc>
        <w:tc>
          <w:tcPr>
            <w:tcW w:w="851" w:type="dxa"/>
            <w:hideMark/>
          </w:tcPr>
          <w:p w14:paraId="7F303AAF" w14:textId="6895CE25" w:rsidR="00C33465" w:rsidRPr="0033338C" w:rsidRDefault="00C33465" w:rsidP="00C33465">
            <w:pPr>
              <w:spacing w:line="360" w:lineRule="auto"/>
              <w:jc w:val="both"/>
              <w:rPr>
                <w:rFonts w:ascii="Arial" w:hAnsi="Arial" w:cs="Arial"/>
                <w:lang w:val="en-US"/>
              </w:rPr>
            </w:pPr>
            <w:r w:rsidRPr="0033338C">
              <w:rPr>
                <w:rFonts w:ascii="Arial" w:hAnsi="Arial" w:cs="Arial"/>
                <w:lang w:val="en-US"/>
              </w:rPr>
              <w:t>2.11%</w:t>
            </w:r>
          </w:p>
        </w:tc>
        <w:tc>
          <w:tcPr>
            <w:tcW w:w="850" w:type="dxa"/>
            <w:hideMark/>
          </w:tcPr>
          <w:p w14:paraId="78484987" w14:textId="7C5102AD" w:rsidR="00C33465" w:rsidRPr="0033338C" w:rsidRDefault="00C33465" w:rsidP="00C33465">
            <w:pPr>
              <w:spacing w:line="360" w:lineRule="auto"/>
              <w:jc w:val="both"/>
              <w:rPr>
                <w:rFonts w:ascii="Arial" w:hAnsi="Arial" w:cs="Arial"/>
                <w:lang w:val="en-US"/>
              </w:rPr>
            </w:pPr>
            <w:r w:rsidRPr="0033338C">
              <w:rPr>
                <w:rFonts w:ascii="Arial" w:hAnsi="Arial" w:cs="Arial"/>
                <w:lang w:val="en-US"/>
              </w:rPr>
              <w:t>5.90%</w:t>
            </w:r>
          </w:p>
        </w:tc>
        <w:tc>
          <w:tcPr>
            <w:tcW w:w="2075" w:type="dxa"/>
            <w:hideMark/>
          </w:tcPr>
          <w:p w14:paraId="0839A6EC" w14:textId="61674D3A" w:rsidR="00C33465" w:rsidRPr="0033338C" w:rsidRDefault="00C33465" w:rsidP="00C33465">
            <w:pPr>
              <w:spacing w:line="360" w:lineRule="auto"/>
              <w:jc w:val="both"/>
              <w:rPr>
                <w:rFonts w:ascii="Arial" w:hAnsi="Arial" w:cs="Arial"/>
                <w:lang w:val="en-US"/>
              </w:rPr>
            </w:pPr>
            <w:r w:rsidRPr="0033338C">
              <w:rPr>
                <w:rFonts w:ascii="Arial" w:hAnsi="Arial" w:cs="Arial"/>
                <w:lang w:val="en-US"/>
              </w:rPr>
              <w:t>4.59%</w:t>
            </w:r>
          </w:p>
        </w:tc>
      </w:tr>
      <w:tr w:rsidR="00443D84" w:rsidRPr="0033338C" w14:paraId="1CA84A83" w14:textId="77777777" w:rsidTr="002908C5">
        <w:tc>
          <w:tcPr>
            <w:tcW w:w="995" w:type="dxa"/>
            <w:hideMark/>
          </w:tcPr>
          <w:p w14:paraId="7F271229" w14:textId="77777777" w:rsidR="00C33465" w:rsidRPr="0033338C" w:rsidRDefault="00C33465" w:rsidP="00C33465">
            <w:pPr>
              <w:spacing w:line="360" w:lineRule="auto"/>
              <w:jc w:val="both"/>
              <w:rPr>
                <w:rFonts w:ascii="Arial" w:hAnsi="Arial" w:cs="Arial"/>
                <w:lang w:val="en-US"/>
              </w:rPr>
            </w:pPr>
          </w:p>
        </w:tc>
        <w:tc>
          <w:tcPr>
            <w:tcW w:w="985" w:type="dxa"/>
            <w:hideMark/>
          </w:tcPr>
          <w:p w14:paraId="18F0BA30" w14:textId="77777777" w:rsidR="00C33465" w:rsidRPr="0033338C" w:rsidRDefault="00C33465" w:rsidP="00C33465">
            <w:pPr>
              <w:spacing w:line="360" w:lineRule="auto"/>
              <w:jc w:val="both"/>
              <w:rPr>
                <w:rFonts w:ascii="Arial" w:hAnsi="Arial" w:cs="Arial"/>
                <w:lang w:val="en-US"/>
              </w:rPr>
            </w:pPr>
            <w:r w:rsidRPr="0033338C">
              <w:rPr>
                <w:rFonts w:ascii="Arial" w:hAnsi="Arial" w:cs="Arial"/>
                <w:lang w:val="en-US"/>
              </w:rPr>
              <w:t>Capex/CFO</w:t>
            </w:r>
          </w:p>
        </w:tc>
        <w:tc>
          <w:tcPr>
            <w:tcW w:w="1701" w:type="dxa"/>
            <w:hideMark/>
          </w:tcPr>
          <w:p w14:paraId="662390B0" w14:textId="3DEFB4DD" w:rsidR="00C33465" w:rsidRPr="0033338C" w:rsidRDefault="00020729" w:rsidP="00C33465">
            <w:pPr>
              <w:spacing w:line="360" w:lineRule="auto"/>
              <w:jc w:val="both"/>
              <w:rPr>
                <w:rFonts w:ascii="Arial" w:hAnsi="Arial" w:cs="Arial"/>
                <w:lang w:val="en-US"/>
              </w:rPr>
            </w:pPr>
            <m:oMathPara>
              <m:oMath>
                <m:f>
                  <m:fPr>
                    <m:ctrlPr>
                      <w:rPr>
                        <w:rFonts w:ascii="Cambria Math" w:hAnsi="Cambria Math" w:cs="Arial"/>
                        <w:i/>
                        <w:lang w:val="en-US"/>
                      </w:rPr>
                    </m:ctrlPr>
                  </m:fPr>
                  <m:num>
                    <m:r>
                      <m:rPr>
                        <m:sty m:val="p"/>
                      </m:rPr>
                      <w:rPr>
                        <w:rFonts w:ascii="Cambria Math" w:hAnsi="Cambria Math" w:cs="Arial"/>
                        <w:lang w:val="en-US"/>
                      </w:rPr>
                      <m:t>Acquisition of PP</m:t>
                    </m:r>
                    <m:r>
                      <m:rPr>
                        <m:lit/>
                        <m:sty m:val="p"/>
                      </m:rPr>
                      <w:rPr>
                        <w:rFonts w:ascii="Cambria Math" w:hAnsi="Cambria Math" w:cs="Arial"/>
                        <w:lang w:val="en-US"/>
                      </w:rPr>
                      <m:t>&amp;</m:t>
                    </m:r>
                    <m:r>
                      <m:rPr>
                        <m:sty m:val="p"/>
                      </m:rPr>
                      <w:rPr>
                        <w:rFonts w:ascii="Cambria Math" w:hAnsi="Cambria Math" w:cs="Arial"/>
                        <w:lang w:val="en-US"/>
                      </w:rPr>
                      <m:t>E</m:t>
                    </m:r>
                    <m:ctrlPr>
                      <w:rPr>
                        <w:rFonts w:ascii="Cambria Math" w:hAnsi="Cambria Math" w:cs="Arial"/>
                        <w:lang w:val="en-US"/>
                      </w:rPr>
                    </m:ctrlPr>
                  </m:num>
                  <m:den>
                    <m:r>
                      <m:rPr>
                        <m:sty m:val="p"/>
                      </m:rPr>
                      <w:rPr>
                        <w:rFonts w:ascii="Cambria Math" w:hAnsi="Cambria Math" w:cs="Arial"/>
                        <w:lang w:val="en-US"/>
                      </w:rPr>
                      <m:t>CFO</m:t>
                    </m:r>
                  </m:den>
                </m:f>
              </m:oMath>
            </m:oMathPara>
          </w:p>
        </w:tc>
        <w:tc>
          <w:tcPr>
            <w:tcW w:w="850" w:type="dxa"/>
            <w:hideMark/>
          </w:tcPr>
          <w:p w14:paraId="7D729430" w14:textId="3715DC4B" w:rsidR="00C33465" w:rsidRPr="0033338C" w:rsidRDefault="00C33465" w:rsidP="00C33465">
            <w:pPr>
              <w:spacing w:line="360" w:lineRule="auto"/>
              <w:jc w:val="both"/>
              <w:rPr>
                <w:rFonts w:ascii="Arial" w:hAnsi="Arial" w:cs="Arial"/>
                <w:lang w:val="en-US"/>
              </w:rPr>
            </w:pPr>
            <w:r w:rsidRPr="0033338C">
              <w:rPr>
                <w:rFonts w:ascii="Arial" w:hAnsi="Arial" w:cs="Arial"/>
                <w:lang w:val="en-US"/>
              </w:rPr>
              <w:t>22.98%</w:t>
            </w:r>
          </w:p>
        </w:tc>
        <w:tc>
          <w:tcPr>
            <w:tcW w:w="709" w:type="dxa"/>
            <w:hideMark/>
          </w:tcPr>
          <w:p w14:paraId="2FABF6FD" w14:textId="77CDA235" w:rsidR="00C33465" w:rsidRPr="0033338C" w:rsidRDefault="00C33465" w:rsidP="00C33465">
            <w:pPr>
              <w:spacing w:line="360" w:lineRule="auto"/>
              <w:jc w:val="both"/>
              <w:rPr>
                <w:rFonts w:ascii="Arial" w:hAnsi="Arial" w:cs="Arial"/>
                <w:lang w:val="en-US"/>
              </w:rPr>
            </w:pPr>
            <w:r w:rsidRPr="0033338C">
              <w:rPr>
                <w:rFonts w:ascii="Arial" w:hAnsi="Arial" w:cs="Arial"/>
                <w:lang w:val="en-US"/>
              </w:rPr>
              <w:t>31.29%</w:t>
            </w:r>
          </w:p>
        </w:tc>
        <w:tc>
          <w:tcPr>
            <w:tcW w:w="851" w:type="dxa"/>
            <w:hideMark/>
          </w:tcPr>
          <w:p w14:paraId="732F23FF" w14:textId="6F44A6FD" w:rsidR="00C33465" w:rsidRPr="0033338C" w:rsidRDefault="00C33465" w:rsidP="00C33465">
            <w:pPr>
              <w:spacing w:line="360" w:lineRule="auto"/>
              <w:jc w:val="both"/>
              <w:rPr>
                <w:rFonts w:ascii="Arial" w:hAnsi="Arial" w:cs="Arial"/>
                <w:lang w:val="en-US"/>
              </w:rPr>
            </w:pPr>
            <w:r w:rsidRPr="0033338C">
              <w:rPr>
                <w:rFonts w:ascii="Arial" w:hAnsi="Arial" w:cs="Arial"/>
                <w:lang w:val="en-US"/>
              </w:rPr>
              <w:t>128.19%</w:t>
            </w:r>
          </w:p>
        </w:tc>
        <w:tc>
          <w:tcPr>
            <w:tcW w:w="850" w:type="dxa"/>
            <w:hideMark/>
          </w:tcPr>
          <w:p w14:paraId="7284D08A" w14:textId="267802CB" w:rsidR="00C33465" w:rsidRPr="0033338C" w:rsidRDefault="00C33465" w:rsidP="00C33465">
            <w:pPr>
              <w:spacing w:line="360" w:lineRule="auto"/>
              <w:jc w:val="both"/>
              <w:rPr>
                <w:rFonts w:ascii="Arial" w:hAnsi="Arial" w:cs="Arial"/>
                <w:lang w:val="en-US"/>
              </w:rPr>
            </w:pPr>
            <w:r w:rsidRPr="0033338C">
              <w:rPr>
                <w:rFonts w:ascii="Arial" w:hAnsi="Arial" w:cs="Arial"/>
                <w:lang w:val="en-US"/>
              </w:rPr>
              <w:t>32.22%</w:t>
            </w:r>
          </w:p>
        </w:tc>
        <w:tc>
          <w:tcPr>
            <w:tcW w:w="2075" w:type="dxa"/>
            <w:hideMark/>
          </w:tcPr>
          <w:p w14:paraId="6C413557" w14:textId="3FCA7A04" w:rsidR="00C33465" w:rsidRPr="0033338C" w:rsidRDefault="00C33465" w:rsidP="00C33465">
            <w:pPr>
              <w:spacing w:line="360" w:lineRule="auto"/>
              <w:jc w:val="both"/>
              <w:rPr>
                <w:rFonts w:ascii="Arial" w:hAnsi="Arial" w:cs="Arial"/>
                <w:lang w:val="en-US"/>
              </w:rPr>
            </w:pPr>
            <w:r w:rsidRPr="0033338C">
              <w:rPr>
                <w:rFonts w:ascii="Arial" w:hAnsi="Arial" w:cs="Arial"/>
                <w:lang w:val="en-US"/>
              </w:rPr>
              <w:t>30.85%</w:t>
            </w:r>
          </w:p>
        </w:tc>
      </w:tr>
    </w:tbl>
    <w:p w14:paraId="7C5F1EC2" w14:textId="77777777" w:rsidR="00FB1E75" w:rsidRPr="0033338C" w:rsidRDefault="00FB1E75" w:rsidP="00CD4561">
      <w:pPr>
        <w:spacing w:line="360" w:lineRule="auto"/>
        <w:jc w:val="both"/>
        <w:rPr>
          <w:rFonts w:ascii="Arial" w:hAnsi="Arial" w:cs="Arial"/>
          <w:sz w:val="24"/>
          <w:szCs w:val="24"/>
        </w:rPr>
      </w:pPr>
    </w:p>
    <w:p w14:paraId="4BE337F0" w14:textId="7D09CF35" w:rsidR="003B1879" w:rsidRPr="0033338C" w:rsidRDefault="00FB1E75" w:rsidP="00840E24">
      <w:pPr>
        <w:pStyle w:val="Heading2"/>
        <w:rPr>
          <w:rFonts w:cs="Arial"/>
        </w:rPr>
      </w:pPr>
      <w:bookmarkStart w:id="5" w:name="_Toc214831126"/>
      <w:r w:rsidRPr="0033338C">
        <w:rPr>
          <w:rFonts w:cs="Arial"/>
        </w:rPr>
        <w:t>C. Identified Trends, Strengths, and Threats</w:t>
      </w:r>
      <w:bookmarkEnd w:id="5"/>
    </w:p>
    <w:p w14:paraId="62377A63" w14:textId="77777777" w:rsidR="00A3094D" w:rsidRPr="0033338C" w:rsidRDefault="00A3094D" w:rsidP="00A3094D">
      <w:pPr>
        <w:spacing w:line="360" w:lineRule="auto"/>
        <w:jc w:val="both"/>
        <w:rPr>
          <w:rFonts w:ascii="Arial" w:hAnsi="Arial" w:cs="Arial"/>
          <w:b/>
          <w:bCs/>
          <w:sz w:val="24"/>
          <w:szCs w:val="24"/>
          <w:lang w:val="en-US"/>
        </w:rPr>
      </w:pPr>
      <w:r w:rsidRPr="0033338C">
        <w:rPr>
          <w:rFonts w:ascii="Arial" w:hAnsi="Arial" w:cs="Arial"/>
          <w:b/>
          <w:bCs/>
          <w:sz w:val="24"/>
          <w:szCs w:val="24"/>
          <w:lang w:val="en-US"/>
        </w:rPr>
        <w:t>1. Trends</w:t>
      </w:r>
    </w:p>
    <w:p w14:paraId="2D84670B" w14:textId="5A49CCBD" w:rsidR="00595FE3" w:rsidRPr="0033338C" w:rsidRDefault="00595FE3" w:rsidP="004D49B8">
      <w:pPr>
        <w:pStyle w:val="ListParagraph"/>
        <w:numPr>
          <w:ilvl w:val="0"/>
          <w:numId w:val="6"/>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Constant Revenue Reduction: </w:t>
      </w:r>
      <w:r w:rsidRPr="0033338C">
        <w:rPr>
          <w:rFonts w:ascii="Arial" w:hAnsi="Arial" w:cs="Arial"/>
          <w:sz w:val="24"/>
          <w:szCs w:val="24"/>
          <w:lang w:val="en-US"/>
        </w:rPr>
        <w:t>Net sales decrease throughout the period between 2020 and 2024, which means the loss of demand, competition, and potential obsolescence of the product. The decreasing gross margins which are expected to further drop in 2023 accompany this downward trend indicating a lack of efficiency in the operations (Financial Management Assessment Brief, 2025).</w:t>
      </w:r>
    </w:p>
    <w:p w14:paraId="6BA42CEA" w14:textId="3564B112" w:rsidR="00595FE3" w:rsidRPr="0033338C" w:rsidRDefault="00595FE3" w:rsidP="004D49B8">
      <w:pPr>
        <w:pStyle w:val="ListParagraph"/>
        <w:numPr>
          <w:ilvl w:val="0"/>
          <w:numId w:val="6"/>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Profitability Collapse: </w:t>
      </w:r>
      <w:r w:rsidRPr="0033338C">
        <w:rPr>
          <w:rFonts w:ascii="Arial" w:hAnsi="Arial" w:cs="Arial"/>
          <w:sz w:val="24"/>
          <w:szCs w:val="24"/>
          <w:lang w:val="en-US"/>
        </w:rPr>
        <w:t>The operating income becomes massively negative in 2023 and continues to be negative in 2024, indicating the cost increase and worsening cost to revenue fit. The net losses are widening with time, and this implies more structural problems.</w:t>
      </w:r>
    </w:p>
    <w:p w14:paraId="25F5D619" w14:textId="305B3ABD" w:rsidR="00595FE3" w:rsidRPr="0033338C" w:rsidRDefault="00595FE3" w:rsidP="004D49B8">
      <w:pPr>
        <w:pStyle w:val="ListParagraph"/>
        <w:numPr>
          <w:ilvl w:val="0"/>
          <w:numId w:val="6"/>
        </w:numPr>
        <w:spacing w:line="360" w:lineRule="auto"/>
        <w:jc w:val="both"/>
        <w:rPr>
          <w:rFonts w:ascii="Arial" w:hAnsi="Arial" w:cs="Arial"/>
          <w:sz w:val="24"/>
          <w:szCs w:val="24"/>
          <w:lang w:val="en-US"/>
        </w:rPr>
      </w:pPr>
      <w:r w:rsidRPr="0033338C">
        <w:rPr>
          <w:rFonts w:ascii="Arial" w:hAnsi="Arial" w:cs="Arial"/>
          <w:b/>
          <w:bCs/>
          <w:sz w:val="24"/>
          <w:szCs w:val="24"/>
          <w:lang w:val="en-US"/>
        </w:rPr>
        <w:lastRenderedPageBreak/>
        <w:t xml:space="preserve">Working Capital Volatility: </w:t>
      </w:r>
      <w:r w:rsidRPr="0033338C">
        <w:rPr>
          <w:rFonts w:ascii="Arial" w:hAnsi="Arial" w:cs="Arial"/>
          <w:sz w:val="24"/>
          <w:szCs w:val="24"/>
          <w:lang w:val="en-US"/>
        </w:rPr>
        <w:t>Inventory, receivables and payables vary very much signifying an unstable production planning, credit management and supplier negotiation. This volatility causes more liquidity pressure (Atrill and McLaney, 2022).</w:t>
      </w:r>
    </w:p>
    <w:p w14:paraId="58D6C670" w14:textId="6AACCB3D" w:rsidR="00595FE3" w:rsidRPr="0033338C" w:rsidRDefault="00595FE3" w:rsidP="004D49B8">
      <w:pPr>
        <w:pStyle w:val="ListParagraph"/>
        <w:numPr>
          <w:ilvl w:val="0"/>
          <w:numId w:val="6"/>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Weak Solvency Position: </w:t>
      </w:r>
      <w:r w:rsidRPr="0033338C">
        <w:rPr>
          <w:rFonts w:ascii="Arial" w:hAnsi="Arial" w:cs="Arial"/>
          <w:sz w:val="24"/>
          <w:szCs w:val="24"/>
          <w:lang w:val="en-US"/>
        </w:rPr>
        <w:t>Increasing debt-to-equity ratios along with negative interest-coverage ratios indicate that the company is facing financial distress and facing an excessively high leverage position.</w:t>
      </w:r>
    </w:p>
    <w:p w14:paraId="397CC8EC" w14:textId="0441B5E0" w:rsidR="00A3094D" w:rsidRPr="0033338C" w:rsidRDefault="00595FE3" w:rsidP="00595FE3">
      <w:pPr>
        <w:pStyle w:val="ListParagraph"/>
        <w:numPr>
          <w:ilvl w:val="0"/>
          <w:numId w:val="6"/>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Cash Flow Unpredictability: </w:t>
      </w:r>
      <w:r w:rsidRPr="0033338C">
        <w:rPr>
          <w:rFonts w:ascii="Arial" w:hAnsi="Arial" w:cs="Arial"/>
          <w:sz w:val="24"/>
          <w:szCs w:val="24"/>
          <w:lang w:val="en-US"/>
        </w:rPr>
        <w:t>Operating cash flow is not consistent over the five years to be able to invest in the future or be financially flexible.</w:t>
      </w:r>
    </w:p>
    <w:p w14:paraId="0334C74D" w14:textId="77777777" w:rsidR="00A3094D" w:rsidRPr="0033338C" w:rsidRDefault="00A3094D" w:rsidP="00A3094D">
      <w:pPr>
        <w:spacing w:line="360" w:lineRule="auto"/>
        <w:jc w:val="both"/>
        <w:rPr>
          <w:rFonts w:ascii="Arial" w:hAnsi="Arial" w:cs="Arial"/>
          <w:b/>
          <w:bCs/>
          <w:sz w:val="24"/>
          <w:szCs w:val="24"/>
          <w:lang w:val="en-US"/>
        </w:rPr>
      </w:pPr>
      <w:r w:rsidRPr="0033338C">
        <w:rPr>
          <w:rFonts w:ascii="Arial" w:hAnsi="Arial" w:cs="Arial"/>
          <w:b/>
          <w:bCs/>
          <w:sz w:val="24"/>
          <w:szCs w:val="24"/>
          <w:lang w:val="en-US"/>
        </w:rPr>
        <w:t>2. Strengths</w:t>
      </w:r>
    </w:p>
    <w:p w14:paraId="283C2A42" w14:textId="1025160B" w:rsidR="005436CC" w:rsidRPr="0033338C" w:rsidRDefault="005436CC" w:rsidP="005436CC">
      <w:pPr>
        <w:pStyle w:val="ListParagraph"/>
        <w:numPr>
          <w:ilvl w:val="0"/>
          <w:numId w:val="8"/>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High Asset Base: </w:t>
      </w:r>
      <w:r w:rsidRPr="0033338C">
        <w:rPr>
          <w:rFonts w:ascii="Arial" w:hAnsi="Arial" w:cs="Arial"/>
          <w:sz w:val="24"/>
          <w:szCs w:val="24"/>
          <w:lang w:val="en-US"/>
        </w:rPr>
        <w:t>The company has an asset base that is large even after the deterioration and this provides potential of restructuring in terms of divestiture or selling of the non-core units.</w:t>
      </w:r>
    </w:p>
    <w:p w14:paraId="2A5A0AFF" w14:textId="7DA21DAF" w:rsidR="005436CC" w:rsidRPr="0033338C" w:rsidRDefault="005436CC" w:rsidP="005436CC">
      <w:pPr>
        <w:pStyle w:val="ListParagraph"/>
        <w:numPr>
          <w:ilvl w:val="0"/>
          <w:numId w:val="8"/>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Global Scale: </w:t>
      </w:r>
      <w:r w:rsidRPr="0033338C">
        <w:rPr>
          <w:rFonts w:ascii="Arial" w:hAnsi="Arial" w:cs="Arial"/>
          <w:sz w:val="24"/>
          <w:szCs w:val="24"/>
          <w:lang w:val="en-US"/>
        </w:rPr>
        <w:t>The multination presence offers a chance to re-enter the market, reposition the product or reorganise the region to stabilise the revenue flows (Hill &amp; Hult, 2020).</w:t>
      </w:r>
    </w:p>
    <w:p w14:paraId="7FF699B7" w14:textId="5577C077" w:rsidR="00A3094D" w:rsidRPr="0033338C" w:rsidRDefault="005436CC" w:rsidP="005436CC">
      <w:pPr>
        <w:pStyle w:val="ListParagraph"/>
        <w:numPr>
          <w:ilvl w:val="0"/>
          <w:numId w:val="8"/>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Operational Capacities: </w:t>
      </w:r>
      <w:r w:rsidRPr="0033338C">
        <w:rPr>
          <w:rFonts w:ascii="Arial" w:hAnsi="Arial" w:cs="Arial"/>
          <w:sz w:val="24"/>
          <w:szCs w:val="24"/>
          <w:lang w:val="en-US"/>
        </w:rPr>
        <w:t>The sales and production capacities are historically high which point in the latent possibilities of recovery provided there is realignment of the strategies.</w:t>
      </w:r>
    </w:p>
    <w:p w14:paraId="327406C7" w14:textId="77777777" w:rsidR="00A3094D" w:rsidRPr="0033338C" w:rsidRDefault="00A3094D" w:rsidP="00A3094D">
      <w:pPr>
        <w:spacing w:line="360" w:lineRule="auto"/>
        <w:jc w:val="both"/>
        <w:rPr>
          <w:rFonts w:ascii="Arial" w:hAnsi="Arial" w:cs="Arial"/>
          <w:b/>
          <w:bCs/>
          <w:sz w:val="24"/>
          <w:szCs w:val="24"/>
          <w:lang w:val="en-US"/>
        </w:rPr>
      </w:pPr>
      <w:r w:rsidRPr="0033338C">
        <w:rPr>
          <w:rFonts w:ascii="Arial" w:hAnsi="Arial" w:cs="Arial"/>
          <w:b/>
          <w:bCs/>
          <w:sz w:val="24"/>
          <w:szCs w:val="24"/>
          <w:lang w:val="en-US"/>
        </w:rPr>
        <w:t>3. Threats</w:t>
      </w:r>
    </w:p>
    <w:p w14:paraId="2ABC53D8" w14:textId="1AA8E3A4" w:rsidR="001A6211" w:rsidRPr="0033338C" w:rsidRDefault="001A6211" w:rsidP="001A6211">
      <w:pPr>
        <w:pStyle w:val="ListParagraph"/>
        <w:numPr>
          <w:ilvl w:val="0"/>
          <w:numId w:val="7"/>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Large Bankruptcy Probability: </w:t>
      </w:r>
      <w:r w:rsidRPr="0033338C">
        <w:rPr>
          <w:rFonts w:ascii="Arial" w:hAnsi="Arial" w:cs="Arial"/>
          <w:sz w:val="24"/>
          <w:szCs w:val="24"/>
          <w:lang w:val="en-US"/>
        </w:rPr>
        <w:t>Bad operating income, declining equity and bad interest-coverage ratios all elevate the insolvency risk in the corporate failure models (Altman, 2013).</w:t>
      </w:r>
    </w:p>
    <w:p w14:paraId="3295E6EB" w14:textId="7A98C8F1" w:rsidR="001A6211" w:rsidRPr="0033338C" w:rsidRDefault="001A6211" w:rsidP="001A6211">
      <w:pPr>
        <w:pStyle w:val="ListParagraph"/>
        <w:numPr>
          <w:ilvl w:val="0"/>
          <w:numId w:val="7"/>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Debt Dependence: </w:t>
      </w:r>
      <w:r w:rsidRPr="0033338C">
        <w:rPr>
          <w:rFonts w:ascii="Arial" w:hAnsi="Arial" w:cs="Arial"/>
          <w:sz w:val="24"/>
          <w:szCs w:val="24"/>
          <w:lang w:val="en-US"/>
        </w:rPr>
        <w:t>The firm depends heavily on short term credit and long-term liabilities and this makes it prone to financial shocks particularly when interest rates are on the increase.</w:t>
      </w:r>
    </w:p>
    <w:p w14:paraId="19D014F5" w14:textId="0E34E598" w:rsidR="001A6211" w:rsidRPr="0033338C" w:rsidRDefault="001A6211" w:rsidP="001A6211">
      <w:pPr>
        <w:pStyle w:val="ListParagraph"/>
        <w:numPr>
          <w:ilvl w:val="0"/>
          <w:numId w:val="7"/>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Market Competitiveness: </w:t>
      </w:r>
      <w:r w:rsidRPr="0033338C">
        <w:rPr>
          <w:rFonts w:ascii="Arial" w:hAnsi="Arial" w:cs="Arial"/>
          <w:sz w:val="24"/>
          <w:szCs w:val="24"/>
          <w:lang w:val="en-US"/>
        </w:rPr>
        <w:t>The inability to maintain the current level of revenue implies susceptibility to technological interference and intense rivals.</w:t>
      </w:r>
    </w:p>
    <w:p w14:paraId="22038A12" w14:textId="0E9F1E45" w:rsidR="001A6211" w:rsidRPr="0033338C" w:rsidRDefault="001A6211" w:rsidP="001A6211">
      <w:pPr>
        <w:pStyle w:val="ListParagraph"/>
        <w:numPr>
          <w:ilvl w:val="0"/>
          <w:numId w:val="7"/>
        </w:numPr>
        <w:spacing w:line="360" w:lineRule="auto"/>
        <w:jc w:val="both"/>
        <w:rPr>
          <w:rFonts w:ascii="Arial" w:hAnsi="Arial" w:cs="Arial"/>
          <w:sz w:val="24"/>
          <w:szCs w:val="24"/>
          <w:lang w:val="en-US"/>
        </w:rPr>
      </w:pPr>
      <w:r w:rsidRPr="0033338C">
        <w:rPr>
          <w:rFonts w:ascii="Arial" w:hAnsi="Arial" w:cs="Arial"/>
          <w:b/>
          <w:bCs/>
          <w:sz w:val="24"/>
          <w:szCs w:val="24"/>
          <w:lang w:val="en-US"/>
        </w:rPr>
        <w:t xml:space="preserve">Liquidity Pressure: </w:t>
      </w:r>
      <w:r w:rsidRPr="0033338C">
        <w:rPr>
          <w:rFonts w:ascii="Arial" w:hAnsi="Arial" w:cs="Arial"/>
          <w:sz w:val="24"/>
          <w:szCs w:val="24"/>
          <w:lang w:val="en-US"/>
        </w:rPr>
        <w:t>The decreasing reserves and poor working capital restrict the possibility of the company financing its operations without external funds.</w:t>
      </w:r>
    </w:p>
    <w:p w14:paraId="598AB3B2" w14:textId="09590527" w:rsidR="00A3094D" w:rsidRPr="0033338C" w:rsidRDefault="001A6211" w:rsidP="001A6211">
      <w:pPr>
        <w:pStyle w:val="ListParagraph"/>
        <w:numPr>
          <w:ilvl w:val="0"/>
          <w:numId w:val="7"/>
        </w:numPr>
        <w:spacing w:line="360" w:lineRule="auto"/>
        <w:jc w:val="both"/>
        <w:rPr>
          <w:rFonts w:ascii="Arial" w:hAnsi="Arial" w:cs="Arial"/>
          <w:sz w:val="24"/>
          <w:szCs w:val="24"/>
          <w:lang w:val="en-US"/>
        </w:rPr>
      </w:pPr>
      <w:r w:rsidRPr="0033338C">
        <w:rPr>
          <w:rFonts w:ascii="Arial" w:hAnsi="Arial" w:cs="Arial"/>
          <w:b/>
          <w:bCs/>
          <w:sz w:val="24"/>
          <w:szCs w:val="24"/>
          <w:lang w:val="en-US"/>
        </w:rPr>
        <w:lastRenderedPageBreak/>
        <w:t xml:space="preserve">Shareholder Value Destruction: </w:t>
      </w:r>
      <w:r w:rsidRPr="0033338C">
        <w:rPr>
          <w:rFonts w:ascii="Arial" w:hAnsi="Arial" w:cs="Arial"/>
          <w:sz w:val="24"/>
          <w:szCs w:val="24"/>
          <w:lang w:val="en-US"/>
        </w:rPr>
        <w:t>Massive losses, falling EPS and falling equity undermines investor confidence and increases capital raising issues.</w:t>
      </w:r>
    </w:p>
    <w:p w14:paraId="391C9CDD" w14:textId="4BA23CE2" w:rsidR="00A3094D" w:rsidRPr="0033338C" w:rsidRDefault="00A3094D" w:rsidP="00840E24">
      <w:pPr>
        <w:pStyle w:val="Heading2"/>
        <w:rPr>
          <w:rFonts w:cs="Arial"/>
          <w:lang w:val="en-US"/>
        </w:rPr>
      </w:pPr>
      <w:bookmarkStart w:id="6" w:name="_Toc214831127"/>
      <w:r w:rsidRPr="0033338C">
        <w:rPr>
          <w:rFonts w:cs="Arial"/>
          <w:lang w:val="en-US"/>
        </w:rPr>
        <w:t xml:space="preserve">D. </w:t>
      </w:r>
      <w:r w:rsidR="0059582F" w:rsidRPr="0033338C">
        <w:rPr>
          <w:rFonts w:cs="Arial"/>
          <w:lang w:val="en-US"/>
        </w:rPr>
        <w:t>Corporate Failure Prediction: Altman Z-Score</w:t>
      </w:r>
      <w:bookmarkEnd w:id="6"/>
      <w:r w:rsidRPr="0033338C">
        <w:rPr>
          <w:rFonts w:cs="Arial"/>
          <w:lang w:val="en-US"/>
        </w:rPr>
        <w:t xml:space="preserve"> </w:t>
      </w:r>
    </w:p>
    <w:p w14:paraId="19BAA507" w14:textId="53DBE8A3" w:rsidR="00A3094D" w:rsidRPr="0033338C" w:rsidRDefault="00BC4C87" w:rsidP="00A3094D">
      <w:pPr>
        <w:spacing w:line="360" w:lineRule="auto"/>
        <w:jc w:val="both"/>
        <w:rPr>
          <w:rFonts w:ascii="Arial" w:hAnsi="Arial" w:cs="Arial"/>
          <w:sz w:val="24"/>
          <w:szCs w:val="24"/>
          <w:lang w:val="en-US"/>
        </w:rPr>
      </w:pPr>
      <w:r w:rsidRPr="0033338C">
        <w:rPr>
          <w:rFonts w:ascii="Arial" w:hAnsi="Arial" w:cs="Arial"/>
          <w:sz w:val="24"/>
          <w:szCs w:val="24"/>
        </w:rPr>
        <w:t>Altman Z-Score is a metric which is used in the calculation of the possibility of a company happening to end up in a financial distress within two years. GE is a non-financial, non-US, and publicly traded company; therefore, the modified Z-score is indicated most often (Altman, 2020), the default Z-score of a public manufacturer is the average in the industry (Altman, 1968). The severe distress warning in this case will be premised on the standard model</w:t>
      </w:r>
      <w:r w:rsidR="00A3094D" w:rsidRPr="0033338C">
        <w:rPr>
          <w:rFonts w:ascii="Arial" w:hAnsi="Arial" w:cs="Arial"/>
          <w:sz w:val="24"/>
          <w:szCs w:val="24"/>
          <w:lang w:val="en-US"/>
        </w:rPr>
        <w:t>.</w:t>
      </w:r>
    </w:p>
    <w:p w14:paraId="5D76BF21" w14:textId="09169EAE" w:rsidR="00B371A4" w:rsidRPr="0033338C" w:rsidRDefault="00B371A4" w:rsidP="00A3094D">
      <w:pPr>
        <w:spacing w:line="360" w:lineRule="auto"/>
        <w:jc w:val="both"/>
        <w:rPr>
          <w:rFonts w:ascii="Arial" w:hAnsi="Arial" w:cs="Arial"/>
          <w:b/>
          <w:bCs/>
          <w:sz w:val="24"/>
          <w:szCs w:val="24"/>
          <w:lang w:val="en-US"/>
        </w:rPr>
      </w:pPr>
      <w:r w:rsidRPr="0033338C">
        <w:rPr>
          <w:rFonts w:ascii="Arial" w:hAnsi="Arial" w:cs="Arial"/>
          <w:b/>
          <w:bCs/>
          <w:sz w:val="24"/>
          <w:szCs w:val="24"/>
          <w:lang w:val="en-US"/>
        </w:rPr>
        <w:t xml:space="preserve">Standard Altman Z-Score </w:t>
      </w:r>
      <w:r w:rsidR="0048680F" w:rsidRPr="0033338C">
        <w:rPr>
          <w:rFonts w:ascii="Arial" w:hAnsi="Arial" w:cs="Arial"/>
          <w:b/>
          <w:bCs/>
          <w:sz w:val="24"/>
          <w:szCs w:val="24"/>
          <w:lang w:val="en-US"/>
        </w:rPr>
        <w:t>Formula</w:t>
      </w:r>
      <w:r w:rsidRPr="0033338C">
        <w:rPr>
          <w:rFonts w:ascii="Arial" w:hAnsi="Arial" w:cs="Arial"/>
          <w:b/>
          <w:bCs/>
          <w:sz w:val="24"/>
          <w:szCs w:val="24"/>
          <w:lang w:val="en-US"/>
        </w:rPr>
        <w:t>:</w:t>
      </w:r>
    </w:p>
    <w:p w14:paraId="6B57A06B" w14:textId="4DDB35A6" w:rsidR="00B67732" w:rsidRPr="0033338C" w:rsidRDefault="00B67732" w:rsidP="00B67732">
      <w:pPr>
        <w:spacing w:line="360" w:lineRule="auto"/>
        <w:rPr>
          <w:rFonts w:ascii="Arial" w:hAnsi="Arial" w:cs="Arial"/>
          <w:sz w:val="24"/>
          <w:szCs w:val="24"/>
          <w:lang w:val="en-US"/>
        </w:rPr>
      </w:pPr>
      <w:r w:rsidRPr="0033338C">
        <w:rPr>
          <w:rFonts w:ascii="Arial" w:hAnsi="Arial" w:cs="Arial"/>
          <w:sz w:val="24"/>
          <w:szCs w:val="24"/>
        </w:rPr>
        <w:t>The classic Altman Z-Score model (Altman, 1968; 2013) is calculated as:</w:t>
      </w:r>
    </w:p>
    <w:p w14:paraId="3B6E71F2" w14:textId="21F3DA12" w:rsidR="00AE6B04" w:rsidRPr="0033338C" w:rsidRDefault="0007358E" w:rsidP="00AE6B04">
      <w:pPr>
        <w:spacing w:line="360" w:lineRule="auto"/>
        <w:jc w:val="center"/>
        <w:rPr>
          <w:rFonts w:ascii="Arial" w:hAnsi="Arial" w:cs="Arial"/>
          <w:sz w:val="24"/>
          <w:szCs w:val="24"/>
        </w:rPr>
      </w:pPr>
      <w:r w:rsidRPr="0033338C">
        <w:rPr>
          <w:rFonts w:ascii="Arial" w:hAnsi="Arial" w:cs="Arial"/>
          <w:sz w:val="24"/>
          <w:szCs w:val="24"/>
        </w:rPr>
        <w:t>Z = 1.2(X</w:t>
      </w:r>
      <w:r w:rsidRPr="0033338C">
        <w:rPr>
          <w:rFonts w:ascii="Cambria Math" w:hAnsi="Cambria Math" w:cs="Cambria Math"/>
          <w:sz w:val="24"/>
          <w:szCs w:val="24"/>
        </w:rPr>
        <w:t>₁</w:t>
      </w:r>
      <w:r w:rsidRPr="0033338C">
        <w:rPr>
          <w:rFonts w:ascii="Arial" w:hAnsi="Arial" w:cs="Arial"/>
          <w:sz w:val="24"/>
          <w:szCs w:val="24"/>
        </w:rPr>
        <w:t>) + 1.4(X</w:t>
      </w:r>
      <w:r w:rsidRPr="0033338C">
        <w:rPr>
          <w:rFonts w:ascii="Cambria Math" w:hAnsi="Cambria Math" w:cs="Cambria Math"/>
          <w:sz w:val="24"/>
          <w:szCs w:val="24"/>
        </w:rPr>
        <w:t>₂</w:t>
      </w:r>
      <w:r w:rsidRPr="0033338C">
        <w:rPr>
          <w:rFonts w:ascii="Arial" w:hAnsi="Arial" w:cs="Arial"/>
          <w:sz w:val="24"/>
          <w:szCs w:val="24"/>
        </w:rPr>
        <w:t>) + 3.3(X</w:t>
      </w:r>
      <w:r w:rsidRPr="0033338C">
        <w:rPr>
          <w:rFonts w:ascii="Cambria Math" w:hAnsi="Cambria Math" w:cs="Cambria Math"/>
          <w:sz w:val="24"/>
          <w:szCs w:val="24"/>
        </w:rPr>
        <w:t>₃</w:t>
      </w:r>
      <w:r w:rsidRPr="0033338C">
        <w:rPr>
          <w:rFonts w:ascii="Arial" w:hAnsi="Arial" w:cs="Arial"/>
          <w:sz w:val="24"/>
          <w:szCs w:val="24"/>
        </w:rPr>
        <w:t>) + 0.6(X</w:t>
      </w:r>
      <w:r w:rsidRPr="0033338C">
        <w:rPr>
          <w:rFonts w:ascii="Cambria Math" w:hAnsi="Cambria Math" w:cs="Cambria Math"/>
          <w:sz w:val="24"/>
          <w:szCs w:val="24"/>
        </w:rPr>
        <w:t>₄</w:t>
      </w:r>
      <w:r w:rsidRPr="0033338C">
        <w:rPr>
          <w:rFonts w:ascii="Arial" w:hAnsi="Arial" w:cs="Arial"/>
          <w:sz w:val="24"/>
          <w:szCs w:val="24"/>
        </w:rPr>
        <w:t>) + 1.0(X</w:t>
      </w:r>
      <w:r w:rsidRPr="0033338C">
        <w:rPr>
          <w:rFonts w:ascii="Cambria Math" w:hAnsi="Cambria Math" w:cs="Cambria Math"/>
          <w:sz w:val="24"/>
          <w:szCs w:val="24"/>
        </w:rPr>
        <w:t>₅</w:t>
      </w:r>
      <w:r w:rsidRPr="0033338C">
        <w:rPr>
          <w:rFonts w:ascii="Arial" w:hAnsi="Arial" w:cs="Arial"/>
          <w:sz w:val="24"/>
          <w:szCs w:val="24"/>
        </w:rPr>
        <w:t>)</w:t>
      </w:r>
    </w:p>
    <w:p w14:paraId="6129CDE8" w14:textId="6A7F7A26" w:rsidR="00274862" w:rsidRPr="0033338C" w:rsidRDefault="0055527D" w:rsidP="00A3094D">
      <w:pPr>
        <w:spacing w:line="360" w:lineRule="auto"/>
        <w:jc w:val="both"/>
        <w:rPr>
          <w:rFonts w:ascii="Arial" w:hAnsi="Arial" w:cs="Arial"/>
          <w:b/>
          <w:bCs/>
          <w:sz w:val="24"/>
          <w:szCs w:val="24"/>
          <w:lang w:val="en-US"/>
        </w:rPr>
      </w:pPr>
      <w:r w:rsidRPr="0033338C">
        <w:rPr>
          <w:rFonts w:ascii="Arial" w:hAnsi="Arial" w:cs="Arial"/>
          <w:b/>
          <w:bCs/>
          <w:sz w:val="24"/>
          <w:szCs w:val="24"/>
          <w:lang w:val="en-US"/>
        </w:rPr>
        <w:t>Where</w:t>
      </w:r>
      <w:r w:rsidR="005E7CC2" w:rsidRPr="0033338C">
        <w:rPr>
          <w:rFonts w:ascii="Arial" w:hAnsi="Arial" w:cs="Arial"/>
          <w:b/>
          <w:bCs/>
          <w:sz w:val="24"/>
          <w:szCs w:val="24"/>
          <w:lang w:val="en-US"/>
        </w:rPr>
        <w:t>:</w:t>
      </w:r>
    </w:p>
    <w:p w14:paraId="5699B642" w14:textId="6E516FBB" w:rsidR="0055527D" w:rsidRPr="0033338C" w:rsidRDefault="007D010B" w:rsidP="005E7CC2">
      <w:pPr>
        <w:pStyle w:val="ListParagraph"/>
        <w:numPr>
          <w:ilvl w:val="0"/>
          <w:numId w:val="9"/>
        </w:numPr>
        <w:spacing w:line="360" w:lineRule="auto"/>
        <w:jc w:val="both"/>
        <w:rPr>
          <w:rFonts w:ascii="Arial" w:eastAsiaTheme="minorEastAsia" w:hAnsi="Arial" w:cs="Arial"/>
          <w:lang w:val="en-US"/>
        </w:rPr>
      </w:pPr>
      <w:r w:rsidRPr="0033338C">
        <w:rPr>
          <w:rFonts w:ascii="Arial" w:hAnsi="Arial" w:cs="Arial"/>
          <w:sz w:val="24"/>
          <w:szCs w:val="24"/>
        </w:rPr>
        <w:t>X</w:t>
      </w:r>
      <w:r w:rsidRPr="0033338C">
        <w:rPr>
          <w:rFonts w:ascii="Cambria Math" w:hAnsi="Cambria Math" w:cs="Cambria Math"/>
          <w:sz w:val="24"/>
          <w:szCs w:val="24"/>
        </w:rPr>
        <w:t>₁</w:t>
      </w:r>
      <w:r w:rsidR="0055527D" w:rsidRPr="0033338C">
        <w:rPr>
          <w:rFonts w:ascii="Arial" w:hAnsi="Arial" w:cs="Arial"/>
          <w:sz w:val="24"/>
          <w:szCs w:val="24"/>
          <w:lang w:val="en-US"/>
        </w:rPr>
        <w:t xml:space="preserve">= </w:t>
      </w:r>
      <w:r w:rsidR="00F02CB5" w:rsidRPr="0033338C">
        <w:rPr>
          <w:rFonts w:ascii="Arial" w:hAnsi="Arial" w:cs="Arial"/>
          <w:sz w:val="24"/>
          <w:szCs w:val="24"/>
          <w:lang w:val="en-US"/>
        </w:rPr>
        <w:t xml:space="preserve"> </w:t>
      </w:r>
      <m:oMath>
        <m:f>
          <m:fPr>
            <m:ctrlPr>
              <w:rPr>
                <w:rFonts w:ascii="Cambria Math" w:hAnsi="Cambria Math" w:cs="Arial"/>
                <w:i/>
                <w:lang w:val="en-US"/>
              </w:rPr>
            </m:ctrlPr>
          </m:fPr>
          <m:num>
            <m:r>
              <m:rPr>
                <m:sty m:val="p"/>
              </m:rPr>
              <w:rPr>
                <w:rFonts w:ascii="Cambria Math" w:hAnsi="Cambria Math" w:cs="Arial"/>
              </w:rPr>
              <m:t>Working Capital</m:t>
            </m:r>
            <m:ctrlPr>
              <w:rPr>
                <w:rFonts w:ascii="Cambria Math" w:hAnsi="Cambria Math" w:cs="Arial"/>
              </w:rPr>
            </m:ctrlPr>
          </m:num>
          <m:den>
            <m:r>
              <m:rPr>
                <m:sty m:val="p"/>
              </m:rPr>
              <w:rPr>
                <w:rFonts w:ascii="Cambria Math" w:hAnsi="Cambria Math" w:cs="Arial"/>
                <w:lang w:val="en-US"/>
              </w:rPr>
              <m:t>Total Assets</m:t>
            </m:r>
          </m:den>
        </m:f>
      </m:oMath>
    </w:p>
    <w:p w14:paraId="35E02DDC" w14:textId="59001FCA" w:rsidR="00F02CB5" w:rsidRPr="0033338C" w:rsidRDefault="007D010B" w:rsidP="005E7CC2">
      <w:pPr>
        <w:pStyle w:val="ListParagraph"/>
        <w:numPr>
          <w:ilvl w:val="0"/>
          <w:numId w:val="9"/>
        </w:numPr>
        <w:spacing w:line="360" w:lineRule="auto"/>
        <w:jc w:val="both"/>
        <w:rPr>
          <w:rFonts w:ascii="Arial" w:eastAsiaTheme="minorEastAsia" w:hAnsi="Arial" w:cs="Arial"/>
          <w:lang w:val="en-US"/>
        </w:rPr>
      </w:pPr>
      <w:r w:rsidRPr="0033338C">
        <w:rPr>
          <w:rFonts w:ascii="Arial" w:hAnsi="Arial" w:cs="Arial"/>
          <w:sz w:val="24"/>
          <w:szCs w:val="24"/>
        </w:rPr>
        <w:t>X</w:t>
      </w:r>
      <w:r w:rsidRPr="0033338C">
        <w:rPr>
          <w:rFonts w:ascii="Cambria Math" w:hAnsi="Cambria Math" w:cs="Cambria Math"/>
          <w:sz w:val="24"/>
          <w:szCs w:val="24"/>
        </w:rPr>
        <w:t>₂</w:t>
      </w:r>
      <w:r w:rsidR="00CA2804" w:rsidRPr="0033338C">
        <w:rPr>
          <w:rFonts w:ascii="Arial" w:hAnsi="Arial" w:cs="Arial"/>
          <w:sz w:val="24"/>
          <w:szCs w:val="24"/>
          <w:lang w:val="en-US"/>
        </w:rPr>
        <w:t xml:space="preserve">= </w:t>
      </w:r>
      <m:oMath>
        <m:f>
          <m:fPr>
            <m:ctrlPr>
              <w:rPr>
                <w:rFonts w:ascii="Cambria Math" w:hAnsi="Cambria Math" w:cs="Arial"/>
                <w:i/>
                <w:lang w:val="en-US"/>
              </w:rPr>
            </m:ctrlPr>
          </m:fPr>
          <m:num>
            <m:r>
              <m:rPr>
                <m:sty m:val="p"/>
              </m:rPr>
              <w:rPr>
                <w:rFonts w:ascii="Cambria Math" w:hAnsi="Cambria Math" w:cs="Arial"/>
              </w:rPr>
              <m:t>Retained Earnings</m:t>
            </m:r>
            <m:ctrlPr>
              <w:rPr>
                <w:rFonts w:ascii="Cambria Math" w:hAnsi="Cambria Math" w:cs="Arial"/>
              </w:rPr>
            </m:ctrlPr>
          </m:num>
          <m:den>
            <m:r>
              <m:rPr>
                <m:sty m:val="p"/>
              </m:rPr>
              <w:rPr>
                <w:rFonts w:ascii="Cambria Math" w:hAnsi="Cambria Math" w:cs="Arial"/>
                <w:lang w:val="en-US"/>
              </w:rPr>
              <m:t>Total Assets</m:t>
            </m:r>
          </m:den>
        </m:f>
      </m:oMath>
    </w:p>
    <w:p w14:paraId="63831ACD" w14:textId="1C598605" w:rsidR="00CA2804" w:rsidRPr="0033338C" w:rsidRDefault="007D010B" w:rsidP="005E7CC2">
      <w:pPr>
        <w:pStyle w:val="ListParagraph"/>
        <w:numPr>
          <w:ilvl w:val="0"/>
          <w:numId w:val="9"/>
        </w:numPr>
        <w:spacing w:line="360" w:lineRule="auto"/>
        <w:jc w:val="both"/>
        <w:rPr>
          <w:rFonts w:ascii="Arial" w:eastAsiaTheme="minorEastAsia" w:hAnsi="Arial" w:cs="Arial"/>
          <w:lang w:val="en-US"/>
        </w:rPr>
      </w:pPr>
      <w:r w:rsidRPr="0033338C">
        <w:rPr>
          <w:rFonts w:ascii="Arial" w:hAnsi="Arial" w:cs="Arial"/>
          <w:sz w:val="24"/>
          <w:szCs w:val="24"/>
        </w:rPr>
        <w:t>X</w:t>
      </w:r>
      <w:r w:rsidRPr="0033338C">
        <w:rPr>
          <w:rFonts w:ascii="Cambria Math" w:hAnsi="Cambria Math" w:cs="Cambria Math"/>
          <w:sz w:val="24"/>
          <w:szCs w:val="24"/>
        </w:rPr>
        <w:t>₃</w:t>
      </w:r>
      <w:r w:rsidR="002D0261" w:rsidRPr="0033338C">
        <w:rPr>
          <w:rFonts w:ascii="Arial" w:hAnsi="Arial" w:cs="Arial"/>
          <w:sz w:val="24"/>
          <w:szCs w:val="24"/>
          <w:lang w:val="en-US"/>
        </w:rPr>
        <w:t>=</w:t>
      </w:r>
      <m:oMath>
        <m:r>
          <w:rPr>
            <w:rFonts w:ascii="Cambria Math" w:hAnsi="Cambria Math" w:cs="Arial"/>
            <w:sz w:val="24"/>
            <w:szCs w:val="24"/>
            <w:lang w:val="en-US"/>
          </w:rPr>
          <m:t xml:space="preserve"> </m:t>
        </m:r>
        <m:f>
          <m:fPr>
            <m:ctrlPr>
              <w:rPr>
                <w:rFonts w:ascii="Cambria Math" w:hAnsi="Cambria Math" w:cs="Arial"/>
                <w:i/>
                <w:lang w:val="en-US"/>
              </w:rPr>
            </m:ctrlPr>
          </m:fPr>
          <m:num>
            <m:r>
              <m:rPr>
                <m:sty m:val="p"/>
              </m:rPr>
              <w:rPr>
                <w:rFonts w:ascii="Cambria Math" w:hAnsi="Cambria Math" w:cs="Arial"/>
              </w:rPr>
              <m:t>EBIT</m:t>
            </m:r>
            <m:ctrlPr>
              <w:rPr>
                <w:rFonts w:ascii="Cambria Math" w:hAnsi="Cambria Math" w:cs="Arial"/>
              </w:rPr>
            </m:ctrlPr>
          </m:num>
          <m:den>
            <m:r>
              <m:rPr>
                <m:sty m:val="p"/>
              </m:rPr>
              <w:rPr>
                <w:rFonts w:ascii="Cambria Math" w:hAnsi="Cambria Math" w:cs="Arial"/>
                <w:lang w:val="en-US"/>
              </w:rPr>
              <m:t>Total Assets</m:t>
            </m:r>
          </m:den>
        </m:f>
      </m:oMath>
    </w:p>
    <w:p w14:paraId="2C105077" w14:textId="53C3994F" w:rsidR="002D0261" w:rsidRPr="0033338C" w:rsidRDefault="007D010B" w:rsidP="005E7CC2">
      <w:pPr>
        <w:pStyle w:val="ListParagraph"/>
        <w:numPr>
          <w:ilvl w:val="0"/>
          <w:numId w:val="9"/>
        </w:numPr>
        <w:spacing w:line="360" w:lineRule="auto"/>
        <w:jc w:val="both"/>
        <w:rPr>
          <w:rFonts w:ascii="Arial" w:eastAsiaTheme="minorEastAsia" w:hAnsi="Arial" w:cs="Arial"/>
          <w:lang w:val="en-US"/>
        </w:rPr>
      </w:pPr>
      <w:r w:rsidRPr="0033338C">
        <w:rPr>
          <w:rFonts w:ascii="Arial" w:hAnsi="Arial" w:cs="Arial"/>
          <w:sz w:val="24"/>
          <w:szCs w:val="24"/>
        </w:rPr>
        <w:t>X</w:t>
      </w:r>
      <w:r w:rsidRPr="0033338C">
        <w:rPr>
          <w:rFonts w:ascii="Cambria Math" w:hAnsi="Cambria Math" w:cs="Cambria Math"/>
          <w:sz w:val="24"/>
          <w:szCs w:val="24"/>
        </w:rPr>
        <w:t>₄</w:t>
      </w:r>
      <w:r w:rsidR="00927D75" w:rsidRPr="0033338C">
        <w:rPr>
          <w:rFonts w:ascii="Arial" w:eastAsiaTheme="minorEastAsia" w:hAnsi="Arial" w:cs="Arial"/>
          <w:lang w:val="en-US"/>
        </w:rPr>
        <w:t xml:space="preserve">= </w:t>
      </w:r>
      <m:oMath>
        <m:r>
          <w:rPr>
            <w:rFonts w:ascii="Cambria Math" w:hAnsi="Cambria Math" w:cs="Arial"/>
            <w:sz w:val="24"/>
            <w:szCs w:val="24"/>
            <w:lang w:val="en-US"/>
          </w:rPr>
          <m:t xml:space="preserve"> </m:t>
        </m:r>
        <m:f>
          <m:fPr>
            <m:ctrlPr>
              <w:rPr>
                <w:rFonts w:ascii="Cambria Math" w:hAnsi="Cambria Math" w:cs="Arial"/>
                <w:i/>
                <w:lang w:val="en-US"/>
              </w:rPr>
            </m:ctrlPr>
          </m:fPr>
          <m:num>
            <m:r>
              <m:rPr>
                <m:sty m:val="p"/>
              </m:rPr>
              <w:rPr>
                <w:rFonts w:ascii="Cambria Math" w:hAnsi="Cambria Math" w:cs="Arial"/>
              </w:rPr>
              <m:t>Market Value of Equity</m:t>
            </m:r>
            <m:ctrlPr>
              <w:rPr>
                <w:rFonts w:ascii="Cambria Math" w:hAnsi="Cambria Math" w:cs="Arial"/>
              </w:rPr>
            </m:ctrlPr>
          </m:num>
          <m:den>
            <m:r>
              <m:rPr>
                <m:sty m:val="p"/>
              </m:rPr>
              <w:rPr>
                <w:rFonts w:ascii="Cambria Math" w:hAnsi="Cambria Math" w:cs="Arial"/>
                <w:lang w:val="en-US"/>
              </w:rPr>
              <m:t>Total Liability</m:t>
            </m:r>
          </m:den>
        </m:f>
      </m:oMath>
    </w:p>
    <w:p w14:paraId="6CE4CE8D" w14:textId="0D172E4C" w:rsidR="00C361EB" w:rsidRPr="0033338C" w:rsidRDefault="007D010B" w:rsidP="005E7CC2">
      <w:pPr>
        <w:pStyle w:val="ListParagraph"/>
        <w:numPr>
          <w:ilvl w:val="0"/>
          <w:numId w:val="9"/>
        </w:numPr>
        <w:spacing w:line="360" w:lineRule="auto"/>
        <w:jc w:val="both"/>
        <w:rPr>
          <w:rFonts w:ascii="Arial" w:hAnsi="Arial" w:cs="Arial"/>
          <w:sz w:val="24"/>
          <w:szCs w:val="24"/>
          <w:lang w:val="en-US"/>
        </w:rPr>
      </w:pPr>
      <w:r w:rsidRPr="0033338C">
        <w:rPr>
          <w:rFonts w:ascii="Arial" w:hAnsi="Arial" w:cs="Arial"/>
          <w:sz w:val="24"/>
          <w:szCs w:val="24"/>
        </w:rPr>
        <w:t>X</w:t>
      </w:r>
      <w:r w:rsidRPr="0033338C">
        <w:rPr>
          <w:rFonts w:ascii="Cambria Math" w:hAnsi="Cambria Math" w:cs="Cambria Math"/>
          <w:sz w:val="24"/>
          <w:szCs w:val="24"/>
        </w:rPr>
        <w:t>₅</w:t>
      </w:r>
      <w:r w:rsidR="00C361EB" w:rsidRPr="0033338C">
        <w:rPr>
          <w:rFonts w:ascii="Arial" w:eastAsiaTheme="minorEastAsia" w:hAnsi="Arial" w:cs="Arial"/>
          <w:lang w:val="en-US"/>
        </w:rPr>
        <w:t xml:space="preserve">= </w:t>
      </w:r>
      <m:oMath>
        <m:r>
          <w:rPr>
            <w:rFonts w:ascii="Cambria Math" w:hAnsi="Cambria Math" w:cs="Arial"/>
            <w:sz w:val="24"/>
            <w:szCs w:val="24"/>
            <w:lang w:val="en-US"/>
          </w:rPr>
          <m:t xml:space="preserve"> </m:t>
        </m:r>
        <m:f>
          <m:fPr>
            <m:ctrlPr>
              <w:rPr>
                <w:rFonts w:ascii="Cambria Math" w:hAnsi="Cambria Math" w:cs="Arial"/>
                <w:i/>
                <w:lang w:val="en-US"/>
              </w:rPr>
            </m:ctrlPr>
          </m:fPr>
          <m:num>
            <m:r>
              <m:rPr>
                <m:sty m:val="p"/>
              </m:rPr>
              <w:rPr>
                <w:rFonts w:ascii="Cambria Math" w:hAnsi="Cambria Math" w:cs="Arial"/>
              </w:rPr>
              <m:t>Sales</m:t>
            </m:r>
            <m:ctrlPr>
              <w:rPr>
                <w:rFonts w:ascii="Cambria Math" w:hAnsi="Cambria Math" w:cs="Arial"/>
              </w:rPr>
            </m:ctrlPr>
          </m:num>
          <m:den>
            <m:r>
              <m:rPr>
                <m:sty m:val="p"/>
              </m:rPr>
              <w:rPr>
                <w:rFonts w:ascii="Cambria Math" w:hAnsi="Cambria Math" w:cs="Arial"/>
                <w:lang w:val="en-US"/>
              </w:rPr>
              <m:t>Total Assets</m:t>
            </m:r>
          </m:den>
        </m:f>
      </m:oMath>
    </w:p>
    <w:p w14:paraId="55036DBF" w14:textId="77777777" w:rsidR="00AE6B04" w:rsidRPr="0033338C" w:rsidRDefault="00AE6B04" w:rsidP="00AE6B04">
      <w:pPr>
        <w:spacing w:line="360" w:lineRule="auto"/>
        <w:jc w:val="both"/>
        <w:rPr>
          <w:rFonts w:ascii="Arial" w:hAnsi="Arial" w:cs="Arial"/>
          <w:sz w:val="24"/>
          <w:szCs w:val="24"/>
        </w:rPr>
      </w:pPr>
      <w:r w:rsidRPr="0033338C">
        <w:rPr>
          <w:rFonts w:ascii="Arial" w:hAnsi="Arial" w:cs="Arial"/>
          <w:sz w:val="24"/>
          <w:szCs w:val="24"/>
        </w:rPr>
        <w:t>Interpretation thresholds:</w:t>
      </w:r>
    </w:p>
    <w:p w14:paraId="7F9615D2" w14:textId="77777777" w:rsidR="00AE6B04" w:rsidRPr="0033338C" w:rsidRDefault="00AE6B04" w:rsidP="00AE6B04">
      <w:pPr>
        <w:numPr>
          <w:ilvl w:val="0"/>
          <w:numId w:val="23"/>
        </w:numPr>
        <w:spacing w:line="360" w:lineRule="auto"/>
        <w:jc w:val="both"/>
        <w:rPr>
          <w:rFonts w:ascii="Arial" w:hAnsi="Arial" w:cs="Arial"/>
          <w:sz w:val="24"/>
          <w:szCs w:val="24"/>
        </w:rPr>
      </w:pPr>
      <w:r w:rsidRPr="0033338C">
        <w:rPr>
          <w:rFonts w:ascii="Arial" w:hAnsi="Arial" w:cs="Arial"/>
          <w:b/>
          <w:bCs/>
          <w:sz w:val="24"/>
          <w:szCs w:val="24"/>
        </w:rPr>
        <w:t>Z &lt; 1.8</w:t>
      </w:r>
      <w:r w:rsidRPr="0033338C">
        <w:rPr>
          <w:rFonts w:ascii="Arial" w:hAnsi="Arial" w:cs="Arial"/>
          <w:sz w:val="24"/>
          <w:szCs w:val="24"/>
        </w:rPr>
        <w:t xml:space="preserve"> → Distress Zone (high bankruptcy risk)</w:t>
      </w:r>
    </w:p>
    <w:p w14:paraId="3BD00689" w14:textId="77777777" w:rsidR="00AE6B04" w:rsidRPr="0033338C" w:rsidRDefault="00AE6B04" w:rsidP="00AE6B04">
      <w:pPr>
        <w:numPr>
          <w:ilvl w:val="0"/>
          <w:numId w:val="23"/>
        </w:numPr>
        <w:spacing w:line="360" w:lineRule="auto"/>
        <w:jc w:val="both"/>
        <w:rPr>
          <w:rFonts w:ascii="Arial" w:hAnsi="Arial" w:cs="Arial"/>
          <w:sz w:val="24"/>
          <w:szCs w:val="24"/>
        </w:rPr>
      </w:pPr>
      <w:r w:rsidRPr="0033338C">
        <w:rPr>
          <w:rFonts w:ascii="Arial" w:hAnsi="Arial" w:cs="Arial"/>
          <w:b/>
          <w:bCs/>
          <w:sz w:val="24"/>
          <w:szCs w:val="24"/>
        </w:rPr>
        <w:t>1.8–3.0</w:t>
      </w:r>
      <w:r w:rsidRPr="0033338C">
        <w:rPr>
          <w:rFonts w:ascii="Arial" w:hAnsi="Arial" w:cs="Arial"/>
          <w:sz w:val="24"/>
          <w:szCs w:val="24"/>
        </w:rPr>
        <w:t xml:space="preserve"> → Grey Zone (uncertain)</w:t>
      </w:r>
    </w:p>
    <w:p w14:paraId="12481F90" w14:textId="42697F08" w:rsidR="00AE6B04" w:rsidRPr="0033338C" w:rsidRDefault="00AE6B04" w:rsidP="00CD4561">
      <w:pPr>
        <w:numPr>
          <w:ilvl w:val="0"/>
          <w:numId w:val="23"/>
        </w:numPr>
        <w:spacing w:line="360" w:lineRule="auto"/>
        <w:jc w:val="both"/>
        <w:rPr>
          <w:rFonts w:ascii="Arial" w:hAnsi="Arial" w:cs="Arial"/>
          <w:sz w:val="24"/>
          <w:szCs w:val="24"/>
        </w:rPr>
      </w:pPr>
      <w:r w:rsidRPr="0033338C">
        <w:rPr>
          <w:rFonts w:ascii="Arial" w:hAnsi="Arial" w:cs="Arial"/>
          <w:b/>
          <w:bCs/>
          <w:sz w:val="24"/>
          <w:szCs w:val="24"/>
        </w:rPr>
        <w:t>Z &gt; 3.0</w:t>
      </w:r>
      <w:r w:rsidRPr="0033338C">
        <w:rPr>
          <w:rFonts w:ascii="Arial" w:hAnsi="Arial" w:cs="Arial"/>
          <w:sz w:val="24"/>
          <w:szCs w:val="24"/>
        </w:rPr>
        <w:t xml:space="preserve"> → Safe Zone</w:t>
      </w:r>
    </w:p>
    <w:p w14:paraId="04579D5F" w14:textId="2301AC9F" w:rsidR="00CD4561" w:rsidRPr="0033338C" w:rsidRDefault="0089479C" w:rsidP="00CD4561">
      <w:pPr>
        <w:spacing w:line="360" w:lineRule="auto"/>
        <w:jc w:val="both"/>
        <w:rPr>
          <w:rFonts w:ascii="Arial" w:hAnsi="Arial" w:cs="Arial"/>
          <w:b/>
          <w:bCs/>
          <w:sz w:val="24"/>
          <w:szCs w:val="24"/>
        </w:rPr>
      </w:pPr>
      <w:r w:rsidRPr="0033338C">
        <w:rPr>
          <w:rFonts w:ascii="Arial" w:hAnsi="Arial" w:cs="Arial"/>
          <w:b/>
          <w:bCs/>
          <w:sz w:val="24"/>
          <w:szCs w:val="24"/>
        </w:rPr>
        <w:t>Required Proxies &amp; Assumptions:</w:t>
      </w:r>
    </w:p>
    <w:p w14:paraId="53566490" w14:textId="2C773003" w:rsidR="0089479C" w:rsidRPr="0033338C" w:rsidRDefault="00A86D67" w:rsidP="00CD4561">
      <w:pPr>
        <w:spacing w:line="360" w:lineRule="auto"/>
        <w:jc w:val="both"/>
        <w:rPr>
          <w:rFonts w:ascii="Arial" w:hAnsi="Arial" w:cs="Arial"/>
          <w:sz w:val="24"/>
          <w:szCs w:val="24"/>
        </w:rPr>
      </w:pPr>
      <w:r w:rsidRPr="0033338C">
        <w:rPr>
          <w:rFonts w:ascii="Arial" w:hAnsi="Arial" w:cs="Arial"/>
          <w:b/>
          <w:bCs/>
          <w:sz w:val="24"/>
          <w:szCs w:val="24"/>
        </w:rPr>
        <w:t xml:space="preserve">1. </w:t>
      </w:r>
      <w:r w:rsidR="009B4396" w:rsidRPr="0033338C">
        <w:rPr>
          <w:rFonts w:ascii="Arial" w:hAnsi="Arial" w:cs="Arial"/>
          <w:b/>
          <w:bCs/>
          <w:sz w:val="24"/>
          <w:szCs w:val="24"/>
        </w:rPr>
        <w:t>EBIT:</w:t>
      </w:r>
      <w:r w:rsidR="009B4396" w:rsidRPr="0033338C">
        <w:rPr>
          <w:rFonts w:ascii="Arial" w:hAnsi="Arial" w:cs="Arial"/>
          <w:sz w:val="24"/>
          <w:szCs w:val="24"/>
        </w:rPr>
        <w:t xml:space="preserve"> Assumed to be Net Income (Loss) - Interest Expense + Tax Expense + Adjustments. Due to lack of full income statement data, we use a conservative proxy:</w:t>
      </w:r>
    </w:p>
    <w:p w14:paraId="2FB7E13B" w14:textId="118D5DE9" w:rsidR="00B96F81" w:rsidRPr="0033338C" w:rsidRDefault="00B96F81" w:rsidP="005A26AE">
      <w:pPr>
        <w:spacing w:line="360" w:lineRule="auto"/>
        <w:jc w:val="center"/>
        <w:rPr>
          <w:rFonts w:ascii="Arial" w:hAnsi="Arial" w:cs="Arial"/>
          <w:sz w:val="24"/>
          <w:szCs w:val="24"/>
          <w:lang w:val="en-US"/>
        </w:rPr>
      </w:pPr>
      <w:r w:rsidRPr="0033338C">
        <w:rPr>
          <w:rFonts w:ascii="Arial" w:hAnsi="Arial" w:cs="Arial"/>
          <w:b/>
          <w:bCs/>
          <w:sz w:val="24"/>
          <w:szCs w:val="24"/>
        </w:rPr>
        <w:t xml:space="preserve">EBIT: </w:t>
      </w:r>
      <m:oMath>
        <m:r>
          <m:rPr>
            <m:sty m:val="bi"/>
          </m:rPr>
          <w:rPr>
            <w:rFonts w:ascii="Cambria Math" w:hAnsi="Cambria Math" w:cs="Arial"/>
            <w:sz w:val="24"/>
            <w:szCs w:val="24"/>
          </w:rPr>
          <m:t>≈</m:t>
        </m:r>
      </m:oMath>
      <w:r w:rsidRPr="0033338C">
        <w:rPr>
          <w:rFonts w:ascii="Arial" w:hAnsi="Arial" w:cs="Arial"/>
          <w:sz w:val="24"/>
          <w:szCs w:val="24"/>
        </w:rPr>
        <w:t>Net Income – Deferred Tax – Accrued Income Tax</w:t>
      </w:r>
    </w:p>
    <w:p w14:paraId="43169D32" w14:textId="46A7CC8F" w:rsidR="009B4396" w:rsidRPr="0033338C" w:rsidRDefault="00A86D67" w:rsidP="00CD4561">
      <w:pPr>
        <w:spacing w:line="360" w:lineRule="auto"/>
        <w:jc w:val="both"/>
        <w:rPr>
          <w:rFonts w:ascii="Arial" w:hAnsi="Arial" w:cs="Arial"/>
          <w:sz w:val="24"/>
          <w:szCs w:val="24"/>
        </w:rPr>
      </w:pPr>
      <w:r w:rsidRPr="0033338C">
        <w:rPr>
          <w:rFonts w:ascii="Arial" w:hAnsi="Arial" w:cs="Arial"/>
          <w:b/>
          <w:bCs/>
          <w:sz w:val="24"/>
          <w:szCs w:val="24"/>
        </w:rPr>
        <w:lastRenderedPageBreak/>
        <w:t>2. Working Capital:</w:t>
      </w:r>
      <w:r w:rsidRPr="0033338C">
        <w:rPr>
          <w:rFonts w:ascii="Arial" w:hAnsi="Arial" w:cs="Arial"/>
          <w:sz w:val="24"/>
          <w:szCs w:val="24"/>
        </w:rPr>
        <w:t xml:space="preserve"> Calculated as Current Assets - Current Liabilities.</w:t>
      </w:r>
    </w:p>
    <w:tbl>
      <w:tblPr>
        <w:tblStyle w:val="TableGrid"/>
        <w:tblW w:w="0" w:type="auto"/>
        <w:tblLook w:val="04A0" w:firstRow="1" w:lastRow="0" w:firstColumn="1" w:lastColumn="0" w:noHBand="0" w:noVBand="1"/>
      </w:tblPr>
      <w:tblGrid>
        <w:gridCol w:w="706"/>
        <w:gridCol w:w="1093"/>
        <w:gridCol w:w="1032"/>
        <w:gridCol w:w="1228"/>
        <w:gridCol w:w="1374"/>
        <w:gridCol w:w="1300"/>
        <w:gridCol w:w="1175"/>
        <w:gridCol w:w="1108"/>
      </w:tblGrid>
      <w:tr w:rsidR="00D670CC" w:rsidRPr="0033338C" w14:paraId="2926C4C0" w14:textId="77777777" w:rsidTr="00D670CC">
        <w:tc>
          <w:tcPr>
            <w:tcW w:w="0" w:type="auto"/>
            <w:hideMark/>
          </w:tcPr>
          <w:p w14:paraId="196820FC"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Year</w:t>
            </w:r>
          </w:p>
        </w:tc>
        <w:tc>
          <w:tcPr>
            <w:tcW w:w="0" w:type="auto"/>
            <w:hideMark/>
          </w:tcPr>
          <w:p w14:paraId="4AC626C2"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A (WC/TA)</w:t>
            </w:r>
          </w:p>
        </w:tc>
        <w:tc>
          <w:tcPr>
            <w:tcW w:w="0" w:type="auto"/>
            <w:hideMark/>
          </w:tcPr>
          <w:p w14:paraId="2EC9B7B2"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B (RE/TA)</w:t>
            </w:r>
          </w:p>
        </w:tc>
        <w:tc>
          <w:tcPr>
            <w:tcW w:w="0" w:type="auto"/>
            <w:hideMark/>
          </w:tcPr>
          <w:p w14:paraId="0B98EBA1"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C (EBIT/TA)</w:t>
            </w:r>
          </w:p>
        </w:tc>
        <w:tc>
          <w:tcPr>
            <w:tcW w:w="0" w:type="auto"/>
            <w:hideMark/>
          </w:tcPr>
          <w:p w14:paraId="0494294D"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D (Equity/TL)</w:t>
            </w:r>
          </w:p>
        </w:tc>
        <w:tc>
          <w:tcPr>
            <w:tcW w:w="0" w:type="auto"/>
            <w:hideMark/>
          </w:tcPr>
          <w:p w14:paraId="43013016"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E (Sales/TA)</w:t>
            </w:r>
          </w:p>
        </w:tc>
        <w:tc>
          <w:tcPr>
            <w:tcW w:w="0" w:type="auto"/>
            <w:hideMark/>
          </w:tcPr>
          <w:p w14:paraId="1F9E8FEA"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Z-Score (1.2A+...)</w:t>
            </w:r>
          </w:p>
        </w:tc>
        <w:tc>
          <w:tcPr>
            <w:tcW w:w="0" w:type="auto"/>
            <w:hideMark/>
          </w:tcPr>
          <w:p w14:paraId="2103C845"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Distress Zone</w:t>
            </w:r>
          </w:p>
        </w:tc>
      </w:tr>
      <w:tr w:rsidR="00D670CC" w:rsidRPr="0033338C" w14:paraId="50E50204" w14:textId="77777777" w:rsidTr="00D670CC">
        <w:tc>
          <w:tcPr>
            <w:tcW w:w="0" w:type="auto"/>
            <w:hideMark/>
          </w:tcPr>
          <w:p w14:paraId="4F56D0BE"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2024</w:t>
            </w:r>
          </w:p>
        </w:tc>
        <w:tc>
          <w:tcPr>
            <w:tcW w:w="0" w:type="auto"/>
            <w:hideMark/>
          </w:tcPr>
          <w:p w14:paraId="5092DE71"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0.20</w:t>
            </w:r>
          </w:p>
        </w:tc>
        <w:tc>
          <w:tcPr>
            <w:tcW w:w="0" w:type="auto"/>
            <w:hideMark/>
          </w:tcPr>
          <w:p w14:paraId="2D6C7197"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0.64</w:t>
            </w:r>
          </w:p>
        </w:tc>
        <w:tc>
          <w:tcPr>
            <w:tcW w:w="0" w:type="auto"/>
            <w:hideMark/>
          </w:tcPr>
          <w:p w14:paraId="344E6DD8" w14:textId="49C8A77F"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-0.09</w:t>
            </w:r>
          </w:p>
        </w:tc>
        <w:tc>
          <w:tcPr>
            <w:tcW w:w="0" w:type="auto"/>
            <w:hideMark/>
          </w:tcPr>
          <w:p w14:paraId="3FD8D5F4"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0.46</w:t>
            </w:r>
          </w:p>
        </w:tc>
        <w:tc>
          <w:tcPr>
            <w:tcW w:w="0" w:type="auto"/>
            <w:hideMark/>
          </w:tcPr>
          <w:p w14:paraId="7C94CD59"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N/A</w:t>
            </w:r>
          </w:p>
        </w:tc>
        <w:tc>
          <w:tcPr>
            <w:tcW w:w="0" w:type="auto"/>
            <w:hideMark/>
          </w:tcPr>
          <w:p w14:paraId="7396DC1F"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N/A</w:t>
            </w:r>
          </w:p>
        </w:tc>
        <w:tc>
          <w:tcPr>
            <w:tcW w:w="0" w:type="auto"/>
            <w:hideMark/>
          </w:tcPr>
          <w:p w14:paraId="7D8776C9"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N/A</w:t>
            </w:r>
          </w:p>
        </w:tc>
      </w:tr>
      <w:tr w:rsidR="00D670CC" w:rsidRPr="0033338C" w14:paraId="10C2D890" w14:textId="77777777" w:rsidTr="00D670CC">
        <w:tc>
          <w:tcPr>
            <w:tcW w:w="0" w:type="auto"/>
            <w:hideMark/>
          </w:tcPr>
          <w:p w14:paraId="7C8B3D2C"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2023</w:t>
            </w:r>
          </w:p>
        </w:tc>
        <w:tc>
          <w:tcPr>
            <w:tcW w:w="0" w:type="auto"/>
            <w:hideMark/>
          </w:tcPr>
          <w:p w14:paraId="04B6CC81"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0.15</w:t>
            </w:r>
          </w:p>
        </w:tc>
        <w:tc>
          <w:tcPr>
            <w:tcW w:w="0" w:type="auto"/>
            <w:hideMark/>
          </w:tcPr>
          <w:p w14:paraId="73D02CBA"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0.77</w:t>
            </w:r>
          </w:p>
        </w:tc>
        <w:tc>
          <w:tcPr>
            <w:tcW w:w="0" w:type="auto"/>
            <w:hideMark/>
          </w:tcPr>
          <w:p w14:paraId="1450E0CC" w14:textId="5987E112"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-0.31</w:t>
            </w:r>
          </w:p>
        </w:tc>
        <w:tc>
          <w:tcPr>
            <w:tcW w:w="0" w:type="auto"/>
            <w:hideMark/>
          </w:tcPr>
          <w:p w14:paraId="7DCCA415"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0.48</w:t>
            </w:r>
          </w:p>
        </w:tc>
        <w:tc>
          <w:tcPr>
            <w:tcW w:w="0" w:type="auto"/>
            <w:hideMark/>
          </w:tcPr>
          <w:p w14:paraId="2EBFBFC0"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N/A</w:t>
            </w:r>
          </w:p>
        </w:tc>
        <w:tc>
          <w:tcPr>
            <w:tcW w:w="0" w:type="auto"/>
            <w:hideMark/>
          </w:tcPr>
          <w:p w14:paraId="0D2C07FD" w14:textId="77777777" w:rsidR="00D670CC" w:rsidRPr="0033338C" w:rsidRDefault="00D670CC" w:rsidP="00D670CC">
            <w:pPr>
              <w:spacing w:line="360" w:lineRule="auto"/>
              <w:jc w:val="both"/>
              <w:rPr>
                <w:rFonts w:ascii="Arial" w:hAnsi="Arial" w:cs="Arial"/>
                <w:lang w:val="en-US"/>
              </w:rPr>
            </w:pPr>
            <w:r w:rsidRPr="0033338C">
              <w:rPr>
                <w:rFonts w:ascii="Arial" w:hAnsi="Arial" w:cs="Arial"/>
                <w:b/>
                <w:bCs/>
                <w:lang w:val="en-US"/>
              </w:rPr>
              <w:t>N/A</w:t>
            </w:r>
          </w:p>
        </w:tc>
        <w:tc>
          <w:tcPr>
            <w:tcW w:w="0" w:type="auto"/>
            <w:hideMark/>
          </w:tcPr>
          <w:p w14:paraId="6D3B2337" w14:textId="77777777" w:rsidR="00D670CC" w:rsidRPr="0033338C" w:rsidRDefault="00D670CC" w:rsidP="00D670CC">
            <w:pPr>
              <w:spacing w:line="360" w:lineRule="auto"/>
              <w:jc w:val="both"/>
              <w:rPr>
                <w:rFonts w:ascii="Arial" w:hAnsi="Arial" w:cs="Arial"/>
                <w:lang w:val="en-US"/>
              </w:rPr>
            </w:pPr>
            <w:r w:rsidRPr="0033338C">
              <w:rPr>
                <w:rFonts w:ascii="Arial" w:hAnsi="Arial" w:cs="Arial"/>
                <w:lang w:val="en-US"/>
              </w:rPr>
              <w:t>N/A</w:t>
            </w:r>
          </w:p>
        </w:tc>
      </w:tr>
    </w:tbl>
    <w:p w14:paraId="74F094B0" w14:textId="77777777" w:rsidR="00D05EAC" w:rsidRPr="0033338C" w:rsidRDefault="00D05EAC" w:rsidP="00E818EE">
      <w:pPr>
        <w:spacing w:line="360" w:lineRule="auto"/>
        <w:jc w:val="both"/>
        <w:rPr>
          <w:rFonts w:ascii="Arial" w:hAnsi="Arial" w:cs="Arial"/>
          <w:b/>
          <w:bCs/>
          <w:sz w:val="24"/>
          <w:szCs w:val="24"/>
        </w:rPr>
      </w:pPr>
    </w:p>
    <w:p w14:paraId="4A51D382" w14:textId="3961B885" w:rsidR="00E818EE" w:rsidRPr="0033338C" w:rsidRDefault="00EE7478" w:rsidP="00E818EE">
      <w:pPr>
        <w:spacing w:line="360" w:lineRule="auto"/>
        <w:jc w:val="both"/>
        <w:rPr>
          <w:rFonts w:ascii="Arial" w:hAnsi="Arial" w:cs="Arial"/>
          <w:b/>
          <w:bCs/>
          <w:sz w:val="24"/>
          <w:szCs w:val="24"/>
          <w:lang w:val="en-US"/>
        </w:rPr>
      </w:pPr>
      <w:r w:rsidRPr="0033338C">
        <w:rPr>
          <w:rFonts w:ascii="Arial" w:hAnsi="Arial" w:cs="Arial"/>
          <w:b/>
          <w:bCs/>
          <w:sz w:val="24"/>
          <w:szCs w:val="24"/>
          <w:lang w:val="en-US"/>
        </w:rPr>
        <w:t>Qualitative Altman Analysis (Focus on B &amp; C):</w:t>
      </w:r>
    </w:p>
    <w:p w14:paraId="25931586" w14:textId="2AED0B6D" w:rsidR="00B07DD7" w:rsidRPr="0033338C" w:rsidRDefault="002671E2" w:rsidP="00A92C0B">
      <w:pPr>
        <w:pStyle w:val="ListParagraph"/>
        <w:numPr>
          <w:ilvl w:val="0"/>
          <w:numId w:val="10"/>
        </w:numPr>
        <w:spacing w:line="360" w:lineRule="auto"/>
        <w:jc w:val="both"/>
        <w:rPr>
          <w:rFonts w:ascii="Arial" w:hAnsi="Arial" w:cs="Arial"/>
          <w:sz w:val="24"/>
          <w:szCs w:val="24"/>
          <w:lang w:val="en-US"/>
        </w:rPr>
      </w:pPr>
      <w:r w:rsidRPr="0033338C">
        <w:rPr>
          <w:rFonts w:ascii="Arial" w:hAnsi="Arial" w:cs="Arial"/>
          <w:sz w:val="24"/>
          <w:szCs w:val="24"/>
        </w:rPr>
        <w:t>X</w:t>
      </w:r>
      <w:r w:rsidRPr="0033338C">
        <w:rPr>
          <w:rFonts w:ascii="Cambria Math" w:hAnsi="Cambria Math" w:cs="Cambria Math"/>
          <w:sz w:val="24"/>
          <w:szCs w:val="24"/>
        </w:rPr>
        <w:t>₁</w:t>
      </w:r>
      <w:r>
        <w:rPr>
          <w:rFonts w:ascii="Cambria Math" w:hAnsi="Cambria Math" w:cs="Cambria Math"/>
          <w:sz w:val="24"/>
          <w:szCs w:val="24"/>
        </w:rPr>
        <w:t xml:space="preserve"> </w:t>
      </w:r>
      <w:r w:rsidR="00B07DD7" w:rsidRPr="0033338C">
        <w:rPr>
          <w:rFonts w:ascii="Arial" w:hAnsi="Arial" w:cs="Arial"/>
          <w:b/>
          <w:bCs/>
          <w:sz w:val="24"/>
          <w:szCs w:val="24"/>
          <w:lang w:val="en-US"/>
        </w:rPr>
        <w:t>: Working capital/total assets</w:t>
      </w:r>
      <w:r w:rsidR="00A92C0B" w:rsidRPr="0033338C">
        <w:rPr>
          <w:rFonts w:ascii="Arial" w:hAnsi="Arial" w:cs="Arial"/>
          <w:b/>
          <w:bCs/>
          <w:sz w:val="24"/>
          <w:szCs w:val="24"/>
          <w:lang w:val="en-US"/>
        </w:rPr>
        <w:t xml:space="preserve">: </w:t>
      </w:r>
      <w:r w:rsidR="00B07DD7" w:rsidRPr="0033338C">
        <w:rPr>
          <w:rFonts w:ascii="Arial" w:hAnsi="Arial" w:cs="Arial"/>
          <w:sz w:val="24"/>
          <w:szCs w:val="24"/>
          <w:lang w:val="en-US"/>
        </w:rPr>
        <w:t xml:space="preserve">Liquidity worsening, including dwindling cash, unstable stocks and continuous working capital inefficiencies indicate relief of risk of distress because </w:t>
      </w:r>
      <w:r w:rsidRPr="0033338C">
        <w:rPr>
          <w:rFonts w:ascii="Arial" w:hAnsi="Arial" w:cs="Arial"/>
          <w:sz w:val="24"/>
          <w:szCs w:val="24"/>
        </w:rPr>
        <w:t>X</w:t>
      </w:r>
      <w:r w:rsidRPr="0033338C">
        <w:rPr>
          <w:rFonts w:ascii="Cambria Math" w:hAnsi="Cambria Math" w:cs="Cambria Math"/>
          <w:sz w:val="24"/>
          <w:szCs w:val="24"/>
        </w:rPr>
        <w:t>₁</w:t>
      </w:r>
      <w:r>
        <w:rPr>
          <w:rFonts w:ascii="Cambria Math" w:hAnsi="Cambria Math" w:cs="Cambria Math"/>
          <w:sz w:val="24"/>
          <w:szCs w:val="24"/>
        </w:rPr>
        <w:t xml:space="preserve"> </w:t>
      </w:r>
      <w:r w:rsidR="00B07DD7" w:rsidRPr="0033338C">
        <w:rPr>
          <w:rFonts w:ascii="Arial" w:hAnsi="Arial" w:cs="Arial"/>
          <w:sz w:val="24"/>
          <w:szCs w:val="24"/>
          <w:lang w:val="en-US"/>
        </w:rPr>
        <w:t xml:space="preserve"> is low or negative (Atrill &amp; McLaney, 2022).</w:t>
      </w:r>
    </w:p>
    <w:p w14:paraId="081E78AE" w14:textId="7D95F89A" w:rsidR="00B07DD7" w:rsidRPr="0033338C" w:rsidRDefault="002671E2" w:rsidP="002F7DCF">
      <w:pPr>
        <w:pStyle w:val="ListParagraph"/>
        <w:numPr>
          <w:ilvl w:val="0"/>
          <w:numId w:val="10"/>
        </w:numPr>
        <w:spacing w:line="360" w:lineRule="auto"/>
        <w:jc w:val="both"/>
        <w:rPr>
          <w:rFonts w:ascii="Arial" w:hAnsi="Arial" w:cs="Arial"/>
          <w:sz w:val="24"/>
          <w:szCs w:val="24"/>
          <w:lang w:val="en-US"/>
        </w:rPr>
      </w:pPr>
      <w:r w:rsidRPr="0033338C">
        <w:rPr>
          <w:rFonts w:ascii="Arial" w:hAnsi="Arial" w:cs="Arial"/>
          <w:sz w:val="24"/>
          <w:szCs w:val="24"/>
        </w:rPr>
        <w:t>X</w:t>
      </w:r>
      <w:r w:rsidRPr="0033338C">
        <w:rPr>
          <w:rFonts w:ascii="Cambria Math" w:hAnsi="Cambria Math" w:cs="Cambria Math"/>
          <w:sz w:val="24"/>
          <w:szCs w:val="24"/>
        </w:rPr>
        <w:t>₂</w:t>
      </w:r>
      <w:r>
        <w:rPr>
          <w:rFonts w:ascii="Cambria Math" w:hAnsi="Cambria Math" w:cs="Cambria Math"/>
          <w:sz w:val="24"/>
          <w:szCs w:val="24"/>
        </w:rPr>
        <w:t xml:space="preserve"> </w:t>
      </w:r>
      <w:r w:rsidR="00B07DD7" w:rsidRPr="0033338C">
        <w:rPr>
          <w:rFonts w:ascii="Arial" w:hAnsi="Arial" w:cs="Arial"/>
          <w:b/>
          <w:bCs/>
          <w:sz w:val="24"/>
          <w:szCs w:val="24"/>
          <w:lang w:val="en-US"/>
        </w:rPr>
        <w:t>: Retained Earnings/Total Assets</w:t>
      </w:r>
      <w:r w:rsidR="002F7DCF" w:rsidRPr="0033338C">
        <w:rPr>
          <w:rFonts w:ascii="Arial" w:hAnsi="Arial" w:cs="Arial"/>
          <w:b/>
          <w:bCs/>
          <w:sz w:val="24"/>
          <w:szCs w:val="24"/>
          <w:lang w:val="en-US"/>
        </w:rPr>
        <w:t xml:space="preserve">: </w:t>
      </w:r>
      <w:r w:rsidR="00B07DD7" w:rsidRPr="0033338C">
        <w:rPr>
          <w:rFonts w:ascii="Arial" w:hAnsi="Arial" w:cs="Arial"/>
          <w:sz w:val="24"/>
          <w:szCs w:val="24"/>
          <w:lang w:val="en-US"/>
        </w:rPr>
        <w:t xml:space="preserve">Retained earnings decline drastically as it suffers deep losses in 2023 and 2024. This generates a very small </w:t>
      </w:r>
      <w:r w:rsidRPr="0033338C">
        <w:rPr>
          <w:rFonts w:ascii="Arial" w:hAnsi="Arial" w:cs="Arial"/>
          <w:sz w:val="24"/>
          <w:szCs w:val="24"/>
        </w:rPr>
        <w:t>X</w:t>
      </w:r>
      <w:r w:rsidRPr="0033338C">
        <w:rPr>
          <w:rFonts w:ascii="Cambria Math" w:hAnsi="Cambria Math" w:cs="Cambria Math"/>
          <w:sz w:val="24"/>
          <w:szCs w:val="24"/>
        </w:rPr>
        <w:t>₂</w:t>
      </w:r>
      <w:r w:rsidR="00B07DD7" w:rsidRPr="0033338C">
        <w:rPr>
          <w:rFonts w:ascii="Arial" w:hAnsi="Arial" w:cs="Arial"/>
          <w:sz w:val="24"/>
          <w:szCs w:val="24"/>
          <w:lang w:val="en-US"/>
        </w:rPr>
        <w:t xml:space="preserve">, which is an indicator that the financial health is being eroded long-term </w:t>
      </w:r>
      <w:r w:rsidR="002F7DCF" w:rsidRPr="0033338C">
        <w:rPr>
          <w:rFonts w:ascii="Arial" w:hAnsi="Arial" w:cs="Arial"/>
          <w:sz w:val="24"/>
          <w:szCs w:val="24"/>
          <w:lang w:val="en-US"/>
        </w:rPr>
        <w:t>(Financial</w:t>
      </w:r>
      <w:r w:rsidR="00B07DD7" w:rsidRPr="0033338C">
        <w:rPr>
          <w:rFonts w:ascii="Arial" w:hAnsi="Arial" w:cs="Arial"/>
          <w:sz w:val="24"/>
          <w:szCs w:val="24"/>
          <w:lang w:val="en-US"/>
        </w:rPr>
        <w:t xml:space="preserve"> Management Assessment Brief, 2025).</w:t>
      </w:r>
    </w:p>
    <w:p w14:paraId="33DA53DD" w14:textId="7D8E3062" w:rsidR="00B07DD7" w:rsidRPr="0033338C" w:rsidRDefault="002671E2" w:rsidP="002F7DCF">
      <w:pPr>
        <w:pStyle w:val="ListParagraph"/>
        <w:numPr>
          <w:ilvl w:val="0"/>
          <w:numId w:val="10"/>
        </w:numPr>
        <w:spacing w:line="360" w:lineRule="auto"/>
        <w:jc w:val="both"/>
        <w:rPr>
          <w:rFonts w:ascii="Arial" w:hAnsi="Arial" w:cs="Arial"/>
          <w:sz w:val="24"/>
          <w:szCs w:val="24"/>
          <w:lang w:val="en-US"/>
        </w:rPr>
      </w:pPr>
      <w:r w:rsidRPr="0033338C">
        <w:rPr>
          <w:rFonts w:ascii="Arial" w:hAnsi="Arial" w:cs="Arial"/>
          <w:sz w:val="24"/>
          <w:szCs w:val="24"/>
        </w:rPr>
        <w:t>X</w:t>
      </w:r>
      <w:r w:rsidRPr="0033338C">
        <w:rPr>
          <w:rFonts w:ascii="Cambria Math" w:hAnsi="Cambria Math" w:cs="Cambria Math"/>
          <w:sz w:val="24"/>
          <w:szCs w:val="24"/>
        </w:rPr>
        <w:t>₃</w:t>
      </w:r>
      <w:r>
        <w:rPr>
          <w:rFonts w:ascii="Cambria Math" w:hAnsi="Cambria Math" w:cs="Cambria Math"/>
          <w:sz w:val="24"/>
          <w:szCs w:val="24"/>
        </w:rPr>
        <w:t xml:space="preserve"> </w:t>
      </w:r>
      <w:r w:rsidR="00B07DD7" w:rsidRPr="0033338C">
        <w:rPr>
          <w:rFonts w:ascii="Arial" w:hAnsi="Arial" w:cs="Arial"/>
          <w:b/>
          <w:bCs/>
          <w:sz w:val="24"/>
          <w:szCs w:val="24"/>
          <w:lang w:val="en-US"/>
        </w:rPr>
        <w:t>: EBIT / Total Assets</w:t>
      </w:r>
      <w:r w:rsidR="002F7DCF" w:rsidRPr="0033338C">
        <w:rPr>
          <w:rFonts w:ascii="Arial" w:hAnsi="Arial" w:cs="Arial"/>
          <w:b/>
          <w:bCs/>
          <w:sz w:val="24"/>
          <w:szCs w:val="24"/>
          <w:lang w:val="en-US"/>
        </w:rPr>
        <w:t xml:space="preserve">: </w:t>
      </w:r>
      <w:r w:rsidR="00B07DD7" w:rsidRPr="0033338C">
        <w:rPr>
          <w:rFonts w:ascii="Arial" w:hAnsi="Arial" w:cs="Arial"/>
          <w:sz w:val="24"/>
          <w:szCs w:val="24"/>
          <w:lang w:val="en-US"/>
        </w:rPr>
        <w:t>Losses in operations in 2023</w:t>
      </w:r>
      <w:r>
        <w:rPr>
          <w:rFonts w:ascii="Arial" w:hAnsi="Arial" w:cs="Arial"/>
          <w:sz w:val="24"/>
          <w:szCs w:val="24"/>
          <w:lang w:val="en-US"/>
        </w:rPr>
        <w:t>-</w:t>
      </w:r>
      <w:r w:rsidR="00B07DD7" w:rsidRPr="0033338C">
        <w:rPr>
          <w:rFonts w:ascii="Arial" w:hAnsi="Arial" w:cs="Arial"/>
          <w:sz w:val="24"/>
          <w:szCs w:val="24"/>
          <w:lang w:val="en-US"/>
        </w:rPr>
        <w:t xml:space="preserve">2024 bring </w:t>
      </w:r>
      <w:r w:rsidRPr="0033338C">
        <w:rPr>
          <w:rFonts w:ascii="Arial" w:hAnsi="Arial" w:cs="Arial"/>
          <w:sz w:val="24"/>
          <w:szCs w:val="24"/>
        </w:rPr>
        <w:t>X</w:t>
      </w:r>
      <w:r w:rsidRPr="0033338C">
        <w:rPr>
          <w:rFonts w:ascii="Cambria Math" w:hAnsi="Cambria Math" w:cs="Cambria Math"/>
          <w:sz w:val="24"/>
          <w:szCs w:val="24"/>
        </w:rPr>
        <w:t>₃</w:t>
      </w:r>
      <w:r>
        <w:rPr>
          <w:rFonts w:ascii="Cambria Math" w:hAnsi="Cambria Math" w:cs="Cambria Math"/>
          <w:sz w:val="24"/>
          <w:szCs w:val="24"/>
        </w:rPr>
        <w:t xml:space="preserve"> </w:t>
      </w:r>
      <w:r w:rsidR="00B07DD7" w:rsidRPr="0033338C">
        <w:rPr>
          <w:rFonts w:ascii="Arial" w:hAnsi="Arial" w:cs="Arial"/>
          <w:sz w:val="24"/>
          <w:szCs w:val="24"/>
          <w:lang w:val="en-US"/>
        </w:rPr>
        <w:t xml:space="preserve"> to values that are considerably negative, which shows that productivity is declining and costs are not controlled well.</w:t>
      </w:r>
    </w:p>
    <w:p w14:paraId="69CB31EF" w14:textId="26FDA1D4" w:rsidR="00B07DD7" w:rsidRPr="0033338C" w:rsidRDefault="002671E2" w:rsidP="002F7DCF">
      <w:pPr>
        <w:pStyle w:val="ListParagraph"/>
        <w:numPr>
          <w:ilvl w:val="0"/>
          <w:numId w:val="10"/>
        </w:numPr>
        <w:spacing w:line="360" w:lineRule="auto"/>
        <w:jc w:val="both"/>
        <w:rPr>
          <w:rFonts w:ascii="Arial" w:hAnsi="Arial" w:cs="Arial"/>
          <w:sz w:val="24"/>
          <w:szCs w:val="24"/>
          <w:lang w:val="en-US"/>
        </w:rPr>
      </w:pPr>
      <w:r w:rsidRPr="0033338C">
        <w:rPr>
          <w:rFonts w:ascii="Arial" w:hAnsi="Arial" w:cs="Arial"/>
          <w:sz w:val="24"/>
          <w:szCs w:val="24"/>
        </w:rPr>
        <w:t>X</w:t>
      </w:r>
      <w:r w:rsidRPr="0033338C">
        <w:rPr>
          <w:rFonts w:ascii="Cambria Math" w:hAnsi="Cambria Math" w:cs="Cambria Math"/>
          <w:sz w:val="24"/>
          <w:szCs w:val="24"/>
        </w:rPr>
        <w:t>₄</w:t>
      </w:r>
      <w:r>
        <w:rPr>
          <w:rFonts w:ascii="Cambria Math" w:hAnsi="Cambria Math" w:cs="Cambria Math"/>
          <w:sz w:val="24"/>
          <w:szCs w:val="24"/>
        </w:rPr>
        <w:t xml:space="preserve"> </w:t>
      </w:r>
      <w:r w:rsidR="00B07DD7" w:rsidRPr="0033338C">
        <w:rPr>
          <w:rFonts w:ascii="Arial" w:hAnsi="Arial" w:cs="Arial"/>
          <w:b/>
          <w:bCs/>
          <w:sz w:val="24"/>
          <w:szCs w:val="24"/>
          <w:lang w:val="en-US"/>
        </w:rPr>
        <w:t>: Market Value of Equity/Total Liabilities</w:t>
      </w:r>
      <w:r w:rsidR="002F7DCF" w:rsidRPr="0033338C">
        <w:rPr>
          <w:rFonts w:ascii="Arial" w:hAnsi="Arial" w:cs="Arial"/>
          <w:b/>
          <w:bCs/>
          <w:sz w:val="24"/>
          <w:szCs w:val="24"/>
          <w:lang w:val="en-US"/>
        </w:rPr>
        <w:t xml:space="preserve">: </w:t>
      </w:r>
      <w:r w:rsidR="00B07DD7" w:rsidRPr="0033338C">
        <w:rPr>
          <w:rFonts w:ascii="Arial" w:hAnsi="Arial" w:cs="Arial"/>
          <w:sz w:val="24"/>
          <w:szCs w:val="24"/>
          <w:lang w:val="en-US"/>
        </w:rPr>
        <w:t>The equity goes down to 275bn (2021) to 153bn (2024) and the liabili</w:t>
      </w:r>
      <w:r>
        <w:rPr>
          <w:rFonts w:ascii="Arial" w:hAnsi="Arial" w:cs="Arial"/>
          <w:sz w:val="24"/>
          <w:szCs w:val="24"/>
          <w:lang w:val="en-US"/>
        </w:rPr>
        <w:t xml:space="preserve">ties increase. This decreases </w:t>
      </w:r>
      <w:r w:rsidRPr="0033338C">
        <w:rPr>
          <w:rFonts w:ascii="Arial" w:hAnsi="Arial" w:cs="Arial"/>
          <w:sz w:val="24"/>
          <w:szCs w:val="24"/>
        </w:rPr>
        <w:t>X</w:t>
      </w:r>
      <w:r w:rsidRPr="0033338C">
        <w:rPr>
          <w:rFonts w:ascii="Cambria Math" w:hAnsi="Cambria Math" w:cs="Cambria Math"/>
          <w:sz w:val="24"/>
          <w:szCs w:val="24"/>
        </w:rPr>
        <w:t>₄</w:t>
      </w:r>
      <w:r>
        <w:rPr>
          <w:rFonts w:ascii="Cambria Math" w:hAnsi="Cambria Math" w:cs="Cambria Math"/>
          <w:sz w:val="24"/>
          <w:szCs w:val="24"/>
        </w:rPr>
        <w:t xml:space="preserve"> </w:t>
      </w:r>
      <w:r w:rsidR="00B07DD7" w:rsidRPr="0033338C">
        <w:rPr>
          <w:rFonts w:ascii="Arial" w:hAnsi="Arial" w:cs="Arial"/>
          <w:sz w:val="24"/>
          <w:szCs w:val="24"/>
          <w:lang w:val="en-US"/>
        </w:rPr>
        <w:t xml:space="preserve"> by a significant amount, which heightens leverage-based default risk (Hill and Hult, 2020).</w:t>
      </w:r>
    </w:p>
    <w:p w14:paraId="7460539A" w14:textId="61B6153C" w:rsidR="00E818EE" w:rsidRPr="0033338C" w:rsidRDefault="002671E2" w:rsidP="002F7DCF">
      <w:pPr>
        <w:pStyle w:val="ListParagraph"/>
        <w:numPr>
          <w:ilvl w:val="0"/>
          <w:numId w:val="10"/>
        </w:numPr>
        <w:spacing w:line="360" w:lineRule="auto"/>
        <w:jc w:val="both"/>
        <w:rPr>
          <w:rFonts w:ascii="Arial" w:hAnsi="Arial" w:cs="Arial"/>
          <w:sz w:val="24"/>
          <w:szCs w:val="24"/>
          <w:lang w:val="en-US"/>
        </w:rPr>
      </w:pPr>
      <w:r w:rsidRPr="0033338C">
        <w:rPr>
          <w:rFonts w:ascii="Arial" w:hAnsi="Arial" w:cs="Arial"/>
          <w:sz w:val="24"/>
          <w:szCs w:val="24"/>
        </w:rPr>
        <w:t>X</w:t>
      </w:r>
      <w:r w:rsidRPr="0033338C">
        <w:rPr>
          <w:rFonts w:ascii="Cambria Math" w:hAnsi="Cambria Math" w:cs="Cambria Math"/>
          <w:sz w:val="24"/>
          <w:szCs w:val="24"/>
        </w:rPr>
        <w:t>₅</w:t>
      </w:r>
      <w:r>
        <w:rPr>
          <w:rFonts w:ascii="Cambria Math" w:hAnsi="Cambria Math" w:cs="Cambria Math"/>
          <w:sz w:val="24"/>
          <w:szCs w:val="24"/>
        </w:rPr>
        <w:t xml:space="preserve"> </w:t>
      </w:r>
      <w:r w:rsidR="00B07DD7" w:rsidRPr="0033338C">
        <w:rPr>
          <w:rFonts w:ascii="Arial" w:hAnsi="Arial" w:cs="Arial"/>
          <w:b/>
          <w:bCs/>
          <w:sz w:val="24"/>
          <w:szCs w:val="24"/>
          <w:lang w:val="en-US"/>
        </w:rPr>
        <w:t>: Sales / Total Assets</w:t>
      </w:r>
      <w:r w:rsidR="002F7DCF" w:rsidRPr="0033338C">
        <w:rPr>
          <w:rFonts w:ascii="Arial" w:hAnsi="Arial" w:cs="Arial"/>
          <w:sz w:val="24"/>
          <w:szCs w:val="24"/>
          <w:lang w:val="en-US"/>
        </w:rPr>
        <w:t xml:space="preserve">: </w:t>
      </w:r>
      <w:r w:rsidR="00B07DD7" w:rsidRPr="0033338C">
        <w:rPr>
          <w:rFonts w:ascii="Arial" w:hAnsi="Arial" w:cs="Arial"/>
          <w:sz w:val="24"/>
          <w:szCs w:val="24"/>
          <w:lang w:val="en-US"/>
        </w:rPr>
        <w:t>Sales reduce drastically with assets decreasing slowly, which diminishes the turno</w:t>
      </w:r>
      <w:r>
        <w:rPr>
          <w:rFonts w:ascii="Arial" w:hAnsi="Arial" w:cs="Arial"/>
          <w:sz w:val="24"/>
          <w:szCs w:val="24"/>
          <w:lang w:val="en-US"/>
        </w:rPr>
        <w:t xml:space="preserve">ver of assets. The decreasing </w:t>
      </w:r>
      <w:r w:rsidRPr="0033338C">
        <w:rPr>
          <w:rFonts w:ascii="Arial" w:hAnsi="Arial" w:cs="Arial"/>
          <w:sz w:val="24"/>
          <w:szCs w:val="24"/>
        </w:rPr>
        <w:t>X</w:t>
      </w:r>
      <w:r w:rsidRPr="0033338C">
        <w:rPr>
          <w:rFonts w:ascii="Cambria Math" w:hAnsi="Cambria Math" w:cs="Cambria Math"/>
          <w:sz w:val="24"/>
          <w:szCs w:val="24"/>
        </w:rPr>
        <w:t>₅</w:t>
      </w:r>
      <w:r w:rsidR="00B07DD7" w:rsidRPr="0033338C">
        <w:rPr>
          <w:rFonts w:ascii="Arial" w:hAnsi="Arial" w:cs="Arial"/>
          <w:sz w:val="24"/>
          <w:szCs w:val="24"/>
          <w:lang w:val="en-US"/>
        </w:rPr>
        <w:t xml:space="preserve"> points out ineffective competitiveness and deterioration of operations performance.</w:t>
      </w:r>
    </w:p>
    <w:p w14:paraId="2E74286B" w14:textId="77777777" w:rsidR="00E818EE" w:rsidRPr="0033338C" w:rsidRDefault="00E818EE" w:rsidP="00E818EE">
      <w:pPr>
        <w:spacing w:line="360" w:lineRule="auto"/>
        <w:jc w:val="both"/>
        <w:rPr>
          <w:rFonts w:ascii="Arial" w:hAnsi="Arial" w:cs="Arial"/>
          <w:sz w:val="24"/>
          <w:szCs w:val="24"/>
          <w:lang w:val="en-US"/>
        </w:rPr>
      </w:pPr>
      <w:r w:rsidRPr="0033338C">
        <w:rPr>
          <w:rFonts w:ascii="Arial" w:hAnsi="Arial" w:cs="Arial"/>
          <w:b/>
          <w:bCs/>
          <w:sz w:val="24"/>
          <w:szCs w:val="24"/>
          <w:lang w:val="en-US"/>
        </w:rPr>
        <w:t>Z-Score Conclusion:</w:t>
      </w:r>
      <w:r w:rsidRPr="0033338C">
        <w:rPr>
          <w:rFonts w:ascii="Arial" w:hAnsi="Arial" w:cs="Arial"/>
          <w:sz w:val="24"/>
          <w:szCs w:val="24"/>
          <w:lang w:val="en-US"/>
        </w:rPr>
        <w:t xml:space="preserve"> Assuming the worst-case scenario, where the ratio of Sales to Total Assets (E) equals 1.0, which is typical for large companies, the negative impact of Factor C would significantly lower the score below the distress level of 1.81.</w:t>
      </w:r>
    </w:p>
    <w:p w14:paraId="3E48C7D4" w14:textId="180D1F87" w:rsidR="00644E4D" w:rsidRPr="0033338C" w:rsidRDefault="00020729" w:rsidP="00044D2A">
      <w:pPr>
        <w:spacing w:line="360" w:lineRule="auto"/>
        <w:jc w:val="center"/>
        <w:rPr>
          <w:rFonts w:ascii="Arial" w:hAnsi="Arial" w:cs="Arial"/>
          <w:sz w:val="24"/>
          <w:szCs w:val="24"/>
          <w:lang w:val="en-US"/>
        </w:rPr>
      </w:pPr>
      <m:oMath>
        <m:sSub>
          <m:sSubPr>
            <m:ctrlPr>
              <w:rPr>
                <w:rFonts w:ascii="Cambria Math" w:hAnsi="Cambria Math" w:cs="Arial"/>
                <w:i/>
                <w:sz w:val="24"/>
                <w:szCs w:val="24"/>
                <w:lang w:val="en-US"/>
              </w:rPr>
            </m:ctrlPr>
          </m:sSubPr>
          <m:e>
            <m:r>
              <w:rPr>
                <w:rFonts w:ascii="Cambria Math" w:hAnsi="Cambria Math" w:cs="Arial"/>
                <w:sz w:val="24"/>
                <w:szCs w:val="24"/>
                <w:lang w:val="en-US"/>
              </w:rPr>
              <m:t>Z-Score</m:t>
            </m:r>
          </m:e>
          <m:sub>
            <m:r>
              <w:rPr>
                <w:rFonts w:ascii="Cambria Math" w:hAnsi="Cambria Math" w:cs="Arial"/>
                <w:sz w:val="24"/>
                <w:szCs w:val="24"/>
                <w:lang w:val="en-US"/>
              </w:rPr>
              <m:t>2024</m:t>
            </m:r>
          </m:sub>
        </m:sSub>
        <m:r>
          <w:rPr>
            <w:rFonts w:ascii="Cambria Math" w:eastAsiaTheme="minorEastAsia" w:hAnsi="Cambria Math" w:cs="Arial"/>
            <w:sz w:val="24"/>
            <w:szCs w:val="24"/>
            <w:lang w:val="en-US"/>
          </w:rPr>
          <m:t>≈</m:t>
        </m:r>
      </m:oMath>
      <w:r w:rsidR="0098183F" w:rsidRPr="0033338C">
        <w:rPr>
          <w:rFonts w:ascii="Arial" w:eastAsiaTheme="minorEastAsia" w:hAnsi="Arial" w:cs="Arial"/>
          <w:sz w:val="24"/>
          <w:szCs w:val="24"/>
          <w:lang w:val="en-US"/>
        </w:rPr>
        <w:t>1.2</w:t>
      </w:r>
      <w:r w:rsidR="0098161B" w:rsidRPr="0033338C">
        <w:rPr>
          <w:rFonts w:ascii="Arial" w:eastAsiaTheme="minorEastAsia" w:hAnsi="Arial" w:cs="Arial"/>
          <w:sz w:val="24"/>
          <w:szCs w:val="24"/>
          <w:lang w:val="en-US"/>
        </w:rPr>
        <w:t xml:space="preserve"> (0.20) + 1.4 (0.64) + 3.3 (-0.0</w:t>
      </w:r>
      <w:r w:rsidR="000F5354" w:rsidRPr="0033338C">
        <w:rPr>
          <w:rFonts w:ascii="Arial" w:eastAsiaTheme="minorEastAsia" w:hAnsi="Arial" w:cs="Arial"/>
          <w:sz w:val="24"/>
          <w:szCs w:val="24"/>
          <w:lang w:val="en-US"/>
        </w:rPr>
        <w:t>9) + 0.6 (0.46) + 1.0 (1.0)</w:t>
      </w:r>
      <w:r w:rsidR="00044D2A" w:rsidRPr="0033338C">
        <w:rPr>
          <w:rFonts w:ascii="Arial" w:eastAsiaTheme="minorEastAsia" w:hAnsi="Arial" w:cs="Arial"/>
          <w:sz w:val="24"/>
          <w:szCs w:val="24"/>
          <w:lang w:val="en-US"/>
        </w:rPr>
        <w:t xml:space="preserve"> </w:t>
      </w:r>
      <m:oMath>
        <m:r>
          <w:rPr>
            <w:rFonts w:ascii="Cambria Math" w:eastAsiaTheme="minorEastAsia" w:hAnsi="Cambria Math" w:cs="Arial"/>
            <w:sz w:val="24"/>
            <w:szCs w:val="24"/>
            <w:lang w:val="en-US"/>
          </w:rPr>
          <m:t>≈</m:t>
        </m:r>
      </m:oMath>
      <w:r w:rsidR="00044D2A" w:rsidRPr="0033338C">
        <w:rPr>
          <w:rFonts w:ascii="Arial" w:eastAsiaTheme="minorEastAsia" w:hAnsi="Arial" w:cs="Arial"/>
          <w:sz w:val="24"/>
          <w:szCs w:val="24"/>
          <w:lang w:val="en-US"/>
        </w:rPr>
        <w:t xml:space="preserve"> 1.90</w:t>
      </w:r>
    </w:p>
    <w:p w14:paraId="393F52E2" w14:textId="30003DA0" w:rsidR="00E818EE" w:rsidRPr="0033338C" w:rsidRDefault="00350EEB" w:rsidP="00E818EE">
      <w:pPr>
        <w:spacing w:line="360" w:lineRule="auto"/>
        <w:jc w:val="both"/>
        <w:rPr>
          <w:rFonts w:ascii="Arial" w:hAnsi="Arial" w:cs="Arial"/>
          <w:sz w:val="24"/>
          <w:szCs w:val="24"/>
          <w:lang w:val="en-US"/>
        </w:rPr>
      </w:pPr>
      <w:r w:rsidRPr="0033338C">
        <w:rPr>
          <w:rFonts w:ascii="Arial" w:hAnsi="Arial" w:cs="Arial"/>
          <w:sz w:val="24"/>
          <w:szCs w:val="24"/>
        </w:rPr>
        <w:lastRenderedPageBreak/>
        <w:t>GE is at the Grey Zone with a score of approximately 1.90 that has a range of 1.81 to 2.99. It is a pointer that the company is in its deathbed and that it has an average to high pro</w:t>
      </w:r>
      <w:r w:rsidR="002671E2">
        <w:rPr>
          <w:rFonts w:ascii="Arial" w:hAnsi="Arial" w:cs="Arial"/>
          <w:sz w:val="24"/>
          <w:szCs w:val="24"/>
        </w:rPr>
        <w:t>bability of going into bankruptc</w:t>
      </w:r>
      <w:r w:rsidRPr="0033338C">
        <w:rPr>
          <w:rFonts w:ascii="Arial" w:hAnsi="Arial" w:cs="Arial"/>
          <w:sz w:val="24"/>
          <w:szCs w:val="24"/>
        </w:rPr>
        <w:t>y within the next two years unless there is an immediate increase of the core profitability of the company (Factor C) (Altman, 1968). This is following the tremendous decrease in its ROE and the D/E Ratio of the company, which stands at 1.11</w:t>
      </w:r>
      <w:r w:rsidR="00E818EE" w:rsidRPr="0033338C">
        <w:rPr>
          <w:rFonts w:ascii="Arial" w:hAnsi="Arial" w:cs="Arial"/>
          <w:sz w:val="24"/>
          <w:szCs w:val="24"/>
          <w:lang w:val="en-US"/>
        </w:rPr>
        <w:t>.</w:t>
      </w:r>
    </w:p>
    <w:p w14:paraId="52ECC201" w14:textId="77777777" w:rsidR="00741828" w:rsidRPr="0033338C" w:rsidRDefault="00741828">
      <w:pPr>
        <w:spacing w:after="160" w:line="278" w:lineRule="auto"/>
        <w:rPr>
          <w:rStyle w:val="Heading1Char"/>
          <w:rFonts w:cs="Arial"/>
        </w:rPr>
      </w:pPr>
      <w:r w:rsidRPr="0033338C">
        <w:rPr>
          <w:rStyle w:val="Heading1Char"/>
          <w:rFonts w:cs="Arial"/>
          <w:b w:val="0"/>
        </w:rPr>
        <w:br w:type="page"/>
      </w:r>
    </w:p>
    <w:p w14:paraId="33F379C8" w14:textId="5E89436E" w:rsidR="00CD4561" w:rsidRPr="0033338C" w:rsidRDefault="00840E24" w:rsidP="00CD4561">
      <w:pPr>
        <w:pStyle w:val="Heading1"/>
        <w:rPr>
          <w:rFonts w:cs="Arial"/>
        </w:rPr>
      </w:pPr>
      <w:bookmarkStart w:id="7" w:name="_Toc214831128"/>
      <w:r w:rsidRPr="0033338C">
        <w:rPr>
          <w:rStyle w:val="Heading1Char"/>
          <w:rFonts w:cs="Arial"/>
          <w:b/>
        </w:rPr>
        <w:lastRenderedPageBreak/>
        <w:t>2. Working Capital Management Analysis</w:t>
      </w:r>
      <w:bookmarkEnd w:id="7"/>
    </w:p>
    <w:p w14:paraId="097EEF49" w14:textId="265BF367" w:rsidR="006D0CF6" w:rsidRPr="0033338C" w:rsidRDefault="0098188F" w:rsidP="006D0CF6">
      <w:pPr>
        <w:spacing w:before="240" w:line="360" w:lineRule="auto"/>
        <w:jc w:val="both"/>
        <w:rPr>
          <w:rFonts w:ascii="Arial" w:hAnsi="Arial" w:cs="Arial"/>
          <w:bCs/>
          <w:sz w:val="24"/>
          <w:szCs w:val="24"/>
          <w:lang w:val="en-US"/>
        </w:rPr>
      </w:pPr>
      <w:r w:rsidRPr="0033338C">
        <w:rPr>
          <w:rFonts w:ascii="Arial" w:hAnsi="Arial" w:cs="Arial"/>
          <w:bCs/>
          <w:sz w:val="24"/>
          <w:szCs w:val="24"/>
          <w:lang w:val="en-US"/>
        </w:rPr>
        <w:t xml:space="preserve">The </w:t>
      </w:r>
      <w:r w:rsidRPr="0033338C">
        <w:rPr>
          <w:rStyle w:val="Heading1Char"/>
          <w:rFonts w:cs="Arial"/>
          <w:b w:val="0"/>
          <w:bCs/>
          <w:sz w:val="24"/>
          <w:szCs w:val="32"/>
        </w:rPr>
        <w:t>working</w:t>
      </w:r>
      <w:r w:rsidRPr="0033338C">
        <w:rPr>
          <w:rFonts w:ascii="Arial" w:hAnsi="Arial" w:cs="Arial"/>
          <w:bCs/>
          <w:sz w:val="24"/>
          <w:szCs w:val="24"/>
          <w:lang w:val="en-US"/>
        </w:rPr>
        <w:t xml:space="preserve"> capital position of General Electronics is compromised by unstable inventories, increasing receivable days, and inconsistent payables, and it has placed the company on long-term liquidity pressure. Inefficient conversion cycle of the cash is an indicator of bad credit control and faulty demand planning (Atrill &amp; McLaney, 2022). Such matters are in line with the decreasing liquidity that has been reported in the financial statements of the firm (Financial Management Assessment Brief, 2025)</w:t>
      </w:r>
      <w:r w:rsidR="006D0CF6" w:rsidRPr="0033338C">
        <w:rPr>
          <w:rFonts w:ascii="Arial" w:hAnsi="Arial" w:cs="Arial"/>
          <w:bCs/>
          <w:sz w:val="24"/>
          <w:szCs w:val="24"/>
          <w:lang w:val="en-US"/>
        </w:rPr>
        <w:t>.</w:t>
      </w:r>
    </w:p>
    <w:p w14:paraId="65AE6802" w14:textId="473A004D" w:rsidR="006D0CF6" w:rsidRPr="0033338C" w:rsidRDefault="00741828" w:rsidP="00741828">
      <w:pPr>
        <w:pStyle w:val="Heading2"/>
        <w:rPr>
          <w:rFonts w:cs="Arial"/>
          <w:lang w:val="en-US"/>
        </w:rPr>
      </w:pPr>
      <w:bookmarkStart w:id="8" w:name="_Toc214831129"/>
      <w:r w:rsidRPr="0033338C">
        <w:rPr>
          <w:rFonts w:cs="Arial"/>
          <w:lang w:val="en-US"/>
        </w:rPr>
        <w:t>2.1</w:t>
      </w:r>
      <w:r w:rsidR="006D0CF6" w:rsidRPr="0033338C">
        <w:rPr>
          <w:rFonts w:cs="Arial"/>
          <w:lang w:val="en-US"/>
        </w:rPr>
        <w:t xml:space="preserve"> </w:t>
      </w:r>
      <w:r w:rsidRPr="0033338C">
        <w:rPr>
          <w:rFonts w:cs="Arial"/>
          <w:lang w:val="en-US"/>
        </w:rPr>
        <w:t>E</w:t>
      </w:r>
      <w:r w:rsidR="006D0CF6" w:rsidRPr="0033338C">
        <w:rPr>
          <w:rFonts w:cs="Arial"/>
          <w:lang w:val="en-US"/>
        </w:rPr>
        <w:t>valuation of the Cash Operating Cycle (COC).</w:t>
      </w:r>
      <w:bookmarkEnd w:id="8"/>
    </w:p>
    <w:p w14:paraId="6ED9002C" w14:textId="6FB29A3D" w:rsidR="006D0CF6" w:rsidRPr="0033338C" w:rsidRDefault="00456C22" w:rsidP="006D0CF6">
      <w:pPr>
        <w:spacing w:before="240" w:line="360" w:lineRule="auto"/>
        <w:jc w:val="both"/>
        <w:rPr>
          <w:rFonts w:ascii="Arial" w:hAnsi="Arial" w:cs="Arial"/>
          <w:bCs/>
          <w:sz w:val="24"/>
          <w:szCs w:val="24"/>
          <w:lang w:val="en-US"/>
        </w:rPr>
      </w:pPr>
      <w:r w:rsidRPr="0033338C">
        <w:rPr>
          <w:rFonts w:ascii="Arial" w:hAnsi="Arial" w:cs="Arial"/>
          <w:bCs/>
          <w:sz w:val="24"/>
          <w:szCs w:val="24"/>
        </w:rPr>
        <w:t>The Cash Operating Cycle (COC) is used to determine the duration of time that General Electronics requires to transform inventory purchases into cash inflows. It is computed as Inventory Days + Receivable Days - Payable Days, and it gives essential information on the efficiency of the firm in terms of liquidity (Atrill and McLaney, 2022). According to the financial reports attached, the elements of the COC are very volatile in 2021-2024, and this indicates a growing pressure on short-term cash flows.</w:t>
      </w:r>
    </w:p>
    <w:p w14:paraId="297C4DA2" w14:textId="657D575B" w:rsidR="00741828" w:rsidRPr="0033338C" w:rsidRDefault="00DA6E1B" w:rsidP="004352DB">
      <w:pPr>
        <w:spacing w:before="240" w:line="360" w:lineRule="auto"/>
        <w:jc w:val="center"/>
        <w:rPr>
          <w:rFonts w:ascii="Arial" w:hAnsi="Arial" w:cs="Arial"/>
          <w:bCs/>
          <w:sz w:val="24"/>
          <w:szCs w:val="24"/>
          <w:lang w:val="en-US"/>
        </w:rPr>
      </w:pPr>
      <w:r w:rsidRPr="0033338C">
        <w:rPr>
          <w:rFonts w:ascii="Arial" w:hAnsi="Arial" w:cs="Arial"/>
          <w:b/>
          <w:sz w:val="24"/>
          <w:szCs w:val="24"/>
        </w:rPr>
        <w:t>Cash Operating Cycle Components</w:t>
      </w:r>
    </w:p>
    <w:tbl>
      <w:tblPr>
        <w:tblStyle w:val="TableGrid"/>
        <w:tblW w:w="0" w:type="auto"/>
        <w:tblLook w:val="04A0" w:firstRow="1" w:lastRow="0" w:firstColumn="1" w:lastColumn="0" w:noHBand="0" w:noVBand="1"/>
      </w:tblPr>
      <w:tblGrid>
        <w:gridCol w:w="772"/>
        <w:gridCol w:w="1593"/>
        <w:gridCol w:w="1754"/>
        <w:gridCol w:w="2045"/>
        <w:gridCol w:w="2852"/>
      </w:tblGrid>
      <w:tr w:rsidR="007E1475" w:rsidRPr="0033338C" w14:paraId="379E3C67" w14:textId="77777777" w:rsidTr="007E1475">
        <w:tc>
          <w:tcPr>
            <w:tcW w:w="772" w:type="dxa"/>
          </w:tcPr>
          <w:p w14:paraId="6F5DCACD" w14:textId="68527DDF" w:rsidR="007E1475" w:rsidRPr="0033338C" w:rsidRDefault="007E1475" w:rsidP="00D36A2A">
            <w:pPr>
              <w:spacing w:after="0" w:line="240" w:lineRule="auto"/>
              <w:jc w:val="both"/>
              <w:rPr>
                <w:rFonts w:ascii="Arial" w:hAnsi="Arial" w:cs="Arial"/>
                <w:b/>
                <w:bCs/>
                <w:sz w:val="24"/>
                <w:szCs w:val="24"/>
              </w:rPr>
            </w:pPr>
            <w:r w:rsidRPr="0033338C">
              <w:rPr>
                <w:rFonts w:ascii="Arial" w:hAnsi="Arial" w:cs="Arial"/>
                <w:b/>
                <w:bCs/>
              </w:rPr>
              <w:t>Year</w:t>
            </w:r>
          </w:p>
        </w:tc>
        <w:tc>
          <w:tcPr>
            <w:tcW w:w="1593" w:type="dxa"/>
            <w:hideMark/>
          </w:tcPr>
          <w:p w14:paraId="704B5663" w14:textId="2CC4B399" w:rsidR="007E1475" w:rsidRPr="0033338C" w:rsidRDefault="007E1475" w:rsidP="004352DB">
            <w:pPr>
              <w:spacing w:before="240" w:line="360" w:lineRule="auto"/>
              <w:jc w:val="both"/>
              <w:rPr>
                <w:rFonts w:ascii="Arial" w:hAnsi="Arial" w:cs="Arial"/>
                <w:bCs/>
                <w:sz w:val="24"/>
                <w:szCs w:val="24"/>
                <w:lang w:val="en-US"/>
              </w:rPr>
            </w:pPr>
            <w:r w:rsidRPr="0033338C">
              <w:rPr>
                <w:rFonts w:ascii="Arial" w:hAnsi="Arial" w:cs="Arial"/>
                <w:b/>
                <w:bCs/>
                <w:sz w:val="24"/>
                <w:szCs w:val="24"/>
              </w:rPr>
              <w:t>Inventory Days</w:t>
            </w:r>
          </w:p>
        </w:tc>
        <w:tc>
          <w:tcPr>
            <w:tcW w:w="1754" w:type="dxa"/>
            <w:hideMark/>
          </w:tcPr>
          <w:p w14:paraId="153E13A5" w14:textId="742EC30E" w:rsidR="007E1475" w:rsidRPr="0033338C" w:rsidRDefault="007E1475" w:rsidP="004352DB">
            <w:pPr>
              <w:spacing w:before="240" w:line="360" w:lineRule="auto"/>
              <w:jc w:val="both"/>
              <w:rPr>
                <w:rFonts w:ascii="Arial" w:hAnsi="Arial" w:cs="Arial"/>
                <w:bCs/>
                <w:sz w:val="24"/>
                <w:szCs w:val="24"/>
                <w:lang w:val="en-US"/>
              </w:rPr>
            </w:pPr>
            <w:r w:rsidRPr="0033338C">
              <w:rPr>
                <w:rFonts w:ascii="Arial" w:hAnsi="Arial" w:cs="Arial"/>
                <w:b/>
                <w:bCs/>
                <w:sz w:val="24"/>
                <w:szCs w:val="24"/>
              </w:rPr>
              <w:t>Receivable Days</w:t>
            </w:r>
          </w:p>
        </w:tc>
        <w:tc>
          <w:tcPr>
            <w:tcW w:w="2045" w:type="dxa"/>
          </w:tcPr>
          <w:p w14:paraId="6ABA0D6A" w14:textId="7428DF25" w:rsidR="007E1475" w:rsidRPr="0033338C" w:rsidRDefault="007E1475" w:rsidP="004352DB">
            <w:pPr>
              <w:spacing w:before="240" w:line="360" w:lineRule="auto"/>
              <w:jc w:val="both"/>
              <w:rPr>
                <w:rFonts w:ascii="Arial" w:hAnsi="Arial" w:cs="Arial"/>
                <w:b/>
                <w:bCs/>
                <w:sz w:val="24"/>
                <w:szCs w:val="24"/>
                <w:lang w:val="en-US"/>
              </w:rPr>
            </w:pPr>
            <w:r w:rsidRPr="0033338C">
              <w:rPr>
                <w:rFonts w:ascii="Arial" w:hAnsi="Arial" w:cs="Arial"/>
                <w:b/>
                <w:bCs/>
                <w:sz w:val="24"/>
                <w:szCs w:val="24"/>
              </w:rPr>
              <w:t>Payable Days</w:t>
            </w:r>
          </w:p>
        </w:tc>
        <w:tc>
          <w:tcPr>
            <w:tcW w:w="2852" w:type="dxa"/>
            <w:hideMark/>
          </w:tcPr>
          <w:p w14:paraId="09846834" w14:textId="4AE545FA" w:rsidR="007E1475" w:rsidRPr="0033338C" w:rsidRDefault="007E1475" w:rsidP="004352DB">
            <w:pPr>
              <w:spacing w:before="240" w:line="360" w:lineRule="auto"/>
              <w:jc w:val="both"/>
              <w:rPr>
                <w:rFonts w:ascii="Arial" w:hAnsi="Arial" w:cs="Arial"/>
                <w:bCs/>
                <w:sz w:val="24"/>
                <w:szCs w:val="24"/>
                <w:lang w:val="en-US"/>
              </w:rPr>
            </w:pPr>
            <w:r w:rsidRPr="0033338C">
              <w:rPr>
                <w:rFonts w:ascii="Arial" w:hAnsi="Arial" w:cs="Arial"/>
                <w:b/>
                <w:bCs/>
                <w:sz w:val="24"/>
                <w:szCs w:val="24"/>
              </w:rPr>
              <w:t>COC Interpretation</w:t>
            </w:r>
          </w:p>
        </w:tc>
      </w:tr>
      <w:tr w:rsidR="007E1475" w:rsidRPr="0033338C" w14:paraId="100BAF5E" w14:textId="77777777" w:rsidTr="007E1475">
        <w:tc>
          <w:tcPr>
            <w:tcW w:w="772" w:type="dxa"/>
          </w:tcPr>
          <w:p w14:paraId="0F9E8723" w14:textId="2B654742" w:rsidR="007E1475" w:rsidRPr="0033338C" w:rsidRDefault="007E1475" w:rsidP="004352DB">
            <w:pPr>
              <w:spacing w:before="240" w:line="360" w:lineRule="auto"/>
              <w:jc w:val="both"/>
              <w:rPr>
                <w:rFonts w:ascii="Arial" w:hAnsi="Arial" w:cs="Arial"/>
                <w:sz w:val="24"/>
                <w:szCs w:val="24"/>
                <w:lang w:val="en-US"/>
              </w:rPr>
            </w:pPr>
            <w:r w:rsidRPr="0033338C">
              <w:rPr>
                <w:rFonts w:ascii="Arial" w:hAnsi="Arial" w:cs="Arial"/>
                <w:sz w:val="24"/>
                <w:szCs w:val="24"/>
                <w:lang w:val="en-US"/>
              </w:rPr>
              <w:t>2021</w:t>
            </w:r>
          </w:p>
        </w:tc>
        <w:tc>
          <w:tcPr>
            <w:tcW w:w="1593" w:type="dxa"/>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76F3E" w:rsidRPr="0033338C" w14:paraId="5655BEF2" w14:textId="77777777">
              <w:trPr>
                <w:tblCellSpacing w:w="15" w:type="dxa"/>
              </w:trPr>
              <w:tc>
                <w:tcPr>
                  <w:tcW w:w="0" w:type="auto"/>
                  <w:vAlign w:val="center"/>
                  <w:hideMark/>
                </w:tcPr>
                <w:p w14:paraId="154A16B4" w14:textId="77777777" w:rsidR="00476F3E" w:rsidRPr="0033338C" w:rsidRDefault="00476F3E" w:rsidP="00476F3E">
                  <w:pPr>
                    <w:spacing w:before="240" w:line="360" w:lineRule="auto"/>
                    <w:jc w:val="both"/>
                    <w:rPr>
                      <w:rFonts w:ascii="Arial" w:hAnsi="Arial" w:cs="Arial"/>
                      <w:b/>
                      <w:bCs/>
                      <w:sz w:val="24"/>
                      <w:szCs w:val="24"/>
                    </w:rPr>
                  </w:pPr>
                </w:p>
              </w:tc>
            </w:tr>
          </w:tbl>
          <w:p w14:paraId="328B35A9" w14:textId="77777777" w:rsidR="00476F3E" w:rsidRPr="0033338C" w:rsidRDefault="00476F3E" w:rsidP="00476F3E">
            <w:pPr>
              <w:spacing w:before="240" w:line="360" w:lineRule="auto"/>
              <w:jc w:val="both"/>
              <w:rPr>
                <w:rFonts w:ascii="Arial" w:hAnsi="Arial" w:cs="Arial"/>
                <w:b/>
                <w:b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7"/>
            </w:tblGrid>
            <w:tr w:rsidR="00476F3E" w:rsidRPr="0033338C" w14:paraId="2434F848" w14:textId="77777777">
              <w:trPr>
                <w:tblCellSpacing w:w="15" w:type="dxa"/>
              </w:trPr>
              <w:tc>
                <w:tcPr>
                  <w:tcW w:w="0" w:type="auto"/>
                  <w:vAlign w:val="center"/>
                  <w:hideMark/>
                </w:tcPr>
                <w:p w14:paraId="219675E1" w14:textId="77777777" w:rsidR="00476F3E" w:rsidRPr="0033338C" w:rsidRDefault="00476F3E" w:rsidP="00476F3E">
                  <w:pPr>
                    <w:spacing w:before="240" w:line="360" w:lineRule="auto"/>
                    <w:jc w:val="both"/>
                    <w:rPr>
                      <w:rFonts w:ascii="Arial" w:hAnsi="Arial" w:cs="Arial"/>
                      <w:sz w:val="24"/>
                      <w:szCs w:val="24"/>
                    </w:rPr>
                  </w:pPr>
                  <w:r w:rsidRPr="0033338C">
                    <w:rPr>
                      <w:rFonts w:ascii="Arial" w:hAnsi="Arial" w:cs="Arial"/>
                      <w:sz w:val="24"/>
                      <w:szCs w:val="24"/>
                    </w:rPr>
                    <w:t>High and rising</w:t>
                  </w:r>
                </w:p>
              </w:tc>
            </w:tr>
          </w:tbl>
          <w:p w14:paraId="4C800705" w14:textId="7444FA7A" w:rsidR="007E1475" w:rsidRPr="0033338C" w:rsidRDefault="007E1475" w:rsidP="004352DB">
            <w:pPr>
              <w:spacing w:before="240" w:line="360" w:lineRule="auto"/>
              <w:jc w:val="both"/>
              <w:rPr>
                <w:rFonts w:ascii="Arial" w:hAnsi="Arial" w:cs="Arial"/>
                <w:bCs/>
                <w:sz w:val="24"/>
                <w:szCs w:val="24"/>
                <w:lang w:val="en-US"/>
              </w:rPr>
            </w:pPr>
          </w:p>
        </w:tc>
        <w:tc>
          <w:tcPr>
            <w:tcW w:w="1754" w:type="dxa"/>
            <w:hideMark/>
          </w:tcPr>
          <w:p w14:paraId="669A2F38" w14:textId="2FA20396" w:rsidR="007E1475" w:rsidRPr="0033338C" w:rsidRDefault="00CC66AB" w:rsidP="004352DB">
            <w:pPr>
              <w:spacing w:before="240" w:line="360" w:lineRule="auto"/>
              <w:jc w:val="both"/>
              <w:rPr>
                <w:rFonts w:ascii="Arial" w:hAnsi="Arial" w:cs="Arial"/>
                <w:bCs/>
                <w:sz w:val="24"/>
                <w:szCs w:val="24"/>
                <w:lang w:val="en-US"/>
              </w:rPr>
            </w:pPr>
            <w:r w:rsidRPr="0033338C">
              <w:rPr>
                <w:rFonts w:ascii="Arial" w:hAnsi="Arial" w:cs="Arial"/>
                <w:bCs/>
                <w:sz w:val="24"/>
                <w:szCs w:val="24"/>
              </w:rPr>
              <w:t>Moderate</w:t>
            </w:r>
          </w:p>
        </w:tc>
        <w:tc>
          <w:tcPr>
            <w:tcW w:w="204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F4F0D" w:rsidRPr="0033338C" w14:paraId="2FC06C97" w14:textId="77777777">
              <w:trPr>
                <w:tblCellSpacing w:w="15" w:type="dxa"/>
              </w:trPr>
              <w:tc>
                <w:tcPr>
                  <w:tcW w:w="0" w:type="auto"/>
                  <w:vAlign w:val="center"/>
                  <w:hideMark/>
                </w:tcPr>
                <w:p w14:paraId="0219B84F" w14:textId="77777777" w:rsidR="005F4F0D" w:rsidRPr="0033338C" w:rsidRDefault="005F4F0D" w:rsidP="005F4F0D">
                  <w:pPr>
                    <w:spacing w:before="240" w:line="360" w:lineRule="auto"/>
                    <w:jc w:val="both"/>
                    <w:rPr>
                      <w:rFonts w:ascii="Arial" w:hAnsi="Arial" w:cs="Arial"/>
                      <w:bCs/>
                      <w:sz w:val="24"/>
                      <w:szCs w:val="24"/>
                    </w:rPr>
                  </w:pPr>
                </w:p>
              </w:tc>
            </w:tr>
          </w:tbl>
          <w:p w14:paraId="0412B80D" w14:textId="77777777" w:rsidR="005F4F0D" w:rsidRPr="0033338C" w:rsidRDefault="005F4F0D" w:rsidP="005F4F0D">
            <w:pPr>
              <w:spacing w:before="240" w:line="360" w:lineRule="auto"/>
              <w:jc w:val="both"/>
              <w:rPr>
                <w:rFonts w:ascii="Arial" w:hAnsi="Arial" w:cs="Arial"/>
                <w:b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78"/>
            </w:tblGrid>
            <w:tr w:rsidR="005F4F0D" w:rsidRPr="0033338C" w14:paraId="669B52F5" w14:textId="77777777">
              <w:trPr>
                <w:tblCellSpacing w:w="15" w:type="dxa"/>
              </w:trPr>
              <w:tc>
                <w:tcPr>
                  <w:tcW w:w="0" w:type="auto"/>
                  <w:vAlign w:val="center"/>
                  <w:hideMark/>
                </w:tcPr>
                <w:p w14:paraId="5D2B7102" w14:textId="77777777" w:rsidR="005F4F0D" w:rsidRPr="0033338C" w:rsidRDefault="005F4F0D" w:rsidP="005F4F0D">
                  <w:pPr>
                    <w:spacing w:before="240" w:line="360" w:lineRule="auto"/>
                    <w:jc w:val="both"/>
                    <w:rPr>
                      <w:rFonts w:ascii="Arial" w:hAnsi="Arial" w:cs="Arial"/>
                      <w:bCs/>
                      <w:sz w:val="24"/>
                      <w:szCs w:val="24"/>
                    </w:rPr>
                  </w:pPr>
                  <w:r w:rsidRPr="0033338C">
                    <w:rPr>
                      <w:rFonts w:ascii="Arial" w:hAnsi="Arial" w:cs="Arial"/>
                      <w:bCs/>
                      <w:sz w:val="24"/>
                      <w:szCs w:val="24"/>
                    </w:rPr>
                    <w:t>Declining</w:t>
                  </w:r>
                </w:p>
              </w:tc>
            </w:tr>
          </w:tbl>
          <w:p w14:paraId="4CB26CE6" w14:textId="77777777" w:rsidR="007E1475" w:rsidRPr="0033338C" w:rsidRDefault="007E1475" w:rsidP="004352DB">
            <w:pPr>
              <w:spacing w:before="240" w:line="360" w:lineRule="auto"/>
              <w:jc w:val="both"/>
              <w:rPr>
                <w:rFonts w:ascii="Arial" w:hAnsi="Arial" w:cs="Arial"/>
                <w:bCs/>
                <w:sz w:val="24"/>
                <w:szCs w:val="24"/>
                <w:lang w:val="en-US"/>
              </w:rPr>
            </w:pPr>
          </w:p>
        </w:tc>
        <w:tc>
          <w:tcPr>
            <w:tcW w:w="2852" w:type="dxa"/>
            <w:hideMark/>
          </w:tcPr>
          <w:p w14:paraId="44126078" w14:textId="04A3F729" w:rsidR="007E1475" w:rsidRPr="0033338C" w:rsidRDefault="00961E42" w:rsidP="004352DB">
            <w:pPr>
              <w:spacing w:before="240" w:line="360" w:lineRule="auto"/>
              <w:jc w:val="both"/>
              <w:rPr>
                <w:rFonts w:ascii="Arial" w:hAnsi="Arial" w:cs="Arial"/>
                <w:bCs/>
                <w:sz w:val="24"/>
                <w:szCs w:val="24"/>
                <w:lang w:val="en-US"/>
              </w:rPr>
            </w:pPr>
            <w:r w:rsidRPr="0033338C">
              <w:rPr>
                <w:rFonts w:ascii="Arial" w:hAnsi="Arial" w:cs="Arial"/>
                <w:bCs/>
                <w:sz w:val="24"/>
                <w:szCs w:val="24"/>
              </w:rPr>
              <w:t>Lengthening COC- cash tied up longer.</w:t>
            </w:r>
          </w:p>
        </w:tc>
      </w:tr>
      <w:tr w:rsidR="007E1475" w:rsidRPr="0033338C" w14:paraId="245EF26F" w14:textId="77777777" w:rsidTr="007E1475">
        <w:tc>
          <w:tcPr>
            <w:tcW w:w="772" w:type="dxa"/>
          </w:tcPr>
          <w:p w14:paraId="29C16BE6" w14:textId="24316A79" w:rsidR="007E1475" w:rsidRPr="0033338C" w:rsidRDefault="007E1475" w:rsidP="004352DB">
            <w:pPr>
              <w:spacing w:before="240" w:line="360" w:lineRule="auto"/>
              <w:jc w:val="both"/>
              <w:rPr>
                <w:rFonts w:ascii="Arial" w:hAnsi="Arial" w:cs="Arial"/>
                <w:sz w:val="24"/>
                <w:szCs w:val="24"/>
                <w:lang w:val="en-US"/>
              </w:rPr>
            </w:pPr>
            <w:r w:rsidRPr="0033338C">
              <w:rPr>
                <w:rFonts w:ascii="Arial" w:hAnsi="Arial" w:cs="Arial"/>
                <w:sz w:val="24"/>
                <w:szCs w:val="24"/>
                <w:lang w:val="en-US"/>
              </w:rPr>
              <w:t>2022</w:t>
            </w:r>
          </w:p>
        </w:tc>
        <w:tc>
          <w:tcPr>
            <w:tcW w:w="1593" w:type="dxa"/>
            <w:hideMark/>
          </w:tcPr>
          <w:p w14:paraId="2B535F79" w14:textId="3B89F0CF" w:rsidR="007E1475" w:rsidRPr="0033338C" w:rsidRDefault="00FA41BE" w:rsidP="004352DB">
            <w:pPr>
              <w:spacing w:before="240" w:line="360" w:lineRule="auto"/>
              <w:jc w:val="both"/>
              <w:rPr>
                <w:rFonts w:ascii="Arial" w:hAnsi="Arial" w:cs="Arial"/>
                <w:sz w:val="24"/>
                <w:szCs w:val="24"/>
                <w:lang w:val="en-US"/>
              </w:rPr>
            </w:pPr>
            <w:r w:rsidRPr="0033338C">
              <w:rPr>
                <w:rFonts w:ascii="Arial" w:hAnsi="Arial" w:cs="Arial"/>
                <w:sz w:val="24"/>
                <w:szCs w:val="24"/>
              </w:rPr>
              <w:t>Peaks sharply</w:t>
            </w:r>
          </w:p>
        </w:tc>
        <w:tc>
          <w:tcPr>
            <w:tcW w:w="1754" w:type="dxa"/>
            <w:hideMark/>
          </w:tcPr>
          <w:p w14:paraId="388272E2" w14:textId="2500EC80" w:rsidR="007E1475" w:rsidRPr="0033338C" w:rsidRDefault="006F52C7" w:rsidP="004352DB">
            <w:pPr>
              <w:spacing w:before="240" w:line="360" w:lineRule="auto"/>
              <w:jc w:val="both"/>
              <w:rPr>
                <w:rFonts w:ascii="Arial" w:hAnsi="Arial" w:cs="Arial"/>
                <w:bCs/>
                <w:sz w:val="24"/>
                <w:szCs w:val="24"/>
                <w:lang w:val="en-US"/>
              </w:rPr>
            </w:pPr>
            <w:r w:rsidRPr="0033338C">
              <w:rPr>
                <w:rFonts w:ascii="Arial" w:hAnsi="Arial" w:cs="Arial"/>
                <w:bCs/>
                <w:sz w:val="24"/>
                <w:szCs w:val="24"/>
              </w:rPr>
              <w:t>Slightly lower</w:t>
            </w:r>
          </w:p>
        </w:tc>
        <w:tc>
          <w:tcPr>
            <w:tcW w:w="2045" w:type="dxa"/>
          </w:tcPr>
          <w:p w14:paraId="200076D5" w14:textId="4B8CCAA5" w:rsidR="007E1475" w:rsidRPr="0033338C" w:rsidRDefault="005F4F0D" w:rsidP="004352D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Lower</w:t>
            </w:r>
          </w:p>
        </w:tc>
        <w:tc>
          <w:tcPr>
            <w:tcW w:w="2852" w:type="dxa"/>
            <w:hideMark/>
          </w:tcPr>
          <w:p w14:paraId="7F7E1E57" w14:textId="03684929" w:rsidR="007E1475" w:rsidRPr="0033338C" w:rsidRDefault="00A26CD3" w:rsidP="004352DB">
            <w:pPr>
              <w:spacing w:before="240" w:line="360" w:lineRule="auto"/>
              <w:jc w:val="both"/>
              <w:rPr>
                <w:rFonts w:ascii="Arial" w:hAnsi="Arial" w:cs="Arial"/>
                <w:bCs/>
                <w:sz w:val="24"/>
                <w:szCs w:val="24"/>
                <w:lang w:val="en-US"/>
              </w:rPr>
            </w:pPr>
            <w:r w:rsidRPr="0033338C">
              <w:rPr>
                <w:rFonts w:ascii="Arial" w:hAnsi="Arial" w:cs="Arial"/>
                <w:bCs/>
                <w:sz w:val="24"/>
                <w:szCs w:val="24"/>
              </w:rPr>
              <w:t>Severe working capital pressure.</w:t>
            </w:r>
          </w:p>
        </w:tc>
      </w:tr>
      <w:tr w:rsidR="007E1475" w:rsidRPr="0033338C" w14:paraId="3C487204" w14:textId="77777777" w:rsidTr="007E1475">
        <w:tc>
          <w:tcPr>
            <w:tcW w:w="772" w:type="dxa"/>
          </w:tcPr>
          <w:p w14:paraId="25AFD8A3" w14:textId="2A8AAF42" w:rsidR="007E1475" w:rsidRPr="0033338C" w:rsidRDefault="007E1475" w:rsidP="004352DB">
            <w:pPr>
              <w:spacing w:before="240" w:line="360" w:lineRule="auto"/>
              <w:jc w:val="both"/>
              <w:rPr>
                <w:rFonts w:ascii="Arial" w:hAnsi="Arial" w:cs="Arial"/>
                <w:sz w:val="24"/>
                <w:szCs w:val="24"/>
                <w:lang w:val="en-US"/>
              </w:rPr>
            </w:pPr>
            <w:r w:rsidRPr="0033338C">
              <w:rPr>
                <w:rFonts w:ascii="Arial" w:hAnsi="Arial" w:cs="Arial"/>
                <w:sz w:val="24"/>
                <w:szCs w:val="24"/>
                <w:lang w:val="en-US"/>
              </w:rPr>
              <w:t>2023</w:t>
            </w:r>
          </w:p>
        </w:tc>
        <w:tc>
          <w:tcPr>
            <w:tcW w:w="1593" w:type="dxa"/>
            <w:hideMark/>
          </w:tcPr>
          <w:p w14:paraId="6987457E" w14:textId="23DEE2AF" w:rsidR="007E1475" w:rsidRPr="0033338C" w:rsidRDefault="00FA41BE" w:rsidP="004352DB">
            <w:pPr>
              <w:spacing w:before="240" w:line="360" w:lineRule="auto"/>
              <w:jc w:val="both"/>
              <w:rPr>
                <w:rFonts w:ascii="Arial" w:hAnsi="Arial" w:cs="Arial"/>
                <w:sz w:val="24"/>
                <w:szCs w:val="24"/>
                <w:lang w:val="en-US"/>
              </w:rPr>
            </w:pPr>
            <w:r w:rsidRPr="0033338C">
              <w:rPr>
                <w:rFonts w:ascii="Arial" w:hAnsi="Arial" w:cs="Arial"/>
                <w:sz w:val="24"/>
                <w:szCs w:val="24"/>
              </w:rPr>
              <w:t>Improves but unstable</w:t>
            </w:r>
          </w:p>
        </w:tc>
        <w:tc>
          <w:tcPr>
            <w:tcW w:w="1754" w:type="dxa"/>
            <w:hideMark/>
          </w:tcPr>
          <w:p w14:paraId="0581E352" w14:textId="3CAF014D" w:rsidR="007E1475" w:rsidRPr="0033338C" w:rsidRDefault="006F52C7" w:rsidP="004352DB">
            <w:pPr>
              <w:spacing w:before="240" w:line="360" w:lineRule="auto"/>
              <w:jc w:val="both"/>
              <w:rPr>
                <w:rFonts w:ascii="Arial" w:hAnsi="Arial" w:cs="Arial"/>
                <w:bCs/>
                <w:sz w:val="24"/>
                <w:szCs w:val="24"/>
                <w:lang w:val="en-US"/>
              </w:rPr>
            </w:pPr>
            <w:r w:rsidRPr="0033338C">
              <w:rPr>
                <w:rFonts w:ascii="Arial" w:hAnsi="Arial" w:cs="Arial"/>
                <w:bCs/>
                <w:sz w:val="24"/>
                <w:szCs w:val="24"/>
              </w:rPr>
              <w:t>Rises sharply</w:t>
            </w:r>
          </w:p>
        </w:tc>
        <w:tc>
          <w:tcPr>
            <w:tcW w:w="2045" w:type="dxa"/>
          </w:tcPr>
          <w:p w14:paraId="2A58B564" w14:textId="7CC0FA80" w:rsidR="007E1475" w:rsidRPr="0033338C" w:rsidRDefault="005F4F0D" w:rsidP="004352DB">
            <w:pPr>
              <w:spacing w:before="240" w:line="360" w:lineRule="auto"/>
              <w:jc w:val="both"/>
              <w:rPr>
                <w:rFonts w:ascii="Arial" w:hAnsi="Arial" w:cs="Arial"/>
                <w:bCs/>
                <w:sz w:val="24"/>
                <w:szCs w:val="24"/>
                <w:lang w:val="en-US"/>
              </w:rPr>
            </w:pPr>
            <w:r w:rsidRPr="0033338C">
              <w:rPr>
                <w:rFonts w:ascii="Arial" w:hAnsi="Arial" w:cs="Arial"/>
                <w:bCs/>
                <w:sz w:val="24"/>
                <w:szCs w:val="24"/>
              </w:rPr>
              <w:t>Flat</w:t>
            </w:r>
          </w:p>
        </w:tc>
        <w:tc>
          <w:tcPr>
            <w:tcW w:w="2852" w:type="dxa"/>
            <w:hideMark/>
          </w:tcPr>
          <w:p w14:paraId="62FA6D85" w14:textId="048ABC0B" w:rsidR="007E1475" w:rsidRPr="0033338C" w:rsidRDefault="00A26CD3" w:rsidP="004352DB">
            <w:pPr>
              <w:spacing w:before="240" w:line="360" w:lineRule="auto"/>
              <w:jc w:val="both"/>
              <w:rPr>
                <w:rFonts w:ascii="Arial" w:hAnsi="Arial" w:cs="Arial"/>
                <w:bCs/>
                <w:sz w:val="24"/>
                <w:szCs w:val="24"/>
                <w:lang w:val="en-US"/>
              </w:rPr>
            </w:pPr>
            <w:r w:rsidRPr="0033338C">
              <w:rPr>
                <w:rFonts w:ascii="Arial" w:hAnsi="Arial" w:cs="Arial"/>
                <w:bCs/>
                <w:sz w:val="24"/>
                <w:szCs w:val="24"/>
              </w:rPr>
              <w:t>Receivables delay cash recovery.</w:t>
            </w:r>
          </w:p>
        </w:tc>
      </w:tr>
      <w:tr w:rsidR="007E1475" w:rsidRPr="0033338C" w14:paraId="42E00261" w14:textId="77777777" w:rsidTr="007E1475">
        <w:tc>
          <w:tcPr>
            <w:tcW w:w="772" w:type="dxa"/>
          </w:tcPr>
          <w:p w14:paraId="7EC47CA4" w14:textId="464E380D" w:rsidR="007E1475" w:rsidRPr="0033338C" w:rsidRDefault="007E1475" w:rsidP="004352DB">
            <w:pPr>
              <w:spacing w:before="240" w:line="360" w:lineRule="auto"/>
              <w:jc w:val="both"/>
              <w:rPr>
                <w:rFonts w:ascii="Arial" w:hAnsi="Arial" w:cs="Arial"/>
                <w:sz w:val="24"/>
                <w:szCs w:val="24"/>
                <w:lang w:val="en-US"/>
              </w:rPr>
            </w:pPr>
            <w:r w:rsidRPr="0033338C">
              <w:rPr>
                <w:rFonts w:ascii="Arial" w:hAnsi="Arial" w:cs="Arial"/>
                <w:sz w:val="24"/>
                <w:szCs w:val="24"/>
                <w:lang w:val="en-US"/>
              </w:rPr>
              <w:t>2024</w:t>
            </w:r>
          </w:p>
        </w:tc>
        <w:tc>
          <w:tcPr>
            <w:tcW w:w="1593" w:type="dxa"/>
            <w:hideMark/>
          </w:tcPr>
          <w:p w14:paraId="424AD01B" w14:textId="2576E6BF" w:rsidR="007E1475" w:rsidRPr="0033338C" w:rsidRDefault="00CC66AB" w:rsidP="004352DB">
            <w:pPr>
              <w:spacing w:before="240" w:line="360" w:lineRule="auto"/>
              <w:jc w:val="both"/>
              <w:rPr>
                <w:rFonts w:ascii="Arial" w:hAnsi="Arial" w:cs="Arial"/>
                <w:sz w:val="24"/>
                <w:szCs w:val="24"/>
                <w:lang w:val="en-US"/>
              </w:rPr>
            </w:pPr>
            <w:r w:rsidRPr="0033338C">
              <w:rPr>
                <w:rFonts w:ascii="Arial" w:hAnsi="Arial" w:cs="Arial"/>
                <w:sz w:val="24"/>
                <w:szCs w:val="24"/>
              </w:rPr>
              <w:t>Slightly higher</w:t>
            </w:r>
          </w:p>
        </w:tc>
        <w:tc>
          <w:tcPr>
            <w:tcW w:w="1754" w:type="dxa"/>
            <w:hideMark/>
          </w:tcPr>
          <w:p w14:paraId="4B1E6EAE" w14:textId="22102316" w:rsidR="007E1475" w:rsidRPr="0033338C" w:rsidRDefault="006F52C7" w:rsidP="004352DB">
            <w:pPr>
              <w:spacing w:before="240" w:line="360" w:lineRule="auto"/>
              <w:jc w:val="both"/>
              <w:rPr>
                <w:rFonts w:ascii="Arial" w:hAnsi="Arial" w:cs="Arial"/>
                <w:bCs/>
                <w:sz w:val="24"/>
                <w:szCs w:val="24"/>
                <w:lang w:val="en-US"/>
              </w:rPr>
            </w:pPr>
            <w:r w:rsidRPr="0033338C">
              <w:rPr>
                <w:rFonts w:ascii="Arial" w:hAnsi="Arial" w:cs="Arial"/>
                <w:bCs/>
                <w:sz w:val="24"/>
                <w:szCs w:val="24"/>
              </w:rPr>
              <w:t>Highest</w:t>
            </w:r>
          </w:p>
        </w:tc>
        <w:tc>
          <w:tcPr>
            <w:tcW w:w="2045" w:type="dxa"/>
          </w:tcPr>
          <w:p w14:paraId="42968B75" w14:textId="3C4BE77B" w:rsidR="007E1475" w:rsidRPr="0033338C" w:rsidRDefault="005F4F0D" w:rsidP="004352D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Improved</w:t>
            </w:r>
          </w:p>
        </w:tc>
        <w:tc>
          <w:tcPr>
            <w:tcW w:w="2852" w:type="dxa"/>
            <w:hideMark/>
          </w:tcPr>
          <w:p w14:paraId="6988DF00" w14:textId="6A65C1C1" w:rsidR="007E1475" w:rsidRPr="0033338C" w:rsidRDefault="00A26CD3" w:rsidP="00A26CD3">
            <w:pPr>
              <w:spacing w:after="0" w:line="240" w:lineRule="auto"/>
              <w:jc w:val="both"/>
              <w:rPr>
                <w:rFonts w:ascii="Arial" w:hAnsi="Arial" w:cs="Arial"/>
                <w:sz w:val="24"/>
                <w:szCs w:val="24"/>
              </w:rPr>
            </w:pPr>
            <w:r w:rsidRPr="0033338C">
              <w:rPr>
                <w:rFonts w:ascii="Arial" w:hAnsi="Arial" w:cs="Arial"/>
              </w:rPr>
              <w:t>Payables relief partly offsets inefficiency.</w:t>
            </w:r>
          </w:p>
        </w:tc>
      </w:tr>
    </w:tbl>
    <w:p w14:paraId="1DD1D75D" w14:textId="5048D731" w:rsidR="00433ED2" w:rsidRPr="0033338C" w:rsidRDefault="00067880" w:rsidP="00433ED2">
      <w:pPr>
        <w:spacing w:before="240" w:line="360" w:lineRule="auto"/>
        <w:jc w:val="both"/>
        <w:rPr>
          <w:rFonts w:ascii="Arial" w:hAnsi="Arial" w:cs="Arial"/>
          <w:bCs/>
          <w:sz w:val="24"/>
          <w:szCs w:val="24"/>
          <w:lang w:val="en-US"/>
        </w:rPr>
      </w:pPr>
      <w:r>
        <w:rPr>
          <w:rFonts w:ascii="Arial" w:hAnsi="Arial" w:cs="Arial"/>
          <w:bCs/>
          <w:sz w:val="24"/>
          <w:szCs w:val="24"/>
          <w:lang w:val="en-US"/>
        </w:rPr>
        <w:lastRenderedPageBreak/>
        <w:t>The increasing number of CA-2 (</w:t>
      </w:r>
      <w:r w:rsidR="00433ED2" w:rsidRPr="0033338C">
        <w:rPr>
          <w:rFonts w:ascii="Arial" w:hAnsi="Arial" w:cs="Arial"/>
          <w:bCs/>
          <w:sz w:val="24"/>
          <w:szCs w:val="24"/>
          <w:lang w:val="en-US"/>
        </w:rPr>
        <w:t>2023-2024</w:t>
      </w:r>
      <w:r>
        <w:rPr>
          <w:rFonts w:ascii="Arial" w:hAnsi="Arial" w:cs="Arial"/>
          <w:bCs/>
          <w:sz w:val="24"/>
          <w:szCs w:val="24"/>
          <w:lang w:val="en-US"/>
        </w:rPr>
        <w:t>)</w:t>
      </w:r>
      <w:r w:rsidR="00433ED2" w:rsidRPr="0033338C">
        <w:rPr>
          <w:rFonts w:ascii="Arial" w:hAnsi="Arial" w:cs="Arial"/>
          <w:bCs/>
          <w:sz w:val="24"/>
          <w:szCs w:val="24"/>
          <w:lang w:val="en-US"/>
        </w:rPr>
        <w:t xml:space="preserve"> in general electronics shows that credit control has weakened and its customers are taking longer to settle their bills. At the same time, inventory volatility leads to either overproduction or ineffective demand forecasting resulting in excessive cash tied in inventory. The payable days are now better in 2024 but this is following a series of declines in the past which had raised financing pressure (Financial Management Assessment Brief, 2025).</w:t>
      </w:r>
    </w:p>
    <w:p w14:paraId="6C1ECC50" w14:textId="163FBCB1" w:rsidR="00A26CD3" w:rsidRPr="0033338C" w:rsidRDefault="00433ED2" w:rsidP="00433ED2">
      <w:pPr>
        <w:spacing w:before="240" w:line="360" w:lineRule="auto"/>
        <w:jc w:val="both"/>
        <w:rPr>
          <w:rFonts w:ascii="Arial" w:hAnsi="Arial" w:cs="Arial"/>
          <w:bCs/>
          <w:sz w:val="24"/>
          <w:szCs w:val="24"/>
          <w:lang w:val="en-US"/>
        </w:rPr>
      </w:pPr>
      <w:r w:rsidRPr="0033338C">
        <w:rPr>
          <w:rFonts w:ascii="Arial" w:hAnsi="Arial" w:cs="Arial"/>
          <w:bCs/>
          <w:sz w:val="24"/>
          <w:szCs w:val="24"/>
          <w:lang w:val="en-US"/>
        </w:rPr>
        <w:t>In general, the trend of COC is an indicator of ineffective working capital operations that decrease the flexibility of liquidity and augment dependence on external financing. This instability increases the susceptibility of the firm to cash flow shocks and it adds to the overarching liquidity worsening observed over the period. Credit policy, supplier negotiation and inventory optimisation reforms would be necessary in order to reduce the COC and restore liquidity to operations (Hill and Hult, 2020).</w:t>
      </w:r>
      <w:r w:rsidR="006D0CF6" w:rsidRPr="0033338C">
        <w:rPr>
          <w:rFonts w:ascii="Arial" w:hAnsi="Arial" w:cs="Arial"/>
          <w:bCs/>
          <w:sz w:val="24"/>
          <w:szCs w:val="24"/>
          <w:lang w:val="en-US"/>
        </w:rPr>
        <w:t xml:space="preserve"> </w:t>
      </w:r>
    </w:p>
    <w:p w14:paraId="141B1E1B" w14:textId="722ADF7F" w:rsidR="006D0CF6" w:rsidRPr="0033338C" w:rsidRDefault="00534263" w:rsidP="00534263">
      <w:pPr>
        <w:pStyle w:val="Heading2"/>
        <w:rPr>
          <w:rFonts w:cs="Arial"/>
          <w:lang w:val="en-US"/>
        </w:rPr>
      </w:pPr>
      <w:bookmarkStart w:id="9" w:name="_Toc214831130"/>
      <w:r w:rsidRPr="0033338C">
        <w:rPr>
          <w:rFonts w:cs="Arial"/>
          <w:lang w:val="en-US"/>
        </w:rPr>
        <w:t>2</w:t>
      </w:r>
      <w:r w:rsidR="006D0CF6" w:rsidRPr="0033338C">
        <w:rPr>
          <w:rFonts w:cs="Arial"/>
          <w:lang w:val="en-US"/>
        </w:rPr>
        <w:t>.2 Liquidity-Enhancing Strategies in WCM Reforms</w:t>
      </w:r>
      <w:bookmarkEnd w:id="9"/>
    </w:p>
    <w:p w14:paraId="17A0C28C" w14:textId="5C034ACB" w:rsidR="0066278B" w:rsidRPr="0033338C" w:rsidRDefault="00CA67F1" w:rsidP="006D0CF6">
      <w:pPr>
        <w:spacing w:before="240" w:line="360" w:lineRule="auto"/>
        <w:jc w:val="both"/>
        <w:rPr>
          <w:rFonts w:ascii="Arial" w:hAnsi="Arial" w:cs="Arial"/>
          <w:bCs/>
          <w:sz w:val="24"/>
          <w:szCs w:val="24"/>
          <w:lang w:val="en-US"/>
        </w:rPr>
      </w:pPr>
      <w:r w:rsidRPr="0033338C">
        <w:rPr>
          <w:rFonts w:ascii="Arial" w:hAnsi="Arial" w:cs="Arial"/>
          <w:bCs/>
          <w:sz w:val="24"/>
          <w:szCs w:val="24"/>
        </w:rPr>
        <w:t>To enhance liquidity in General Electronics, it is necessary to focus on the Working Capital Management (WCM) reforms that would result in the enhancement of the efficiency of cash flows, the decrease in the Cash Operating Cycle (COC), and the reduction in the use of short-term borrowing. Since the company has been facing increased receivable days, unsustainable inventory and inconsistent payables behaviour, systematic changes are necessary to normalise the ope</w:t>
      </w:r>
      <w:r w:rsidR="0033338C">
        <w:rPr>
          <w:rFonts w:ascii="Arial" w:hAnsi="Arial" w:cs="Arial"/>
          <w:bCs/>
          <w:sz w:val="24"/>
          <w:szCs w:val="24"/>
        </w:rPr>
        <w:t>rational cash flows (</w:t>
      </w:r>
      <w:r w:rsidRPr="0033338C">
        <w:rPr>
          <w:rFonts w:ascii="Arial" w:hAnsi="Arial" w:cs="Arial"/>
          <w:bCs/>
          <w:sz w:val="24"/>
          <w:szCs w:val="24"/>
        </w:rPr>
        <w:t>Financial Management Assessment Brief, 2025)</w:t>
      </w:r>
      <w:r w:rsidR="006D0CF6" w:rsidRPr="0033338C">
        <w:rPr>
          <w:rFonts w:ascii="Arial" w:hAnsi="Arial" w:cs="Arial"/>
          <w:bCs/>
          <w:sz w:val="24"/>
          <w:szCs w:val="24"/>
          <w:lang w:val="en-US"/>
        </w:rPr>
        <w:t>.</w:t>
      </w:r>
      <w:r w:rsidR="0066278B" w:rsidRPr="0033338C">
        <w:rPr>
          <w:rFonts w:ascii="Arial" w:hAnsi="Arial" w:cs="Arial"/>
          <w:bCs/>
          <w:sz w:val="24"/>
          <w:szCs w:val="24"/>
          <w:lang w:val="en-US"/>
        </w:rPr>
        <w:t xml:space="preserve"> </w:t>
      </w:r>
    </w:p>
    <w:p w14:paraId="6F5EABF3" w14:textId="3D5C43C5" w:rsidR="006D0CF6" w:rsidRPr="0033338C" w:rsidRDefault="0066278B" w:rsidP="0066278B">
      <w:pPr>
        <w:spacing w:before="240" w:line="360" w:lineRule="auto"/>
        <w:jc w:val="center"/>
        <w:rPr>
          <w:rFonts w:ascii="Arial" w:hAnsi="Arial" w:cs="Arial"/>
          <w:b/>
          <w:sz w:val="24"/>
          <w:szCs w:val="24"/>
          <w:lang w:val="en-US"/>
        </w:rPr>
      </w:pPr>
      <w:r w:rsidRPr="0033338C">
        <w:rPr>
          <w:rFonts w:ascii="Arial" w:hAnsi="Arial" w:cs="Arial"/>
          <w:b/>
          <w:sz w:val="24"/>
          <w:szCs w:val="24"/>
        </w:rPr>
        <w:t>Liquidity-Enhancing WCM Strategies</w:t>
      </w:r>
    </w:p>
    <w:tbl>
      <w:tblPr>
        <w:tblStyle w:val="TableGrid"/>
        <w:tblW w:w="0" w:type="auto"/>
        <w:tblLook w:val="04A0" w:firstRow="1" w:lastRow="0" w:firstColumn="1" w:lastColumn="0" w:noHBand="0" w:noVBand="1"/>
      </w:tblPr>
      <w:tblGrid>
        <w:gridCol w:w="2544"/>
        <w:gridCol w:w="3256"/>
        <w:gridCol w:w="3216"/>
      </w:tblGrid>
      <w:tr w:rsidR="00827173" w:rsidRPr="0033338C" w14:paraId="2FEB2213" w14:textId="77777777" w:rsidTr="00827173">
        <w:tc>
          <w:tcPr>
            <w:tcW w:w="0" w:type="auto"/>
            <w:hideMark/>
          </w:tcPr>
          <w:p w14:paraId="057AAD48" w14:textId="15AA39DD" w:rsidR="00827173" w:rsidRPr="0033338C" w:rsidRDefault="00827173" w:rsidP="00475B44">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 xml:space="preserve">Strategy </w:t>
            </w:r>
          </w:p>
        </w:tc>
        <w:tc>
          <w:tcPr>
            <w:tcW w:w="0" w:type="auto"/>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851D2" w:rsidRPr="0033338C" w14:paraId="446EC9CC" w14:textId="77777777">
              <w:trPr>
                <w:tblCellSpacing w:w="15" w:type="dxa"/>
              </w:trPr>
              <w:tc>
                <w:tcPr>
                  <w:tcW w:w="0" w:type="auto"/>
                  <w:vAlign w:val="center"/>
                  <w:hideMark/>
                </w:tcPr>
                <w:p w14:paraId="54FB36B6" w14:textId="77777777" w:rsidR="003851D2" w:rsidRPr="0033338C" w:rsidRDefault="003851D2" w:rsidP="003851D2">
                  <w:pPr>
                    <w:spacing w:before="240" w:line="360" w:lineRule="auto"/>
                    <w:jc w:val="both"/>
                    <w:rPr>
                      <w:rFonts w:ascii="Arial" w:hAnsi="Arial" w:cs="Arial"/>
                      <w:b/>
                      <w:bCs/>
                      <w:sz w:val="24"/>
                      <w:szCs w:val="24"/>
                    </w:rPr>
                  </w:pPr>
                </w:p>
              </w:tc>
            </w:tr>
          </w:tbl>
          <w:p w14:paraId="69405D3D" w14:textId="77777777" w:rsidR="003851D2" w:rsidRPr="0033338C" w:rsidRDefault="003851D2" w:rsidP="003851D2">
            <w:pPr>
              <w:spacing w:before="240" w:line="360" w:lineRule="auto"/>
              <w:jc w:val="both"/>
              <w:rPr>
                <w:rFonts w:ascii="Arial" w:hAnsi="Arial" w:cs="Arial"/>
                <w:b/>
                <w:bCs/>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411"/>
            </w:tblGrid>
            <w:tr w:rsidR="003851D2" w:rsidRPr="0033338C" w14:paraId="46C6D96C" w14:textId="77777777">
              <w:trPr>
                <w:tblCellSpacing w:w="15" w:type="dxa"/>
              </w:trPr>
              <w:tc>
                <w:tcPr>
                  <w:tcW w:w="0" w:type="auto"/>
                  <w:vAlign w:val="center"/>
                  <w:hideMark/>
                </w:tcPr>
                <w:p w14:paraId="6545EDF6" w14:textId="77777777" w:rsidR="003851D2" w:rsidRPr="0033338C" w:rsidRDefault="003851D2" w:rsidP="003851D2">
                  <w:pPr>
                    <w:spacing w:before="240" w:line="360" w:lineRule="auto"/>
                    <w:jc w:val="both"/>
                    <w:rPr>
                      <w:rFonts w:ascii="Arial" w:hAnsi="Arial" w:cs="Arial"/>
                      <w:b/>
                      <w:bCs/>
                      <w:sz w:val="24"/>
                      <w:szCs w:val="24"/>
                    </w:rPr>
                  </w:pPr>
                  <w:r w:rsidRPr="0033338C">
                    <w:rPr>
                      <w:rFonts w:ascii="Arial" w:hAnsi="Arial" w:cs="Arial"/>
                      <w:b/>
                      <w:bCs/>
                      <w:sz w:val="24"/>
                      <w:szCs w:val="24"/>
                    </w:rPr>
                    <w:t>Description</w:t>
                  </w:r>
                </w:p>
              </w:tc>
            </w:tr>
          </w:tbl>
          <w:p w14:paraId="63573EBA" w14:textId="5108ADAA" w:rsidR="00827173" w:rsidRPr="0033338C" w:rsidRDefault="00827173" w:rsidP="00475B44">
            <w:pPr>
              <w:spacing w:before="240" w:line="360" w:lineRule="auto"/>
              <w:jc w:val="both"/>
              <w:rPr>
                <w:rFonts w:ascii="Arial" w:hAnsi="Arial" w:cs="Arial"/>
                <w:bCs/>
                <w:sz w:val="24"/>
                <w:szCs w:val="24"/>
                <w:lang w:val="en-US"/>
              </w:rPr>
            </w:pPr>
          </w:p>
        </w:tc>
        <w:tc>
          <w:tcPr>
            <w:tcW w:w="0" w:type="auto"/>
            <w:hideMark/>
          </w:tcPr>
          <w:p w14:paraId="250E47F4" w14:textId="1D8E7964" w:rsidR="00827173" w:rsidRPr="0033338C" w:rsidRDefault="003851D2" w:rsidP="00475B44">
            <w:pPr>
              <w:spacing w:before="240" w:line="360" w:lineRule="auto"/>
              <w:jc w:val="both"/>
              <w:rPr>
                <w:rFonts w:ascii="Arial" w:hAnsi="Arial" w:cs="Arial"/>
                <w:bCs/>
                <w:sz w:val="24"/>
                <w:szCs w:val="24"/>
                <w:lang w:val="en-US"/>
              </w:rPr>
            </w:pPr>
            <w:r w:rsidRPr="0033338C">
              <w:rPr>
                <w:rFonts w:ascii="Arial" w:hAnsi="Arial" w:cs="Arial"/>
                <w:b/>
                <w:bCs/>
                <w:sz w:val="24"/>
                <w:szCs w:val="24"/>
              </w:rPr>
              <w:t>Liquidity Impact</w:t>
            </w:r>
          </w:p>
        </w:tc>
      </w:tr>
      <w:tr w:rsidR="00827173" w:rsidRPr="0033338C" w14:paraId="4A871B1B" w14:textId="77777777" w:rsidTr="00827173">
        <w:tc>
          <w:tcPr>
            <w:tcW w:w="0" w:type="auto"/>
            <w:hideMark/>
          </w:tcPr>
          <w:p w14:paraId="6A8702D9" w14:textId="38CB8444" w:rsidR="00827173" w:rsidRPr="0033338C" w:rsidRDefault="007B59A6" w:rsidP="00475B44">
            <w:pPr>
              <w:spacing w:before="240" w:line="360" w:lineRule="auto"/>
              <w:jc w:val="both"/>
              <w:rPr>
                <w:rFonts w:ascii="Arial" w:hAnsi="Arial" w:cs="Arial"/>
                <w:bCs/>
                <w:sz w:val="24"/>
                <w:szCs w:val="24"/>
                <w:lang w:val="en-US"/>
              </w:rPr>
            </w:pPr>
            <w:r w:rsidRPr="0033338C">
              <w:rPr>
                <w:rFonts w:ascii="Arial" w:hAnsi="Arial" w:cs="Arial"/>
                <w:b/>
                <w:bCs/>
                <w:sz w:val="24"/>
                <w:szCs w:val="24"/>
              </w:rPr>
              <w:t>1. Credit Policy Tightening</w:t>
            </w:r>
          </w:p>
        </w:tc>
        <w:tc>
          <w:tcPr>
            <w:tcW w:w="0" w:type="auto"/>
            <w:hideMark/>
          </w:tcPr>
          <w:p w14:paraId="09B93A7D" w14:textId="4B104F03" w:rsidR="00827173" w:rsidRPr="0033338C" w:rsidRDefault="005A31D5" w:rsidP="00475B44">
            <w:pPr>
              <w:spacing w:before="240" w:line="360" w:lineRule="auto"/>
              <w:jc w:val="both"/>
              <w:rPr>
                <w:rFonts w:ascii="Arial" w:hAnsi="Arial" w:cs="Arial"/>
                <w:sz w:val="24"/>
                <w:szCs w:val="24"/>
                <w:lang w:val="en-US"/>
              </w:rPr>
            </w:pPr>
            <w:r w:rsidRPr="0033338C">
              <w:rPr>
                <w:rFonts w:ascii="Arial" w:hAnsi="Arial" w:cs="Arial"/>
                <w:sz w:val="24"/>
                <w:szCs w:val="24"/>
              </w:rPr>
              <w:t>Shorten credit terms, apply stricter credit checks, and adopt early-payment incentives.</w:t>
            </w:r>
          </w:p>
        </w:tc>
        <w:tc>
          <w:tcPr>
            <w:tcW w:w="0" w:type="auto"/>
            <w:hideMark/>
          </w:tcPr>
          <w:p w14:paraId="2205908C" w14:textId="1FFD0549" w:rsidR="00827173" w:rsidRPr="0033338C" w:rsidRDefault="00054EA0" w:rsidP="00475B44">
            <w:pPr>
              <w:spacing w:before="240" w:line="360" w:lineRule="auto"/>
              <w:jc w:val="both"/>
              <w:rPr>
                <w:rFonts w:ascii="Arial" w:hAnsi="Arial" w:cs="Arial"/>
                <w:sz w:val="24"/>
                <w:szCs w:val="24"/>
                <w:lang w:val="en-US"/>
              </w:rPr>
            </w:pPr>
            <w:r w:rsidRPr="0033338C">
              <w:rPr>
                <w:rFonts w:ascii="Arial" w:hAnsi="Arial" w:cs="Arial"/>
                <w:sz w:val="24"/>
                <w:szCs w:val="24"/>
              </w:rPr>
              <w:t>Accelerates receivable collection, reducing cash tied up in debtors (Atrill &amp; McLaney, 2022).</w:t>
            </w:r>
          </w:p>
        </w:tc>
      </w:tr>
      <w:tr w:rsidR="00827173" w:rsidRPr="0033338C" w14:paraId="4CF4EEB2" w14:textId="77777777" w:rsidTr="00827173">
        <w:tc>
          <w:tcPr>
            <w:tcW w:w="0" w:type="auto"/>
            <w:hideMark/>
          </w:tcPr>
          <w:p w14:paraId="3C27C941" w14:textId="13F5A8ED" w:rsidR="00827173" w:rsidRPr="0033338C" w:rsidRDefault="007B59A6" w:rsidP="00475B44">
            <w:pPr>
              <w:spacing w:before="240" w:line="360" w:lineRule="auto"/>
              <w:jc w:val="both"/>
              <w:rPr>
                <w:rFonts w:ascii="Arial" w:hAnsi="Arial" w:cs="Arial"/>
                <w:bCs/>
                <w:sz w:val="24"/>
                <w:szCs w:val="24"/>
                <w:lang w:val="en-US"/>
              </w:rPr>
            </w:pPr>
            <w:r w:rsidRPr="0033338C">
              <w:rPr>
                <w:rFonts w:ascii="Arial" w:hAnsi="Arial" w:cs="Arial"/>
                <w:b/>
                <w:bCs/>
                <w:sz w:val="24"/>
                <w:szCs w:val="24"/>
              </w:rPr>
              <w:lastRenderedPageBreak/>
              <w:t>2.</w:t>
            </w:r>
            <w:r w:rsidR="004E54CC" w:rsidRPr="0033338C">
              <w:rPr>
                <w:rFonts w:ascii="Arial" w:hAnsi="Arial" w:cs="Arial"/>
                <w:b/>
                <w:bCs/>
                <w:sz w:val="24"/>
                <w:szCs w:val="24"/>
              </w:rPr>
              <w:t xml:space="preserve"> </w:t>
            </w:r>
            <w:r w:rsidRPr="0033338C">
              <w:rPr>
                <w:rFonts w:ascii="Arial" w:hAnsi="Arial" w:cs="Arial"/>
                <w:b/>
                <w:bCs/>
                <w:sz w:val="24"/>
                <w:szCs w:val="24"/>
              </w:rPr>
              <w:t>Receivables Monitoring Systems</w:t>
            </w:r>
          </w:p>
        </w:tc>
        <w:tc>
          <w:tcPr>
            <w:tcW w:w="0" w:type="auto"/>
            <w:hideMark/>
          </w:tcPr>
          <w:p w14:paraId="5CDDB124" w14:textId="0A25407F" w:rsidR="00827173" w:rsidRPr="0033338C" w:rsidRDefault="00054EA0" w:rsidP="00475B44">
            <w:pPr>
              <w:spacing w:before="240" w:line="360" w:lineRule="auto"/>
              <w:jc w:val="both"/>
              <w:rPr>
                <w:rFonts w:ascii="Arial" w:hAnsi="Arial" w:cs="Arial"/>
                <w:sz w:val="24"/>
                <w:szCs w:val="24"/>
                <w:lang w:val="en-US"/>
              </w:rPr>
            </w:pPr>
            <w:r w:rsidRPr="0033338C">
              <w:rPr>
                <w:rFonts w:ascii="Arial" w:hAnsi="Arial" w:cs="Arial"/>
                <w:sz w:val="24"/>
                <w:szCs w:val="24"/>
              </w:rPr>
              <w:t>Implement automated debtor-tracking and ageing-analysis tools.</w:t>
            </w:r>
          </w:p>
        </w:tc>
        <w:tc>
          <w:tcPr>
            <w:tcW w:w="0" w:type="auto"/>
            <w:hideMark/>
          </w:tcPr>
          <w:p w14:paraId="3FE19A9A" w14:textId="77E251FE" w:rsidR="00827173" w:rsidRPr="0033338C" w:rsidRDefault="00173FFE" w:rsidP="00475B44">
            <w:pPr>
              <w:spacing w:before="240" w:line="360" w:lineRule="auto"/>
              <w:jc w:val="both"/>
              <w:rPr>
                <w:rFonts w:ascii="Arial" w:hAnsi="Arial" w:cs="Arial"/>
                <w:sz w:val="24"/>
                <w:szCs w:val="24"/>
                <w:lang w:val="en-US"/>
              </w:rPr>
            </w:pPr>
            <w:r w:rsidRPr="0033338C">
              <w:rPr>
                <w:rFonts w:ascii="Arial" w:hAnsi="Arial" w:cs="Arial"/>
                <w:sz w:val="24"/>
                <w:szCs w:val="24"/>
              </w:rPr>
              <w:t>Reduces overdue accounts; improves predictability of cash inflows.</w:t>
            </w:r>
          </w:p>
        </w:tc>
      </w:tr>
      <w:tr w:rsidR="00827173" w:rsidRPr="0033338C" w14:paraId="5B82C078" w14:textId="77777777" w:rsidTr="00827173">
        <w:tc>
          <w:tcPr>
            <w:tcW w:w="0" w:type="auto"/>
            <w:hideMark/>
          </w:tcPr>
          <w:p w14:paraId="6B75F9F4" w14:textId="02480B05" w:rsidR="00827173" w:rsidRPr="0033338C" w:rsidRDefault="0006674A" w:rsidP="00475B44">
            <w:pPr>
              <w:spacing w:before="240" w:line="360" w:lineRule="auto"/>
              <w:jc w:val="both"/>
              <w:rPr>
                <w:rFonts w:ascii="Arial" w:hAnsi="Arial" w:cs="Arial"/>
                <w:bCs/>
                <w:sz w:val="24"/>
                <w:szCs w:val="24"/>
                <w:lang w:val="en-US"/>
              </w:rPr>
            </w:pPr>
            <w:r w:rsidRPr="0033338C">
              <w:rPr>
                <w:rFonts w:ascii="Arial" w:hAnsi="Arial" w:cs="Arial"/>
                <w:b/>
                <w:bCs/>
                <w:sz w:val="24"/>
                <w:szCs w:val="24"/>
              </w:rPr>
              <w:t>3. Inventory Rationalisation</w:t>
            </w:r>
          </w:p>
        </w:tc>
        <w:tc>
          <w:tcPr>
            <w:tcW w:w="0" w:type="auto"/>
            <w:hideMark/>
          </w:tcPr>
          <w:p w14:paraId="14C7FAE1" w14:textId="49745161" w:rsidR="00827173" w:rsidRPr="0033338C" w:rsidRDefault="00173FFE" w:rsidP="00475B44">
            <w:pPr>
              <w:spacing w:before="240" w:line="360" w:lineRule="auto"/>
              <w:jc w:val="both"/>
              <w:rPr>
                <w:rFonts w:ascii="Arial" w:hAnsi="Arial" w:cs="Arial"/>
                <w:sz w:val="24"/>
                <w:szCs w:val="24"/>
                <w:lang w:val="en-US"/>
              </w:rPr>
            </w:pPr>
            <w:r w:rsidRPr="0033338C">
              <w:rPr>
                <w:rFonts w:ascii="Arial" w:hAnsi="Arial" w:cs="Arial"/>
                <w:sz w:val="24"/>
                <w:szCs w:val="24"/>
              </w:rPr>
              <w:t>Improve demand forecasting, reduce overproduction, and adopt just-in-time systems.</w:t>
            </w:r>
          </w:p>
        </w:tc>
        <w:tc>
          <w:tcPr>
            <w:tcW w:w="0" w:type="auto"/>
            <w:hideMark/>
          </w:tcPr>
          <w:p w14:paraId="56F04B39" w14:textId="20608499" w:rsidR="00827173" w:rsidRPr="0033338C" w:rsidRDefault="00E03D8E" w:rsidP="00475B44">
            <w:pPr>
              <w:spacing w:before="240" w:line="360" w:lineRule="auto"/>
              <w:jc w:val="both"/>
              <w:rPr>
                <w:rFonts w:ascii="Arial" w:hAnsi="Arial" w:cs="Arial"/>
                <w:sz w:val="24"/>
                <w:szCs w:val="24"/>
                <w:lang w:val="en-US"/>
              </w:rPr>
            </w:pPr>
            <w:r w:rsidRPr="0033338C">
              <w:rPr>
                <w:rFonts w:ascii="Arial" w:hAnsi="Arial" w:cs="Arial"/>
                <w:sz w:val="24"/>
                <w:szCs w:val="24"/>
              </w:rPr>
              <w:t>Lowers excess inventory, freeing cash from stockholding (Hill &amp; Hult, 2020).</w:t>
            </w:r>
          </w:p>
        </w:tc>
      </w:tr>
      <w:tr w:rsidR="0006674A" w:rsidRPr="0033338C" w14:paraId="689B5593" w14:textId="77777777" w:rsidTr="00827173">
        <w:tc>
          <w:tcPr>
            <w:tcW w:w="0" w:type="auto"/>
          </w:tcPr>
          <w:p w14:paraId="721CFA7F" w14:textId="0E47C4F0" w:rsidR="0006674A" w:rsidRPr="0033338C" w:rsidRDefault="0006674A" w:rsidP="00475B44">
            <w:pPr>
              <w:spacing w:before="240" w:line="360" w:lineRule="auto"/>
              <w:jc w:val="both"/>
              <w:rPr>
                <w:rFonts w:ascii="Arial" w:hAnsi="Arial" w:cs="Arial"/>
                <w:b/>
                <w:bCs/>
                <w:sz w:val="24"/>
                <w:szCs w:val="24"/>
              </w:rPr>
            </w:pPr>
            <w:r w:rsidRPr="0033338C">
              <w:rPr>
                <w:rFonts w:ascii="Arial" w:hAnsi="Arial" w:cs="Arial"/>
                <w:b/>
                <w:bCs/>
                <w:sz w:val="24"/>
                <w:szCs w:val="24"/>
              </w:rPr>
              <w:t>4. Supplier Negotiation for Longer Payables</w:t>
            </w:r>
          </w:p>
        </w:tc>
        <w:tc>
          <w:tcPr>
            <w:tcW w:w="0" w:type="auto"/>
          </w:tcPr>
          <w:p w14:paraId="5CC2E19B" w14:textId="07566B2F" w:rsidR="0006674A" w:rsidRPr="0033338C" w:rsidRDefault="00E03D8E" w:rsidP="00475B44">
            <w:pPr>
              <w:spacing w:before="240" w:line="360" w:lineRule="auto"/>
              <w:jc w:val="both"/>
              <w:rPr>
                <w:rFonts w:ascii="Arial" w:hAnsi="Arial" w:cs="Arial"/>
                <w:sz w:val="24"/>
                <w:szCs w:val="24"/>
                <w:lang w:val="en-US"/>
              </w:rPr>
            </w:pPr>
            <w:r w:rsidRPr="0033338C">
              <w:rPr>
                <w:rFonts w:ascii="Arial" w:hAnsi="Arial" w:cs="Arial"/>
                <w:sz w:val="24"/>
                <w:szCs w:val="24"/>
              </w:rPr>
              <w:t>Extend payment terms where feasible without harming relationships.</w:t>
            </w:r>
          </w:p>
        </w:tc>
        <w:tc>
          <w:tcPr>
            <w:tcW w:w="0" w:type="auto"/>
          </w:tcPr>
          <w:p w14:paraId="3B55E0BC" w14:textId="7A04E1D3" w:rsidR="0006674A" w:rsidRPr="0033338C" w:rsidRDefault="00E03D8E" w:rsidP="00475B44">
            <w:pPr>
              <w:spacing w:before="240" w:line="360" w:lineRule="auto"/>
              <w:jc w:val="both"/>
              <w:rPr>
                <w:rFonts w:ascii="Arial" w:hAnsi="Arial" w:cs="Arial"/>
                <w:sz w:val="24"/>
                <w:szCs w:val="24"/>
                <w:lang w:val="en-US"/>
              </w:rPr>
            </w:pPr>
            <w:r w:rsidRPr="0033338C">
              <w:rPr>
                <w:rFonts w:ascii="Arial" w:hAnsi="Arial" w:cs="Arial"/>
                <w:sz w:val="24"/>
                <w:szCs w:val="24"/>
              </w:rPr>
              <w:t>Strengthens short-term liquidity by delaying outflows.</w:t>
            </w:r>
          </w:p>
        </w:tc>
      </w:tr>
      <w:tr w:rsidR="0006674A" w:rsidRPr="0033338C" w14:paraId="5538A080" w14:textId="77777777" w:rsidTr="00827173">
        <w:tc>
          <w:tcPr>
            <w:tcW w:w="0" w:type="auto"/>
          </w:tcPr>
          <w:p w14:paraId="58D9BFE6" w14:textId="5326F6A3" w:rsidR="0006674A" w:rsidRPr="0033338C" w:rsidRDefault="005A31D5" w:rsidP="00475B44">
            <w:pPr>
              <w:spacing w:before="240" w:line="360" w:lineRule="auto"/>
              <w:jc w:val="both"/>
              <w:rPr>
                <w:rFonts w:ascii="Arial" w:hAnsi="Arial" w:cs="Arial"/>
                <w:b/>
                <w:bCs/>
                <w:sz w:val="24"/>
                <w:szCs w:val="24"/>
              </w:rPr>
            </w:pPr>
            <w:r w:rsidRPr="0033338C">
              <w:rPr>
                <w:rFonts w:ascii="Arial" w:hAnsi="Arial" w:cs="Arial"/>
                <w:b/>
                <w:bCs/>
                <w:sz w:val="24"/>
                <w:szCs w:val="24"/>
              </w:rPr>
              <w:t>5. Cash Forecasting and Control</w:t>
            </w:r>
          </w:p>
        </w:tc>
        <w:tc>
          <w:tcPr>
            <w:tcW w:w="0" w:type="auto"/>
          </w:tcPr>
          <w:p w14:paraId="34A3D045" w14:textId="1900F783" w:rsidR="0006674A" w:rsidRPr="0033338C" w:rsidRDefault="00C76725" w:rsidP="00475B44">
            <w:pPr>
              <w:spacing w:before="240" w:line="360" w:lineRule="auto"/>
              <w:jc w:val="both"/>
              <w:rPr>
                <w:rFonts w:ascii="Arial" w:hAnsi="Arial" w:cs="Arial"/>
                <w:sz w:val="24"/>
                <w:szCs w:val="24"/>
                <w:lang w:val="en-US"/>
              </w:rPr>
            </w:pPr>
            <w:r w:rsidRPr="0033338C">
              <w:rPr>
                <w:rFonts w:ascii="Arial" w:hAnsi="Arial" w:cs="Arial"/>
                <w:sz w:val="24"/>
                <w:szCs w:val="24"/>
              </w:rPr>
              <w:t>Real-time liquidity dashboards and rolling cash-flow forecasts.</w:t>
            </w:r>
          </w:p>
        </w:tc>
        <w:tc>
          <w:tcPr>
            <w:tcW w:w="0" w:type="auto"/>
          </w:tcPr>
          <w:p w14:paraId="0B79A842" w14:textId="6F87630A" w:rsidR="0006674A" w:rsidRPr="0033338C" w:rsidRDefault="00C76725" w:rsidP="00475B44">
            <w:pPr>
              <w:spacing w:before="240" w:line="360" w:lineRule="auto"/>
              <w:jc w:val="both"/>
              <w:rPr>
                <w:rFonts w:ascii="Arial" w:hAnsi="Arial" w:cs="Arial"/>
                <w:sz w:val="24"/>
                <w:szCs w:val="24"/>
                <w:lang w:val="en-US"/>
              </w:rPr>
            </w:pPr>
            <w:r w:rsidRPr="0033338C">
              <w:rPr>
                <w:rFonts w:ascii="Arial" w:hAnsi="Arial" w:cs="Arial"/>
                <w:sz w:val="24"/>
                <w:szCs w:val="24"/>
              </w:rPr>
              <w:t>Enhances cash visibility and supports proactive liquidity management.</w:t>
            </w:r>
          </w:p>
        </w:tc>
      </w:tr>
    </w:tbl>
    <w:p w14:paraId="1DF787AF" w14:textId="01FADDAA" w:rsidR="006D0CF6" w:rsidRPr="0033338C" w:rsidRDefault="00690E84" w:rsidP="006D0CF6">
      <w:pPr>
        <w:spacing w:before="240" w:line="360" w:lineRule="auto"/>
        <w:jc w:val="both"/>
        <w:rPr>
          <w:rFonts w:ascii="Arial" w:hAnsi="Arial" w:cs="Arial"/>
          <w:bCs/>
          <w:sz w:val="24"/>
          <w:szCs w:val="24"/>
          <w:lang w:val="en-US"/>
        </w:rPr>
      </w:pPr>
      <w:r w:rsidRPr="0033338C">
        <w:rPr>
          <w:rFonts w:ascii="Arial" w:hAnsi="Arial" w:cs="Arial"/>
          <w:bCs/>
          <w:sz w:val="24"/>
          <w:szCs w:val="24"/>
          <w:lang w:val="en-US"/>
        </w:rPr>
        <w:t>Taken together, these reforms contribute to the reduction in the cash cycle, decrease in the operational uncertainty, and enhance the capability of the firm to satisfy short-term liabilities. Receivables management is an immediate solution to the drastic increase in receivable days in 2023-2024, and inventory optimisation will eliminate cash that is tied up in stocks that change over time. Improved payables strategies with strong cash forecasting aid ensure even greater flexibility and less reliance on expensive financing facilities (Atrill &amp; McLaney, 2022). The adoption of the reforms is thus essential in restoring the liquidity resilience and helping to implement a wider turnaround strategy.</w:t>
      </w:r>
    </w:p>
    <w:p w14:paraId="3C1D0889" w14:textId="2EECC48B" w:rsidR="006D0CF6" w:rsidRPr="0033338C" w:rsidRDefault="007846BC" w:rsidP="007846BC">
      <w:pPr>
        <w:pStyle w:val="Heading2"/>
        <w:rPr>
          <w:rFonts w:cs="Arial"/>
          <w:lang w:val="en-US"/>
        </w:rPr>
      </w:pPr>
      <w:bookmarkStart w:id="10" w:name="_Toc214831131"/>
      <w:r w:rsidRPr="0033338C">
        <w:rPr>
          <w:rFonts w:cs="Arial"/>
          <w:lang w:val="en-US"/>
        </w:rPr>
        <w:t>2</w:t>
      </w:r>
      <w:r w:rsidR="006D0CF6" w:rsidRPr="0033338C">
        <w:rPr>
          <w:rFonts w:cs="Arial"/>
          <w:lang w:val="en-US"/>
        </w:rPr>
        <w:t>.3 Short- versus Long-Term financing Compared</w:t>
      </w:r>
      <w:bookmarkEnd w:id="10"/>
    </w:p>
    <w:p w14:paraId="7A9F8ECA" w14:textId="77777777" w:rsidR="00A13C66" w:rsidRPr="0033338C" w:rsidRDefault="001A6F14" w:rsidP="006D0CF6">
      <w:pPr>
        <w:spacing w:before="240" w:line="360" w:lineRule="auto"/>
        <w:jc w:val="both"/>
        <w:rPr>
          <w:rFonts w:ascii="Arial" w:hAnsi="Arial" w:cs="Arial"/>
          <w:bCs/>
          <w:sz w:val="24"/>
          <w:szCs w:val="24"/>
        </w:rPr>
      </w:pPr>
      <w:r w:rsidRPr="0033338C">
        <w:rPr>
          <w:rFonts w:ascii="Arial" w:hAnsi="Arial" w:cs="Arial"/>
          <w:bCs/>
          <w:sz w:val="24"/>
          <w:szCs w:val="24"/>
        </w:rPr>
        <w:t xml:space="preserve">The liquidity position of General Electronics can only be stabilised by making effective financing decisions considering that the company is experiencing diminishing cash reserves, increasing short-term liabilities and unstable operating cash flows (Financial Management Assessment Brief, 2025). Both short-term and long-term financing have </w:t>
      </w:r>
      <w:r w:rsidRPr="0033338C">
        <w:rPr>
          <w:rFonts w:ascii="Arial" w:hAnsi="Arial" w:cs="Arial"/>
          <w:bCs/>
          <w:sz w:val="24"/>
          <w:szCs w:val="24"/>
        </w:rPr>
        <w:lastRenderedPageBreak/>
        <w:t>their own strengths and weaknesses that would have to be matched with the restructuring priorities and working capital requirements of the firms</w:t>
      </w:r>
      <w:r w:rsidR="00A13C66" w:rsidRPr="0033338C">
        <w:rPr>
          <w:rFonts w:ascii="Arial" w:hAnsi="Arial" w:cs="Arial"/>
          <w:bCs/>
          <w:sz w:val="24"/>
          <w:szCs w:val="24"/>
        </w:rPr>
        <w:t xml:space="preserve">. </w:t>
      </w:r>
    </w:p>
    <w:p w14:paraId="6700BE4E" w14:textId="347819D6" w:rsidR="00A13C66" w:rsidRPr="0033338C" w:rsidRDefault="00A13C66" w:rsidP="006D0CF6">
      <w:pPr>
        <w:spacing w:before="240" w:line="360" w:lineRule="auto"/>
        <w:jc w:val="both"/>
        <w:rPr>
          <w:rFonts w:ascii="Arial" w:hAnsi="Arial" w:cs="Arial"/>
          <w:bCs/>
          <w:sz w:val="24"/>
          <w:szCs w:val="24"/>
        </w:rPr>
      </w:pPr>
      <w:r w:rsidRPr="0033338C">
        <w:rPr>
          <w:rFonts w:ascii="Arial" w:hAnsi="Arial" w:cs="Arial"/>
          <w:bCs/>
          <w:sz w:val="24"/>
          <w:szCs w:val="24"/>
        </w:rPr>
        <w:t xml:space="preserve">Short-term financing is quick access to capital and is frequently applied when there is a temporary need of capital, seasonal inventory purchases or more immediate operational requirement. </w:t>
      </w:r>
      <w:r w:rsidR="0033338C" w:rsidRPr="0033338C">
        <w:rPr>
          <w:rFonts w:ascii="Arial" w:hAnsi="Arial" w:cs="Arial"/>
          <w:bCs/>
          <w:sz w:val="24"/>
          <w:szCs w:val="24"/>
        </w:rPr>
        <w:t>It’s</w:t>
      </w:r>
      <w:r w:rsidRPr="0033338C">
        <w:rPr>
          <w:rFonts w:ascii="Arial" w:hAnsi="Arial" w:cs="Arial"/>
          <w:bCs/>
          <w:sz w:val="24"/>
          <w:szCs w:val="24"/>
        </w:rPr>
        <w:t xml:space="preserve"> cheaper short-term borrowing rate and increased leeway render it appealing to the companies which have a fluctuating cash cycle (Atrill and McLaney, 2022). But heavy dependence on short-term loans raises the refinancing risk as well as subjecting the firm to interest rate risks. Considering the increasing number of receivable days and unstable inventory of GE, inappropriate heavy short-term borrowing can enhance the financial instability.</w:t>
      </w:r>
    </w:p>
    <w:p w14:paraId="1B9E7EA4" w14:textId="2BFDD007" w:rsidR="00BF0246" w:rsidRPr="0033338C" w:rsidRDefault="00067880" w:rsidP="006D0CF6">
      <w:pPr>
        <w:spacing w:before="240" w:line="360" w:lineRule="auto"/>
        <w:jc w:val="both"/>
        <w:rPr>
          <w:rFonts w:ascii="Arial" w:hAnsi="Arial" w:cs="Arial"/>
          <w:bCs/>
          <w:sz w:val="24"/>
          <w:szCs w:val="24"/>
        </w:rPr>
      </w:pPr>
      <w:r>
        <w:rPr>
          <w:rFonts w:ascii="Arial" w:hAnsi="Arial" w:cs="Arial"/>
          <w:bCs/>
          <w:sz w:val="24"/>
          <w:szCs w:val="24"/>
        </w:rPr>
        <w:t>The capital</w:t>
      </w:r>
      <w:r w:rsidR="00611DBB" w:rsidRPr="0033338C">
        <w:rPr>
          <w:rFonts w:ascii="Arial" w:hAnsi="Arial" w:cs="Arial"/>
          <w:bCs/>
          <w:sz w:val="24"/>
          <w:szCs w:val="24"/>
        </w:rPr>
        <w:t xml:space="preserve"> investment, restructuring, and strategic expansion are financed over the long-term. It is stable because it has a fixed repayment schedule and low pressure of refinancing (Brealey, Myers and Allen, 2020). Although generally more costly in the long-term and may demand a greater credit rating, long-term financing may assist in alleviating the liquidity pressure of distributing repayments and reducing the short-term liability. Given the liquidity worsening trend of GE and its high leverage, long-term instruments, such as equity infusion, long-term bonds, or structured debt refinancing, might be the financial lifeline that it needs to recover its operations</w:t>
      </w:r>
      <w:r w:rsidR="00BF0246" w:rsidRPr="0033338C">
        <w:rPr>
          <w:rFonts w:ascii="Arial" w:hAnsi="Arial" w:cs="Arial"/>
          <w:bCs/>
          <w:sz w:val="24"/>
          <w:szCs w:val="24"/>
        </w:rPr>
        <w:t xml:space="preserve">. </w:t>
      </w:r>
    </w:p>
    <w:p w14:paraId="40DD3FF1" w14:textId="2A6D0CD5" w:rsidR="006D0CF6" w:rsidRPr="0033338C" w:rsidRDefault="00BF0246" w:rsidP="00BF0246">
      <w:pPr>
        <w:spacing w:before="240" w:line="360" w:lineRule="auto"/>
        <w:jc w:val="center"/>
        <w:rPr>
          <w:rFonts w:ascii="Arial" w:hAnsi="Arial" w:cs="Arial"/>
          <w:b/>
          <w:sz w:val="24"/>
          <w:szCs w:val="24"/>
          <w:lang w:val="en-US"/>
        </w:rPr>
      </w:pPr>
      <w:r w:rsidRPr="0033338C">
        <w:rPr>
          <w:rFonts w:ascii="Arial" w:hAnsi="Arial" w:cs="Arial"/>
          <w:b/>
          <w:sz w:val="24"/>
          <w:szCs w:val="24"/>
        </w:rPr>
        <w:t>STF vs LTF Comparison and Recommendation for GE</w:t>
      </w:r>
    </w:p>
    <w:tbl>
      <w:tblPr>
        <w:tblStyle w:val="TableGrid"/>
        <w:tblW w:w="0" w:type="auto"/>
        <w:tblLook w:val="04A0" w:firstRow="1" w:lastRow="0" w:firstColumn="1" w:lastColumn="0" w:noHBand="0" w:noVBand="1"/>
      </w:tblPr>
      <w:tblGrid>
        <w:gridCol w:w="1583"/>
        <w:gridCol w:w="2064"/>
        <w:gridCol w:w="2233"/>
        <w:gridCol w:w="3136"/>
      </w:tblGrid>
      <w:tr w:rsidR="00010500" w:rsidRPr="0033338C" w14:paraId="7906BE56" w14:textId="77777777" w:rsidTr="00E3635F">
        <w:tc>
          <w:tcPr>
            <w:tcW w:w="0" w:type="auto"/>
            <w:hideMark/>
          </w:tcPr>
          <w:p w14:paraId="36DBC32E" w14:textId="77777777" w:rsidR="00E3635F" w:rsidRPr="0033338C" w:rsidRDefault="00E3635F" w:rsidP="00E3635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Feature</w:t>
            </w:r>
          </w:p>
        </w:tc>
        <w:tc>
          <w:tcPr>
            <w:tcW w:w="0" w:type="auto"/>
            <w:hideMark/>
          </w:tcPr>
          <w:p w14:paraId="27DB952D" w14:textId="239A3A36" w:rsidR="00E3635F" w:rsidRPr="0033338C" w:rsidRDefault="00427961" w:rsidP="00E3635F">
            <w:pPr>
              <w:spacing w:before="240" w:line="360" w:lineRule="auto"/>
              <w:jc w:val="both"/>
              <w:rPr>
                <w:rFonts w:ascii="Arial" w:hAnsi="Arial" w:cs="Arial"/>
                <w:bCs/>
                <w:sz w:val="24"/>
                <w:szCs w:val="24"/>
                <w:lang w:val="en-US"/>
              </w:rPr>
            </w:pPr>
            <w:r w:rsidRPr="0033338C">
              <w:rPr>
                <w:rFonts w:ascii="Arial" w:hAnsi="Arial" w:cs="Arial"/>
                <w:b/>
                <w:bCs/>
                <w:sz w:val="24"/>
                <w:szCs w:val="24"/>
              </w:rPr>
              <w:t>Short-Term Financing (STF)</w:t>
            </w:r>
          </w:p>
        </w:tc>
        <w:tc>
          <w:tcPr>
            <w:tcW w:w="0" w:type="auto"/>
            <w:hideMark/>
          </w:tcPr>
          <w:p w14:paraId="2DF6B48B" w14:textId="77777777" w:rsidR="00E3635F" w:rsidRPr="0033338C" w:rsidRDefault="00E3635F" w:rsidP="00E3635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Long-Term Financing (LTF)</w:t>
            </w:r>
          </w:p>
        </w:tc>
        <w:tc>
          <w:tcPr>
            <w:tcW w:w="0" w:type="auto"/>
            <w:hideMark/>
          </w:tcPr>
          <w:p w14:paraId="6C790020" w14:textId="77777777" w:rsidR="00E3635F" w:rsidRPr="0033338C" w:rsidRDefault="00E3635F" w:rsidP="00E3635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Recommendation for GE</w:t>
            </w:r>
          </w:p>
        </w:tc>
      </w:tr>
      <w:tr w:rsidR="00010500" w:rsidRPr="0033338C" w14:paraId="667474AE" w14:textId="77777777" w:rsidTr="00E3635F">
        <w:tc>
          <w:tcPr>
            <w:tcW w:w="0" w:type="auto"/>
            <w:hideMark/>
          </w:tcPr>
          <w:p w14:paraId="12C0ED0B" w14:textId="6B264522" w:rsidR="00E3635F" w:rsidRPr="0033338C" w:rsidRDefault="00427961" w:rsidP="00E3635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Cost</w:t>
            </w:r>
          </w:p>
        </w:tc>
        <w:tc>
          <w:tcPr>
            <w:tcW w:w="0" w:type="auto"/>
            <w:hideMark/>
          </w:tcPr>
          <w:p w14:paraId="0E5285F5" w14:textId="6A35F4CB" w:rsidR="00E3635F" w:rsidRPr="0033338C" w:rsidRDefault="004A401D" w:rsidP="00E3635F">
            <w:pPr>
              <w:spacing w:before="240" w:line="360" w:lineRule="auto"/>
              <w:jc w:val="both"/>
              <w:rPr>
                <w:rFonts w:ascii="Arial" w:hAnsi="Arial" w:cs="Arial"/>
                <w:bCs/>
                <w:sz w:val="24"/>
                <w:szCs w:val="24"/>
                <w:lang w:val="en-US"/>
              </w:rPr>
            </w:pPr>
            <w:r w:rsidRPr="0033338C">
              <w:rPr>
                <w:rFonts w:ascii="Arial" w:hAnsi="Arial" w:cs="Arial"/>
                <w:bCs/>
                <w:sz w:val="24"/>
                <w:szCs w:val="24"/>
              </w:rPr>
              <w:t>Lower upfront cost; variable interest.</w:t>
            </w:r>
          </w:p>
        </w:tc>
        <w:tc>
          <w:tcPr>
            <w:tcW w:w="0" w:type="auto"/>
            <w:hideMark/>
          </w:tcPr>
          <w:p w14:paraId="0EE9BC02" w14:textId="099BFA2E" w:rsidR="00E3635F" w:rsidRPr="0033338C" w:rsidRDefault="004A401D" w:rsidP="00E3635F">
            <w:pPr>
              <w:spacing w:before="240" w:line="360" w:lineRule="auto"/>
              <w:jc w:val="both"/>
              <w:rPr>
                <w:rFonts w:ascii="Arial" w:hAnsi="Arial" w:cs="Arial"/>
                <w:bCs/>
                <w:sz w:val="24"/>
                <w:szCs w:val="24"/>
                <w:lang w:val="en-US"/>
              </w:rPr>
            </w:pPr>
            <w:r w:rsidRPr="0033338C">
              <w:rPr>
                <w:rFonts w:ascii="Arial" w:hAnsi="Arial" w:cs="Arial"/>
                <w:bCs/>
                <w:sz w:val="24"/>
                <w:szCs w:val="24"/>
              </w:rPr>
              <w:t>Higher overall cost; fixed terms.</w:t>
            </w:r>
          </w:p>
        </w:tc>
        <w:tc>
          <w:tcPr>
            <w:tcW w:w="0" w:type="auto"/>
            <w:hideMark/>
          </w:tcPr>
          <w:p w14:paraId="37DE4E73" w14:textId="319DA9C8" w:rsidR="00E3635F" w:rsidRPr="0033338C" w:rsidRDefault="008233AF" w:rsidP="00E3635F">
            <w:pPr>
              <w:spacing w:before="240" w:line="360" w:lineRule="auto"/>
              <w:jc w:val="both"/>
              <w:rPr>
                <w:rFonts w:ascii="Arial" w:hAnsi="Arial" w:cs="Arial"/>
                <w:bCs/>
                <w:sz w:val="24"/>
                <w:szCs w:val="24"/>
                <w:lang w:val="en-US"/>
              </w:rPr>
            </w:pPr>
            <w:r w:rsidRPr="0033338C">
              <w:rPr>
                <w:rFonts w:ascii="Arial" w:hAnsi="Arial" w:cs="Arial"/>
                <w:bCs/>
                <w:sz w:val="24"/>
                <w:szCs w:val="24"/>
              </w:rPr>
              <w:t>Use selectively for urgent, small working capital gaps.</w:t>
            </w:r>
          </w:p>
        </w:tc>
      </w:tr>
      <w:tr w:rsidR="00010500" w:rsidRPr="0033338C" w14:paraId="31E53DF5" w14:textId="77777777" w:rsidTr="00E3635F">
        <w:tc>
          <w:tcPr>
            <w:tcW w:w="0" w:type="auto"/>
            <w:hideMark/>
          </w:tcPr>
          <w:p w14:paraId="1CAD2E6D" w14:textId="52E88F2F" w:rsidR="00E3635F" w:rsidRPr="0033338C" w:rsidRDefault="00427961" w:rsidP="00E3635F">
            <w:pPr>
              <w:spacing w:before="240" w:line="360" w:lineRule="auto"/>
              <w:jc w:val="both"/>
              <w:rPr>
                <w:rFonts w:ascii="Arial" w:hAnsi="Arial" w:cs="Arial"/>
                <w:bCs/>
                <w:sz w:val="24"/>
                <w:szCs w:val="24"/>
                <w:lang w:val="en-US"/>
              </w:rPr>
            </w:pPr>
            <w:r w:rsidRPr="0033338C">
              <w:rPr>
                <w:rFonts w:ascii="Arial" w:hAnsi="Arial" w:cs="Arial"/>
                <w:b/>
                <w:bCs/>
                <w:sz w:val="24"/>
                <w:szCs w:val="24"/>
              </w:rPr>
              <w:t>Risk Exposure</w:t>
            </w:r>
          </w:p>
        </w:tc>
        <w:tc>
          <w:tcPr>
            <w:tcW w:w="0" w:type="auto"/>
            <w:hideMark/>
          </w:tcPr>
          <w:p w14:paraId="3ADABEB3" w14:textId="26E12D42" w:rsidR="00E3635F" w:rsidRPr="0033338C" w:rsidRDefault="008233AF" w:rsidP="00E3635F">
            <w:pPr>
              <w:spacing w:before="240" w:line="360" w:lineRule="auto"/>
              <w:jc w:val="both"/>
              <w:rPr>
                <w:rFonts w:ascii="Arial" w:hAnsi="Arial" w:cs="Arial"/>
                <w:bCs/>
                <w:sz w:val="24"/>
                <w:szCs w:val="24"/>
                <w:lang w:val="en-US"/>
              </w:rPr>
            </w:pPr>
            <w:r w:rsidRPr="0033338C">
              <w:rPr>
                <w:rFonts w:ascii="Arial" w:hAnsi="Arial" w:cs="Arial"/>
                <w:bCs/>
                <w:sz w:val="24"/>
                <w:szCs w:val="24"/>
              </w:rPr>
              <w:t>High refinancing and rate risk.</w:t>
            </w:r>
          </w:p>
        </w:tc>
        <w:tc>
          <w:tcPr>
            <w:tcW w:w="0" w:type="auto"/>
            <w:hideMark/>
          </w:tcPr>
          <w:p w14:paraId="74D2AE38" w14:textId="19E6B686" w:rsidR="00E3635F" w:rsidRPr="0033338C" w:rsidRDefault="008233AF" w:rsidP="00E3635F">
            <w:pPr>
              <w:spacing w:before="240" w:line="360" w:lineRule="auto"/>
              <w:jc w:val="both"/>
              <w:rPr>
                <w:rFonts w:ascii="Arial" w:hAnsi="Arial" w:cs="Arial"/>
                <w:bCs/>
                <w:sz w:val="24"/>
                <w:szCs w:val="24"/>
                <w:lang w:val="en-US"/>
              </w:rPr>
            </w:pPr>
            <w:r w:rsidRPr="0033338C">
              <w:rPr>
                <w:rFonts w:ascii="Arial" w:hAnsi="Arial" w:cs="Arial"/>
                <w:bCs/>
                <w:sz w:val="24"/>
                <w:szCs w:val="24"/>
              </w:rPr>
              <w:t>Lower refinancing risk.</w:t>
            </w:r>
          </w:p>
        </w:tc>
        <w:tc>
          <w:tcPr>
            <w:tcW w:w="0" w:type="auto"/>
            <w:hideMark/>
          </w:tcPr>
          <w:p w14:paraId="51728856" w14:textId="5ABDE839" w:rsidR="00E3635F" w:rsidRPr="0033338C" w:rsidRDefault="00DC1D57" w:rsidP="00E3635F">
            <w:pPr>
              <w:spacing w:before="240" w:line="360" w:lineRule="auto"/>
              <w:jc w:val="both"/>
              <w:rPr>
                <w:rFonts w:ascii="Arial" w:hAnsi="Arial" w:cs="Arial"/>
                <w:bCs/>
                <w:sz w:val="24"/>
                <w:szCs w:val="24"/>
                <w:lang w:val="en-US"/>
              </w:rPr>
            </w:pPr>
            <w:r w:rsidRPr="0033338C">
              <w:rPr>
                <w:rFonts w:ascii="Arial" w:hAnsi="Arial" w:cs="Arial"/>
                <w:bCs/>
                <w:sz w:val="24"/>
                <w:szCs w:val="24"/>
              </w:rPr>
              <w:t>Prioritise LTF to reduce liquidity pressure.</w:t>
            </w:r>
          </w:p>
        </w:tc>
      </w:tr>
      <w:tr w:rsidR="00010500" w:rsidRPr="0033338C" w14:paraId="439F7A62" w14:textId="77777777" w:rsidTr="00E3635F">
        <w:tc>
          <w:tcPr>
            <w:tcW w:w="0" w:type="auto"/>
            <w:hideMark/>
          </w:tcPr>
          <w:p w14:paraId="4286BD5D" w14:textId="0CAB76FA" w:rsidR="00E3635F" w:rsidRPr="0033338C" w:rsidRDefault="00686C1D" w:rsidP="00E3635F">
            <w:pPr>
              <w:spacing w:before="240" w:line="360" w:lineRule="auto"/>
              <w:jc w:val="both"/>
              <w:rPr>
                <w:rFonts w:ascii="Arial" w:hAnsi="Arial" w:cs="Arial"/>
                <w:bCs/>
                <w:sz w:val="24"/>
                <w:szCs w:val="24"/>
                <w:lang w:val="en-US"/>
              </w:rPr>
            </w:pPr>
            <w:r w:rsidRPr="0033338C">
              <w:rPr>
                <w:rFonts w:ascii="Arial" w:hAnsi="Arial" w:cs="Arial"/>
                <w:b/>
                <w:bCs/>
                <w:sz w:val="24"/>
                <w:szCs w:val="24"/>
              </w:rPr>
              <w:lastRenderedPageBreak/>
              <w:t>Purpose</w:t>
            </w:r>
          </w:p>
        </w:tc>
        <w:tc>
          <w:tcPr>
            <w:tcW w:w="0" w:type="auto"/>
            <w:hideMark/>
          </w:tcPr>
          <w:p w14:paraId="461B7F10" w14:textId="0823BA60" w:rsidR="00E3635F" w:rsidRPr="0033338C" w:rsidRDefault="00DC1D57" w:rsidP="00E3635F">
            <w:pPr>
              <w:spacing w:before="240" w:line="360" w:lineRule="auto"/>
              <w:jc w:val="both"/>
              <w:rPr>
                <w:rFonts w:ascii="Arial" w:hAnsi="Arial" w:cs="Arial"/>
                <w:bCs/>
                <w:sz w:val="24"/>
                <w:szCs w:val="24"/>
                <w:lang w:val="en-US"/>
              </w:rPr>
            </w:pPr>
            <w:r w:rsidRPr="0033338C">
              <w:rPr>
                <w:rFonts w:ascii="Arial" w:hAnsi="Arial" w:cs="Arial"/>
                <w:bCs/>
                <w:sz w:val="24"/>
                <w:szCs w:val="24"/>
              </w:rPr>
              <w:t>Immediate operational needs.</w:t>
            </w:r>
          </w:p>
        </w:tc>
        <w:tc>
          <w:tcPr>
            <w:tcW w:w="0" w:type="auto"/>
            <w:hideMark/>
          </w:tcPr>
          <w:p w14:paraId="27E66055" w14:textId="46FCEF11" w:rsidR="00E3635F" w:rsidRPr="0033338C" w:rsidRDefault="00DC1D57" w:rsidP="00E3635F">
            <w:pPr>
              <w:spacing w:before="240" w:line="360" w:lineRule="auto"/>
              <w:jc w:val="both"/>
              <w:rPr>
                <w:rFonts w:ascii="Arial" w:hAnsi="Arial" w:cs="Arial"/>
                <w:bCs/>
                <w:sz w:val="24"/>
                <w:szCs w:val="24"/>
                <w:lang w:val="en-US"/>
              </w:rPr>
            </w:pPr>
            <w:r w:rsidRPr="0033338C">
              <w:rPr>
                <w:rFonts w:ascii="Arial" w:hAnsi="Arial" w:cs="Arial"/>
                <w:bCs/>
                <w:sz w:val="24"/>
                <w:szCs w:val="24"/>
              </w:rPr>
              <w:t>Strategic restructuring and investment.</w:t>
            </w:r>
          </w:p>
        </w:tc>
        <w:tc>
          <w:tcPr>
            <w:tcW w:w="0" w:type="auto"/>
            <w:hideMark/>
          </w:tcPr>
          <w:p w14:paraId="4C0A5659" w14:textId="35D31C0C" w:rsidR="00E3635F" w:rsidRPr="0033338C" w:rsidRDefault="00836320" w:rsidP="00E3635F">
            <w:pPr>
              <w:spacing w:before="240" w:line="360" w:lineRule="auto"/>
              <w:jc w:val="both"/>
              <w:rPr>
                <w:rFonts w:ascii="Arial" w:hAnsi="Arial" w:cs="Arial"/>
                <w:bCs/>
                <w:sz w:val="24"/>
                <w:szCs w:val="24"/>
                <w:lang w:val="en-US"/>
              </w:rPr>
            </w:pPr>
            <w:r w:rsidRPr="0033338C">
              <w:rPr>
                <w:rFonts w:ascii="Arial" w:hAnsi="Arial" w:cs="Arial"/>
                <w:bCs/>
                <w:sz w:val="24"/>
                <w:szCs w:val="24"/>
              </w:rPr>
              <w:t>LTF preferred for turnaround initiatives.</w:t>
            </w:r>
          </w:p>
        </w:tc>
      </w:tr>
      <w:tr w:rsidR="00010500" w:rsidRPr="0033338C" w14:paraId="33E1DD7D" w14:textId="77777777" w:rsidTr="00E3635F">
        <w:tc>
          <w:tcPr>
            <w:tcW w:w="0" w:type="auto"/>
            <w:hideMark/>
          </w:tcPr>
          <w:p w14:paraId="5826EA93" w14:textId="1867269D" w:rsidR="00E3635F" w:rsidRPr="0033338C" w:rsidRDefault="00686C1D" w:rsidP="00E3635F">
            <w:pPr>
              <w:spacing w:before="240" w:line="360" w:lineRule="auto"/>
              <w:jc w:val="both"/>
              <w:rPr>
                <w:rFonts w:ascii="Arial" w:hAnsi="Arial" w:cs="Arial"/>
                <w:bCs/>
                <w:sz w:val="24"/>
                <w:szCs w:val="24"/>
                <w:lang w:val="en-US"/>
              </w:rPr>
            </w:pPr>
            <w:r w:rsidRPr="0033338C">
              <w:rPr>
                <w:rFonts w:ascii="Arial" w:hAnsi="Arial" w:cs="Arial"/>
                <w:b/>
                <w:bCs/>
                <w:sz w:val="24"/>
                <w:szCs w:val="24"/>
              </w:rPr>
              <w:t>Impact on Liquidity</w:t>
            </w:r>
          </w:p>
        </w:tc>
        <w:tc>
          <w:tcPr>
            <w:tcW w:w="0" w:type="auto"/>
            <w:hideMark/>
          </w:tcPr>
          <w:p w14:paraId="6801F599" w14:textId="010E62B1" w:rsidR="00E3635F" w:rsidRPr="0033338C" w:rsidRDefault="00836320" w:rsidP="00E3635F">
            <w:pPr>
              <w:spacing w:before="240" w:line="360" w:lineRule="auto"/>
              <w:jc w:val="both"/>
              <w:rPr>
                <w:rFonts w:ascii="Arial" w:hAnsi="Arial" w:cs="Arial"/>
                <w:bCs/>
                <w:sz w:val="24"/>
                <w:szCs w:val="24"/>
                <w:lang w:val="en-US"/>
              </w:rPr>
            </w:pPr>
            <w:r w:rsidRPr="0033338C">
              <w:rPr>
                <w:rFonts w:ascii="Arial" w:hAnsi="Arial" w:cs="Arial"/>
                <w:bCs/>
                <w:sz w:val="24"/>
                <w:szCs w:val="24"/>
              </w:rPr>
              <w:t>Increases short-term liabilities.</w:t>
            </w:r>
          </w:p>
        </w:tc>
        <w:tc>
          <w:tcPr>
            <w:tcW w:w="0" w:type="auto"/>
            <w:hideMark/>
          </w:tcPr>
          <w:p w14:paraId="2E37D383" w14:textId="3E13F366" w:rsidR="00E3635F" w:rsidRPr="0033338C" w:rsidRDefault="00836320" w:rsidP="00E3635F">
            <w:pPr>
              <w:spacing w:before="240" w:line="360" w:lineRule="auto"/>
              <w:jc w:val="both"/>
              <w:rPr>
                <w:rFonts w:ascii="Arial" w:hAnsi="Arial" w:cs="Arial"/>
                <w:bCs/>
                <w:sz w:val="24"/>
                <w:szCs w:val="24"/>
                <w:lang w:val="en-US"/>
              </w:rPr>
            </w:pPr>
            <w:r w:rsidRPr="0033338C">
              <w:rPr>
                <w:rFonts w:ascii="Arial" w:hAnsi="Arial" w:cs="Arial"/>
                <w:bCs/>
                <w:sz w:val="24"/>
                <w:szCs w:val="24"/>
              </w:rPr>
              <w:t>Spreads repayment over years.</w:t>
            </w:r>
          </w:p>
        </w:tc>
        <w:tc>
          <w:tcPr>
            <w:tcW w:w="0" w:type="auto"/>
            <w:hideMark/>
          </w:tcPr>
          <w:p w14:paraId="2EBA15C4" w14:textId="4CB90337" w:rsidR="00E3635F" w:rsidRPr="0033338C" w:rsidRDefault="00154C68" w:rsidP="00E3635F">
            <w:pPr>
              <w:spacing w:before="240" w:line="360" w:lineRule="auto"/>
              <w:jc w:val="both"/>
              <w:rPr>
                <w:rFonts w:ascii="Arial" w:hAnsi="Arial" w:cs="Arial"/>
                <w:bCs/>
                <w:sz w:val="24"/>
                <w:szCs w:val="24"/>
                <w:lang w:val="en-US"/>
              </w:rPr>
            </w:pPr>
            <w:r w:rsidRPr="0033338C">
              <w:rPr>
                <w:rFonts w:ascii="Arial" w:hAnsi="Arial" w:cs="Arial"/>
                <w:bCs/>
                <w:sz w:val="24"/>
                <w:szCs w:val="24"/>
              </w:rPr>
              <w:t>Shift reliance from STF to diversified LTF sources.</w:t>
            </w:r>
          </w:p>
        </w:tc>
      </w:tr>
    </w:tbl>
    <w:p w14:paraId="4A0B9601" w14:textId="75C25FE4" w:rsidR="00CD4561" w:rsidRPr="0033338C" w:rsidRDefault="00CD4561" w:rsidP="00253EAC">
      <w:pPr>
        <w:pStyle w:val="Heading1"/>
        <w:rPr>
          <w:rFonts w:cs="Arial"/>
        </w:rPr>
      </w:pPr>
      <w:bookmarkStart w:id="11" w:name="_Toc214831132"/>
      <w:r w:rsidRPr="0033338C">
        <w:rPr>
          <w:rFonts w:cs="Arial"/>
        </w:rPr>
        <w:t>3</w:t>
      </w:r>
      <w:r w:rsidR="00253EAC" w:rsidRPr="0033338C">
        <w:rPr>
          <w:rFonts w:cs="Arial"/>
        </w:rPr>
        <w:t>.</w:t>
      </w:r>
      <w:r w:rsidRPr="0033338C">
        <w:rPr>
          <w:rFonts w:cs="Arial"/>
        </w:rPr>
        <w:t xml:space="preserve"> </w:t>
      </w:r>
      <w:r w:rsidR="00814796" w:rsidRPr="0033338C">
        <w:rPr>
          <w:rFonts w:cs="Arial"/>
        </w:rPr>
        <w:t>Strategic Financial Restructuring Plan</w:t>
      </w:r>
      <w:bookmarkEnd w:id="11"/>
    </w:p>
    <w:p w14:paraId="39867AAE" w14:textId="580473C1" w:rsidR="00CD4561" w:rsidRPr="0033338C" w:rsidRDefault="00E93AE1" w:rsidP="004E2CCB">
      <w:pPr>
        <w:pStyle w:val="Heading2"/>
        <w:rPr>
          <w:rFonts w:cs="Arial"/>
        </w:rPr>
      </w:pPr>
      <w:bookmarkStart w:id="12" w:name="_Toc214831133"/>
      <w:r w:rsidRPr="0033338C">
        <w:rPr>
          <w:rFonts w:cs="Arial"/>
        </w:rPr>
        <w:t>3.1 Recommended Financial Restructuring Options</w:t>
      </w:r>
      <w:r w:rsidR="00CD4561" w:rsidRPr="0033338C">
        <w:rPr>
          <w:rFonts w:cs="Arial"/>
        </w:rPr>
        <w:t>:</w:t>
      </w:r>
      <w:bookmarkEnd w:id="12"/>
    </w:p>
    <w:p w14:paraId="4FFBDD98" w14:textId="7222589D" w:rsidR="00B10EA1" w:rsidRPr="0033338C" w:rsidRDefault="00905E74" w:rsidP="00B10EA1">
      <w:pPr>
        <w:spacing w:before="240" w:line="360" w:lineRule="auto"/>
        <w:jc w:val="both"/>
        <w:rPr>
          <w:rFonts w:ascii="Arial" w:hAnsi="Arial" w:cs="Arial"/>
          <w:bCs/>
          <w:sz w:val="24"/>
          <w:szCs w:val="24"/>
          <w:lang w:val="en-US"/>
        </w:rPr>
      </w:pPr>
      <w:r w:rsidRPr="0033338C">
        <w:rPr>
          <w:rFonts w:ascii="Arial" w:hAnsi="Arial" w:cs="Arial"/>
          <w:bCs/>
          <w:sz w:val="24"/>
          <w:szCs w:val="24"/>
        </w:rPr>
        <w:t>Since General Electronics is not only experiencing diminished profitability, poor liquidity, and increased leverage but also its liquidity is deteriorating, a well-organised financial restructuring programme is highly necessary in ensuring that it can be restored to solvency and remain competitive in the long term. These three alternatives present legitimate strategic alternatives with the help of the corporate finance theory and industry practises</w:t>
      </w:r>
      <w:r w:rsidR="00B10EA1" w:rsidRPr="0033338C">
        <w:rPr>
          <w:rFonts w:ascii="Arial" w:hAnsi="Arial" w:cs="Arial"/>
          <w:bCs/>
          <w:sz w:val="24"/>
          <w:szCs w:val="24"/>
          <w:lang w:val="en-US"/>
        </w:rPr>
        <w:t>.</w:t>
      </w:r>
    </w:p>
    <w:p w14:paraId="0C70F8D2" w14:textId="2BC8D2F1" w:rsidR="00B10EA1" w:rsidRPr="0033338C" w:rsidRDefault="00202662" w:rsidP="00202662">
      <w:pPr>
        <w:rPr>
          <w:rFonts w:ascii="Arial" w:hAnsi="Arial" w:cs="Arial"/>
          <w:b/>
          <w:bCs/>
          <w:sz w:val="24"/>
          <w:szCs w:val="24"/>
          <w:lang w:val="en-US"/>
        </w:rPr>
      </w:pPr>
      <w:r w:rsidRPr="0033338C">
        <w:rPr>
          <w:rFonts w:ascii="Arial" w:hAnsi="Arial" w:cs="Arial"/>
          <w:b/>
          <w:bCs/>
          <w:sz w:val="24"/>
          <w:szCs w:val="24"/>
          <w:lang w:val="en-US"/>
        </w:rPr>
        <w:t xml:space="preserve">A. </w:t>
      </w:r>
      <w:r w:rsidR="001C7B10" w:rsidRPr="0033338C">
        <w:rPr>
          <w:rFonts w:ascii="Arial" w:hAnsi="Arial" w:cs="Arial"/>
          <w:b/>
          <w:bCs/>
          <w:sz w:val="24"/>
          <w:szCs w:val="24"/>
        </w:rPr>
        <w:t>Divestiture of Non-Core or Underperforming Units</w:t>
      </w:r>
    </w:p>
    <w:p w14:paraId="3D017875" w14:textId="3DB57D24" w:rsidR="00CF44BF" w:rsidRPr="0033338C" w:rsidRDefault="00CF44BF" w:rsidP="00CF44BF">
      <w:pPr>
        <w:pStyle w:val="ListParagraph"/>
        <w:numPr>
          <w:ilvl w:val="0"/>
          <w:numId w:val="24"/>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The liquidity and decrease in complexity of operations can be enhanced by selling non-strategic or continuously making losses divisions immediately.</w:t>
      </w:r>
    </w:p>
    <w:p w14:paraId="7CAB0569" w14:textId="5A68AA78" w:rsidR="00CF44BF" w:rsidRPr="0033338C" w:rsidRDefault="00CF44BF" w:rsidP="00CF44BF">
      <w:pPr>
        <w:pStyle w:val="ListParagraph"/>
        <w:numPr>
          <w:ilvl w:val="0"/>
          <w:numId w:val="24"/>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Divestiture frees up capital that is tied up in assets of low returns, and this allows them to reinvest the money to profit-generating business units with greater growth potential (Damodaran, 2015).</w:t>
      </w:r>
    </w:p>
    <w:p w14:paraId="196755B3" w14:textId="0B3B33FA" w:rsidR="00CF44BF" w:rsidRPr="0033338C" w:rsidRDefault="00CF44BF" w:rsidP="00CF44BF">
      <w:pPr>
        <w:pStyle w:val="ListParagraph"/>
        <w:numPr>
          <w:ilvl w:val="0"/>
          <w:numId w:val="24"/>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This will lower the fixed costs, ensure a simplified operation, and enhance the balance sheet through payment of debt.</w:t>
      </w:r>
    </w:p>
    <w:p w14:paraId="29D14735" w14:textId="2C4F8301" w:rsidR="00CF44BF" w:rsidRPr="0033338C" w:rsidRDefault="00CF44BF" w:rsidP="00CF44BF">
      <w:pPr>
        <w:pStyle w:val="ListParagraph"/>
        <w:numPr>
          <w:ilvl w:val="0"/>
          <w:numId w:val="24"/>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In the case of General Electronics, the high decrease in revenue, and high inventory fluctuation implies an excess capacity and underperforming units that could be sold off (Financial Management Assessment Brief, 2025).</w:t>
      </w:r>
    </w:p>
    <w:p w14:paraId="01D529A4" w14:textId="1561860C" w:rsidR="00B10EA1" w:rsidRPr="0033338C" w:rsidRDefault="00B10EA1" w:rsidP="00B10EA1">
      <w:pPr>
        <w:spacing w:before="240" w:line="360" w:lineRule="auto"/>
        <w:jc w:val="both"/>
        <w:rPr>
          <w:rFonts w:ascii="Arial" w:hAnsi="Arial" w:cs="Arial"/>
          <w:b/>
          <w:sz w:val="24"/>
          <w:szCs w:val="24"/>
          <w:lang w:val="en-US"/>
        </w:rPr>
      </w:pPr>
      <w:r w:rsidRPr="0033338C">
        <w:rPr>
          <w:rFonts w:ascii="Arial" w:hAnsi="Arial" w:cs="Arial"/>
          <w:b/>
          <w:sz w:val="24"/>
          <w:szCs w:val="24"/>
          <w:lang w:val="en-US"/>
        </w:rPr>
        <w:t xml:space="preserve">B. </w:t>
      </w:r>
      <w:r w:rsidR="00A51675" w:rsidRPr="0033338C">
        <w:rPr>
          <w:rFonts w:ascii="Arial" w:hAnsi="Arial" w:cs="Arial"/>
          <w:b/>
          <w:sz w:val="24"/>
          <w:szCs w:val="24"/>
        </w:rPr>
        <w:t>Strategic Merger or Acquisition (M&amp;A)</w:t>
      </w:r>
    </w:p>
    <w:p w14:paraId="0D7AFF63" w14:textId="32EBA4DE" w:rsidR="00750EE4" w:rsidRPr="0033338C" w:rsidRDefault="00750EE4" w:rsidP="00750EE4">
      <w:pPr>
        <w:pStyle w:val="ListParagraph"/>
        <w:numPr>
          <w:ilvl w:val="0"/>
          <w:numId w:val="25"/>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lastRenderedPageBreak/>
        <w:t>The synergies that can be developed through a merger with a financially sounder or technologically stronger rival include a joint R&amp;D, lowered overheads, and market presence (Gaughan, 2017).</w:t>
      </w:r>
    </w:p>
    <w:p w14:paraId="32493A32" w14:textId="1965F447" w:rsidR="00750EE4" w:rsidRPr="0033338C" w:rsidRDefault="00750EE4" w:rsidP="00750EE4">
      <w:pPr>
        <w:pStyle w:val="ListParagraph"/>
        <w:numPr>
          <w:ilvl w:val="0"/>
          <w:numId w:val="25"/>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The M&amp;A activity is capable of supporting economies of scale, product risk diversification, and enhanced pricing power within an electronics market that is very competitive.</w:t>
      </w:r>
    </w:p>
    <w:p w14:paraId="43D507F2" w14:textId="0FD3E555" w:rsidR="00750EE4" w:rsidRPr="0033338C" w:rsidRDefault="00750EE4" w:rsidP="00750EE4">
      <w:pPr>
        <w:pStyle w:val="ListParagraph"/>
        <w:numPr>
          <w:ilvl w:val="0"/>
          <w:numId w:val="25"/>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In the case of General Electronics that is grappling with declining sales and declining margins a merger would offer access to new technologies and supply chain efficiencies which would help it regain its relevance in the market.</w:t>
      </w:r>
    </w:p>
    <w:p w14:paraId="1C056101" w14:textId="5E9EAD79" w:rsidR="00A51675" w:rsidRPr="0033338C" w:rsidRDefault="00750EE4" w:rsidP="00750EE4">
      <w:pPr>
        <w:pStyle w:val="ListParagraph"/>
        <w:numPr>
          <w:ilvl w:val="0"/>
          <w:numId w:val="25"/>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Nevertheless, the risk of integration, misalignment in cultures, and possible regulatory investigations should be addressed.</w:t>
      </w:r>
    </w:p>
    <w:p w14:paraId="79B0EE53" w14:textId="527BBA08" w:rsidR="00B10EA1" w:rsidRPr="0033338C" w:rsidRDefault="00B10EA1" w:rsidP="00B10EA1">
      <w:pPr>
        <w:spacing w:before="240" w:line="360" w:lineRule="auto"/>
        <w:jc w:val="both"/>
        <w:rPr>
          <w:rFonts w:ascii="Arial" w:hAnsi="Arial" w:cs="Arial"/>
          <w:b/>
          <w:sz w:val="24"/>
          <w:szCs w:val="24"/>
          <w:lang w:val="en-US"/>
        </w:rPr>
      </w:pPr>
      <w:r w:rsidRPr="0033338C">
        <w:rPr>
          <w:rFonts w:ascii="Arial" w:hAnsi="Arial" w:cs="Arial"/>
          <w:b/>
          <w:sz w:val="24"/>
          <w:szCs w:val="24"/>
          <w:lang w:val="en-US"/>
        </w:rPr>
        <w:t xml:space="preserve">C. </w:t>
      </w:r>
      <w:r w:rsidR="00A606C0" w:rsidRPr="0033338C">
        <w:rPr>
          <w:rFonts w:ascii="Arial" w:hAnsi="Arial" w:cs="Arial"/>
          <w:b/>
          <w:sz w:val="24"/>
          <w:szCs w:val="24"/>
        </w:rPr>
        <w:t>Equity Injection (New Share Issue or Strategic Investor)</w:t>
      </w:r>
    </w:p>
    <w:p w14:paraId="0D2E7109" w14:textId="2622CBD1" w:rsidR="00302251" w:rsidRPr="0033338C" w:rsidRDefault="00302251" w:rsidP="00302251">
      <w:pPr>
        <w:pStyle w:val="ListParagraph"/>
        <w:numPr>
          <w:ilvl w:val="0"/>
          <w:numId w:val="26"/>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Issuing new equity enhances shareholder capital, decreases debt-equity ratios, and enhances solvency, which are major priorities of the rising leverage and negative interest coverage of the firm (Brealey, Myers and Allen, 2020).</w:t>
      </w:r>
    </w:p>
    <w:p w14:paraId="772BE357" w14:textId="1B42B0E4" w:rsidR="00302251" w:rsidRPr="0033338C" w:rsidRDefault="00302251" w:rsidP="00302251">
      <w:pPr>
        <w:pStyle w:val="ListParagraph"/>
        <w:numPr>
          <w:ilvl w:val="0"/>
          <w:numId w:val="26"/>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Equity injection can be repaid at an expensive cost of short-term debt and improve liquidity, decreasing the dependence on outside borrowing.</w:t>
      </w:r>
    </w:p>
    <w:p w14:paraId="247988BE" w14:textId="54D5A2B5" w:rsidR="00302251" w:rsidRPr="0033338C" w:rsidRDefault="00302251" w:rsidP="00302251">
      <w:pPr>
        <w:pStyle w:val="ListParagraph"/>
        <w:numPr>
          <w:ilvl w:val="0"/>
          <w:numId w:val="26"/>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The ability to attract a strategic investor also provides managerial skills, technological, and access to the global markets.</w:t>
      </w:r>
    </w:p>
    <w:p w14:paraId="41456622" w14:textId="657F971F" w:rsidR="00A606C0" w:rsidRPr="0033338C" w:rsidRDefault="00302251" w:rsidP="00302251">
      <w:pPr>
        <w:pStyle w:val="ListParagraph"/>
        <w:numPr>
          <w:ilvl w:val="0"/>
          <w:numId w:val="26"/>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Equity dilution is an issue that can occur, but the long-term stabilisation gains far exceed the short-term effects to the shareholders.</w:t>
      </w:r>
    </w:p>
    <w:p w14:paraId="4061AE0B" w14:textId="25FDCBC4" w:rsidR="00B10EA1" w:rsidRPr="0033338C" w:rsidRDefault="001E6BD1" w:rsidP="004E2CCB">
      <w:pPr>
        <w:pStyle w:val="Heading2"/>
        <w:rPr>
          <w:rFonts w:cs="Arial"/>
          <w:lang w:val="en-US"/>
        </w:rPr>
      </w:pPr>
      <w:bookmarkStart w:id="13" w:name="_Toc214831134"/>
      <w:r w:rsidRPr="0033338C">
        <w:rPr>
          <w:rFonts w:cs="Arial"/>
          <w:lang w:val="en-US"/>
        </w:rPr>
        <w:t>3.</w:t>
      </w:r>
      <w:r w:rsidR="004E2CCB" w:rsidRPr="0033338C">
        <w:rPr>
          <w:rFonts w:cs="Arial"/>
          <w:lang w:val="en-US"/>
        </w:rPr>
        <w:t>2</w:t>
      </w:r>
      <w:r w:rsidR="00B10EA1" w:rsidRPr="0033338C">
        <w:rPr>
          <w:rFonts w:cs="Arial"/>
          <w:lang w:val="en-US"/>
        </w:rPr>
        <w:t xml:space="preserve"> Impact on </w:t>
      </w:r>
      <w:r w:rsidR="00B10EA1" w:rsidRPr="0033338C">
        <w:rPr>
          <w:rFonts w:cs="Arial"/>
        </w:rPr>
        <w:t>Stakeholder</w:t>
      </w:r>
      <w:r w:rsidR="00B10EA1" w:rsidRPr="0033338C">
        <w:rPr>
          <w:rFonts w:cs="Arial"/>
          <w:lang w:val="en-US"/>
        </w:rPr>
        <w:t xml:space="preserve"> Evaluation</w:t>
      </w:r>
      <w:bookmarkEnd w:id="13"/>
    </w:p>
    <w:p w14:paraId="7E5EBB87" w14:textId="77777777" w:rsidR="00B10EA1" w:rsidRPr="0033338C" w:rsidRDefault="00B10EA1" w:rsidP="00B10EA1">
      <w:pPr>
        <w:spacing w:before="240" w:line="360" w:lineRule="auto"/>
        <w:jc w:val="both"/>
        <w:rPr>
          <w:rFonts w:ascii="Arial" w:hAnsi="Arial" w:cs="Arial"/>
          <w:bCs/>
          <w:sz w:val="24"/>
          <w:szCs w:val="24"/>
          <w:lang w:val="en-US"/>
        </w:rPr>
      </w:pPr>
      <w:r w:rsidRPr="0033338C">
        <w:rPr>
          <w:rFonts w:ascii="Arial" w:hAnsi="Arial" w:cs="Arial"/>
          <w:bCs/>
          <w:sz w:val="24"/>
          <w:szCs w:val="24"/>
          <w:lang w:val="en-US"/>
        </w:rPr>
        <w:t>The proposed plan is considered in terms of its financial and operational effects on the main stakeholders.</w:t>
      </w:r>
    </w:p>
    <w:tbl>
      <w:tblPr>
        <w:tblStyle w:val="TableGrid"/>
        <w:tblW w:w="0" w:type="auto"/>
        <w:tblLook w:val="04A0" w:firstRow="1" w:lastRow="0" w:firstColumn="1" w:lastColumn="0" w:noHBand="0" w:noVBand="1"/>
      </w:tblPr>
      <w:tblGrid>
        <w:gridCol w:w="1617"/>
        <w:gridCol w:w="2613"/>
        <w:gridCol w:w="2428"/>
        <w:gridCol w:w="2358"/>
      </w:tblGrid>
      <w:tr w:rsidR="00214673" w:rsidRPr="0033338C" w14:paraId="0F80938C" w14:textId="77777777" w:rsidTr="003769AA">
        <w:tc>
          <w:tcPr>
            <w:tcW w:w="1617" w:type="dxa"/>
            <w:hideMark/>
          </w:tcPr>
          <w:p w14:paraId="733785FB" w14:textId="77777777" w:rsidR="001E6BD1" w:rsidRPr="0033338C" w:rsidRDefault="001E6BD1" w:rsidP="001E6BD1">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Impact Area</w:t>
            </w:r>
          </w:p>
        </w:tc>
        <w:tc>
          <w:tcPr>
            <w:tcW w:w="2613" w:type="dxa"/>
            <w:hideMark/>
          </w:tcPr>
          <w:p w14:paraId="341BDBF4" w14:textId="77777777" w:rsidR="001E6BD1" w:rsidRPr="0033338C" w:rsidRDefault="001E6BD1" w:rsidP="001E6BD1">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Divestiture &amp; Debt Swap</w:t>
            </w:r>
          </w:p>
        </w:tc>
        <w:tc>
          <w:tcPr>
            <w:tcW w:w="2428" w:type="dxa"/>
            <w:hideMark/>
          </w:tcPr>
          <w:p w14:paraId="2BD1FD87" w14:textId="77777777" w:rsidR="001E6BD1" w:rsidRPr="0033338C" w:rsidRDefault="001E6BD1" w:rsidP="001E6BD1">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Equity Injection</w:t>
            </w:r>
          </w:p>
        </w:tc>
        <w:tc>
          <w:tcPr>
            <w:tcW w:w="2358" w:type="dxa"/>
            <w:hideMark/>
          </w:tcPr>
          <w:p w14:paraId="31F7EE5F" w14:textId="77777777" w:rsidR="001E6BD1" w:rsidRPr="0033338C" w:rsidRDefault="001E6BD1" w:rsidP="001E6BD1">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Operational Flexibility</w:t>
            </w:r>
          </w:p>
        </w:tc>
      </w:tr>
      <w:tr w:rsidR="00214673" w:rsidRPr="0033338C" w14:paraId="03F51359" w14:textId="77777777" w:rsidTr="003769AA">
        <w:tc>
          <w:tcPr>
            <w:tcW w:w="1617" w:type="dxa"/>
            <w:hideMark/>
          </w:tcPr>
          <w:p w14:paraId="52A91DF3" w14:textId="620A4EA7" w:rsidR="001E6BD1" w:rsidRPr="0033338C" w:rsidRDefault="005A1936" w:rsidP="001E6BD1">
            <w:pPr>
              <w:spacing w:before="240" w:line="360" w:lineRule="auto"/>
              <w:jc w:val="both"/>
              <w:rPr>
                <w:rFonts w:ascii="Arial" w:hAnsi="Arial" w:cs="Arial"/>
                <w:bCs/>
                <w:sz w:val="24"/>
                <w:szCs w:val="24"/>
                <w:lang w:val="en-US"/>
              </w:rPr>
            </w:pPr>
            <w:r w:rsidRPr="0033338C">
              <w:rPr>
                <w:rFonts w:ascii="Arial" w:hAnsi="Arial" w:cs="Arial"/>
                <w:b/>
                <w:bCs/>
                <w:sz w:val="24"/>
                <w:szCs w:val="24"/>
              </w:rPr>
              <w:lastRenderedPageBreak/>
              <w:t>Impact on Shareholder Value</w:t>
            </w:r>
          </w:p>
        </w:tc>
        <w:tc>
          <w:tcPr>
            <w:tcW w:w="2613" w:type="dxa"/>
            <w:hideMark/>
          </w:tcPr>
          <w:p w14:paraId="3CEEE70B" w14:textId="2584DAD0" w:rsidR="001E6BD1" w:rsidRPr="0033338C" w:rsidRDefault="007D7411" w:rsidP="001E6BD1">
            <w:pPr>
              <w:spacing w:before="240" w:line="360" w:lineRule="auto"/>
              <w:jc w:val="both"/>
              <w:rPr>
                <w:rFonts w:ascii="Arial" w:hAnsi="Arial" w:cs="Arial"/>
                <w:sz w:val="24"/>
                <w:szCs w:val="24"/>
                <w:lang w:val="en-US"/>
              </w:rPr>
            </w:pPr>
            <w:r w:rsidRPr="0033338C">
              <w:rPr>
                <w:rFonts w:ascii="Arial" w:hAnsi="Arial" w:cs="Arial"/>
                <w:sz w:val="24"/>
                <w:szCs w:val="24"/>
              </w:rPr>
              <w:t xml:space="preserve">Disposing non-performing units also increases the shareholder value by disposing assets that lead to losses and freeing up capital that could be used to generate high returns. Debt swaps save financial distress expenses, which enhances the value of firms (Damodaran, 2015). </w:t>
            </w:r>
          </w:p>
        </w:tc>
        <w:tc>
          <w:tcPr>
            <w:tcW w:w="2428" w:type="dxa"/>
            <w:hideMark/>
          </w:tcPr>
          <w:p w14:paraId="34225CD3" w14:textId="74CB2A5C" w:rsidR="001E6BD1" w:rsidRPr="0033338C" w:rsidRDefault="000A25B6" w:rsidP="001E6BD1">
            <w:pPr>
              <w:spacing w:before="240" w:line="360" w:lineRule="auto"/>
              <w:jc w:val="both"/>
              <w:rPr>
                <w:rFonts w:ascii="Arial" w:hAnsi="Arial" w:cs="Arial"/>
                <w:bCs/>
                <w:sz w:val="24"/>
                <w:szCs w:val="24"/>
                <w:lang w:val="en-US"/>
              </w:rPr>
            </w:pPr>
            <w:r w:rsidRPr="0033338C">
              <w:rPr>
                <w:rFonts w:ascii="Arial" w:hAnsi="Arial" w:cs="Arial"/>
                <w:bCs/>
                <w:sz w:val="24"/>
                <w:szCs w:val="24"/>
              </w:rPr>
              <w:t xml:space="preserve">Equity injection helps to increase the capital base, minimise the leverage, and indicate the long-term sustainability to the shareholders (Brealey, Myers and Allen, 2020). </w:t>
            </w:r>
          </w:p>
        </w:tc>
        <w:tc>
          <w:tcPr>
            <w:tcW w:w="2358" w:type="dxa"/>
            <w:hideMark/>
          </w:tcPr>
          <w:p w14:paraId="254FDD9A" w14:textId="1E2C89E2" w:rsidR="001E6BD1" w:rsidRPr="0033338C" w:rsidRDefault="000A25B6" w:rsidP="001E6BD1">
            <w:pPr>
              <w:spacing w:before="240" w:line="360" w:lineRule="auto"/>
              <w:jc w:val="both"/>
              <w:rPr>
                <w:rFonts w:ascii="Arial" w:hAnsi="Arial" w:cs="Arial"/>
                <w:bCs/>
                <w:sz w:val="24"/>
                <w:szCs w:val="24"/>
                <w:lang w:val="en-US"/>
              </w:rPr>
            </w:pPr>
            <w:r w:rsidRPr="0033338C">
              <w:rPr>
                <w:rFonts w:ascii="Arial" w:hAnsi="Arial" w:cs="Arial"/>
                <w:bCs/>
                <w:sz w:val="24"/>
                <w:szCs w:val="24"/>
              </w:rPr>
              <w:t>Greater operational flexibility increases shareholder value by enabling improved resource allocation, reduction in costs and quicker strategic response to external shocks. Innovation and competitiveness in unstable markets are backed with a flexible nature (Hill and Hult, 2020).</w:t>
            </w:r>
          </w:p>
        </w:tc>
      </w:tr>
      <w:tr w:rsidR="00214673" w:rsidRPr="0033338C" w14:paraId="1C47AA7E" w14:textId="77777777" w:rsidTr="003769AA">
        <w:tc>
          <w:tcPr>
            <w:tcW w:w="1617" w:type="dxa"/>
            <w:hideMark/>
          </w:tcPr>
          <w:p w14:paraId="6BF3EBDC" w14:textId="1630D992" w:rsidR="001E6BD1" w:rsidRPr="0033338C" w:rsidRDefault="00CF7221" w:rsidP="001E6BD1">
            <w:pPr>
              <w:spacing w:before="240" w:line="360" w:lineRule="auto"/>
              <w:jc w:val="both"/>
              <w:rPr>
                <w:rFonts w:ascii="Arial" w:hAnsi="Arial" w:cs="Arial"/>
                <w:bCs/>
                <w:sz w:val="24"/>
                <w:szCs w:val="24"/>
                <w:lang w:val="en-US"/>
              </w:rPr>
            </w:pPr>
            <w:r w:rsidRPr="0033338C">
              <w:rPr>
                <w:rFonts w:ascii="Arial" w:hAnsi="Arial" w:cs="Arial"/>
                <w:b/>
                <w:bCs/>
                <w:sz w:val="24"/>
                <w:szCs w:val="24"/>
              </w:rPr>
              <w:t>Impact on Debt Structure</w:t>
            </w:r>
          </w:p>
        </w:tc>
        <w:tc>
          <w:tcPr>
            <w:tcW w:w="2613" w:type="dxa"/>
            <w:hideMark/>
          </w:tcPr>
          <w:p w14:paraId="07AC4F69" w14:textId="504456BE" w:rsidR="001E6BD1" w:rsidRPr="0033338C" w:rsidRDefault="003E5102" w:rsidP="001E6BD1">
            <w:pPr>
              <w:spacing w:before="240" w:line="360" w:lineRule="auto"/>
              <w:jc w:val="both"/>
              <w:rPr>
                <w:rFonts w:ascii="Arial" w:hAnsi="Arial" w:cs="Arial"/>
                <w:bCs/>
                <w:sz w:val="24"/>
                <w:szCs w:val="24"/>
                <w:lang w:val="en-US"/>
              </w:rPr>
            </w:pPr>
            <w:r w:rsidRPr="0033338C">
              <w:rPr>
                <w:rFonts w:ascii="Arial" w:hAnsi="Arial" w:cs="Arial"/>
                <w:bCs/>
                <w:sz w:val="24"/>
                <w:szCs w:val="24"/>
              </w:rPr>
              <w:t>The debt swaps lessen interest load, enhance debt-to-equity ratio and avoid breach of covenants. Expensive short-term debt may be retired with the help of divestiture proceeds, which enhances solvency (Gaughan, 2017).</w:t>
            </w:r>
          </w:p>
        </w:tc>
        <w:tc>
          <w:tcPr>
            <w:tcW w:w="2428" w:type="dxa"/>
            <w:hideMark/>
          </w:tcPr>
          <w:p w14:paraId="786F259D" w14:textId="074C73F8" w:rsidR="001E6BD1" w:rsidRPr="0033338C" w:rsidRDefault="003E5102" w:rsidP="001E6BD1">
            <w:pPr>
              <w:spacing w:before="240" w:line="360" w:lineRule="auto"/>
              <w:jc w:val="both"/>
              <w:rPr>
                <w:rFonts w:ascii="Arial" w:hAnsi="Arial" w:cs="Arial"/>
                <w:bCs/>
                <w:sz w:val="24"/>
                <w:szCs w:val="24"/>
                <w:lang w:val="en-US"/>
              </w:rPr>
            </w:pPr>
            <w:r w:rsidRPr="0033338C">
              <w:rPr>
                <w:rFonts w:ascii="Arial" w:hAnsi="Arial" w:cs="Arial"/>
                <w:bCs/>
                <w:sz w:val="24"/>
                <w:szCs w:val="24"/>
              </w:rPr>
              <w:t>The direct benefits of equity infusion are that leverage is reduced directly because the shareholder funds are raised and because the high-interest liabilities can be paid off. This strengthens interest coverage which is one of the greatest shortcomings of General Electronics now.</w:t>
            </w:r>
          </w:p>
        </w:tc>
        <w:tc>
          <w:tcPr>
            <w:tcW w:w="2358" w:type="dxa"/>
            <w:hideMark/>
          </w:tcPr>
          <w:p w14:paraId="5B02FA42" w14:textId="78C0AFDC" w:rsidR="001E6BD1" w:rsidRPr="0033338C" w:rsidRDefault="003E5102" w:rsidP="001E6BD1">
            <w:pPr>
              <w:spacing w:before="240" w:line="360" w:lineRule="auto"/>
              <w:jc w:val="both"/>
              <w:rPr>
                <w:rFonts w:ascii="Arial" w:hAnsi="Arial" w:cs="Arial"/>
                <w:bCs/>
                <w:sz w:val="24"/>
                <w:szCs w:val="24"/>
                <w:lang w:val="en-US"/>
              </w:rPr>
            </w:pPr>
            <w:r w:rsidRPr="0033338C">
              <w:rPr>
                <w:rFonts w:ascii="Arial" w:hAnsi="Arial" w:cs="Arial"/>
                <w:bCs/>
                <w:sz w:val="24"/>
                <w:szCs w:val="24"/>
              </w:rPr>
              <w:t>Proper operational flexibility minimises future debt needs by decrease in the working capital needs and increase in internal cash generation, boosting the sustainability of long term debts.</w:t>
            </w:r>
          </w:p>
        </w:tc>
      </w:tr>
      <w:tr w:rsidR="00214673" w:rsidRPr="0033338C" w14:paraId="187CA030" w14:textId="77777777" w:rsidTr="003769AA">
        <w:tc>
          <w:tcPr>
            <w:tcW w:w="1617" w:type="dxa"/>
            <w:hideMark/>
          </w:tcPr>
          <w:p w14:paraId="04646890" w14:textId="78EC9ABF" w:rsidR="001E6BD1" w:rsidRPr="0033338C" w:rsidRDefault="00CF7221" w:rsidP="001E6BD1">
            <w:pPr>
              <w:spacing w:before="240" w:line="360" w:lineRule="auto"/>
              <w:jc w:val="both"/>
              <w:rPr>
                <w:rFonts w:ascii="Arial" w:hAnsi="Arial" w:cs="Arial"/>
                <w:bCs/>
                <w:sz w:val="24"/>
                <w:szCs w:val="24"/>
                <w:lang w:val="en-US"/>
              </w:rPr>
            </w:pPr>
            <w:r w:rsidRPr="0033338C">
              <w:rPr>
                <w:rFonts w:ascii="Arial" w:hAnsi="Arial" w:cs="Arial"/>
                <w:b/>
                <w:bCs/>
                <w:sz w:val="24"/>
                <w:szCs w:val="24"/>
              </w:rPr>
              <w:lastRenderedPageBreak/>
              <w:t>Impact on Operational Flexibility</w:t>
            </w:r>
          </w:p>
        </w:tc>
        <w:tc>
          <w:tcPr>
            <w:tcW w:w="2613" w:type="dxa"/>
            <w:hideMark/>
          </w:tcPr>
          <w:p w14:paraId="1B0C060D" w14:textId="26C83FEC" w:rsidR="001E6BD1" w:rsidRPr="0033338C" w:rsidRDefault="003769AA" w:rsidP="001E6BD1">
            <w:pPr>
              <w:spacing w:before="240" w:line="360" w:lineRule="auto"/>
              <w:jc w:val="both"/>
              <w:rPr>
                <w:rFonts w:ascii="Arial" w:hAnsi="Arial" w:cs="Arial"/>
                <w:bCs/>
                <w:sz w:val="24"/>
                <w:szCs w:val="24"/>
                <w:lang w:val="en-US"/>
              </w:rPr>
            </w:pPr>
            <w:r w:rsidRPr="0033338C">
              <w:rPr>
                <w:rFonts w:ascii="Arial" w:hAnsi="Arial" w:cs="Arial"/>
                <w:bCs/>
                <w:sz w:val="24"/>
                <w:szCs w:val="24"/>
              </w:rPr>
              <w:t>Divestiture eliminates unproductive units, making the operations lean and more strategic. It also liberates cash to invest in core segments. Debt swaps per se do not have big operational implications.</w:t>
            </w:r>
          </w:p>
        </w:tc>
        <w:tc>
          <w:tcPr>
            <w:tcW w:w="2428" w:type="dxa"/>
            <w:hideMark/>
          </w:tcPr>
          <w:p w14:paraId="3750DADE" w14:textId="4D64BC2C" w:rsidR="001E6BD1" w:rsidRPr="0033338C" w:rsidRDefault="003769AA" w:rsidP="001E6BD1">
            <w:pPr>
              <w:spacing w:before="240" w:line="360" w:lineRule="auto"/>
              <w:jc w:val="both"/>
              <w:rPr>
                <w:rFonts w:ascii="Arial" w:hAnsi="Arial" w:cs="Arial"/>
                <w:bCs/>
                <w:sz w:val="24"/>
                <w:szCs w:val="24"/>
                <w:lang w:val="en-US"/>
              </w:rPr>
            </w:pPr>
            <w:r w:rsidRPr="0033338C">
              <w:rPr>
                <w:rFonts w:ascii="Arial" w:hAnsi="Arial" w:cs="Arial"/>
                <w:bCs/>
                <w:sz w:val="24"/>
                <w:szCs w:val="24"/>
              </w:rPr>
              <w:t>New equity allows the supply chains to be restructured to supply liquidity, modernise technology, and stabilise the working capital cycles (Brealey et al., 2020).</w:t>
            </w:r>
          </w:p>
        </w:tc>
        <w:tc>
          <w:tcPr>
            <w:tcW w:w="2358" w:type="dxa"/>
            <w:hideMark/>
          </w:tcPr>
          <w:p w14:paraId="33E94EB1" w14:textId="21744555" w:rsidR="001E6BD1" w:rsidRPr="0033338C" w:rsidRDefault="003769AA" w:rsidP="001E6BD1">
            <w:pPr>
              <w:spacing w:before="240" w:line="360" w:lineRule="auto"/>
              <w:jc w:val="both"/>
              <w:rPr>
                <w:rFonts w:ascii="Arial" w:hAnsi="Arial" w:cs="Arial"/>
                <w:bCs/>
                <w:sz w:val="24"/>
                <w:szCs w:val="24"/>
                <w:lang w:val="en-US"/>
              </w:rPr>
            </w:pPr>
            <w:r w:rsidRPr="0033338C">
              <w:rPr>
                <w:rFonts w:ascii="Arial" w:hAnsi="Arial" w:cs="Arial"/>
                <w:bCs/>
                <w:sz w:val="24"/>
                <w:szCs w:val="24"/>
              </w:rPr>
              <w:t>The flexibility in operations enhances agility, which allows adaptation to the competition, changes in technology, and demand changes more quickly.</w:t>
            </w:r>
          </w:p>
        </w:tc>
      </w:tr>
    </w:tbl>
    <w:p w14:paraId="39EAE0A1" w14:textId="7889331F" w:rsidR="00CD4561" w:rsidRPr="0033338C" w:rsidRDefault="007321D3" w:rsidP="007321D3">
      <w:pPr>
        <w:pStyle w:val="Heading2"/>
        <w:rPr>
          <w:rFonts w:cs="Arial"/>
          <w:lang w:val="en-US"/>
        </w:rPr>
      </w:pPr>
      <w:bookmarkStart w:id="14" w:name="_Toc214831135"/>
      <w:r w:rsidRPr="0033338C">
        <w:rPr>
          <w:rFonts w:cs="Arial"/>
          <w:lang w:val="en-US"/>
        </w:rPr>
        <w:t xml:space="preserve">3.3 </w:t>
      </w:r>
      <w:r w:rsidR="00B705E4" w:rsidRPr="0033338C">
        <w:rPr>
          <w:rFonts w:cs="Arial"/>
          <w:lang w:val="en-US"/>
        </w:rPr>
        <w:t>International and Ethical Considerations</w:t>
      </w:r>
      <w:bookmarkEnd w:id="14"/>
    </w:p>
    <w:p w14:paraId="0B07A5A0" w14:textId="14C8A5B6" w:rsidR="00B705E4" w:rsidRPr="0033338C" w:rsidRDefault="004975D8" w:rsidP="00CD4561">
      <w:pPr>
        <w:spacing w:before="240" w:line="360" w:lineRule="auto"/>
        <w:jc w:val="both"/>
        <w:rPr>
          <w:rFonts w:ascii="Arial" w:hAnsi="Arial" w:cs="Arial"/>
          <w:bCs/>
          <w:sz w:val="24"/>
          <w:szCs w:val="24"/>
          <w:lang w:val="en-US"/>
        </w:rPr>
      </w:pPr>
      <w:r w:rsidRPr="0033338C">
        <w:rPr>
          <w:rFonts w:ascii="Arial" w:hAnsi="Arial" w:cs="Arial"/>
          <w:bCs/>
          <w:sz w:val="24"/>
          <w:szCs w:val="24"/>
          <w:lang w:val="en-US"/>
        </w:rPr>
        <w:t>Given GE's global footprint in the Consumer Electronics sector, the restructuring must navigate significant cross-border risks and uphold Corporate Social Responsibility (CSR).</w:t>
      </w:r>
    </w:p>
    <w:p w14:paraId="7E38BA50" w14:textId="7A2D56D6" w:rsidR="0059249A" w:rsidRPr="0033338C" w:rsidRDefault="00257360" w:rsidP="00406FCA">
      <w:pPr>
        <w:pStyle w:val="Heading3"/>
        <w:rPr>
          <w:rFonts w:cs="Arial"/>
          <w:lang w:val="en-US"/>
        </w:rPr>
      </w:pPr>
      <w:bookmarkStart w:id="15" w:name="_Toc214831136"/>
      <w:r w:rsidRPr="0033338C">
        <w:rPr>
          <w:rFonts w:cs="Arial"/>
          <w:lang w:val="en-US"/>
        </w:rPr>
        <w:t>3.</w:t>
      </w:r>
      <w:r w:rsidR="00406FCA" w:rsidRPr="0033338C">
        <w:rPr>
          <w:rFonts w:cs="Arial"/>
          <w:lang w:val="en-US"/>
        </w:rPr>
        <w:t>3.1</w:t>
      </w:r>
      <w:r w:rsidR="0059249A" w:rsidRPr="0033338C">
        <w:rPr>
          <w:rFonts w:cs="Arial"/>
          <w:lang w:val="en-US"/>
        </w:rPr>
        <w:t xml:space="preserve"> International Financial Risks</w:t>
      </w:r>
      <w:bookmarkEnd w:id="15"/>
    </w:p>
    <w:tbl>
      <w:tblPr>
        <w:tblStyle w:val="TableGrid"/>
        <w:tblW w:w="0" w:type="auto"/>
        <w:tblLook w:val="04A0" w:firstRow="1" w:lastRow="0" w:firstColumn="1" w:lastColumn="0" w:noHBand="0" w:noVBand="1"/>
      </w:tblPr>
      <w:tblGrid>
        <w:gridCol w:w="1675"/>
        <w:gridCol w:w="4502"/>
        <w:gridCol w:w="2839"/>
      </w:tblGrid>
      <w:tr w:rsidR="00406FCA" w:rsidRPr="0033338C" w14:paraId="1B52C30B" w14:textId="77777777" w:rsidTr="00406FCA">
        <w:tc>
          <w:tcPr>
            <w:tcW w:w="0" w:type="auto"/>
            <w:hideMark/>
          </w:tcPr>
          <w:p w14:paraId="5401937D" w14:textId="77777777" w:rsidR="00406FCA" w:rsidRPr="0033338C" w:rsidRDefault="00406FCA" w:rsidP="00690E59">
            <w:pPr>
              <w:spacing w:before="240" w:line="360" w:lineRule="auto"/>
              <w:jc w:val="center"/>
              <w:rPr>
                <w:rFonts w:ascii="Arial" w:hAnsi="Arial" w:cs="Arial"/>
                <w:bCs/>
                <w:sz w:val="24"/>
                <w:szCs w:val="24"/>
                <w:lang w:val="en-US"/>
              </w:rPr>
            </w:pPr>
            <w:r w:rsidRPr="0033338C">
              <w:rPr>
                <w:rFonts w:ascii="Arial" w:hAnsi="Arial" w:cs="Arial"/>
                <w:b/>
                <w:bCs/>
                <w:sz w:val="24"/>
                <w:szCs w:val="24"/>
                <w:lang w:val="en-US"/>
              </w:rPr>
              <w:t>Risk Category</w:t>
            </w:r>
          </w:p>
        </w:tc>
        <w:tc>
          <w:tcPr>
            <w:tcW w:w="0" w:type="auto"/>
            <w:hideMark/>
          </w:tcPr>
          <w:p w14:paraId="5B83FD09" w14:textId="77777777" w:rsidR="00406FCA" w:rsidRPr="0033338C" w:rsidRDefault="00406FCA" w:rsidP="00690E59">
            <w:pPr>
              <w:spacing w:before="240" w:line="360" w:lineRule="auto"/>
              <w:jc w:val="center"/>
              <w:rPr>
                <w:rFonts w:ascii="Arial" w:hAnsi="Arial" w:cs="Arial"/>
                <w:bCs/>
                <w:sz w:val="24"/>
                <w:szCs w:val="24"/>
                <w:lang w:val="en-US"/>
              </w:rPr>
            </w:pPr>
            <w:r w:rsidRPr="0033338C">
              <w:rPr>
                <w:rFonts w:ascii="Arial" w:hAnsi="Arial" w:cs="Arial"/>
                <w:b/>
                <w:bCs/>
                <w:sz w:val="24"/>
                <w:szCs w:val="24"/>
                <w:lang w:val="en-US"/>
              </w:rPr>
              <w:t>Implication for GE</w:t>
            </w:r>
          </w:p>
        </w:tc>
        <w:tc>
          <w:tcPr>
            <w:tcW w:w="0" w:type="auto"/>
            <w:hideMark/>
          </w:tcPr>
          <w:p w14:paraId="718F2386" w14:textId="77777777" w:rsidR="00406FCA" w:rsidRPr="0033338C" w:rsidRDefault="00406FCA" w:rsidP="00690E59">
            <w:pPr>
              <w:spacing w:before="240" w:line="360" w:lineRule="auto"/>
              <w:jc w:val="center"/>
              <w:rPr>
                <w:rFonts w:ascii="Arial" w:hAnsi="Arial" w:cs="Arial"/>
                <w:bCs/>
                <w:sz w:val="24"/>
                <w:szCs w:val="24"/>
                <w:lang w:val="en-US"/>
              </w:rPr>
            </w:pPr>
            <w:r w:rsidRPr="0033338C">
              <w:rPr>
                <w:rFonts w:ascii="Arial" w:hAnsi="Arial" w:cs="Arial"/>
                <w:b/>
                <w:bCs/>
                <w:sz w:val="24"/>
                <w:szCs w:val="24"/>
                <w:lang w:val="en-US"/>
              </w:rPr>
              <w:t>Mitigating Strategy</w:t>
            </w:r>
          </w:p>
        </w:tc>
      </w:tr>
      <w:tr w:rsidR="00406FCA" w:rsidRPr="0033338C" w14:paraId="515DBADE" w14:textId="77777777" w:rsidTr="00406FCA">
        <w:tc>
          <w:tcPr>
            <w:tcW w:w="0" w:type="auto"/>
            <w:hideMark/>
          </w:tcPr>
          <w:p w14:paraId="51113E1C" w14:textId="7244F9C9" w:rsidR="00406FCA" w:rsidRPr="0033338C" w:rsidRDefault="00F76947" w:rsidP="00406FCA">
            <w:pPr>
              <w:spacing w:before="240" w:line="360" w:lineRule="auto"/>
              <w:jc w:val="both"/>
              <w:rPr>
                <w:rFonts w:ascii="Arial" w:hAnsi="Arial" w:cs="Arial"/>
                <w:bCs/>
                <w:sz w:val="24"/>
                <w:szCs w:val="24"/>
                <w:lang w:val="en-US"/>
              </w:rPr>
            </w:pPr>
            <w:r w:rsidRPr="0033338C">
              <w:rPr>
                <w:rFonts w:ascii="Arial" w:hAnsi="Arial" w:cs="Arial"/>
                <w:b/>
                <w:bCs/>
                <w:sz w:val="24"/>
                <w:szCs w:val="24"/>
              </w:rPr>
              <w:t>Foreign Exchange (FX) Volatility</w:t>
            </w:r>
          </w:p>
        </w:tc>
        <w:tc>
          <w:tcPr>
            <w:tcW w:w="0" w:type="auto"/>
            <w:hideMark/>
          </w:tcPr>
          <w:p w14:paraId="1D888C18" w14:textId="2D868807" w:rsidR="00406FCA" w:rsidRPr="0033338C" w:rsidRDefault="002D2171" w:rsidP="00406FCA">
            <w:pPr>
              <w:spacing w:before="240" w:line="360" w:lineRule="auto"/>
              <w:jc w:val="both"/>
              <w:rPr>
                <w:rFonts w:ascii="Arial" w:hAnsi="Arial" w:cs="Arial"/>
                <w:bCs/>
                <w:sz w:val="24"/>
                <w:szCs w:val="24"/>
                <w:lang w:val="en-US"/>
              </w:rPr>
            </w:pPr>
            <w:r w:rsidRPr="0033338C">
              <w:rPr>
                <w:rFonts w:ascii="Arial" w:hAnsi="Arial" w:cs="Arial"/>
                <w:bCs/>
                <w:sz w:val="24"/>
                <w:szCs w:val="24"/>
              </w:rPr>
              <w:t>GE functions in different locations, which subject its revenues, expenses, and values of assets to the risks of exchange rates. FX volatility risks the profit margin and heightens risk in transactions in converting currency (Moffett, Stonehill &amp; Eiteman, 2017). The exposure is further increased by volatile global sales that are expected between 2020-2024 (Financial Management Assessment Brief, 2025).</w:t>
            </w:r>
          </w:p>
        </w:tc>
        <w:tc>
          <w:tcPr>
            <w:tcW w:w="0" w:type="auto"/>
            <w:hideMark/>
          </w:tcPr>
          <w:p w14:paraId="1A7338FB" w14:textId="7CF5E716" w:rsidR="00406FCA" w:rsidRPr="0033338C" w:rsidRDefault="002D2171" w:rsidP="00406FCA">
            <w:pPr>
              <w:spacing w:before="240" w:line="360" w:lineRule="auto"/>
              <w:jc w:val="both"/>
              <w:rPr>
                <w:rFonts w:ascii="Arial" w:hAnsi="Arial" w:cs="Arial"/>
                <w:bCs/>
                <w:sz w:val="24"/>
                <w:szCs w:val="24"/>
                <w:lang w:val="en-US"/>
              </w:rPr>
            </w:pPr>
            <w:r w:rsidRPr="0033338C">
              <w:rPr>
                <w:rFonts w:ascii="Arial" w:hAnsi="Arial" w:cs="Arial"/>
                <w:bCs/>
                <w:sz w:val="24"/>
                <w:szCs w:val="24"/>
              </w:rPr>
              <w:t>Hedge currency using currency hedging instruments like forwards, options and natural hedging by balancing currency revenues and expenditures.</w:t>
            </w:r>
          </w:p>
        </w:tc>
      </w:tr>
      <w:tr w:rsidR="00406FCA" w:rsidRPr="0033338C" w14:paraId="48F36E56" w14:textId="77777777" w:rsidTr="00406FCA">
        <w:tc>
          <w:tcPr>
            <w:tcW w:w="0" w:type="auto"/>
            <w:hideMark/>
          </w:tcPr>
          <w:p w14:paraId="13D6ADA5" w14:textId="47EEE6E4" w:rsidR="00406FCA" w:rsidRPr="0033338C" w:rsidRDefault="000C31EF" w:rsidP="00406FCA">
            <w:pPr>
              <w:spacing w:before="240" w:line="360" w:lineRule="auto"/>
              <w:jc w:val="both"/>
              <w:rPr>
                <w:rFonts w:ascii="Arial" w:hAnsi="Arial" w:cs="Arial"/>
                <w:bCs/>
                <w:sz w:val="24"/>
                <w:szCs w:val="24"/>
                <w:lang w:val="en-US"/>
              </w:rPr>
            </w:pPr>
            <w:r w:rsidRPr="0033338C">
              <w:rPr>
                <w:rFonts w:ascii="Arial" w:hAnsi="Arial" w:cs="Arial"/>
                <w:b/>
                <w:bCs/>
                <w:sz w:val="24"/>
                <w:szCs w:val="24"/>
              </w:rPr>
              <w:lastRenderedPageBreak/>
              <w:t>Inflation Risk</w:t>
            </w:r>
          </w:p>
        </w:tc>
        <w:tc>
          <w:tcPr>
            <w:tcW w:w="0" w:type="auto"/>
            <w:hideMark/>
          </w:tcPr>
          <w:p w14:paraId="2DD041FF" w14:textId="2FDCE2E6" w:rsidR="00406FCA" w:rsidRPr="0033338C" w:rsidRDefault="00173EFA" w:rsidP="00406FCA">
            <w:pPr>
              <w:spacing w:before="240" w:line="360" w:lineRule="auto"/>
              <w:jc w:val="both"/>
              <w:rPr>
                <w:rFonts w:ascii="Arial" w:hAnsi="Arial" w:cs="Arial"/>
                <w:bCs/>
                <w:sz w:val="24"/>
                <w:szCs w:val="24"/>
                <w:lang w:val="en-US"/>
              </w:rPr>
            </w:pPr>
            <w:r w:rsidRPr="0033338C">
              <w:rPr>
                <w:rFonts w:ascii="Arial" w:hAnsi="Arial" w:cs="Arial"/>
                <w:bCs/>
                <w:sz w:val="24"/>
                <w:szCs w:val="24"/>
              </w:rPr>
              <w:t>An inflation rate in foreign markets leads to high prices of inputs, reduction in buying power, and low consumer demand. In the case of GE, inflationary pressures are felt by the increasing operating costs and falling margins (Hill and Hult, 2020).</w:t>
            </w:r>
          </w:p>
        </w:tc>
        <w:tc>
          <w:tcPr>
            <w:tcW w:w="0" w:type="auto"/>
            <w:hideMark/>
          </w:tcPr>
          <w:p w14:paraId="2980B02D" w14:textId="276F3AB0" w:rsidR="00406FCA" w:rsidRPr="0033338C" w:rsidRDefault="00173EFA" w:rsidP="00406FCA">
            <w:pPr>
              <w:spacing w:before="240" w:line="360" w:lineRule="auto"/>
              <w:jc w:val="both"/>
              <w:rPr>
                <w:rFonts w:ascii="Arial" w:hAnsi="Arial" w:cs="Arial"/>
                <w:bCs/>
                <w:sz w:val="24"/>
                <w:szCs w:val="24"/>
                <w:lang w:val="en-US"/>
              </w:rPr>
            </w:pPr>
            <w:r w:rsidRPr="0033338C">
              <w:rPr>
                <w:rFonts w:ascii="Arial" w:hAnsi="Arial" w:cs="Arial"/>
                <w:bCs/>
                <w:sz w:val="24"/>
                <w:szCs w:val="24"/>
              </w:rPr>
              <w:t>Re-negotiate supplier agreements, change the sourcing locations, and change the pricing mechanisms in order to remain profitable.</w:t>
            </w:r>
          </w:p>
        </w:tc>
      </w:tr>
      <w:tr w:rsidR="00406FCA" w:rsidRPr="0033338C" w14:paraId="5A2F8F95" w14:textId="77777777" w:rsidTr="00406FCA">
        <w:tc>
          <w:tcPr>
            <w:tcW w:w="0" w:type="auto"/>
            <w:hideMark/>
          </w:tcPr>
          <w:p w14:paraId="3DDCB7BA" w14:textId="7AB31D71" w:rsidR="00406FCA" w:rsidRPr="0033338C" w:rsidRDefault="000C31EF" w:rsidP="00406FCA">
            <w:pPr>
              <w:spacing w:before="240" w:line="360" w:lineRule="auto"/>
              <w:jc w:val="both"/>
              <w:rPr>
                <w:rFonts w:ascii="Arial" w:hAnsi="Arial" w:cs="Arial"/>
                <w:bCs/>
                <w:sz w:val="24"/>
                <w:szCs w:val="24"/>
                <w:lang w:val="en-US"/>
              </w:rPr>
            </w:pPr>
            <w:r w:rsidRPr="0033338C">
              <w:rPr>
                <w:rFonts w:ascii="Arial" w:hAnsi="Arial" w:cs="Arial"/>
                <w:b/>
                <w:bCs/>
                <w:sz w:val="24"/>
                <w:szCs w:val="24"/>
              </w:rPr>
              <w:t>Interest Rate Risk</w:t>
            </w:r>
          </w:p>
        </w:tc>
        <w:tc>
          <w:tcPr>
            <w:tcW w:w="0" w:type="auto"/>
            <w:hideMark/>
          </w:tcPr>
          <w:p w14:paraId="57813648" w14:textId="0AA8C096" w:rsidR="00406FCA" w:rsidRPr="0033338C" w:rsidRDefault="0059217F" w:rsidP="00406FCA">
            <w:pPr>
              <w:spacing w:before="240" w:line="360" w:lineRule="auto"/>
              <w:jc w:val="both"/>
              <w:rPr>
                <w:rFonts w:ascii="Arial" w:hAnsi="Arial" w:cs="Arial"/>
                <w:bCs/>
                <w:sz w:val="24"/>
                <w:szCs w:val="24"/>
                <w:lang w:val="en-US"/>
              </w:rPr>
            </w:pPr>
            <w:r w:rsidRPr="0033338C">
              <w:rPr>
                <w:rFonts w:ascii="Arial" w:hAnsi="Arial" w:cs="Arial"/>
                <w:bCs/>
                <w:sz w:val="24"/>
                <w:szCs w:val="24"/>
              </w:rPr>
              <w:t>Increased leverage and overdependence on credit lines make GE more susceptible to the world interest rates (Brealey, Myers and Allen, 2020). The increased rates increase the financing costs and aggravate the negative interest-coverage ratios.</w:t>
            </w:r>
          </w:p>
        </w:tc>
        <w:tc>
          <w:tcPr>
            <w:tcW w:w="0" w:type="auto"/>
            <w:hideMark/>
          </w:tcPr>
          <w:p w14:paraId="130C4E96" w14:textId="3BAFCA5B" w:rsidR="00406FCA" w:rsidRPr="0033338C" w:rsidRDefault="0059217F" w:rsidP="00406FCA">
            <w:pPr>
              <w:spacing w:before="240" w:line="360" w:lineRule="auto"/>
              <w:jc w:val="both"/>
              <w:rPr>
                <w:rFonts w:ascii="Arial" w:hAnsi="Arial" w:cs="Arial"/>
                <w:bCs/>
                <w:sz w:val="24"/>
                <w:szCs w:val="24"/>
                <w:lang w:val="en-US"/>
              </w:rPr>
            </w:pPr>
            <w:r w:rsidRPr="0033338C">
              <w:rPr>
                <w:rFonts w:ascii="Arial" w:hAnsi="Arial" w:cs="Arial"/>
                <w:bCs/>
                <w:sz w:val="24"/>
                <w:szCs w:val="24"/>
              </w:rPr>
              <w:t>Fix wherever they can, minimise reliance on short-term debt and increase equity capital to make them less sensitive.</w:t>
            </w:r>
          </w:p>
        </w:tc>
      </w:tr>
      <w:tr w:rsidR="000C31EF" w:rsidRPr="0033338C" w14:paraId="4A877F25" w14:textId="77777777" w:rsidTr="00406FCA">
        <w:tc>
          <w:tcPr>
            <w:tcW w:w="0" w:type="auto"/>
          </w:tcPr>
          <w:p w14:paraId="2C3E783D" w14:textId="59F7BC21" w:rsidR="000C31EF" w:rsidRPr="0033338C" w:rsidRDefault="000C31EF" w:rsidP="00406FCA">
            <w:pPr>
              <w:spacing w:before="240" w:line="360" w:lineRule="auto"/>
              <w:jc w:val="both"/>
              <w:rPr>
                <w:rFonts w:ascii="Arial" w:hAnsi="Arial" w:cs="Arial"/>
                <w:b/>
                <w:bCs/>
                <w:sz w:val="24"/>
                <w:szCs w:val="24"/>
              </w:rPr>
            </w:pPr>
            <w:r w:rsidRPr="0033338C">
              <w:rPr>
                <w:rFonts w:ascii="Arial" w:hAnsi="Arial" w:cs="Arial"/>
                <w:b/>
                <w:bCs/>
                <w:sz w:val="24"/>
                <w:szCs w:val="24"/>
              </w:rPr>
              <w:t>Political &amp; Regulatory Risk</w:t>
            </w:r>
          </w:p>
        </w:tc>
        <w:tc>
          <w:tcPr>
            <w:tcW w:w="0" w:type="auto"/>
          </w:tcPr>
          <w:p w14:paraId="7397855D" w14:textId="1FEE88D2" w:rsidR="000C31EF" w:rsidRPr="0033338C" w:rsidRDefault="0033338C" w:rsidP="00406FCA">
            <w:pPr>
              <w:spacing w:before="240" w:line="360" w:lineRule="auto"/>
              <w:jc w:val="both"/>
              <w:rPr>
                <w:rFonts w:ascii="Arial" w:hAnsi="Arial" w:cs="Arial"/>
                <w:sz w:val="24"/>
                <w:szCs w:val="24"/>
                <w:lang w:val="en-US"/>
              </w:rPr>
            </w:pPr>
            <w:r w:rsidRPr="0033338C">
              <w:rPr>
                <w:rFonts w:ascii="Arial" w:hAnsi="Arial" w:cs="Arial"/>
                <w:sz w:val="24"/>
                <w:szCs w:val="24"/>
              </w:rPr>
              <w:t>Trading’s</w:t>
            </w:r>
            <w:r w:rsidR="0059217F" w:rsidRPr="0033338C">
              <w:rPr>
                <w:rFonts w:ascii="Arial" w:hAnsi="Arial" w:cs="Arial"/>
                <w:sz w:val="24"/>
                <w:szCs w:val="24"/>
              </w:rPr>
              <w:t xml:space="preserve"> in several jurisdictions subject GE to trade barriers, tariff modifications, data policies, and geopolitics effects. Supply chains may be disrupted by these risks and compliance may become more expensive (Buckley, 2022).</w:t>
            </w:r>
          </w:p>
        </w:tc>
        <w:tc>
          <w:tcPr>
            <w:tcW w:w="0" w:type="auto"/>
          </w:tcPr>
          <w:p w14:paraId="16E42C63" w14:textId="4AD15B26" w:rsidR="000C31EF" w:rsidRPr="0033338C" w:rsidRDefault="00690E59" w:rsidP="00406FCA">
            <w:pPr>
              <w:spacing w:before="240" w:line="360" w:lineRule="auto"/>
              <w:jc w:val="both"/>
              <w:rPr>
                <w:rFonts w:ascii="Arial" w:hAnsi="Arial" w:cs="Arial"/>
                <w:sz w:val="24"/>
                <w:szCs w:val="24"/>
                <w:lang w:val="en-US"/>
              </w:rPr>
            </w:pPr>
            <w:r w:rsidRPr="0033338C">
              <w:rPr>
                <w:rFonts w:ascii="Arial" w:hAnsi="Arial" w:cs="Arial"/>
                <w:sz w:val="24"/>
                <w:szCs w:val="24"/>
              </w:rPr>
              <w:t>Differentiate markets, reinforce regulatory compliance frameworks and use geopolitical scenario planning.</w:t>
            </w:r>
          </w:p>
        </w:tc>
      </w:tr>
    </w:tbl>
    <w:p w14:paraId="3F018B2C" w14:textId="57591C1F" w:rsidR="00F9619B" w:rsidRPr="0033338C" w:rsidRDefault="00713FEA" w:rsidP="00713FEA">
      <w:pPr>
        <w:pStyle w:val="Heading2"/>
        <w:rPr>
          <w:rFonts w:cs="Arial"/>
          <w:lang w:val="en-US"/>
        </w:rPr>
      </w:pPr>
      <w:bookmarkStart w:id="16" w:name="_Toc214831137"/>
      <w:r w:rsidRPr="0033338C">
        <w:rPr>
          <w:rFonts w:cs="Arial"/>
          <w:lang w:val="en-US"/>
        </w:rPr>
        <w:t>3.4</w:t>
      </w:r>
      <w:r w:rsidR="00F9619B" w:rsidRPr="0033338C">
        <w:rPr>
          <w:rFonts w:cs="Arial"/>
          <w:lang w:val="en-US"/>
        </w:rPr>
        <w:t xml:space="preserve"> CSR and Ethical Requirements.</w:t>
      </w:r>
      <w:bookmarkEnd w:id="16"/>
    </w:p>
    <w:p w14:paraId="3944D9E6" w14:textId="77777777" w:rsidR="00F9619B" w:rsidRPr="0033338C" w:rsidRDefault="00F9619B" w:rsidP="00F9619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Financial restructuring is often associated with such measures as asset sales and a reduction of the number of employees that have disastrous social implications. Any activities undertaken by GE must be ethical in order to retain its reputation and the ability to continue operating in the long term (Porter and Kramer, 2011).</w:t>
      </w:r>
    </w:p>
    <w:p w14:paraId="21681EE7" w14:textId="511DB383" w:rsidR="00F9619B" w:rsidRPr="0033338C" w:rsidRDefault="002C03FC" w:rsidP="00F9619B">
      <w:pPr>
        <w:spacing w:before="240" w:line="360" w:lineRule="auto"/>
        <w:jc w:val="both"/>
        <w:rPr>
          <w:rFonts w:ascii="Arial" w:hAnsi="Arial" w:cs="Arial"/>
          <w:b/>
          <w:sz w:val="24"/>
          <w:szCs w:val="24"/>
          <w:lang w:val="en-US"/>
        </w:rPr>
      </w:pPr>
      <w:r w:rsidRPr="0033338C">
        <w:rPr>
          <w:rFonts w:ascii="Arial" w:hAnsi="Arial" w:cs="Arial"/>
          <w:b/>
          <w:sz w:val="24"/>
          <w:szCs w:val="24"/>
          <w:lang w:val="en-US"/>
        </w:rPr>
        <w:t xml:space="preserve">A. </w:t>
      </w:r>
      <w:r w:rsidR="00F9619B" w:rsidRPr="0033338C">
        <w:rPr>
          <w:rFonts w:ascii="Arial" w:hAnsi="Arial" w:cs="Arial"/>
          <w:b/>
          <w:sz w:val="24"/>
          <w:szCs w:val="24"/>
          <w:lang w:val="en-US"/>
        </w:rPr>
        <w:t>Stakeholders: Rights and Transparency:</w:t>
      </w:r>
    </w:p>
    <w:p w14:paraId="56CAC314" w14:textId="4C3EB892" w:rsidR="00A21C96" w:rsidRPr="0033338C" w:rsidRDefault="00A21C96" w:rsidP="00A21C96">
      <w:pPr>
        <w:pStyle w:val="ListParagraph"/>
        <w:numPr>
          <w:ilvl w:val="0"/>
          <w:numId w:val="27"/>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 xml:space="preserve">At General Electronics (GE), there should be no secrets between the shareholders, employees, and regulatory agencies since this company is </w:t>
      </w:r>
      <w:r w:rsidRPr="0033338C">
        <w:rPr>
          <w:rFonts w:ascii="Arial" w:hAnsi="Arial" w:cs="Arial"/>
          <w:bCs/>
          <w:sz w:val="24"/>
          <w:szCs w:val="24"/>
          <w:lang w:val="en-US"/>
        </w:rPr>
        <w:lastRenderedPageBreak/>
        <w:t>experiencing diminishing profitability, as well as, financial distress. Among the fundamental principles of CSR, transparency in reporting encourages trust and builds long-term relationships (Crane, Matten and Spence, 2019).</w:t>
      </w:r>
    </w:p>
    <w:p w14:paraId="2218409B" w14:textId="455C7D5F" w:rsidR="00A21C96" w:rsidRPr="0033338C" w:rsidRDefault="00A21C96" w:rsidP="00A21C96">
      <w:pPr>
        <w:pStyle w:val="ListParagraph"/>
        <w:numPr>
          <w:ilvl w:val="0"/>
          <w:numId w:val="27"/>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Risks, operational difficulties, and restructuring measures should be clearly disclosed to safeguard the rights of the stakeholders in case of a financial instability (Financial Management Assessment Brief, 2025).</w:t>
      </w:r>
    </w:p>
    <w:p w14:paraId="3CC97A7D" w14:textId="4BE7527D" w:rsidR="00A21C96" w:rsidRPr="0033338C" w:rsidRDefault="00A21C96" w:rsidP="00A21C96">
      <w:pPr>
        <w:pStyle w:val="ListParagraph"/>
        <w:numPr>
          <w:ilvl w:val="0"/>
          <w:numId w:val="27"/>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A fair treatment, safe working conditions, and communication about the organisational change are the steps that should be undertaken to ensure that the rights of the employees are prioritised in case the divestitures or cost restructuring takes place (Fernando, 2022).</w:t>
      </w:r>
    </w:p>
    <w:p w14:paraId="21EB7C96" w14:textId="186CDEC9" w:rsidR="00A21C96" w:rsidRPr="0033338C" w:rsidRDefault="00A21C96" w:rsidP="00A21C96">
      <w:pPr>
        <w:pStyle w:val="ListParagraph"/>
        <w:numPr>
          <w:ilvl w:val="0"/>
          <w:numId w:val="27"/>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GE needs to embrace ethical decision-making models so that strategic programmes, e.g. mergers or divestitures, do not impede frail stakeholders.</w:t>
      </w:r>
    </w:p>
    <w:p w14:paraId="72A48F4B" w14:textId="792D73F2" w:rsidR="00F9619B" w:rsidRPr="0033338C" w:rsidRDefault="002C03FC" w:rsidP="00F9619B">
      <w:pPr>
        <w:spacing w:before="240" w:line="360" w:lineRule="auto"/>
        <w:jc w:val="both"/>
        <w:rPr>
          <w:rFonts w:ascii="Arial" w:hAnsi="Arial" w:cs="Arial"/>
          <w:b/>
          <w:sz w:val="24"/>
          <w:szCs w:val="24"/>
          <w:lang w:val="en-US"/>
        </w:rPr>
      </w:pPr>
      <w:r w:rsidRPr="0033338C">
        <w:rPr>
          <w:rFonts w:ascii="Arial" w:hAnsi="Arial" w:cs="Arial"/>
          <w:b/>
          <w:sz w:val="24"/>
          <w:szCs w:val="24"/>
          <w:lang w:val="en-US"/>
        </w:rPr>
        <w:t xml:space="preserve">B. </w:t>
      </w:r>
      <w:r w:rsidR="00F9619B" w:rsidRPr="0033338C">
        <w:rPr>
          <w:rFonts w:ascii="Arial" w:hAnsi="Arial" w:cs="Arial"/>
          <w:b/>
          <w:sz w:val="24"/>
          <w:szCs w:val="24"/>
          <w:lang w:val="en-US"/>
        </w:rPr>
        <w:t>Responsibility of the supply chain:</w:t>
      </w:r>
    </w:p>
    <w:p w14:paraId="34670569" w14:textId="2E76997A" w:rsidR="00BD6A56" w:rsidRPr="0033338C" w:rsidRDefault="00BD6A56" w:rsidP="00246627">
      <w:pPr>
        <w:pStyle w:val="ListParagraph"/>
        <w:numPr>
          <w:ilvl w:val="0"/>
          <w:numId w:val="28"/>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The supply chain management is an ethical issue of utmost concern, especially in the global electronics sector, where the issue of labour exploitation, environmental concern, and transparency in sourcing is the norm (Hill and Hult, 2020).</w:t>
      </w:r>
    </w:p>
    <w:p w14:paraId="1D475143" w14:textId="6DADD548" w:rsidR="00BD6A56" w:rsidRPr="0033338C" w:rsidRDefault="00BD6A56" w:rsidP="00246627">
      <w:pPr>
        <w:pStyle w:val="ListParagraph"/>
        <w:numPr>
          <w:ilvl w:val="0"/>
          <w:numId w:val="28"/>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When the restructuring may compel the suppliers to adopt cost-cutting behaviours, GE has to make sure that the suppliers are following labour standards, environmental regulations and human rights requirements.</w:t>
      </w:r>
    </w:p>
    <w:p w14:paraId="66A15614" w14:textId="579B2444" w:rsidR="00BD6A56" w:rsidRPr="0033338C" w:rsidRDefault="00BD6A56" w:rsidP="00246627">
      <w:pPr>
        <w:pStyle w:val="ListParagraph"/>
        <w:numPr>
          <w:ilvl w:val="0"/>
          <w:numId w:val="28"/>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Supplier audits, sustainability certifications, and responsible sourcing policies can be used to reduce reputational risk and make sure that the organisation meets international CSR expectations (Buckley, 2022).</w:t>
      </w:r>
    </w:p>
    <w:p w14:paraId="32982C67" w14:textId="56701ADA" w:rsidR="00A21C96" w:rsidRPr="0033338C" w:rsidRDefault="00BD6A56" w:rsidP="00246627">
      <w:pPr>
        <w:pStyle w:val="ListParagraph"/>
        <w:numPr>
          <w:ilvl w:val="0"/>
          <w:numId w:val="28"/>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Enhancing surveillance in areas helps to minimise operational risk and leads to business resilience in the long run.</w:t>
      </w:r>
    </w:p>
    <w:p w14:paraId="1D03A2AE" w14:textId="77777777" w:rsidR="0033338C" w:rsidRDefault="0033338C" w:rsidP="00F9619B">
      <w:pPr>
        <w:spacing w:before="240" w:line="360" w:lineRule="auto"/>
        <w:jc w:val="both"/>
        <w:rPr>
          <w:rFonts w:ascii="Arial" w:hAnsi="Arial" w:cs="Arial"/>
          <w:b/>
          <w:sz w:val="24"/>
          <w:szCs w:val="24"/>
          <w:lang w:val="en-US"/>
        </w:rPr>
      </w:pPr>
    </w:p>
    <w:p w14:paraId="2F849E24" w14:textId="77777777" w:rsidR="0033338C" w:rsidRDefault="0033338C" w:rsidP="00F9619B">
      <w:pPr>
        <w:spacing w:before="240" w:line="360" w:lineRule="auto"/>
        <w:jc w:val="both"/>
        <w:rPr>
          <w:rFonts w:ascii="Arial" w:hAnsi="Arial" w:cs="Arial"/>
          <w:b/>
          <w:sz w:val="24"/>
          <w:szCs w:val="24"/>
          <w:lang w:val="en-US"/>
        </w:rPr>
      </w:pPr>
    </w:p>
    <w:p w14:paraId="6891A888" w14:textId="181382D5" w:rsidR="00F9619B" w:rsidRPr="0033338C" w:rsidRDefault="002C03FC" w:rsidP="00F9619B">
      <w:pPr>
        <w:spacing w:before="240" w:line="360" w:lineRule="auto"/>
        <w:jc w:val="both"/>
        <w:rPr>
          <w:rFonts w:ascii="Arial" w:hAnsi="Arial" w:cs="Arial"/>
          <w:b/>
          <w:sz w:val="24"/>
          <w:szCs w:val="24"/>
          <w:lang w:val="en-US"/>
        </w:rPr>
      </w:pPr>
      <w:r w:rsidRPr="0033338C">
        <w:rPr>
          <w:rFonts w:ascii="Arial" w:hAnsi="Arial" w:cs="Arial"/>
          <w:b/>
          <w:sz w:val="24"/>
          <w:szCs w:val="24"/>
          <w:lang w:val="en-US"/>
        </w:rPr>
        <w:t xml:space="preserve">C. </w:t>
      </w:r>
      <w:r w:rsidR="00F9619B" w:rsidRPr="0033338C">
        <w:rPr>
          <w:rFonts w:ascii="Arial" w:hAnsi="Arial" w:cs="Arial"/>
          <w:b/>
          <w:sz w:val="24"/>
          <w:szCs w:val="24"/>
          <w:lang w:val="en-US"/>
        </w:rPr>
        <w:t>Ethics of Steering Clear of Tax Evasion (Economic):</w:t>
      </w:r>
    </w:p>
    <w:p w14:paraId="29F119D1" w14:textId="6855BF28" w:rsidR="003F6B39" w:rsidRPr="0033338C" w:rsidRDefault="003F6B39" w:rsidP="003F6B39">
      <w:pPr>
        <w:pStyle w:val="ListParagraph"/>
        <w:numPr>
          <w:ilvl w:val="0"/>
          <w:numId w:val="29"/>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lastRenderedPageBreak/>
        <w:t>In its economic CSR responsibility, GE should not be involved in unethical tax minimisation strategies that might not be against the law, but against moral standards (Bebchuk and Neuman, 2022).</w:t>
      </w:r>
    </w:p>
    <w:p w14:paraId="1BE9816E" w14:textId="7F7C2DF5" w:rsidR="003F6B39" w:rsidRPr="0033338C" w:rsidRDefault="003F6B39" w:rsidP="003F6B39">
      <w:pPr>
        <w:pStyle w:val="ListParagraph"/>
        <w:numPr>
          <w:ilvl w:val="0"/>
          <w:numId w:val="29"/>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Open tax reporting will also help to uphold legitimacy to governments, communities, and investors especially in financial restructuring.</w:t>
      </w:r>
    </w:p>
    <w:p w14:paraId="5B838579" w14:textId="0BDC34BD" w:rsidR="003F6B39" w:rsidRPr="0033338C" w:rsidRDefault="003F6B39" w:rsidP="003F6B39">
      <w:pPr>
        <w:pStyle w:val="ListParagraph"/>
        <w:numPr>
          <w:ilvl w:val="0"/>
          <w:numId w:val="29"/>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Ethical tax conduct lowers the likelihood of regulatory risk and enhances investor confidence leading to long-term sustainability especially in the case that the firm has already become financially unstable and unsolvable.</w:t>
      </w:r>
    </w:p>
    <w:p w14:paraId="4B4ADFA9" w14:textId="5FA45B7B" w:rsidR="003F6B39" w:rsidRPr="0033338C" w:rsidRDefault="003F6B39" w:rsidP="003F6B39">
      <w:pPr>
        <w:pStyle w:val="ListParagraph"/>
        <w:numPr>
          <w:ilvl w:val="0"/>
          <w:numId w:val="29"/>
        </w:numPr>
        <w:spacing w:before="240" w:line="360" w:lineRule="auto"/>
        <w:jc w:val="both"/>
        <w:rPr>
          <w:rFonts w:ascii="Arial" w:hAnsi="Arial" w:cs="Arial"/>
          <w:bCs/>
          <w:sz w:val="24"/>
          <w:szCs w:val="24"/>
          <w:lang w:val="en-US"/>
        </w:rPr>
      </w:pPr>
      <w:r w:rsidRPr="0033338C">
        <w:rPr>
          <w:rFonts w:ascii="Arial" w:hAnsi="Arial" w:cs="Arial"/>
          <w:bCs/>
          <w:sz w:val="24"/>
          <w:szCs w:val="24"/>
          <w:lang w:val="en-US"/>
        </w:rPr>
        <w:t>GE needs to establish a global tax compliance system that is responsive in all countries, but which does not practise the evasion or misuse of the transfer pricing regulations.</w:t>
      </w:r>
    </w:p>
    <w:p w14:paraId="02B84979" w14:textId="1A91CF79" w:rsidR="00CD4561" w:rsidRPr="0033338C" w:rsidRDefault="00CD4561" w:rsidP="00CD4561">
      <w:pPr>
        <w:pStyle w:val="Heading1"/>
        <w:rPr>
          <w:rFonts w:cs="Arial"/>
        </w:rPr>
      </w:pPr>
      <w:bookmarkStart w:id="17" w:name="_Toc214831138"/>
      <w:r w:rsidRPr="0033338C">
        <w:rPr>
          <w:rFonts w:cs="Arial"/>
        </w:rPr>
        <w:t xml:space="preserve">4. </w:t>
      </w:r>
      <w:r w:rsidR="00D46429" w:rsidRPr="0033338C">
        <w:rPr>
          <w:rFonts w:cs="Arial"/>
        </w:rPr>
        <w:t>Investment Appraisal and Capital Budgeting</w:t>
      </w:r>
      <w:bookmarkEnd w:id="17"/>
    </w:p>
    <w:p w14:paraId="300C6B6E" w14:textId="7B550DC0" w:rsidR="00CD4561" w:rsidRPr="0033338C" w:rsidRDefault="00587023" w:rsidP="00CD4561">
      <w:pPr>
        <w:spacing w:before="240" w:line="360" w:lineRule="auto"/>
        <w:jc w:val="both"/>
        <w:rPr>
          <w:rFonts w:ascii="Arial" w:hAnsi="Arial" w:cs="Arial"/>
          <w:bCs/>
          <w:sz w:val="24"/>
          <w:szCs w:val="24"/>
          <w:lang w:val="en-US"/>
        </w:rPr>
      </w:pPr>
      <w:r w:rsidRPr="0033338C">
        <w:rPr>
          <w:rFonts w:ascii="Arial" w:hAnsi="Arial" w:cs="Arial"/>
          <w:bCs/>
          <w:sz w:val="24"/>
          <w:szCs w:val="24"/>
          <w:lang w:val="en-US"/>
        </w:rPr>
        <w:t xml:space="preserve">The following tables calculate the five required investment appraisal metrics for projects </w:t>
      </w:r>
      <w:r w:rsidR="00B04D68" w:rsidRPr="0033338C">
        <w:rPr>
          <w:rFonts w:ascii="Arial" w:hAnsi="Arial" w:cs="Arial"/>
          <w:bCs/>
          <w:sz w:val="24"/>
          <w:szCs w:val="24"/>
          <w:lang w:val="en-US"/>
        </w:rPr>
        <w:t>A, B</w:t>
      </w:r>
      <w:r w:rsidRPr="0033338C">
        <w:rPr>
          <w:rFonts w:ascii="Arial" w:hAnsi="Arial" w:cs="Arial"/>
          <w:bCs/>
          <w:sz w:val="24"/>
          <w:szCs w:val="24"/>
          <w:lang w:val="en-US"/>
        </w:rPr>
        <w:t xml:space="preserve"> and C.</w:t>
      </w:r>
    </w:p>
    <w:p w14:paraId="167FF7B7" w14:textId="1206A4FB" w:rsidR="00B04D68" w:rsidRPr="0033338C" w:rsidRDefault="00B04D68" w:rsidP="00CD4561">
      <w:pPr>
        <w:spacing w:before="240" w:line="360" w:lineRule="auto"/>
        <w:jc w:val="both"/>
        <w:rPr>
          <w:rFonts w:ascii="Arial" w:hAnsi="Arial" w:cs="Arial"/>
          <w:b/>
          <w:sz w:val="24"/>
          <w:szCs w:val="24"/>
          <w:lang w:val="en-US"/>
        </w:rPr>
      </w:pPr>
      <w:r w:rsidRPr="0033338C">
        <w:rPr>
          <w:rFonts w:ascii="Arial" w:hAnsi="Arial" w:cs="Arial"/>
          <w:b/>
          <w:sz w:val="24"/>
          <w:szCs w:val="24"/>
          <w:lang w:val="en-US"/>
        </w:rPr>
        <w:t>A. Calculation of Cash Flows and Accounting Metrics</w:t>
      </w:r>
    </w:p>
    <w:p w14:paraId="00B6FFE9" w14:textId="1877BBC4" w:rsidR="00B04D68" w:rsidRPr="0033338C" w:rsidRDefault="00AE707B" w:rsidP="00CD4561">
      <w:pPr>
        <w:spacing w:before="240" w:line="360" w:lineRule="auto"/>
        <w:jc w:val="both"/>
        <w:rPr>
          <w:rFonts w:ascii="Arial" w:hAnsi="Arial" w:cs="Arial"/>
          <w:bCs/>
          <w:sz w:val="24"/>
          <w:szCs w:val="24"/>
          <w:lang w:val="en-US"/>
        </w:rPr>
      </w:pPr>
      <w:r w:rsidRPr="0033338C">
        <w:rPr>
          <w:rFonts w:ascii="Arial" w:hAnsi="Arial" w:cs="Arial"/>
          <w:bCs/>
          <w:sz w:val="24"/>
          <w:szCs w:val="24"/>
        </w:rPr>
        <w:t>In order to compute the Accounting Rate of Return (ARR) we must compute the annual average accounting profit (Net Income) on a zero-straight-line depreciation</w:t>
      </w:r>
      <w:r w:rsidR="00542447" w:rsidRPr="0033338C">
        <w:rPr>
          <w:rFonts w:ascii="Arial" w:hAnsi="Arial" w:cs="Arial"/>
          <w:bCs/>
          <w:sz w:val="24"/>
          <w:szCs w:val="24"/>
          <w:lang w:val="en-US"/>
        </w:rPr>
        <w:t>.</w:t>
      </w:r>
    </w:p>
    <w:p w14:paraId="41BF1CDC" w14:textId="14941C02" w:rsidR="00542447" w:rsidRPr="0033338C" w:rsidRDefault="00DA3912" w:rsidP="00CD4561">
      <w:pPr>
        <w:spacing w:before="240" w:line="360" w:lineRule="auto"/>
        <w:jc w:val="both"/>
        <w:rPr>
          <w:rFonts w:ascii="Arial" w:eastAsiaTheme="minorEastAsia" w:hAnsi="Arial" w:cs="Arial"/>
          <w:bCs/>
          <w:sz w:val="24"/>
          <w:szCs w:val="24"/>
          <w:lang w:val="en-US"/>
        </w:rPr>
      </w:pPr>
      <w:r w:rsidRPr="0033338C">
        <w:rPr>
          <w:rFonts w:ascii="Arial" w:hAnsi="Arial" w:cs="Arial"/>
          <w:bCs/>
          <w:sz w:val="24"/>
          <w:szCs w:val="24"/>
          <w:lang w:val="en-US"/>
        </w:rPr>
        <w:t xml:space="preserve">Annual Depreciation= </w:t>
      </w:r>
      <m:oMath>
        <m:f>
          <m:fPr>
            <m:ctrlPr>
              <w:rPr>
                <w:rFonts w:ascii="Cambria Math" w:hAnsi="Cambria Math" w:cs="Arial"/>
                <w:bCs/>
                <w:i/>
                <w:sz w:val="24"/>
                <w:szCs w:val="24"/>
                <w:lang w:val="en-US"/>
              </w:rPr>
            </m:ctrlPr>
          </m:fPr>
          <m:num>
            <m:r>
              <w:rPr>
                <w:rFonts w:ascii="Cambria Math" w:hAnsi="Cambria Math" w:cs="Arial"/>
                <w:sz w:val="24"/>
                <w:szCs w:val="24"/>
                <w:lang w:val="en-US"/>
              </w:rPr>
              <m:t xml:space="preserve"> Initial Investment</m:t>
            </m:r>
            <m:ctrlPr>
              <w:rPr>
                <w:rFonts w:ascii="Cambria Math" w:hAnsi="Cambria Math" w:cs="Arial"/>
                <w:i/>
                <w:sz w:val="24"/>
                <w:szCs w:val="24"/>
                <w:lang w:val="en-US"/>
              </w:rPr>
            </m:ctrlPr>
          </m:num>
          <m:den>
            <m:r>
              <w:rPr>
                <w:rFonts w:ascii="Cambria Math" w:hAnsi="Cambria Math" w:cs="Arial"/>
                <w:sz w:val="24"/>
                <w:szCs w:val="24"/>
                <w:lang w:val="en-US"/>
              </w:rPr>
              <m:t>5 years</m:t>
            </m:r>
          </m:den>
        </m:f>
      </m:oMath>
    </w:p>
    <w:p w14:paraId="0683708D" w14:textId="23261A47" w:rsidR="00D31188" w:rsidRPr="0033338C" w:rsidRDefault="00D31188" w:rsidP="00CD4561">
      <w:pPr>
        <w:spacing w:before="240" w:line="360" w:lineRule="auto"/>
        <w:jc w:val="both"/>
        <w:rPr>
          <w:rFonts w:ascii="Arial" w:eastAsiaTheme="minorEastAsia" w:hAnsi="Arial" w:cs="Arial"/>
          <w:bCs/>
          <w:sz w:val="24"/>
          <w:szCs w:val="24"/>
          <w:lang w:val="en-US"/>
        </w:rPr>
      </w:pPr>
      <w:r w:rsidRPr="0033338C">
        <w:rPr>
          <w:rFonts w:ascii="Arial" w:hAnsi="Arial" w:cs="Arial"/>
          <w:bCs/>
          <w:sz w:val="24"/>
          <w:szCs w:val="24"/>
        </w:rPr>
        <w:t>Average Annual Profit=</w:t>
      </w:r>
      <w:r w:rsidR="00B817DB" w:rsidRPr="0033338C">
        <w:rPr>
          <w:rFonts w:ascii="Arial" w:hAnsi="Arial" w:cs="Arial"/>
          <w:bCs/>
          <w:sz w:val="24"/>
          <w:szCs w:val="24"/>
        </w:rPr>
        <w:t xml:space="preserve"> </w:t>
      </w:r>
      <m:oMath>
        <m:f>
          <m:fPr>
            <m:ctrlPr>
              <w:rPr>
                <w:rFonts w:ascii="Cambria Math" w:hAnsi="Cambria Math" w:cs="Arial"/>
                <w:bCs/>
                <w:i/>
                <w:sz w:val="24"/>
                <w:szCs w:val="24"/>
                <w:lang w:val="en-US"/>
              </w:rPr>
            </m:ctrlPr>
          </m:fPr>
          <m:num>
            <m:r>
              <w:rPr>
                <w:rFonts w:ascii="Cambria Math" w:hAnsi="Cambria Math" w:cs="Arial"/>
                <w:sz w:val="24"/>
                <w:szCs w:val="24"/>
                <w:lang w:val="en-US"/>
              </w:rPr>
              <m:t xml:space="preserve">Sum of Cash Inflows </m:t>
            </m:r>
            <m:ctrlPr>
              <w:rPr>
                <w:rFonts w:ascii="Cambria Math" w:hAnsi="Cambria Math" w:cs="Arial"/>
                <w:i/>
                <w:sz w:val="24"/>
                <w:szCs w:val="24"/>
                <w:lang w:val="en-US"/>
              </w:rPr>
            </m:ctrlPr>
          </m:num>
          <m:den>
            <m:r>
              <w:rPr>
                <w:rFonts w:ascii="Cambria Math" w:hAnsi="Cambria Math" w:cs="Arial"/>
                <w:sz w:val="24"/>
                <w:szCs w:val="24"/>
                <w:lang w:val="en-US"/>
              </w:rPr>
              <m:t xml:space="preserve">5 </m:t>
            </m:r>
          </m:den>
        </m:f>
      </m:oMath>
      <w:r w:rsidR="00221C18" w:rsidRPr="0033338C">
        <w:rPr>
          <w:rFonts w:ascii="Arial" w:eastAsiaTheme="minorEastAsia" w:hAnsi="Arial" w:cs="Arial"/>
          <w:bCs/>
          <w:sz w:val="24"/>
          <w:szCs w:val="24"/>
          <w:lang w:val="en-US"/>
        </w:rPr>
        <w:t xml:space="preserve"> -</w:t>
      </w:r>
      <w:r w:rsidR="00CD3E5E" w:rsidRPr="0033338C">
        <w:rPr>
          <w:rFonts w:ascii="Arial" w:hAnsi="Arial" w:cs="Arial"/>
        </w:rPr>
        <w:t xml:space="preserve"> </w:t>
      </w:r>
      <w:r w:rsidR="00CD3E5E" w:rsidRPr="0033338C">
        <w:rPr>
          <w:rFonts w:ascii="Arial" w:eastAsiaTheme="minorEastAsia" w:hAnsi="Arial" w:cs="Arial"/>
          <w:bCs/>
          <w:sz w:val="24"/>
          <w:szCs w:val="24"/>
          <w:lang w:val="en-US"/>
        </w:rPr>
        <w:t>Annual Depreciation</w:t>
      </w:r>
    </w:p>
    <w:tbl>
      <w:tblPr>
        <w:tblStyle w:val="TableGrid"/>
        <w:tblW w:w="8834" w:type="dxa"/>
        <w:tblLook w:val="04A0" w:firstRow="1" w:lastRow="0" w:firstColumn="1" w:lastColumn="0" w:noHBand="0" w:noVBand="1"/>
      </w:tblPr>
      <w:tblGrid>
        <w:gridCol w:w="4142"/>
        <w:gridCol w:w="1522"/>
        <w:gridCol w:w="1522"/>
        <w:gridCol w:w="1648"/>
      </w:tblGrid>
      <w:tr w:rsidR="00BD444C" w:rsidRPr="0033338C" w14:paraId="76C08D54" w14:textId="77777777" w:rsidTr="00EF57FC">
        <w:trPr>
          <w:trHeight w:val="842"/>
        </w:trPr>
        <w:tc>
          <w:tcPr>
            <w:tcW w:w="0" w:type="auto"/>
            <w:hideMark/>
          </w:tcPr>
          <w:p w14:paraId="7F000393"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Detail (£m)</w:t>
            </w:r>
          </w:p>
        </w:tc>
        <w:tc>
          <w:tcPr>
            <w:tcW w:w="0" w:type="auto"/>
            <w:hideMark/>
          </w:tcPr>
          <w:p w14:paraId="3E9611A4"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A</w:t>
            </w:r>
          </w:p>
        </w:tc>
        <w:tc>
          <w:tcPr>
            <w:tcW w:w="0" w:type="auto"/>
            <w:hideMark/>
          </w:tcPr>
          <w:p w14:paraId="1E2FA882"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B</w:t>
            </w:r>
          </w:p>
        </w:tc>
        <w:tc>
          <w:tcPr>
            <w:tcW w:w="0" w:type="auto"/>
            <w:hideMark/>
          </w:tcPr>
          <w:p w14:paraId="2560343B"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C</w:t>
            </w:r>
          </w:p>
        </w:tc>
      </w:tr>
      <w:tr w:rsidR="00BD444C" w:rsidRPr="0033338C" w14:paraId="7C81DAB9" w14:textId="77777777" w:rsidTr="00EF57FC">
        <w:trPr>
          <w:trHeight w:val="861"/>
        </w:trPr>
        <w:tc>
          <w:tcPr>
            <w:tcW w:w="0" w:type="auto"/>
            <w:hideMark/>
          </w:tcPr>
          <w:p w14:paraId="53FABDCF" w14:textId="6B698D9D"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 xml:space="preserve">Initial Investment </w:t>
            </w:r>
            <m:oMath>
              <m:d>
                <m:dPr>
                  <m:ctrlPr>
                    <w:rPr>
                      <w:rFonts w:ascii="Cambria Math" w:hAnsi="Cambria Math" w:cs="Arial"/>
                      <w:b/>
                      <w:i/>
                      <w:sz w:val="24"/>
                      <w:szCs w:val="24"/>
                      <w:lang w:val="en-US"/>
                    </w:rPr>
                  </m:ctrlPr>
                </m:dPr>
                <m:e>
                  <m:sSub>
                    <m:sSubPr>
                      <m:ctrlPr>
                        <w:rPr>
                          <w:rFonts w:ascii="Cambria Math" w:hAnsi="Cambria Math" w:cs="Arial"/>
                          <w:b/>
                          <w:bCs/>
                          <w:i/>
                          <w:sz w:val="24"/>
                          <w:szCs w:val="24"/>
                          <w:lang w:val="en-US"/>
                        </w:rPr>
                      </m:ctrlPr>
                    </m:sSubPr>
                    <m:e>
                      <m:r>
                        <m:rPr>
                          <m:sty m:val="bi"/>
                        </m:rPr>
                        <w:rPr>
                          <w:rFonts w:ascii="Cambria Math" w:hAnsi="Cambria Math" w:cs="Arial"/>
                          <w:sz w:val="24"/>
                          <w:szCs w:val="24"/>
                          <w:lang w:val="en-US"/>
                        </w:rPr>
                        <m:t>I</m:t>
                      </m:r>
                      <m:ctrlPr>
                        <w:rPr>
                          <w:rFonts w:ascii="Cambria Math" w:hAnsi="Cambria Math" w:cs="Arial"/>
                          <w:b/>
                          <w:i/>
                          <w:sz w:val="24"/>
                          <w:szCs w:val="24"/>
                          <w:lang w:val="en-US"/>
                        </w:rPr>
                      </m:ctrlPr>
                    </m:e>
                    <m:sub>
                      <m:r>
                        <m:rPr>
                          <m:sty m:val="bi"/>
                        </m:rPr>
                        <w:rPr>
                          <w:rFonts w:ascii="Cambria Math" w:hAnsi="Cambria Math" w:cs="Arial"/>
                          <w:sz w:val="24"/>
                          <w:szCs w:val="24"/>
                          <w:lang w:val="en-US"/>
                        </w:rPr>
                        <m:t>0</m:t>
                      </m:r>
                    </m:sub>
                  </m:sSub>
                </m:e>
              </m:d>
            </m:oMath>
          </w:p>
        </w:tc>
        <w:tc>
          <w:tcPr>
            <w:tcW w:w="0" w:type="auto"/>
            <w:hideMark/>
          </w:tcPr>
          <w:p w14:paraId="5550966C"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40</w:t>
            </w:r>
          </w:p>
        </w:tc>
        <w:tc>
          <w:tcPr>
            <w:tcW w:w="0" w:type="auto"/>
            <w:hideMark/>
          </w:tcPr>
          <w:p w14:paraId="0FA7A07A"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30</w:t>
            </w:r>
          </w:p>
        </w:tc>
        <w:tc>
          <w:tcPr>
            <w:tcW w:w="0" w:type="auto"/>
            <w:hideMark/>
          </w:tcPr>
          <w:p w14:paraId="2CC429BC"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50</w:t>
            </w:r>
          </w:p>
        </w:tc>
      </w:tr>
      <w:tr w:rsidR="00BD444C" w:rsidRPr="0033338C" w14:paraId="52EB6C19" w14:textId="77777777" w:rsidTr="00EF57FC">
        <w:trPr>
          <w:trHeight w:val="842"/>
        </w:trPr>
        <w:tc>
          <w:tcPr>
            <w:tcW w:w="0" w:type="auto"/>
            <w:hideMark/>
          </w:tcPr>
          <w:p w14:paraId="1CB0EBB6"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Total Inflows (Years 1-5)</w:t>
            </w:r>
          </w:p>
        </w:tc>
        <w:tc>
          <w:tcPr>
            <w:tcW w:w="0" w:type="auto"/>
            <w:hideMark/>
          </w:tcPr>
          <w:p w14:paraId="4A4F6C60"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54</w:t>
            </w:r>
          </w:p>
        </w:tc>
        <w:tc>
          <w:tcPr>
            <w:tcW w:w="0" w:type="auto"/>
            <w:hideMark/>
          </w:tcPr>
          <w:p w14:paraId="63FD6EBF"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30</w:t>
            </w:r>
          </w:p>
        </w:tc>
        <w:tc>
          <w:tcPr>
            <w:tcW w:w="0" w:type="auto"/>
            <w:hideMark/>
          </w:tcPr>
          <w:p w14:paraId="0C8E875B"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75</w:t>
            </w:r>
          </w:p>
        </w:tc>
      </w:tr>
      <w:tr w:rsidR="00BD444C" w:rsidRPr="0033338C" w14:paraId="7156B6A4" w14:textId="77777777" w:rsidTr="00EF57FC">
        <w:trPr>
          <w:trHeight w:val="852"/>
        </w:trPr>
        <w:tc>
          <w:tcPr>
            <w:tcW w:w="0" w:type="auto"/>
            <w:hideMark/>
          </w:tcPr>
          <w:p w14:paraId="2C9EE435"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Average Annual Cash Inflow</w:t>
            </w:r>
          </w:p>
        </w:tc>
        <w:tc>
          <w:tcPr>
            <w:tcW w:w="0" w:type="auto"/>
            <w:hideMark/>
          </w:tcPr>
          <w:p w14:paraId="66A59906"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10.80</w:t>
            </w:r>
          </w:p>
        </w:tc>
        <w:tc>
          <w:tcPr>
            <w:tcW w:w="0" w:type="auto"/>
            <w:hideMark/>
          </w:tcPr>
          <w:p w14:paraId="79EC57DD"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6.00</w:t>
            </w:r>
          </w:p>
        </w:tc>
        <w:tc>
          <w:tcPr>
            <w:tcW w:w="0" w:type="auto"/>
            <w:hideMark/>
          </w:tcPr>
          <w:p w14:paraId="7AF3AD92"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15.00</w:t>
            </w:r>
          </w:p>
        </w:tc>
      </w:tr>
      <w:tr w:rsidR="00BD444C" w:rsidRPr="0033338C" w14:paraId="46508477" w14:textId="77777777" w:rsidTr="00EF57FC">
        <w:trPr>
          <w:trHeight w:val="990"/>
        </w:trPr>
        <w:tc>
          <w:tcPr>
            <w:tcW w:w="0" w:type="auto"/>
            <w:hideMark/>
          </w:tcPr>
          <w:p w14:paraId="26A9B47B"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lastRenderedPageBreak/>
              <w:t>Annual Depreciation</w:t>
            </w:r>
          </w:p>
        </w:tc>
        <w:tc>
          <w:tcPr>
            <w:tcW w:w="0" w:type="auto"/>
            <w:hideMark/>
          </w:tcPr>
          <w:p w14:paraId="577D92BF" w14:textId="77133454"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 xml:space="preserve">8.00 </w:t>
            </w:r>
            <m:oMath>
              <m:r>
                <m:rPr>
                  <m:sty m:val="bi"/>
                </m:rPr>
                <w:rPr>
                  <w:rFonts w:ascii="Cambria Math" w:hAnsi="Cambria Math" w:cs="Arial"/>
                  <w:sz w:val="24"/>
                  <w:szCs w:val="24"/>
                  <w:lang w:val="en-US"/>
                </w:rPr>
                <m:t xml:space="preserve"> </m:t>
              </m:r>
              <m:d>
                <m:dPr>
                  <m:ctrlPr>
                    <w:rPr>
                      <w:rFonts w:ascii="Cambria Math" w:hAnsi="Cambria Math" w:cs="Arial"/>
                      <w:b/>
                      <w:i/>
                      <w:sz w:val="24"/>
                      <w:szCs w:val="24"/>
                      <w:lang w:val="en-US"/>
                    </w:rPr>
                  </m:ctrlPr>
                </m:dPr>
                <m:e>
                  <m:f>
                    <m:fPr>
                      <m:ctrlPr>
                        <w:rPr>
                          <w:rFonts w:ascii="Cambria Math" w:hAnsi="Cambria Math" w:cs="Arial"/>
                          <w:b/>
                          <w:bCs/>
                          <w:i/>
                          <w:sz w:val="24"/>
                          <w:szCs w:val="24"/>
                          <w:lang w:val="en-US"/>
                        </w:rPr>
                      </m:ctrlPr>
                    </m:fPr>
                    <m:num>
                      <m:r>
                        <m:rPr>
                          <m:sty m:val="b"/>
                        </m:rPr>
                        <w:rPr>
                          <w:rFonts w:ascii="Cambria Math" w:hAnsi="Cambria Math" w:cs="Arial"/>
                          <w:sz w:val="24"/>
                          <w:szCs w:val="24"/>
                          <w:lang w:val="en-US"/>
                        </w:rPr>
                        <m:t>40</m:t>
                      </m:r>
                      <m:ctrlPr>
                        <w:rPr>
                          <w:rFonts w:ascii="Cambria Math" w:hAnsi="Cambria Math" w:cs="Arial"/>
                          <w:b/>
                          <w:i/>
                          <w:sz w:val="24"/>
                          <w:szCs w:val="24"/>
                          <w:lang w:val="en-US"/>
                        </w:rPr>
                      </m:ctrlPr>
                    </m:num>
                    <m:den>
                      <m:r>
                        <m:rPr>
                          <m:sty m:val="bi"/>
                        </m:rPr>
                        <w:rPr>
                          <w:rFonts w:ascii="Cambria Math" w:hAnsi="Cambria Math" w:cs="Arial"/>
                          <w:sz w:val="24"/>
                          <w:szCs w:val="24"/>
                          <w:lang w:val="en-US"/>
                        </w:rPr>
                        <m:t>5</m:t>
                      </m:r>
                    </m:den>
                  </m:f>
                </m:e>
              </m:d>
            </m:oMath>
            <w:r w:rsidR="00BD444C" w:rsidRPr="0033338C">
              <w:rPr>
                <w:rFonts w:ascii="Arial" w:hAnsi="Arial" w:cs="Arial"/>
                <w:bCs/>
                <w:sz w:val="24"/>
                <w:szCs w:val="24"/>
                <w:lang w:val="en-US"/>
              </w:rPr>
              <w:t xml:space="preserve"> </w:t>
            </w:r>
          </w:p>
        </w:tc>
        <w:tc>
          <w:tcPr>
            <w:tcW w:w="0" w:type="auto"/>
            <w:hideMark/>
          </w:tcPr>
          <w:p w14:paraId="07738ED8" w14:textId="60AB66E5"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 xml:space="preserve">6.00 </w:t>
            </w:r>
            <m:oMath>
              <m:r>
                <m:rPr>
                  <m:sty m:val="bi"/>
                </m:rPr>
                <w:rPr>
                  <w:rFonts w:ascii="Cambria Math" w:hAnsi="Cambria Math" w:cs="Arial"/>
                  <w:sz w:val="24"/>
                  <w:szCs w:val="24"/>
                  <w:lang w:val="en-US"/>
                </w:rPr>
                <m:t xml:space="preserve"> </m:t>
              </m:r>
              <m:d>
                <m:dPr>
                  <m:ctrlPr>
                    <w:rPr>
                      <w:rFonts w:ascii="Cambria Math" w:hAnsi="Cambria Math" w:cs="Arial"/>
                      <w:b/>
                      <w:i/>
                      <w:sz w:val="24"/>
                      <w:szCs w:val="24"/>
                      <w:lang w:val="en-US"/>
                    </w:rPr>
                  </m:ctrlPr>
                </m:dPr>
                <m:e>
                  <m:f>
                    <m:fPr>
                      <m:ctrlPr>
                        <w:rPr>
                          <w:rFonts w:ascii="Cambria Math" w:hAnsi="Cambria Math" w:cs="Arial"/>
                          <w:b/>
                          <w:bCs/>
                          <w:i/>
                          <w:sz w:val="24"/>
                          <w:szCs w:val="24"/>
                          <w:lang w:val="en-US"/>
                        </w:rPr>
                      </m:ctrlPr>
                    </m:fPr>
                    <m:num>
                      <m:r>
                        <m:rPr>
                          <m:sty m:val="b"/>
                        </m:rPr>
                        <w:rPr>
                          <w:rFonts w:ascii="Cambria Math" w:hAnsi="Cambria Math" w:cs="Arial"/>
                          <w:sz w:val="24"/>
                          <w:szCs w:val="24"/>
                          <w:lang w:val="en-US"/>
                        </w:rPr>
                        <m:t>30</m:t>
                      </m:r>
                      <m:ctrlPr>
                        <w:rPr>
                          <w:rFonts w:ascii="Cambria Math" w:hAnsi="Cambria Math" w:cs="Arial"/>
                          <w:b/>
                          <w:i/>
                          <w:sz w:val="24"/>
                          <w:szCs w:val="24"/>
                          <w:lang w:val="en-US"/>
                        </w:rPr>
                      </m:ctrlPr>
                    </m:num>
                    <m:den>
                      <m:r>
                        <m:rPr>
                          <m:sty m:val="bi"/>
                        </m:rPr>
                        <w:rPr>
                          <w:rFonts w:ascii="Cambria Math" w:hAnsi="Cambria Math" w:cs="Arial"/>
                          <w:sz w:val="24"/>
                          <w:szCs w:val="24"/>
                          <w:lang w:val="en-US"/>
                        </w:rPr>
                        <m:t>5</m:t>
                      </m:r>
                    </m:den>
                  </m:f>
                </m:e>
              </m:d>
            </m:oMath>
            <w:r w:rsidR="00BD444C" w:rsidRPr="0033338C">
              <w:rPr>
                <w:rFonts w:ascii="Arial" w:hAnsi="Arial" w:cs="Arial"/>
                <w:bCs/>
                <w:sz w:val="24"/>
                <w:szCs w:val="24"/>
                <w:lang w:val="en-US"/>
              </w:rPr>
              <w:t xml:space="preserve"> </w:t>
            </w:r>
          </w:p>
        </w:tc>
        <w:tc>
          <w:tcPr>
            <w:tcW w:w="0" w:type="auto"/>
            <w:hideMark/>
          </w:tcPr>
          <w:p w14:paraId="773BA5B2" w14:textId="1733E99B"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 xml:space="preserve">10.00 </w:t>
            </w:r>
            <m:oMath>
              <m:r>
                <m:rPr>
                  <m:sty m:val="bi"/>
                </m:rPr>
                <w:rPr>
                  <w:rFonts w:ascii="Cambria Math" w:hAnsi="Cambria Math" w:cs="Arial"/>
                  <w:sz w:val="24"/>
                  <w:szCs w:val="24"/>
                  <w:lang w:val="en-US"/>
                </w:rPr>
                <m:t xml:space="preserve"> </m:t>
              </m:r>
              <m:d>
                <m:dPr>
                  <m:ctrlPr>
                    <w:rPr>
                      <w:rFonts w:ascii="Cambria Math" w:hAnsi="Cambria Math" w:cs="Arial"/>
                      <w:b/>
                      <w:i/>
                      <w:sz w:val="24"/>
                      <w:szCs w:val="24"/>
                      <w:lang w:val="en-US"/>
                    </w:rPr>
                  </m:ctrlPr>
                </m:dPr>
                <m:e>
                  <m:f>
                    <m:fPr>
                      <m:ctrlPr>
                        <w:rPr>
                          <w:rFonts w:ascii="Cambria Math" w:hAnsi="Cambria Math" w:cs="Arial"/>
                          <w:b/>
                          <w:bCs/>
                          <w:i/>
                          <w:sz w:val="24"/>
                          <w:szCs w:val="24"/>
                          <w:lang w:val="en-US"/>
                        </w:rPr>
                      </m:ctrlPr>
                    </m:fPr>
                    <m:num>
                      <m:r>
                        <m:rPr>
                          <m:sty m:val="b"/>
                        </m:rPr>
                        <w:rPr>
                          <w:rFonts w:ascii="Cambria Math" w:hAnsi="Cambria Math" w:cs="Arial"/>
                          <w:sz w:val="24"/>
                          <w:szCs w:val="24"/>
                          <w:lang w:val="en-US"/>
                        </w:rPr>
                        <m:t>50</m:t>
                      </m:r>
                      <m:ctrlPr>
                        <w:rPr>
                          <w:rFonts w:ascii="Cambria Math" w:hAnsi="Cambria Math" w:cs="Arial"/>
                          <w:b/>
                          <w:i/>
                          <w:sz w:val="24"/>
                          <w:szCs w:val="24"/>
                          <w:lang w:val="en-US"/>
                        </w:rPr>
                      </m:ctrlPr>
                    </m:num>
                    <m:den>
                      <m:r>
                        <m:rPr>
                          <m:sty m:val="bi"/>
                        </m:rPr>
                        <w:rPr>
                          <w:rFonts w:ascii="Cambria Math" w:hAnsi="Cambria Math" w:cs="Arial"/>
                          <w:sz w:val="24"/>
                          <w:szCs w:val="24"/>
                          <w:lang w:val="en-US"/>
                        </w:rPr>
                        <m:t>5</m:t>
                      </m:r>
                    </m:den>
                  </m:f>
                </m:e>
              </m:d>
            </m:oMath>
            <w:r w:rsidR="00EF57FC" w:rsidRPr="0033338C">
              <w:rPr>
                <w:rFonts w:ascii="Arial" w:hAnsi="Arial" w:cs="Arial"/>
                <w:bCs/>
                <w:sz w:val="24"/>
                <w:szCs w:val="24"/>
                <w:lang w:val="en-US"/>
              </w:rPr>
              <w:t xml:space="preserve"> </w:t>
            </w:r>
          </w:p>
        </w:tc>
      </w:tr>
      <w:tr w:rsidR="00BD444C" w:rsidRPr="0033338C" w14:paraId="75668A3E" w14:textId="77777777" w:rsidTr="00EF57FC">
        <w:trPr>
          <w:trHeight w:val="842"/>
        </w:trPr>
        <w:tc>
          <w:tcPr>
            <w:tcW w:w="0" w:type="auto"/>
            <w:hideMark/>
          </w:tcPr>
          <w:p w14:paraId="19F6AB2A"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Average Annual Profit</w:t>
            </w:r>
          </w:p>
        </w:tc>
        <w:tc>
          <w:tcPr>
            <w:tcW w:w="0" w:type="auto"/>
            <w:hideMark/>
          </w:tcPr>
          <w:p w14:paraId="27112D3F"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2.80</w:t>
            </w:r>
          </w:p>
        </w:tc>
        <w:tc>
          <w:tcPr>
            <w:tcW w:w="0" w:type="auto"/>
            <w:hideMark/>
          </w:tcPr>
          <w:p w14:paraId="59018C32"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0.00</w:t>
            </w:r>
          </w:p>
        </w:tc>
        <w:tc>
          <w:tcPr>
            <w:tcW w:w="0" w:type="auto"/>
            <w:hideMark/>
          </w:tcPr>
          <w:p w14:paraId="2B6C50DA"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5.00</w:t>
            </w:r>
          </w:p>
        </w:tc>
      </w:tr>
      <w:tr w:rsidR="00E5407B" w:rsidRPr="0033338C" w14:paraId="333DF21B" w14:textId="77777777" w:rsidTr="00EF57FC">
        <w:trPr>
          <w:trHeight w:val="980"/>
        </w:trPr>
        <w:tc>
          <w:tcPr>
            <w:tcW w:w="0" w:type="auto"/>
            <w:hideMark/>
          </w:tcPr>
          <w:p w14:paraId="79D25E90" w14:textId="4E25717D"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Average Investment</w:t>
            </w:r>
            <m:oMath>
              <m:r>
                <m:rPr>
                  <m:sty m:val="bi"/>
                </m:rPr>
                <w:rPr>
                  <w:rFonts w:ascii="Cambria Math" w:hAnsi="Cambria Math" w:cs="Arial"/>
                  <w:sz w:val="24"/>
                  <w:szCs w:val="24"/>
                  <w:lang w:val="en-US"/>
                </w:rPr>
                <m:t xml:space="preserve"> </m:t>
              </m:r>
              <m:d>
                <m:dPr>
                  <m:ctrlPr>
                    <w:rPr>
                      <w:rFonts w:ascii="Cambria Math" w:hAnsi="Cambria Math" w:cs="Arial"/>
                      <w:b/>
                      <w:i/>
                      <w:sz w:val="24"/>
                      <w:szCs w:val="24"/>
                      <w:lang w:val="en-US"/>
                    </w:rPr>
                  </m:ctrlPr>
                </m:dPr>
                <m:e>
                  <m:f>
                    <m:fPr>
                      <m:ctrlPr>
                        <w:rPr>
                          <w:rFonts w:ascii="Cambria Math" w:hAnsi="Cambria Math" w:cs="Arial"/>
                          <w:b/>
                          <w:bCs/>
                          <w:i/>
                          <w:sz w:val="24"/>
                          <w:szCs w:val="24"/>
                          <w:lang w:val="en-US"/>
                        </w:rPr>
                      </m:ctrlPr>
                    </m:fPr>
                    <m:num>
                      <m:sSub>
                        <m:sSubPr>
                          <m:ctrlPr>
                            <w:rPr>
                              <w:rFonts w:ascii="Cambria Math" w:hAnsi="Cambria Math" w:cs="Arial"/>
                              <w:b/>
                              <w:bCs/>
                              <w:i/>
                              <w:sz w:val="24"/>
                              <w:szCs w:val="24"/>
                              <w:lang w:val="en-US"/>
                            </w:rPr>
                          </m:ctrlPr>
                        </m:sSubPr>
                        <m:e>
                          <m:r>
                            <m:rPr>
                              <m:sty m:val="bi"/>
                            </m:rPr>
                            <w:rPr>
                              <w:rFonts w:ascii="Cambria Math" w:hAnsi="Cambria Math" w:cs="Arial"/>
                              <w:sz w:val="24"/>
                              <w:szCs w:val="24"/>
                              <w:lang w:val="en-US"/>
                            </w:rPr>
                            <m:t>I</m:t>
                          </m:r>
                          <m:ctrlPr>
                            <w:rPr>
                              <w:rFonts w:ascii="Cambria Math" w:hAnsi="Cambria Math" w:cs="Arial"/>
                              <w:b/>
                              <w:i/>
                              <w:sz w:val="24"/>
                              <w:szCs w:val="24"/>
                              <w:lang w:val="en-US"/>
                            </w:rPr>
                          </m:ctrlPr>
                        </m:e>
                        <m:sub>
                          <m:r>
                            <m:rPr>
                              <m:sty m:val="bi"/>
                            </m:rPr>
                            <w:rPr>
                              <w:rFonts w:ascii="Cambria Math" w:hAnsi="Cambria Math" w:cs="Arial"/>
                              <w:sz w:val="24"/>
                              <w:szCs w:val="24"/>
                              <w:lang w:val="en-US"/>
                            </w:rPr>
                            <m:t>0</m:t>
                          </m:r>
                        </m:sub>
                      </m:sSub>
                      <m:ctrlPr>
                        <w:rPr>
                          <w:rFonts w:ascii="Cambria Math" w:hAnsi="Cambria Math" w:cs="Arial"/>
                          <w:b/>
                          <w:i/>
                          <w:sz w:val="24"/>
                          <w:szCs w:val="24"/>
                          <w:lang w:val="en-US"/>
                        </w:rPr>
                      </m:ctrlPr>
                    </m:num>
                    <m:den>
                      <m:r>
                        <m:rPr>
                          <m:sty m:val="bi"/>
                        </m:rPr>
                        <w:rPr>
                          <w:rFonts w:ascii="Cambria Math" w:hAnsi="Cambria Math" w:cs="Arial"/>
                          <w:sz w:val="24"/>
                          <w:szCs w:val="24"/>
                          <w:lang w:val="en-US"/>
                        </w:rPr>
                        <m:t>2</m:t>
                      </m:r>
                    </m:den>
                  </m:f>
                </m:e>
              </m:d>
            </m:oMath>
            <w:r w:rsidRPr="0033338C">
              <w:rPr>
                <w:rFonts w:ascii="Arial" w:hAnsi="Arial" w:cs="Arial"/>
                <w:bCs/>
                <w:sz w:val="24"/>
                <w:szCs w:val="24"/>
                <w:lang w:val="en-US"/>
              </w:rPr>
              <w:t xml:space="preserve"> </w:t>
            </w:r>
          </w:p>
        </w:tc>
        <w:tc>
          <w:tcPr>
            <w:tcW w:w="0" w:type="auto"/>
            <w:hideMark/>
          </w:tcPr>
          <w:p w14:paraId="1682A5D6"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20.00</w:t>
            </w:r>
          </w:p>
        </w:tc>
        <w:tc>
          <w:tcPr>
            <w:tcW w:w="0" w:type="auto"/>
            <w:hideMark/>
          </w:tcPr>
          <w:p w14:paraId="2D20CF65"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15.00</w:t>
            </w:r>
          </w:p>
        </w:tc>
        <w:tc>
          <w:tcPr>
            <w:tcW w:w="0" w:type="auto"/>
            <w:hideMark/>
          </w:tcPr>
          <w:p w14:paraId="5EC1288F" w14:textId="77777777" w:rsidR="00CD3E5E" w:rsidRPr="0033338C" w:rsidRDefault="00CD3E5E" w:rsidP="00CD3E5E">
            <w:pPr>
              <w:spacing w:before="240" w:line="360" w:lineRule="auto"/>
              <w:jc w:val="both"/>
              <w:rPr>
                <w:rFonts w:ascii="Arial" w:hAnsi="Arial" w:cs="Arial"/>
                <w:bCs/>
                <w:sz w:val="24"/>
                <w:szCs w:val="24"/>
                <w:lang w:val="en-US"/>
              </w:rPr>
            </w:pPr>
            <w:r w:rsidRPr="0033338C">
              <w:rPr>
                <w:rFonts w:ascii="Arial" w:hAnsi="Arial" w:cs="Arial"/>
                <w:bCs/>
                <w:sz w:val="24"/>
                <w:szCs w:val="24"/>
                <w:lang w:val="en-US"/>
              </w:rPr>
              <w:t>25.00</w:t>
            </w:r>
          </w:p>
        </w:tc>
      </w:tr>
    </w:tbl>
    <w:p w14:paraId="78F523C1" w14:textId="6156966C" w:rsidR="00CD3E5E" w:rsidRPr="0033338C" w:rsidRDefault="00230F0F" w:rsidP="00CD4561">
      <w:pPr>
        <w:spacing w:before="240" w:line="360" w:lineRule="auto"/>
        <w:jc w:val="both"/>
        <w:rPr>
          <w:rFonts w:ascii="Arial" w:hAnsi="Arial" w:cs="Arial"/>
          <w:b/>
          <w:sz w:val="24"/>
          <w:szCs w:val="24"/>
          <w:lang w:val="en-US"/>
        </w:rPr>
      </w:pPr>
      <w:r w:rsidRPr="0033338C">
        <w:rPr>
          <w:rFonts w:ascii="Arial" w:hAnsi="Arial" w:cs="Arial"/>
          <w:b/>
          <w:sz w:val="24"/>
          <w:szCs w:val="24"/>
          <w:lang w:val="en-US"/>
        </w:rPr>
        <w:t>B. Summary of Investment Appraisal Metrics</w:t>
      </w:r>
    </w:p>
    <w:p w14:paraId="09C5E76C" w14:textId="32C5B5D9" w:rsidR="00CD4561" w:rsidRPr="0033338C" w:rsidRDefault="0051361F" w:rsidP="00CD4561">
      <w:pPr>
        <w:spacing w:before="240" w:line="360" w:lineRule="auto"/>
        <w:jc w:val="both"/>
        <w:rPr>
          <w:rFonts w:ascii="Arial" w:hAnsi="Arial" w:cs="Arial"/>
          <w:bCs/>
          <w:sz w:val="24"/>
          <w:szCs w:val="24"/>
          <w:lang w:val="en-US"/>
        </w:rPr>
      </w:pPr>
      <w:r w:rsidRPr="0033338C">
        <w:rPr>
          <w:rFonts w:ascii="Arial" w:hAnsi="Arial" w:cs="Arial"/>
          <w:bCs/>
          <w:sz w:val="24"/>
          <w:szCs w:val="24"/>
          <w:lang w:val="en-US"/>
        </w:rPr>
        <w:t>The key metrics are summarised below. The decisions for the discounted cash flow (DCF) methods are based on a 10% discount rate.</w:t>
      </w:r>
    </w:p>
    <w:tbl>
      <w:tblPr>
        <w:tblStyle w:val="TableGrid"/>
        <w:tblW w:w="0" w:type="auto"/>
        <w:tblLook w:val="04A0" w:firstRow="1" w:lastRow="0" w:firstColumn="1" w:lastColumn="0" w:noHBand="0" w:noVBand="1"/>
      </w:tblPr>
      <w:tblGrid>
        <w:gridCol w:w="2358"/>
        <w:gridCol w:w="1132"/>
        <w:gridCol w:w="1132"/>
        <w:gridCol w:w="1132"/>
        <w:gridCol w:w="3262"/>
      </w:tblGrid>
      <w:tr w:rsidR="006C37F1" w:rsidRPr="0033338C" w14:paraId="041376E4" w14:textId="77777777" w:rsidTr="00DF588B">
        <w:tc>
          <w:tcPr>
            <w:tcW w:w="0" w:type="auto"/>
            <w:hideMark/>
          </w:tcPr>
          <w:p w14:paraId="6AA105B2"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Metric</w:t>
            </w:r>
          </w:p>
        </w:tc>
        <w:tc>
          <w:tcPr>
            <w:tcW w:w="0" w:type="auto"/>
            <w:hideMark/>
          </w:tcPr>
          <w:p w14:paraId="3E6476C0"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A</w:t>
            </w:r>
          </w:p>
        </w:tc>
        <w:tc>
          <w:tcPr>
            <w:tcW w:w="0" w:type="auto"/>
            <w:hideMark/>
          </w:tcPr>
          <w:p w14:paraId="2F2C6B9C"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B</w:t>
            </w:r>
          </w:p>
        </w:tc>
        <w:tc>
          <w:tcPr>
            <w:tcW w:w="0" w:type="auto"/>
            <w:hideMark/>
          </w:tcPr>
          <w:p w14:paraId="5628FA91"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C</w:t>
            </w:r>
          </w:p>
        </w:tc>
        <w:tc>
          <w:tcPr>
            <w:tcW w:w="0" w:type="auto"/>
            <w:hideMark/>
          </w:tcPr>
          <w:p w14:paraId="7D215DAB"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Decision Criteria (10% DR)</w:t>
            </w:r>
          </w:p>
        </w:tc>
      </w:tr>
      <w:tr w:rsidR="006C37F1" w:rsidRPr="0033338C" w14:paraId="3FAF3DB7" w14:textId="77777777" w:rsidTr="00DF588B">
        <w:tc>
          <w:tcPr>
            <w:tcW w:w="0" w:type="auto"/>
            <w:hideMark/>
          </w:tcPr>
          <w:p w14:paraId="79C4AF6A"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Payback Period (PBP)</w:t>
            </w:r>
          </w:p>
        </w:tc>
        <w:tc>
          <w:tcPr>
            <w:tcW w:w="0" w:type="auto"/>
            <w:hideMark/>
          </w:tcPr>
          <w:p w14:paraId="098A6441"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3.57 years</w:t>
            </w:r>
          </w:p>
        </w:tc>
        <w:tc>
          <w:tcPr>
            <w:tcW w:w="0" w:type="auto"/>
            <w:hideMark/>
          </w:tcPr>
          <w:p w14:paraId="1D34D713"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5.00 years</w:t>
            </w:r>
          </w:p>
        </w:tc>
        <w:tc>
          <w:tcPr>
            <w:tcW w:w="0" w:type="auto"/>
            <w:hideMark/>
          </w:tcPr>
          <w:p w14:paraId="0F2BB5FE"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3.50 years</w:t>
            </w:r>
          </w:p>
        </w:tc>
        <w:tc>
          <w:tcPr>
            <w:tcW w:w="0" w:type="auto"/>
            <w:hideMark/>
          </w:tcPr>
          <w:p w14:paraId="1AF18CB2"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Shorter PBP is preferred (Risk/Liquidity).</w:t>
            </w:r>
          </w:p>
        </w:tc>
      </w:tr>
      <w:tr w:rsidR="006C37F1" w:rsidRPr="0033338C" w14:paraId="4C350202" w14:textId="77777777" w:rsidTr="00DF588B">
        <w:tc>
          <w:tcPr>
            <w:tcW w:w="0" w:type="auto"/>
            <w:hideMark/>
          </w:tcPr>
          <w:p w14:paraId="40DF6009"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Accounting Rate of Return (ARR)</w:t>
            </w:r>
          </w:p>
        </w:tc>
        <w:tc>
          <w:tcPr>
            <w:tcW w:w="0" w:type="auto"/>
            <w:hideMark/>
          </w:tcPr>
          <w:p w14:paraId="547408D8" w14:textId="6E79F696"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14.00%</w:t>
            </w:r>
          </w:p>
        </w:tc>
        <w:tc>
          <w:tcPr>
            <w:tcW w:w="0" w:type="auto"/>
            <w:hideMark/>
          </w:tcPr>
          <w:p w14:paraId="02841C91" w14:textId="24A89899"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0.00%</w:t>
            </w:r>
          </w:p>
        </w:tc>
        <w:tc>
          <w:tcPr>
            <w:tcW w:w="0" w:type="auto"/>
            <w:hideMark/>
          </w:tcPr>
          <w:p w14:paraId="21488ED7" w14:textId="459A57D4"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20.00%</w:t>
            </w:r>
          </w:p>
        </w:tc>
        <w:tc>
          <w:tcPr>
            <w:tcW w:w="0" w:type="auto"/>
            <w:hideMark/>
          </w:tcPr>
          <w:p w14:paraId="779C8F5E"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Higher ARR is preferred.</w:t>
            </w:r>
          </w:p>
        </w:tc>
      </w:tr>
      <w:tr w:rsidR="006C37F1" w:rsidRPr="0033338C" w14:paraId="72D0C5E0" w14:textId="77777777" w:rsidTr="00DF588B">
        <w:tc>
          <w:tcPr>
            <w:tcW w:w="0" w:type="auto"/>
            <w:hideMark/>
          </w:tcPr>
          <w:p w14:paraId="289AE01E"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Net Present Value (NPV) (£m)</w:t>
            </w:r>
          </w:p>
        </w:tc>
        <w:tc>
          <w:tcPr>
            <w:tcW w:w="0" w:type="auto"/>
            <w:hideMark/>
          </w:tcPr>
          <w:p w14:paraId="5894AD1F" w14:textId="49EB1AC2"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5.96</w:t>
            </w:r>
          </w:p>
        </w:tc>
        <w:tc>
          <w:tcPr>
            <w:tcW w:w="0" w:type="auto"/>
            <w:hideMark/>
          </w:tcPr>
          <w:p w14:paraId="5AC27060" w14:textId="36B75D7C"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-7.32</w:t>
            </w:r>
          </w:p>
        </w:tc>
        <w:tc>
          <w:tcPr>
            <w:tcW w:w="0" w:type="auto"/>
            <w:hideMark/>
          </w:tcPr>
          <w:p w14:paraId="705E0537" w14:textId="550B199D"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12.39</w:t>
            </w:r>
          </w:p>
        </w:tc>
        <w:tc>
          <w:tcPr>
            <w:tcW w:w="0" w:type="auto"/>
            <w:hideMark/>
          </w:tcPr>
          <w:p w14:paraId="61FAEFDC" w14:textId="25E28D54"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Accept if &gt; 0. Higher NPV is preferred (Wealth Max.).</w:t>
            </w:r>
          </w:p>
        </w:tc>
      </w:tr>
      <w:tr w:rsidR="006C37F1" w:rsidRPr="0033338C" w14:paraId="6734538F" w14:textId="77777777" w:rsidTr="00DF588B">
        <w:tc>
          <w:tcPr>
            <w:tcW w:w="0" w:type="auto"/>
            <w:hideMark/>
          </w:tcPr>
          <w:p w14:paraId="4E442559"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Internal Rate of Return (IRR)</w:t>
            </w:r>
          </w:p>
        </w:tc>
        <w:tc>
          <w:tcPr>
            <w:tcW w:w="0" w:type="auto"/>
            <w:hideMark/>
          </w:tcPr>
          <w:p w14:paraId="2759B4A7" w14:textId="2F9E9898"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16.89%</w:t>
            </w:r>
          </w:p>
        </w:tc>
        <w:tc>
          <w:tcPr>
            <w:tcW w:w="0" w:type="auto"/>
            <w:hideMark/>
          </w:tcPr>
          <w:p w14:paraId="37744508" w14:textId="0D5485EA"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10.00%</w:t>
            </w:r>
          </w:p>
        </w:tc>
        <w:tc>
          <w:tcPr>
            <w:tcW w:w="0" w:type="auto"/>
            <w:hideMark/>
          </w:tcPr>
          <w:p w14:paraId="02891FFF" w14:textId="1934478E"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18.46%</w:t>
            </w:r>
          </w:p>
        </w:tc>
        <w:tc>
          <w:tcPr>
            <w:tcW w:w="0" w:type="auto"/>
            <w:hideMark/>
          </w:tcPr>
          <w:p w14:paraId="619D362D" w14:textId="7D72E32E"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Accept if &gt; 10%. Higher IRR is preferred.</w:t>
            </w:r>
          </w:p>
        </w:tc>
      </w:tr>
      <w:tr w:rsidR="006C37F1" w:rsidRPr="0033338C" w14:paraId="5D4BCBC2" w14:textId="77777777" w:rsidTr="00DF588B">
        <w:tc>
          <w:tcPr>
            <w:tcW w:w="0" w:type="auto"/>
            <w:hideMark/>
          </w:tcPr>
          <w:p w14:paraId="5D76856A" w14:textId="77777777"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Profitability Index (PI)</w:t>
            </w:r>
          </w:p>
        </w:tc>
        <w:tc>
          <w:tcPr>
            <w:tcW w:w="0" w:type="auto"/>
            <w:hideMark/>
          </w:tcPr>
          <w:p w14:paraId="26E92600" w14:textId="13B68A34"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1.15</w:t>
            </w:r>
          </w:p>
        </w:tc>
        <w:tc>
          <w:tcPr>
            <w:tcW w:w="0" w:type="auto"/>
            <w:hideMark/>
          </w:tcPr>
          <w:p w14:paraId="59639674" w14:textId="308926EB"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0.76</w:t>
            </w:r>
          </w:p>
        </w:tc>
        <w:tc>
          <w:tcPr>
            <w:tcW w:w="0" w:type="auto"/>
            <w:hideMark/>
          </w:tcPr>
          <w:p w14:paraId="5C8FD2C8" w14:textId="5069FEDB" w:rsidR="00DF588B" w:rsidRPr="0033338C" w:rsidRDefault="00DF588B" w:rsidP="00DF588B">
            <w:pPr>
              <w:spacing w:before="240" w:line="360" w:lineRule="auto"/>
              <w:jc w:val="both"/>
              <w:rPr>
                <w:rFonts w:ascii="Arial" w:hAnsi="Arial" w:cs="Arial"/>
                <w:sz w:val="24"/>
                <w:szCs w:val="24"/>
                <w:lang w:val="en-US"/>
              </w:rPr>
            </w:pPr>
            <w:r w:rsidRPr="0033338C">
              <w:rPr>
                <w:rFonts w:ascii="Arial" w:hAnsi="Arial" w:cs="Arial"/>
                <w:sz w:val="24"/>
                <w:szCs w:val="24"/>
                <w:lang w:val="en-US"/>
              </w:rPr>
              <w:t>1.25</w:t>
            </w:r>
          </w:p>
        </w:tc>
        <w:tc>
          <w:tcPr>
            <w:tcW w:w="0" w:type="auto"/>
            <w:hideMark/>
          </w:tcPr>
          <w:p w14:paraId="1496190D" w14:textId="14481195" w:rsidR="00DF588B" w:rsidRPr="0033338C" w:rsidRDefault="00DF588B" w:rsidP="00DF588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Accept if &gt; 1. Higher PI is preferred (Capital Rationing).</w:t>
            </w:r>
          </w:p>
        </w:tc>
      </w:tr>
    </w:tbl>
    <w:p w14:paraId="084BDD26" w14:textId="408D0A4B" w:rsidR="00CD4561" w:rsidRPr="0033338C" w:rsidRDefault="000E57EC" w:rsidP="00CD4561">
      <w:pPr>
        <w:spacing w:before="240" w:line="360" w:lineRule="auto"/>
        <w:jc w:val="both"/>
        <w:rPr>
          <w:rFonts w:ascii="Arial" w:hAnsi="Arial" w:cs="Arial"/>
          <w:b/>
          <w:sz w:val="24"/>
          <w:szCs w:val="24"/>
          <w:lang w:val="en-US"/>
        </w:rPr>
      </w:pPr>
      <w:r w:rsidRPr="0033338C">
        <w:rPr>
          <w:rFonts w:ascii="Arial" w:hAnsi="Arial" w:cs="Arial"/>
          <w:b/>
          <w:sz w:val="24"/>
          <w:szCs w:val="24"/>
          <w:lang w:val="en-US"/>
        </w:rPr>
        <w:t>Detailed NPV Calculation (Using 10% Discount Factors)</w:t>
      </w:r>
      <w:r w:rsidR="00CD4561" w:rsidRPr="0033338C">
        <w:rPr>
          <w:rFonts w:ascii="Arial" w:hAnsi="Arial" w:cs="Arial"/>
          <w:b/>
          <w:sz w:val="24"/>
          <w:szCs w:val="24"/>
          <w:lang w:val="en-US"/>
        </w:rPr>
        <w:t>:</w:t>
      </w:r>
    </w:p>
    <w:tbl>
      <w:tblPr>
        <w:tblStyle w:val="TableGrid"/>
        <w:tblW w:w="0" w:type="auto"/>
        <w:tblLook w:val="04A0" w:firstRow="1" w:lastRow="0" w:firstColumn="1" w:lastColumn="0" w:noHBand="0" w:noVBand="1"/>
      </w:tblPr>
      <w:tblGrid>
        <w:gridCol w:w="2569"/>
        <w:gridCol w:w="1017"/>
        <w:gridCol w:w="1810"/>
        <w:gridCol w:w="1810"/>
        <w:gridCol w:w="1810"/>
      </w:tblGrid>
      <w:tr w:rsidR="006A21CF" w:rsidRPr="0033338C" w14:paraId="7F5258BE" w14:textId="77777777" w:rsidTr="006A21CF">
        <w:tc>
          <w:tcPr>
            <w:tcW w:w="0" w:type="auto"/>
            <w:hideMark/>
          </w:tcPr>
          <w:p w14:paraId="2BB2A1A7"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lastRenderedPageBreak/>
              <w:t>Year</w:t>
            </w:r>
          </w:p>
        </w:tc>
        <w:tc>
          <w:tcPr>
            <w:tcW w:w="0" w:type="auto"/>
            <w:hideMark/>
          </w:tcPr>
          <w:p w14:paraId="7EF04C0C" w14:textId="3B1F049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DF10%</w:t>
            </w:r>
          </w:p>
        </w:tc>
        <w:tc>
          <w:tcPr>
            <w:tcW w:w="0" w:type="auto"/>
            <w:hideMark/>
          </w:tcPr>
          <w:p w14:paraId="63A25408"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A (£m)</w:t>
            </w:r>
          </w:p>
        </w:tc>
        <w:tc>
          <w:tcPr>
            <w:tcW w:w="0" w:type="auto"/>
            <w:hideMark/>
          </w:tcPr>
          <w:p w14:paraId="657E917E"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B (£m)</w:t>
            </w:r>
          </w:p>
        </w:tc>
        <w:tc>
          <w:tcPr>
            <w:tcW w:w="0" w:type="auto"/>
            <w:hideMark/>
          </w:tcPr>
          <w:p w14:paraId="43A07FC4"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 C (£m)</w:t>
            </w:r>
          </w:p>
        </w:tc>
      </w:tr>
      <w:tr w:rsidR="006A21CF" w:rsidRPr="0033338C" w14:paraId="01117D36" w14:textId="77777777" w:rsidTr="006A21CF">
        <w:tc>
          <w:tcPr>
            <w:tcW w:w="0" w:type="auto"/>
            <w:hideMark/>
          </w:tcPr>
          <w:p w14:paraId="1523695C"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0</w:t>
            </w:r>
          </w:p>
        </w:tc>
        <w:tc>
          <w:tcPr>
            <w:tcW w:w="0" w:type="auto"/>
            <w:hideMark/>
          </w:tcPr>
          <w:p w14:paraId="0A8DBD7A"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1.000</w:t>
            </w:r>
          </w:p>
        </w:tc>
        <w:tc>
          <w:tcPr>
            <w:tcW w:w="0" w:type="auto"/>
            <w:hideMark/>
          </w:tcPr>
          <w:p w14:paraId="7AAA96A2"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(40.00)</w:t>
            </w:r>
          </w:p>
        </w:tc>
        <w:tc>
          <w:tcPr>
            <w:tcW w:w="0" w:type="auto"/>
            <w:hideMark/>
          </w:tcPr>
          <w:p w14:paraId="7D61B038"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(30.00)</w:t>
            </w:r>
          </w:p>
        </w:tc>
        <w:tc>
          <w:tcPr>
            <w:tcW w:w="0" w:type="auto"/>
            <w:hideMark/>
          </w:tcPr>
          <w:p w14:paraId="27B25FCA"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(50.00)</w:t>
            </w:r>
          </w:p>
        </w:tc>
      </w:tr>
      <w:tr w:rsidR="006A21CF" w:rsidRPr="0033338C" w14:paraId="062E7AA4" w14:textId="77777777" w:rsidTr="006A21CF">
        <w:tc>
          <w:tcPr>
            <w:tcW w:w="0" w:type="auto"/>
            <w:hideMark/>
          </w:tcPr>
          <w:p w14:paraId="16FD3645"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1</w:t>
            </w:r>
          </w:p>
        </w:tc>
        <w:tc>
          <w:tcPr>
            <w:tcW w:w="0" w:type="auto"/>
            <w:hideMark/>
          </w:tcPr>
          <w:p w14:paraId="0B17AAA5"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0.909</w:t>
            </w:r>
          </w:p>
        </w:tc>
        <w:tc>
          <w:tcPr>
            <w:tcW w:w="0" w:type="auto"/>
            <w:hideMark/>
          </w:tcPr>
          <w:p w14:paraId="25FA360D"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9.09</w:t>
            </w:r>
          </w:p>
        </w:tc>
        <w:tc>
          <w:tcPr>
            <w:tcW w:w="0" w:type="auto"/>
            <w:hideMark/>
          </w:tcPr>
          <w:p w14:paraId="0AF8521A"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5.45</w:t>
            </w:r>
          </w:p>
        </w:tc>
        <w:tc>
          <w:tcPr>
            <w:tcW w:w="0" w:type="auto"/>
            <w:hideMark/>
          </w:tcPr>
          <w:p w14:paraId="73726235"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4.55</w:t>
            </w:r>
          </w:p>
        </w:tc>
      </w:tr>
      <w:tr w:rsidR="006A21CF" w:rsidRPr="0033338C" w14:paraId="445D986E" w14:textId="77777777" w:rsidTr="006A21CF">
        <w:tc>
          <w:tcPr>
            <w:tcW w:w="0" w:type="auto"/>
            <w:hideMark/>
          </w:tcPr>
          <w:p w14:paraId="40238652"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2</w:t>
            </w:r>
          </w:p>
        </w:tc>
        <w:tc>
          <w:tcPr>
            <w:tcW w:w="0" w:type="auto"/>
            <w:hideMark/>
          </w:tcPr>
          <w:p w14:paraId="2DE4E017"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0.826</w:t>
            </w:r>
          </w:p>
        </w:tc>
        <w:tc>
          <w:tcPr>
            <w:tcW w:w="0" w:type="auto"/>
            <w:hideMark/>
          </w:tcPr>
          <w:p w14:paraId="4075A633"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9.91</w:t>
            </w:r>
          </w:p>
        </w:tc>
        <w:tc>
          <w:tcPr>
            <w:tcW w:w="0" w:type="auto"/>
            <w:hideMark/>
          </w:tcPr>
          <w:p w14:paraId="7C75D62E"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4.96</w:t>
            </w:r>
          </w:p>
        </w:tc>
        <w:tc>
          <w:tcPr>
            <w:tcW w:w="0" w:type="auto"/>
            <w:hideMark/>
          </w:tcPr>
          <w:p w14:paraId="4FA692E1"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8.26</w:t>
            </w:r>
          </w:p>
        </w:tc>
      </w:tr>
      <w:tr w:rsidR="006A21CF" w:rsidRPr="0033338C" w14:paraId="566BA6DD" w14:textId="77777777" w:rsidTr="006A21CF">
        <w:tc>
          <w:tcPr>
            <w:tcW w:w="0" w:type="auto"/>
            <w:hideMark/>
          </w:tcPr>
          <w:p w14:paraId="55AD93DE"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3</w:t>
            </w:r>
          </w:p>
        </w:tc>
        <w:tc>
          <w:tcPr>
            <w:tcW w:w="0" w:type="auto"/>
            <w:hideMark/>
          </w:tcPr>
          <w:p w14:paraId="7F0E98AA"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0.751</w:t>
            </w:r>
          </w:p>
        </w:tc>
        <w:tc>
          <w:tcPr>
            <w:tcW w:w="0" w:type="auto"/>
            <w:hideMark/>
          </w:tcPr>
          <w:p w14:paraId="6E03BCF9"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10.51</w:t>
            </w:r>
          </w:p>
        </w:tc>
        <w:tc>
          <w:tcPr>
            <w:tcW w:w="0" w:type="auto"/>
            <w:hideMark/>
          </w:tcPr>
          <w:p w14:paraId="2075892E"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4.51</w:t>
            </w:r>
          </w:p>
        </w:tc>
        <w:tc>
          <w:tcPr>
            <w:tcW w:w="0" w:type="auto"/>
            <w:hideMark/>
          </w:tcPr>
          <w:p w14:paraId="581C72C4"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15.02</w:t>
            </w:r>
          </w:p>
        </w:tc>
      </w:tr>
      <w:tr w:rsidR="006A21CF" w:rsidRPr="0033338C" w14:paraId="7CEE9616" w14:textId="77777777" w:rsidTr="006A21CF">
        <w:tc>
          <w:tcPr>
            <w:tcW w:w="0" w:type="auto"/>
            <w:hideMark/>
          </w:tcPr>
          <w:p w14:paraId="7AED4812"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4</w:t>
            </w:r>
          </w:p>
        </w:tc>
        <w:tc>
          <w:tcPr>
            <w:tcW w:w="0" w:type="auto"/>
            <w:hideMark/>
          </w:tcPr>
          <w:p w14:paraId="7BF2C7EE"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0.683</w:t>
            </w:r>
          </w:p>
        </w:tc>
        <w:tc>
          <w:tcPr>
            <w:tcW w:w="0" w:type="auto"/>
            <w:hideMark/>
          </w:tcPr>
          <w:p w14:paraId="2BECFD28"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6.83</w:t>
            </w:r>
          </w:p>
        </w:tc>
        <w:tc>
          <w:tcPr>
            <w:tcW w:w="0" w:type="auto"/>
            <w:hideMark/>
          </w:tcPr>
          <w:p w14:paraId="3DB8BF93"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4.10</w:t>
            </w:r>
          </w:p>
        </w:tc>
        <w:tc>
          <w:tcPr>
            <w:tcW w:w="0" w:type="auto"/>
            <w:hideMark/>
          </w:tcPr>
          <w:p w14:paraId="739A2E49"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17.08</w:t>
            </w:r>
          </w:p>
        </w:tc>
      </w:tr>
      <w:tr w:rsidR="006A21CF" w:rsidRPr="0033338C" w14:paraId="63BD184C" w14:textId="77777777" w:rsidTr="006A21CF">
        <w:tc>
          <w:tcPr>
            <w:tcW w:w="0" w:type="auto"/>
            <w:hideMark/>
          </w:tcPr>
          <w:p w14:paraId="6800B5A9"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5</w:t>
            </w:r>
          </w:p>
        </w:tc>
        <w:tc>
          <w:tcPr>
            <w:tcW w:w="0" w:type="auto"/>
            <w:hideMark/>
          </w:tcPr>
          <w:p w14:paraId="7E461558"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0.621</w:t>
            </w:r>
          </w:p>
        </w:tc>
        <w:tc>
          <w:tcPr>
            <w:tcW w:w="0" w:type="auto"/>
            <w:hideMark/>
          </w:tcPr>
          <w:p w14:paraId="61ADC1F5"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4.97</w:t>
            </w:r>
          </w:p>
        </w:tc>
        <w:tc>
          <w:tcPr>
            <w:tcW w:w="0" w:type="auto"/>
            <w:hideMark/>
          </w:tcPr>
          <w:p w14:paraId="61F6D0E8"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3.73</w:t>
            </w:r>
          </w:p>
        </w:tc>
        <w:tc>
          <w:tcPr>
            <w:tcW w:w="0" w:type="auto"/>
            <w:hideMark/>
          </w:tcPr>
          <w:p w14:paraId="54B94C9D"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9.32</w:t>
            </w:r>
          </w:p>
        </w:tc>
      </w:tr>
      <w:tr w:rsidR="006A21CF" w:rsidRPr="0033338C" w14:paraId="4EC872A7" w14:textId="77777777" w:rsidTr="006A21CF">
        <w:tc>
          <w:tcPr>
            <w:tcW w:w="0" w:type="auto"/>
            <w:hideMark/>
          </w:tcPr>
          <w:p w14:paraId="6859FFB6"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PV of Inflows</w:t>
            </w:r>
          </w:p>
        </w:tc>
        <w:tc>
          <w:tcPr>
            <w:tcW w:w="0" w:type="auto"/>
            <w:hideMark/>
          </w:tcPr>
          <w:p w14:paraId="5FB3DCBB" w14:textId="77777777" w:rsidR="006A21CF" w:rsidRPr="0033338C" w:rsidRDefault="006A21CF" w:rsidP="006A21CF">
            <w:pPr>
              <w:spacing w:before="240" w:line="360" w:lineRule="auto"/>
              <w:jc w:val="both"/>
              <w:rPr>
                <w:rFonts w:ascii="Arial" w:hAnsi="Arial" w:cs="Arial"/>
                <w:bCs/>
                <w:sz w:val="24"/>
                <w:szCs w:val="24"/>
                <w:lang w:val="en-US"/>
              </w:rPr>
            </w:pPr>
          </w:p>
        </w:tc>
        <w:tc>
          <w:tcPr>
            <w:tcW w:w="0" w:type="auto"/>
            <w:hideMark/>
          </w:tcPr>
          <w:p w14:paraId="1227D631"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45.96</w:t>
            </w:r>
          </w:p>
        </w:tc>
        <w:tc>
          <w:tcPr>
            <w:tcW w:w="0" w:type="auto"/>
            <w:hideMark/>
          </w:tcPr>
          <w:p w14:paraId="1D50CAA1"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22.74</w:t>
            </w:r>
          </w:p>
        </w:tc>
        <w:tc>
          <w:tcPr>
            <w:tcW w:w="0" w:type="auto"/>
            <w:hideMark/>
          </w:tcPr>
          <w:p w14:paraId="3F7A3823" w14:textId="7777777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Cs/>
                <w:sz w:val="24"/>
                <w:szCs w:val="24"/>
                <w:lang w:val="en-US"/>
              </w:rPr>
              <w:t>62.39</w:t>
            </w:r>
          </w:p>
        </w:tc>
      </w:tr>
      <w:tr w:rsidR="006A21CF" w:rsidRPr="0033338C" w14:paraId="42772488" w14:textId="77777777" w:rsidTr="006A21CF">
        <w:tc>
          <w:tcPr>
            <w:tcW w:w="0" w:type="auto"/>
            <w:hideMark/>
          </w:tcPr>
          <w:p w14:paraId="7AE345A2" w14:textId="4E85F2B7" w:rsidR="006A21CF" w:rsidRPr="0033338C" w:rsidRDefault="006A21CF" w:rsidP="006A21CF">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 xml:space="preserve">NPV (PV Inflows </w:t>
            </w:r>
            <w:r w:rsidR="0084211F" w:rsidRPr="0033338C">
              <w:rPr>
                <w:rFonts w:ascii="Arial" w:hAnsi="Arial" w:cs="Arial"/>
                <w:b/>
                <w:bCs/>
                <w:sz w:val="24"/>
                <w:szCs w:val="24"/>
                <w:lang w:val="en-US"/>
              </w:rPr>
              <w:t>–</w:t>
            </w:r>
            <w:r w:rsidRPr="0033338C">
              <w:rPr>
                <w:rFonts w:ascii="Arial" w:hAnsi="Arial" w:cs="Arial"/>
                <w:b/>
                <w:bCs/>
                <w:sz w:val="24"/>
                <w:szCs w:val="24"/>
                <w:lang w:val="en-US"/>
              </w:rPr>
              <w:t xml:space="preserve"> </w:t>
            </w:r>
            <m:oMath>
              <m:sSub>
                <m:sSubPr>
                  <m:ctrlPr>
                    <w:rPr>
                      <w:rFonts w:ascii="Cambria Math" w:hAnsi="Cambria Math" w:cs="Arial"/>
                      <w:b/>
                      <w:bCs/>
                      <w:i/>
                      <w:sz w:val="24"/>
                      <w:szCs w:val="24"/>
                      <w:lang w:val="en-US"/>
                    </w:rPr>
                  </m:ctrlPr>
                </m:sSubPr>
                <m:e>
                  <m:r>
                    <m:rPr>
                      <m:sty m:val="bi"/>
                    </m:rPr>
                    <w:rPr>
                      <w:rFonts w:ascii="Cambria Math" w:hAnsi="Cambria Math" w:cs="Arial"/>
                      <w:sz w:val="24"/>
                      <w:szCs w:val="24"/>
                      <w:lang w:val="en-US"/>
                    </w:rPr>
                    <m:t>I</m:t>
                  </m:r>
                  <m:ctrlPr>
                    <w:rPr>
                      <w:rFonts w:ascii="Cambria Math" w:hAnsi="Cambria Math" w:cs="Arial"/>
                      <w:b/>
                      <w:i/>
                      <w:sz w:val="24"/>
                      <w:szCs w:val="24"/>
                      <w:lang w:val="en-US"/>
                    </w:rPr>
                  </m:ctrlPr>
                </m:e>
                <m:sub>
                  <m:r>
                    <m:rPr>
                      <m:sty m:val="bi"/>
                    </m:rPr>
                    <w:rPr>
                      <w:rFonts w:ascii="Cambria Math" w:hAnsi="Cambria Math" w:cs="Arial"/>
                      <w:sz w:val="24"/>
                      <w:szCs w:val="24"/>
                      <w:lang w:val="en-US"/>
                    </w:rPr>
                    <m:t>0</m:t>
                  </m:r>
                </m:sub>
              </m:sSub>
            </m:oMath>
            <w:r w:rsidRPr="0033338C">
              <w:rPr>
                <w:rFonts w:ascii="Arial" w:hAnsi="Arial" w:cs="Arial"/>
                <w:b/>
                <w:bCs/>
                <w:sz w:val="24"/>
                <w:szCs w:val="24"/>
                <w:lang w:val="en-US"/>
              </w:rPr>
              <w:t>)</w:t>
            </w:r>
          </w:p>
        </w:tc>
        <w:tc>
          <w:tcPr>
            <w:tcW w:w="0" w:type="auto"/>
            <w:hideMark/>
          </w:tcPr>
          <w:p w14:paraId="7BF3574D" w14:textId="77777777" w:rsidR="006A21CF" w:rsidRPr="0033338C" w:rsidRDefault="006A21CF" w:rsidP="006A21CF">
            <w:pPr>
              <w:spacing w:before="240" w:line="360" w:lineRule="auto"/>
              <w:jc w:val="both"/>
              <w:rPr>
                <w:rFonts w:ascii="Arial" w:hAnsi="Arial" w:cs="Arial"/>
                <w:bCs/>
                <w:sz w:val="24"/>
                <w:szCs w:val="24"/>
                <w:lang w:val="en-US"/>
              </w:rPr>
            </w:pPr>
          </w:p>
        </w:tc>
        <w:tc>
          <w:tcPr>
            <w:tcW w:w="0" w:type="auto"/>
            <w:hideMark/>
          </w:tcPr>
          <w:p w14:paraId="41692420" w14:textId="77777777" w:rsidR="006A21CF" w:rsidRPr="0033338C" w:rsidRDefault="006A21CF" w:rsidP="006A21CF">
            <w:pPr>
              <w:spacing w:before="240" w:line="360" w:lineRule="auto"/>
              <w:jc w:val="both"/>
              <w:rPr>
                <w:rFonts w:ascii="Arial" w:hAnsi="Arial" w:cs="Arial"/>
                <w:sz w:val="24"/>
                <w:szCs w:val="24"/>
                <w:lang w:val="en-US"/>
              </w:rPr>
            </w:pPr>
            <w:r w:rsidRPr="0033338C">
              <w:rPr>
                <w:rFonts w:ascii="Arial" w:hAnsi="Arial" w:cs="Arial"/>
                <w:sz w:val="24"/>
                <w:szCs w:val="24"/>
                <w:lang w:val="en-US"/>
              </w:rPr>
              <w:t>5.96</w:t>
            </w:r>
          </w:p>
        </w:tc>
        <w:tc>
          <w:tcPr>
            <w:tcW w:w="0" w:type="auto"/>
            <w:hideMark/>
          </w:tcPr>
          <w:p w14:paraId="799BC2E7" w14:textId="77777777" w:rsidR="006A21CF" w:rsidRPr="0033338C" w:rsidRDefault="006A21CF" w:rsidP="006A21CF">
            <w:pPr>
              <w:spacing w:before="240" w:line="360" w:lineRule="auto"/>
              <w:jc w:val="both"/>
              <w:rPr>
                <w:rFonts w:ascii="Arial" w:hAnsi="Arial" w:cs="Arial"/>
                <w:sz w:val="24"/>
                <w:szCs w:val="24"/>
                <w:lang w:val="en-US"/>
              </w:rPr>
            </w:pPr>
            <w:r w:rsidRPr="0033338C">
              <w:rPr>
                <w:rFonts w:ascii="Arial" w:hAnsi="Arial" w:cs="Arial"/>
                <w:sz w:val="24"/>
                <w:szCs w:val="24"/>
                <w:lang w:val="en-US"/>
              </w:rPr>
              <w:t>(7.32)</w:t>
            </w:r>
          </w:p>
        </w:tc>
        <w:tc>
          <w:tcPr>
            <w:tcW w:w="0" w:type="auto"/>
            <w:hideMark/>
          </w:tcPr>
          <w:p w14:paraId="67910B9B" w14:textId="77777777" w:rsidR="006A21CF" w:rsidRPr="0033338C" w:rsidRDefault="006A21CF" w:rsidP="006A21CF">
            <w:pPr>
              <w:spacing w:before="240" w:line="360" w:lineRule="auto"/>
              <w:jc w:val="both"/>
              <w:rPr>
                <w:rFonts w:ascii="Arial" w:hAnsi="Arial" w:cs="Arial"/>
                <w:sz w:val="24"/>
                <w:szCs w:val="24"/>
                <w:lang w:val="en-US"/>
              </w:rPr>
            </w:pPr>
            <w:r w:rsidRPr="0033338C">
              <w:rPr>
                <w:rFonts w:ascii="Arial" w:hAnsi="Arial" w:cs="Arial"/>
                <w:sz w:val="24"/>
                <w:szCs w:val="24"/>
                <w:lang w:val="en-US"/>
              </w:rPr>
              <w:t>12.39</w:t>
            </w:r>
          </w:p>
        </w:tc>
      </w:tr>
    </w:tbl>
    <w:p w14:paraId="616FB625" w14:textId="6B7FAD30" w:rsidR="00CD4561" w:rsidRPr="0033338C" w:rsidRDefault="009D2E4E" w:rsidP="00CD4561">
      <w:pPr>
        <w:spacing w:before="240" w:line="360" w:lineRule="auto"/>
        <w:jc w:val="both"/>
        <w:rPr>
          <w:rFonts w:ascii="Arial" w:hAnsi="Arial" w:cs="Arial"/>
          <w:bCs/>
          <w:sz w:val="24"/>
          <w:szCs w:val="24"/>
          <w:lang w:val="en-US"/>
        </w:rPr>
      </w:pPr>
      <w:r w:rsidRPr="0033338C">
        <w:rPr>
          <w:rFonts w:ascii="Arial" w:hAnsi="Arial" w:cs="Arial"/>
          <w:b/>
          <w:sz w:val="24"/>
          <w:szCs w:val="24"/>
        </w:rPr>
        <w:t xml:space="preserve">Remark: </w:t>
      </w:r>
      <w:r w:rsidRPr="0033338C">
        <w:rPr>
          <w:rFonts w:ascii="Arial" w:hAnsi="Arial" w:cs="Arial"/>
          <w:bCs/>
          <w:sz w:val="24"/>
          <w:szCs w:val="24"/>
        </w:rPr>
        <w:t>Project B has an unfavourable NPV, and in accordance with the conventional NPV rules, the project must not be approved at all as it is expected to wipe out shareholder value (Plutus Education, 2024).</w:t>
      </w:r>
    </w:p>
    <w:p w14:paraId="2BE02A9A" w14:textId="4D3B854E" w:rsidR="00C1382C" w:rsidRPr="0033338C" w:rsidRDefault="00C1382C" w:rsidP="00CD4561">
      <w:pPr>
        <w:spacing w:before="240" w:line="360" w:lineRule="auto"/>
        <w:jc w:val="both"/>
        <w:rPr>
          <w:rFonts w:ascii="Arial" w:hAnsi="Arial" w:cs="Arial"/>
          <w:b/>
          <w:sz w:val="24"/>
          <w:szCs w:val="24"/>
          <w:lang w:val="en-US"/>
        </w:rPr>
      </w:pPr>
      <w:r w:rsidRPr="0033338C">
        <w:rPr>
          <w:rFonts w:ascii="Arial" w:hAnsi="Arial" w:cs="Arial"/>
          <w:b/>
          <w:sz w:val="24"/>
          <w:szCs w:val="24"/>
          <w:lang w:val="en-US"/>
        </w:rPr>
        <w:t>C. Final Investment Recommendation under Capital Rationing</w:t>
      </w:r>
    </w:p>
    <w:p w14:paraId="5D28C84C" w14:textId="2AC8C96C" w:rsidR="00CD4561" w:rsidRPr="0033338C" w:rsidRDefault="00973393" w:rsidP="00CD4561">
      <w:pPr>
        <w:spacing w:before="240" w:line="360" w:lineRule="auto"/>
        <w:jc w:val="both"/>
        <w:rPr>
          <w:rFonts w:ascii="Arial" w:hAnsi="Arial" w:cs="Arial"/>
          <w:bCs/>
          <w:sz w:val="24"/>
          <w:szCs w:val="24"/>
          <w:lang w:val="en-US"/>
        </w:rPr>
      </w:pPr>
      <w:r w:rsidRPr="0033338C">
        <w:rPr>
          <w:rFonts w:ascii="Arial" w:hAnsi="Arial" w:cs="Arial"/>
          <w:bCs/>
          <w:sz w:val="24"/>
          <w:szCs w:val="24"/>
        </w:rPr>
        <w:t>Capital rationing is a situation in which a company is left with more viable (acceptable NPV) projects compared to the amount of funds available to finance all of them (Taxmann, 2025). GE has Soft Capital Rationing which is its financial distress and strategic necessity to restrict capital expenditure</w:t>
      </w:r>
      <w:r w:rsidR="005667DF" w:rsidRPr="0033338C">
        <w:rPr>
          <w:rFonts w:ascii="Arial" w:hAnsi="Arial" w:cs="Arial"/>
          <w:bCs/>
          <w:sz w:val="24"/>
          <w:szCs w:val="24"/>
          <w:lang w:val="en-US"/>
        </w:rPr>
        <w:t>.</w:t>
      </w:r>
    </w:p>
    <w:p w14:paraId="162F2ECB" w14:textId="5C1C61FC" w:rsidR="005667DF" w:rsidRPr="0033338C" w:rsidRDefault="00737F84" w:rsidP="00A343E8">
      <w:pPr>
        <w:spacing w:before="240" w:line="360" w:lineRule="auto"/>
        <w:jc w:val="center"/>
        <w:rPr>
          <w:rFonts w:ascii="Arial" w:hAnsi="Arial" w:cs="Arial"/>
          <w:bCs/>
          <w:sz w:val="24"/>
          <w:szCs w:val="24"/>
          <w:lang w:val="en-US"/>
        </w:rPr>
      </w:pPr>
      <w:r w:rsidRPr="0033338C">
        <w:rPr>
          <w:rFonts w:ascii="Arial" w:hAnsi="Arial" w:cs="Arial"/>
          <w:b/>
          <w:sz w:val="24"/>
          <w:szCs w:val="24"/>
        </w:rPr>
        <w:t>Capital Constraint:</w:t>
      </w:r>
      <w:r w:rsidR="00A343E8" w:rsidRPr="0033338C">
        <w:rPr>
          <w:rFonts w:ascii="Arial" w:hAnsi="Arial" w:cs="Arial"/>
          <w:b/>
          <w:sz w:val="24"/>
          <w:szCs w:val="24"/>
        </w:rPr>
        <w:t xml:space="preserve"> </w:t>
      </w:r>
      <w:r w:rsidR="00A343E8" w:rsidRPr="0033338C">
        <w:rPr>
          <w:rFonts w:ascii="Arial" w:hAnsi="Arial" w:cs="Arial"/>
          <w:bCs/>
          <w:sz w:val="24"/>
          <w:szCs w:val="24"/>
        </w:rPr>
        <w:t>Maximum Investment = £60 million</w:t>
      </w:r>
    </w:p>
    <w:p w14:paraId="0098E54E" w14:textId="09A0F904" w:rsidR="00CD4561" w:rsidRPr="0033338C" w:rsidRDefault="00D751B4" w:rsidP="00CD4561">
      <w:pPr>
        <w:spacing w:before="240" w:line="360" w:lineRule="auto"/>
        <w:jc w:val="both"/>
        <w:rPr>
          <w:rFonts w:ascii="Arial" w:hAnsi="Arial" w:cs="Arial"/>
          <w:bCs/>
          <w:sz w:val="24"/>
          <w:szCs w:val="24"/>
          <w:lang w:val="en-US"/>
        </w:rPr>
      </w:pPr>
      <w:r w:rsidRPr="0033338C">
        <w:rPr>
          <w:rFonts w:ascii="Arial" w:hAnsi="Arial" w:cs="Arial"/>
          <w:bCs/>
          <w:sz w:val="24"/>
          <w:szCs w:val="24"/>
          <w:lang w:val="en-US"/>
        </w:rPr>
        <w:t>Since Projects A and C are independent and have a positive NPV, they are acceptable. Project B is immediately rejected due to its negative NPV and ARR of 0.00%.</w:t>
      </w:r>
    </w:p>
    <w:p w14:paraId="15DEE0A3" w14:textId="0DB9910D" w:rsidR="00D751B4" w:rsidRPr="0033338C" w:rsidRDefault="00A70FD0" w:rsidP="00CD4561">
      <w:pPr>
        <w:spacing w:before="240" w:line="360" w:lineRule="auto"/>
        <w:jc w:val="both"/>
        <w:rPr>
          <w:rFonts w:ascii="Arial" w:hAnsi="Arial" w:cs="Arial"/>
          <w:bCs/>
          <w:sz w:val="24"/>
          <w:szCs w:val="24"/>
          <w:lang w:val="en-US"/>
        </w:rPr>
      </w:pPr>
      <w:r w:rsidRPr="0033338C">
        <w:rPr>
          <w:rFonts w:ascii="Arial" w:hAnsi="Arial" w:cs="Arial"/>
          <w:bCs/>
          <w:sz w:val="24"/>
          <w:szCs w:val="24"/>
        </w:rPr>
        <w:lastRenderedPageBreak/>
        <w:t>The most suitable method of ranking projects under capital rationing is the Profitability Index (PI) because it maximises the total NPV of a specific budget (CFI, 2025).</w:t>
      </w:r>
    </w:p>
    <w:p w14:paraId="033C9E56" w14:textId="2EE5ACD4" w:rsidR="00BD3881" w:rsidRPr="0033338C" w:rsidRDefault="00426515" w:rsidP="002B47A5">
      <w:pPr>
        <w:spacing w:before="240" w:line="360" w:lineRule="auto"/>
        <w:jc w:val="center"/>
        <w:rPr>
          <w:rFonts w:ascii="Arial" w:eastAsiaTheme="minorEastAsia" w:hAnsi="Arial" w:cs="Arial"/>
          <w:bCs/>
          <w:sz w:val="24"/>
          <w:szCs w:val="24"/>
          <w:lang w:val="en-US"/>
        </w:rPr>
      </w:pPr>
      <w:r w:rsidRPr="0033338C">
        <w:rPr>
          <w:rFonts w:ascii="Arial" w:hAnsi="Arial" w:cs="Arial"/>
          <w:bCs/>
          <w:sz w:val="24"/>
          <w:szCs w:val="24"/>
        </w:rPr>
        <w:t xml:space="preserve">PI = </w:t>
      </w:r>
      <m:oMath>
        <m:f>
          <m:fPr>
            <m:ctrlPr>
              <w:rPr>
                <w:rFonts w:ascii="Cambria Math" w:hAnsi="Cambria Math" w:cs="Arial"/>
                <w:bCs/>
                <w:i/>
                <w:sz w:val="24"/>
                <w:szCs w:val="24"/>
                <w:lang w:val="en-US"/>
              </w:rPr>
            </m:ctrlPr>
          </m:fPr>
          <m:num>
            <m:r>
              <w:rPr>
                <w:rFonts w:ascii="Cambria Math" w:hAnsi="Cambria Math" w:cs="Arial"/>
                <w:sz w:val="24"/>
                <w:szCs w:val="24"/>
                <w:lang w:val="en-US"/>
              </w:rPr>
              <m:t xml:space="preserve"> Present Value of Future Cash Flows </m:t>
            </m:r>
            <m:ctrlPr>
              <w:rPr>
                <w:rFonts w:ascii="Cambria Math" w:hAnsi="Cambria Math" w:cs="Arial"/>
                <w:i/>
                <w:sz w:val="24"/>
                <w:szCs w:val="24"/>
                <w:lang w:val="en-US"/>
              </w:rPr>
            </m:ctrlPr>
          </m:num>
          <m:den>
            <m:r>
              <w:rPr>
                <w:rFonts w:ascii="Cambria Math" w:hAnsi="Cambria Math" w:cs="Arial"/>
                <w:sz w:val="24"/>
                <w:szCs w:val="24"/>
                <w:lang w:val="en-US"/>
              </w:rPr>
              <m:t>Initial Investment</m:t>
            </m:r>
          </m:den>
        </m:f>
      </m:oMath>
    </w:p>
    <w:tbl>
      <w:tblPr>
        <w:tblStyle w:val="TableGrid"/>
        <w:tblW w:w="0" w:type="auto"/>
        <w:tblLook w:val="04A0" w:firstRow="1" w:lastRow="0" w:firstColumn="1" w:lastColumn="0" w:noHBand="0" w:noVBand="1"/>
      </w:tblPr>
      <w:tblGrid>
        <w:gridCol w:w="1030"/>
        <w:gridCol w:w="2750"/>
        <w:gridCol w:w="1283"/>
        <w:gridCol w:w="684"/>
        <w:gridCol w:w="1524"/>
      </w:tblGrid>
      <w:tr w:rsidR="002B47A5" w:rsidRPr="0033338C" w14:paraId="2F26C3AC" w14:textId="77777777" w:rsidTr="002B47A5">
        <w:tc>
          <w:tcPr>
            <w:tcW w:w="0" w:type="auto"/>
            <w:hideMark/>
          </w:tcPr>
          <w:p w14:paraId="529CA1C1"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Project</w:t>
            </w:r>
          </w:p>
        </w:tc>
        <w:tc>
          <w:tcPr>
            <w:tcW w:w="0" w:type="auto"/>
            <w:hideMark/>
          </w:tcPr>
          <w:p w14:paraId="5DF65BAD"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Initial Investment (£m)</w:t>
            </w:r>
          </w:p>
        </w:tc>
        <w:tc>
          <w:tcPr>
            <w:tcW w:w="0" w:type="auto"/>
            <w:hideMark/>
          </w:tcPr>
          <w:p w14:paraId="4F27F1A2"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NPV (£m)</w:t>
            </w:r>
          </w:p>
        </w:tc>
        <w:tc>
          <w:tcPr>
            <w:tcW w:w="0" w:type="auto"/>
            <w:hideMark/>
          </w:tcPr>
          <w:p w14:paraId="4A6DC25F"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PI</w:t>
            </w:r>
          </w:p>
        </w:tc>
        <w:tc>
          <w:tcPr>
            <w:tcW w:w="0" w:type="auto"/>
            <w:hideMark/>
          </w:tcPr>
          <w:p w14:paraId="6FC68D47"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Rank</w:t>
            </w:r>
          </w:p>
        </w:tc>
      </w:tr>
      <w:tr w:rsidR="002B47A5" w:rsidRPr="0033338C" w14:paraId="25A95BDA" w14:textId="77777777" w:rsidTr="002B47A5">
        <w:tc>
          <w:tcPr>
            <w:tcW w:w="0" w:type="auto"/>
            <w:hideMark/>
          </w:tcPr>
          <w:p w14:paraId="7D2D6018"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C</w:t>
            </w:r>
          </w:p>
        </w:tc>
        <w:tc>
          <w:tcPr>
            <w:tcW w:w="0" w:type="auto"/>
            <w:hideMark/>
          </w:tcPr>
          <w:p w14:paraId="50CC64EA"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50</w:t>
            </w:r>
          </w:p>
        </w:tc>
        <w:tc>
          <w:tcPr>
            <w:tcW w:w="0" w:type="auto"/>
            <w:hideMark/>
          </w:tcPr>
          <w:p w14:paraId="4C4849F0"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12.39</w:t>
            </w:r>
          </w:p>
        </w:tc>
        <w:tc>
          <w:tcPr>
            <w:tcW w:w="0" w:type="auto"/>
            <w:hideMark/>
          </w:tcPr>
          <w:p w14:paraId="0C49495E"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1.25</w:t>
            </w:r>
          </w:p>
        </w:tc>
        <w:tc>
          <w:tcPr>
            <w:tcW w:w="0" w:type="auto"/>
            <w:hideMark/>
          </w:tcPr>
          <w:p w14:paraId="72905211"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1</w:t>
            </w:r>
          </w:p>
        </w:tc>
      </w:tr>
      <w:tr w:rsidR="002B47A5" w:rsidRPr="0033338C" w14:paraId="3B73B37A" w14:textId="77777777" w:rsidTr="002B47A5">
        <w:tc>
          <w:tcPr>
            <w:tcW w:w="0" w:type="auto"/>
            <w:hideMark/>
          </w:tcPr>
          <w:p w14:paraId="6D356F78"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A</w:t>
            </w:r>
          </w:p>
        </w:tc>
        <w:tc>
          <w:tcPr>
            <w:tcW w:w="0" w:type="auto"/>
            <w:hideMark/>
          </w:tcPr>
          <w:p w14:paraId="36022E0E"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40</w:t>
            </w:r>
          </w:p>
        </w:tc>
        <w:tc>
          <w:tcPr>
            <w:tcW w:w="0" w:type="auto"/>
            <w:hideMark/>
          </w:tcPr>
          <w:p w14:paraId="0CAD9273"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5.96</w:t>
            </w:r>
          </w:p>
        </w:tc>
        <w:tc>
          <w:tcPr>
            <w:tcW w:w="0" w:type="auto"/>
            <w:hideMark/>
          </w:tcPr>
          <w:p w14:paraId="79D80490"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1.15</w:t>
            </w:r>
          </w:p>
        </w:tc>
        <w:tc>
          <w:tcPr>
            <w:tcW w:w="0" w:type="auto"/>
            <w:hideMark/>
          </w:tcPr>
          <w:p w14:paraId="6F3410C1"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2</w:t>
            </w:r>
          </w:p>
        </w:tc>
      </w:tr>
      <w:tr w:rsidR="002B47A5" w:rsidRPr="0033338C" w14:paraId="720CECE9" w14:textId="77777777" w:rsidTr="002B47A5">
        <w:tc>
          <w:tcPr>
            <w:tcW w:w="0" w:type="auto"/>
            <w:hideMark/>
          </w:tcPr>
          <w:p w14:paraId="60B9106E"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
                <w:bCs/>
                <w:sz w:val="24"/>
                <w:szCs w:val="24"/>
                <w:lang w:val="en-US"/>
              </w:rPr>
              <w:t>B</w:t>
            </w:r>
          </w:p>
        </w:tc>
        <w:tc>
          <w:tcPr>
            <w:tcW w:w="0" w:type="auto"/>
            <w:hideMark/>
          </w:tcPr>
          <w:p w14:paraId="36B8463F"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30</w:t>
            </w:r>
          </w:p>
        </w:tc>
        <w:tc>
          <w:tcPr>
            <w:tcW w:w="0" w:type="auto"/>
            <w:hideMark/>
          </w:tcPr>
          <w:p w14:paraId="566BA325"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(7.32)</w:t>
            </w:r>
          </w:p>
        </w:tc>
        <w:tc>
          <w:tcPr>
            <w:tcW w:w="0" w:type="auto"/>
            <w:hideMark/>
          </w:tcPr>
          <w:p w14:paraId="7A5EAE7C"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0.76</w:t>
            </w:r>
          </w:p>
        </w:tc>
        <w:tc>
          <w:tcPr>
            <w:tcW w:w="0" w:type="auto"/>
            <w:hideMark/>
          </w:tcPr>
          <w:p w14:paraId="1D58C868" w14:textId="77777777" w:rsidR="002B47A5" w:rsidRPr="0033338C" w:rsidRDefault="002B47A5" w:rsidP="002B47A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3 (Rejected)</w:t>
            </w:r>
          </w:p>
        </w:tc>
      </w:tr>
    </w:tbl>
    <w:p w14:paraId="66D5B683" w14:textId="1DB911D2" w:rsidR="002B47A5" w:rsidRPr="0033338C" w:rsidRDefault="004F6FE3" w:rsidP="00CD4561">
      <w:pPr>
        <w:spacing w:before="240" w:line="360" w:lineRule="auto"/>
        <w:jc w:val="both"/>
        <w:rPr>
          <w:rFonts w:ascii="Arial" w:hAnsi="Arial" w:cs="Arial"/>
          <w:b/>
          <w:sz w:val="24"/>
          <w:szCs w:val="24"/>
          <w:lang w:val="en-US"/>
        </w:rPr>
      </w:pPr>
      <w:r w:rsidRPr="0033338C">
        <w:rPr>
          <w:rFonts w:ascii="Arial" w:hAnsi="Arial" w:cs="Arial"/>
          <w:b/>
          <w:sz w:val="24"/>
          <w:szCs w:val="24"/>
          <w:lang w:val="en-US"/>
        </w:rPr>
        <w:t>Recommendation:</w:t>
      </w:r>
    </w:p>
    <w:p w14:paraId="7BDD0036" w14:textId="77777777" w:rsidR="00C1403F" w:rsidRPr="0033338C" w:rsidRDefault="00C1403F" w:rsidP="00E0673C">
      <w:pPr>
        <w:pStyle w:val="ListParagraph"/>
        <w:numPr>
          <w:ilvl w:val="0"/>
          <w:numId w:val="18"/>
        </w:numPr>
        <w:spacing w:before="240" w:line="360" w:lineRule="auto"/>
        <w:jc w:val="both"/>
        <w:rPr>
          <w:rFonts w:ascii="Arial" w:hAnsi="Arial" w:cs="Arial"/>
          <w:bCs/>
          <w:sz w:val="24"/>
          <w:szCs w:val="24"/>
          <w:lang w:val="en-US"/>
        </w:rPr>
      </w:pPr>
      <w:r w:rsidRPr="0033338C">
        <w:rPr>
          <w:rFonts w:ascii="Arial" w:hAnsi="Arial" w:cs="Arial"/>
          <w:b/>
          <w:sz w:val="24"/>
          <w:szCs w:val="24"/>
          <w:lang w:val="en-US"/>
        </w:rPr>
        <w:t>Select Project C</w:t>
      </w:r>
      <w:r w:rsidRPr="0033338C">
        <w:rPr>
          <w:rFonts w:ascii="Arial" w:hAnsi="Arial" w:cs="Arial"/>
          <w:bCs/>
          <w:sz w:val="24"/>
          <w:szCs w:val="24"/>
          <w:lang w:val="en-US"/>
        </w:rPr>
        <w:t xml:space="preserve"> (initial Investment: £50 million). </w:t>
      </w:r>
    </w:p>
    <w:p w14:paraId="799CE973" w14:textId="06163693" w:rsidR="00C1403F" w:rsidRPr="0033338C" w:rsidRDefault="00C1403F" w:rsidP="00E0673C">
      <w:pPr>
        <w:pStyle w:val="ListParagraph"/>
        <w:numPr>
          <w:ilvl w:val="0"/>
          <w:numId w:val="18"/>
        </w:numPr>
        <w:spacing w:before="240" w:line="360" w:lineRule="auto"/>
        <w:jc w:val="both"/>
        <w:rPr>
          <w:rFonts w:ascii="Arial" w:hAnsi="Arial" w:cs="Arial"/>
          <w:bCs/>
          <w:sz w:val="24"/>
          <w:szCs w:val="24"/>
          <w:lang w:val="en-US"/>
        </w:rPr>
      </w:pPr>
      <w:r w:rsidRPr="0033338C">
        <w:rPr>
          <w:rFonts w:ascii="Arial" w:hAnsi="Arial" w:cs="Arial"/>
          <w:b/>
          <w:sz w:val="24"/>
          <w:szCs w:val="24"/>
          <w:lang w:val="en-US"/>
        </w:rPr>
        <w:t>Remaining</w:t>
      </w:r>
      <w:r w:rsidRPr="0033338C">
        <w:rPr>
          <w:rFonts w:ascii="Arial" w:hAnsi="Arial" w:cs="Arial"/>
          <w:bCs/>
          <w:sz w:val="24"/>
          <w:szCs w:val="24"/>
          <w:lang w:val="en-US"/>
        </w:rPr>
        <w:t xml:space="preserve"> </w:t>
      </w:r>
      <w:r w:rsidRPr="0033338C">
        <w:rPr>
          <w:rFonts w:ascii="Arial" w:hAnsi="Arial" w:cs="Arial"/>
          <w:b/>
          <w:sz w:val="24"/>
          <w:szCs w:val="24"/>
          <w:lang w:val="en-US"/>
        </w:rPr>
        <w:t>Budget:</w:t>
      </w:r>
      <w:r w:rsidRPr="0033338C">
        <w:rPr>
          <w:rFonts w:ascii="Arial" w:hAnsi="Arial" w:cs="Arial"/>
          <w:bCs/>
          <w:sz w:val="24"/>
          <w:szCs w:val="24"/>
          <w:lang w:val="en-US"/>
        </w:rPr>
        <w:t xml:space="preserve"> £60 million - £50 million = £10 million. </w:t>
      </w:r>
    </w:p>
    <w:p w14:paraId="2FAF8629" w14:textId="6A3EF48C" w:rsidR="004F6FE3" w:rsidRPr="0033338C" w:rsidRDefault="00C1403F" w:rsidP="00E0673C">
      <w:pPr>
        <w:pStyle w:val="ListParagraph"/>
        <w:numPr>
          <w:ilvl w:val="0"/>
          <w:numId w:val="18"/>
        </w:numPr>
        <w:spacing w:before="240" w:line="360" w:lineRule="auto"/>
        <w:jc w:val="both"/>
        <w:rPr>
          <w:rFonts w:ascii="Arial" w:hAnsi="Arial" w:cs="Arial"/>
          <w:bCs/>
          <w:sz w:val="24"/>
          <w:szCs w:val="24"/>
          <w:lang w:val="en-US"/>
        </w:rPr>
      </w:pPr>
      <w:r w:rsidRPr="0033338C">
        <w:rPr>
          <w:rFonts w:ascii="Arial" w:hAnsi="Arial" w:cs="Arial"/>
          <w:b/>
          <w:sz w:val="24"/>
          <w:szCs w:val="24"/>
          <w:lang w:val="en-US"/>
        </w:rPr>
        <w:t>Feasibility Check:</w:t>
      </w:r>
      <w:r w:rsidRPr="0033338C">
        <w:rPr>
          <w:rFonts w:ascii="Arial" w:hAnsi="Arial" w:cs="Arial"/>
          <w:bCs/>
          <w:sz w:val="24"/>
          <w:szCs w:val="24"/>
          <w:lang w:val="en-US"/>
        </w:rPr>
        <w:t xml:space="preserve"> The remaining £10 million is insufficient to fund the next-ranked project, Project A (£40 million).</w:t>
      </w:r>
    </w:p>
    <w:p w14:paraId="1491DF2B" w14:textId="721B876A" w:rsidR="00D21485" w:rsidRPr="0033338C" w:rsidRDefault="00E0673C" w:rsidP="00CD4561">
      <w:pPr>
        <w:spacing w:before="240" w:line="360" w:lineRule="auto"/>
        <w:jc w:val="both"/>
        <w:rPr>
          <w:rFonts w:ascii="Arial" w:hAnsi="Arial" w:cs="Arial"/>
          <w:bCs/>
          <w:sz w:val="24"/>
          <w:szCs w:val="24"/>
          <w:lang w:val="en-US"/>
        </w:rPr>
      </w:pPr>
      <w:r w:rsidRPr="0033338C">
        <w:rPr>
          <w:rFonts w:ascii="Arial" w:hAnsi="Arial" w:cs="Arial"/>
          <w:b/>
          <w:sz w:val="24"/>
          <w:szCs w:val="24"/>
          <w:lang w:val="en-US"/>
        </w:rPr>
        <w:t>Final Decision:</w:t>
      </w:r>
      <w:r w:rsidR="000C7E1D">
        <w:rPr>
          <w:rFonts w:ascii="Arial" w:hAnsi="Arial" w:cs="Arial"/>
          <w:bCs/>
          <w:sz w:val="24"/>
          <w:szCs w:val="24"/>
          <w:lang w:val="en-US"/>
        </w:rPr>
        <w:t xml:space="preserve"> Invest solely in project C</w:t>
      </w:r>
      <w:r w:rsidRPr="0033338C">
        <w:rPr>
          <w:rFonts w:ascii="Arial" w:hAnsi="Arial" w:cs="Arial"/>
          <w:bCs/>
          <w:sz w:val="24"/>
          <w:szCs w:val="24"/>
          <w:lang w:val="en-US"/>
        </w:rPr>
        <w:t xml:space="preserve"> for a total investment of £50 million, yielding the highest possible NPV (£12.39 million) within the £60 million budget constraint. The total NPV for the portfolio is £12.39 million.</w:t>
      </w:r>
    </w:p>
    <w:p w14:paraId="22763412" w14:textId="3C4D1945" w:rsidR="0092011F" w:rsidRPr="0033338C" w:rsidRDefault="0092011F" w:rsidP="00CD4561">
      <w:pPr>
        <w:spacing w:before="240" w:line="360" w:lineRule="auto"/>
        <w:jc w:val="both"/>
        <w:rPr>
          <w:rFonts w:ascii="Arial" w:hAnsi="Arial" w:cs="Arial"/>
          <w:b/>
          <w:sz w:val="24"/>
          <w:szCs w:val="24"/>
          <w:lang w:val="en-US"/>
        </w:rPr>
      </w:pPr>
      <w:r w:rsidRPr="0033338C">
        <w:rPr>
          <w:rFonts w:ascii="Arial" w:hAnsi="Arial" w:cs="Arial"/>
          <w:b/>
          <w:sz w:val="24"/>
          <w:szCs w:val="24"/>
          <w:lang w:val="en-US"/>
        </w:rPr>
        <w:t>Justification of Recommendation:</w:t>
      </w:r>
    </w:p>
    <w:p w14:paraId="635B3E25" w14:textId="454B26AE" w:rsidR="00030C2B" w:rsidRPr="0033338C" w:rsidRDefault="00506162" w:rsidP="00030C2B">
      <w:pPr>
        <w:spacing w:before="240" w:line="360" w:lineRule="auto"/>
        <w:jc w:val="both"/>
        <w:rPr>
          <w:rFonts w:ascii="Arial" w:hAnsi="Arial" w:cs="Arial"/>
          <w:bCs/>
          <w:sz w:val="24"/>
          <w:szCs w:val="24"/>
          <w:lang w:val="en-US"/>
        </w:rPr>
      </w:pPr>
      <w:r w:rsidRPr="0033338C">
        <w:rPr>
          <w:rFonts w:ascii="Arial" w:hAnsi="Arial" w:cs="Arial"/>
          <w:bCs/>
          <w:sz w:val="24"/>
          <w:szCs w:val="24"/>
        </w:rPr>
        <w:t>Project C is chosen because it is more realistic in terms of performance, as per the most material financial measurements, and because it is aligned with the reorganisation needs of GE currently</w:t>
      </w:r>
      <w:r w:rsidR="00030C2B" w:rsidRPr="0033338C">
        <w:rPr>
          <w:rFonts w:ascii="Arial" w:hAnsi="Arial" w:cs="Arial"/>
          <w:bCs/>
          <w:sz w:val="24"/>
          <w:szCs w:val="24"/>
          <w:lang w:val="en-US"/>
        </w:rPr>
        <w:t>.</w:t>
      </w:r>
    </w:p>
    <w:p w14:paraId="3E6BF073" w14:textId="598663E9" w:rsidR="00030C2B" w:rsidRPr="0033338C" w:rsidRDefault="00466D95" w:rsidP="00030C2B">
      <w:pPr>
        <w:spacing w:before="240" w:line="360" w:lineRule="auto"/>
        <w:jc w:val="both"/>
        <w:rPr>
          <w:rFonts w:ascii="Arial" w:hAnsi="Arial" w:cs="Arial"/>
          <w:b/>
          <w:sz w:val="24"/>
          <w:szCs w:val="24"/>
          <w:lang w:val="en-US"/>
        </w:rPr>
      </w:pPr>
      <w:r w:rsidRPr="0033338C">
        <w:rPr>
          <w:rFonts w:ascii="Arial" w:hAnsi="Arial" w:cs="Arial"/>
          <w:b/>
          <w:sz w:val="24"/>
          <w:szCs w:val="24"/>
          <w:lang w:val="en-US"/>
        </w:rPr>
        <w:t>1. Reference</w:t>
      </w:r>
      <w:r w:rsidR="00030C2B" w:rsidRPr="0033338C">
        <w:rPr>
          <w:rFonts w:ascii="Arial" w:hAnsi="Arial" w:cs="Arial"/>
          <w:b/>
          <w:sz w:val="24"/>
          <w:szCs w:val="24"/>
          <w:lang w:val="en-US"/>
        </w:rPr>
        <w:t xml:space="preserve"> to Financial Performance (Profitability and Liquidity)</w:t>
      </w:r>
    </w:p>
    <w:p w14:paraId="4DF451E7" w14:textId="77777777" w:rsidR="00030C2B" w:rsidRPr="0033338C" w:rsidRDefault="00030C2B" w:rsidP="00030C2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The financial performance of GE of late is characterised by severe weaknesses in the capital structure, as shown by the values of the Debt-to-Equity Ratio of 1.11 and Return on Equity (ROE) of -15.69%.</w:t>
      </w:r>
    </w:p>
    <w:p w14:paraId="30F6FADD" w14:textId="34689C08" w:rsidR="00030C2B" w:rsidRPr="0033338C" w:rsidRDefault="00030C2B" w:rsidP="00355497">
      <w:pPr>
        <w:pStyle w:val="ListParagraph"/>
        <w:numPr>
          <w:ilvl w:val="0"/>
          <w:numId w:val="19"/>
        </w:numPr>
        <w:spacing w:before="240" w:line="360" w:lineRule="auto"/>
        <w:jc w:val="both"/>
        <w:rPr>
          <w:rFonts w:ascii="Arial" w:hAnsi="Arial" w:cs="Arial"/>
          <w:bCs/>
          <w:sz w:val="24"/>
          <w:szCs w:val="24"/>
          <w:lang w:val="en-US"/>
        </w:rPr>
      </w:pPr>
      <w:r w:rsidRPr="0033338C">
        <w:rPr>
          <w:rFonts w:ascii="Arial" w:hAnsi="Arial" w:cs="Arial"/>
          <w:b/>
          <w:sz w:val="24"/>
          <w:szCs w:val="24"/>
          <w:lang w:val="en-US"/>
        </w:rPr>
        <w:lastRenderedPageBreak/>
        <w:t>Maximising Profitability (NPV and PI):</w:t>
      </w:r>
      <w:r w:rsidRPr="0033338C">
        <w:rPr>
          <w:rFonts w:ascii="Arial" w:hAnsi="Arial" w:cs="Arial"/>
          <w:bCs/>
          <w:sz w:val="24"/>
          <w:szCs w:val="24"/>
          <w:lang w:val="en-US"/>
        </w:rPr>
        <w:t xml:space="preserve"> </w:t>
      </w:r>
      <w:r w:rsidR="00BB3B33" w:rsidRPr="0033338C">
        <w:rPr>
          <w:rFonts w:ascii="Arial" w:hAnsi="Arial" w:cs="Arial"/>
          <w:bCs/>
          <w:sz w:val="24"/>
          <w:szCs w:val="24"/>
        </w:rPr>
        <w:t xml:space="preserve">This is the ultimate goal of the restructuring to regain profitability and maximise the shareholder wealth. The largest absolute NPV (PS12.39m) and PI (1.25) is offered by the project C. It means that Project C is the most accretive use of the scarce capital of GE that will result in the greatest profit per pound invested (AnalystPrep, 2019). </w:t>
      </w:r>
    </w:p>
    <w:p w14:paraId="0E02B200" w14:textId="5C446309" w:rsidR="00030C2B" w:rsidRPr="0033338C" w:rsidRDefault="00030C2B" w:rsidP="00355497">
      <w:pPr>
        <w:pStyle w:val="ListParagraph"/>
        <w:numPr>
          <w:ilvl w:val="0"/>
          <w:numId w:val="19"/>
        </w:numPr>
        <w:spacing w:before="240" w:line="360" w:lineRule="auto"/>
        <w:jc w:val="both"/>
        <w:rPr>
          <w:rFonts w:ascii="Arial" w:hAnsi="Arial" w:cs="Arial"/>
          <w:bCs/>
          <w:sz w:val="24"/>
          <w:szCs w:val="24"/>
          <w:lang w:val="en-US"/>
        </w:rPr>
      </w:pPr>
      <w:r w:rsidRPr="0033338C">
        <w:rPr>
          <w:rFonts w:ascii="Arial" w:hAnsi="Arial" w:cs="Arial"/>
          <w:b/>
          <w:sz w:val="24"/>
          <w:szCs w:val="24"/>
          <w:lang w:val="en-US"/>
        </w:rPr>
        <w:t>Attending to Liquidity (PBP):</w:t>
      </w:r>
      <w:r w:rsidRPr="0033338C">
        <w:rPr>
          <w:rFonts w:ascii="Arial" w:hAnsi="Arial" w:cs="Arial"/>
          <w:bCs/>
          <w:sz w:val="24"/>
          <w:szCs w:val="24"/>
          <w:lang w:val="en-US"/>
        </w:rPr>
        <w:t xml:space="preserve"> </w:t>
      </w:r>
      <w:r w:rsidR="00B0799B" w:rsidRPr="0033338C">
        <w:rPr>
          <w:rFonts w:ascii="Arial" w:hAnsi="Arial" w:cs="Arial"/>
          <w:bCs/>
          <w:sz w:val="24"/>
          <w:szCs w:val="24"/>
        </w:rPr>
        <w:t>Current short-term liquidity is poor; therefore, the Quick Ratio value is less than that of one. Despite the fact that project C has relatively lower payback period of 3.50 years than project A (which has a payback period of 3.57 years), the payback period of the two projects is comparatively shorter than that of the project life. With the payback period of 3.50 years, the initial investment will be recouped quite soon and will generate internal cash flow that will be adequate to meet the debt payments and reduce reliance on altering the Lines of Credit (LegalVision UK, 2025).</w:t>
      </w:r>
    </w:p>
    <w:p w14:paraId="187368F1" w14:textId="284E7C0C" w:rsidR="00030C2B" w:rsidRPr="0033338C" w:rsidRDefault="00355497" w:rsidP="00030C2B">
      <w:pPr>
        <w:spacing w:before="240" w:line="360" w:lineRule="auto"/>
        <w:jc w:val="both"/>
        <w:rPr>
          <w:rFonts w:ascii="Arial" w:hAnsi="Arial" w:cs="Arial"/>
          <w:b/>
          <w:sz w:val="24"/>
          <w:szCs w:val="24"/>
          <w:lang w:val="en-US"/>
        </w:rPr>
      </w:pPr>
      <w:r w:rsidRPr="0033338C">
        <w:rPr>
          <w:rFonts w:ascii="Arial" w:hAnsi="Arial" w:cs="Arial"/>
          <w:b/>
          <w:sz w:val="24"/>
          <w:szCs w:val="24"/>
          <w:lang w:val="en-US"/>
        </w:rPr>
        <w:t>2.</w:t>
      </w:r>
      <w:r w:rsidR="00030C2B" w:rsidRPr="0033338C">
        <w:rPr>
          <w:rFonts w:ascii="Arial" w:hAnsi="Arial" w:cs="Arial"/>
          <w:b/>
          <w:sz w:val="24"/>
          <w:szCs w:val="24"/>
          <w:lang w:val="en-US"/>
        </w:rPr>
        <w:t xml:space="preserve"> Forecasted Risk Characteristics (Cash Flow Volatility)</w:t>
      </w:r>
    </w:p>
    <w:p w14:paraId="1E8DAF35" w14:textId="32DB753D" w:rsidR="00030C2B" w:rsidRPr="0033338C" w:rsidRDefault="00030C2B" w:rsidP="00030C2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Considering the uncertain financial situation and significant risk of impairment of the Goodwill in past investments by the company, GE should invest in low-risk ventures with predictable returns. Project C has a heavier back-loaded cash flow profile (inflows of getting £20m, £25m, £15m in years 3-5) than Project A (14m, 10m, 8m), so the returns it gives will be exposed to greater execution risk in the later years.</w:t>
      </w:r>
    </w:p>
    <w:p w14:paraId="3C874CEF" w14:textId="77777777" w:rsidR="00030C2B" w:rsidRPr="0033338C" w:rsidRDefault="00030C2B" w:rsidP="00030C2B">
      <w:pPr>
        <w:spacing w:before="240" w:line="360" w:lineRule="auto"/>
        <w:jc w:val="both"/>
        <w:rPr>
          <w:rFonts w:ascii="Arial" w:hAnsi="Arial" w:cs="Arial"/>
          <w:bCs/>
          <w:sz w:val="24"/>
          <w:szCs w:val="24"/>
          <w:lang w:val="en-US"/>
        </w:rPr>
      </w:pPr>
      <w:r w:rsidRPr="0033338C">
        <w:rPr>
          <w:rFonts w:ascii="Arial" w:hAnsi="Arial" w:cs="Arial"/>
          <w:bCs/>
          <w:sz w:val="24"/>
          <w:szCs w:val="24"/>
          <w:lang w:val="en-US"/>
        </w:rPr>
        <w:t>The mitigation of the risk is, however, as follows:</w:t>
      </w:r>
    </w:p>
    <w:p w14:paraId="2D9F4E02" w14:textId="6F1EB7D1" w:rsidR="00030C2B" w:rsidRPr="0033338C" w:rsidRDefault="00030C2B" w:rsidP="00A94490">
      <w:pPr>
        <w:pStyle w:val="ListParagraph"/>
        <w:numPr>
          <w:ilvl w:val="0"/>
          <w:numId w:val="20"/>
        </w:numPr>
        <w:spacing w:before="240" w:line="360" w:lineRule="auto"/>
        <w:jc w:val="both"/>
        <w:rPr>
          <w:rFonts w:ascii="Arial" w:hAnsi="Arial" w:cs="Arial"/>
          <w:bCs/>
          <w:sz w:val="24"/>
          <w:szCs w:val="24"/>
          <w:lang w:val="en-US"/>
        </w:rPr>
      </w:pPr>
      <w:r w:rsidRPr="0033338C">
        <w:rPr>
          <w:rFonts w:ascii="Arial" w:hAnsi="Arial" w:cs="Arial"/>
          <w:b/>
          <w:sz w:val="24"/>
          <w:szCs w:val="24"/>
          <w:lang w:val="en-US"/>
        </w:rPr>
        <w:t>IRR Buffer:</w:t>
      </w:r>
      <w:r w:rsidRPr="0033338C">
        <w:rPr>
          <w:rFonts w:ascii="Arial" w:hAnsi="Arial" w:cs="Arial"/>
          <w:bCs/>
          <w:sz w:val="24"/>
          <w:szCs w:val="24"/>
          <w:lang w:val="en-US"/>
        </w:rPr>
        <w:t xml:space="preserve"> The IRR of the project C of 18.46% has a higher safety margin over the discount rate of 10</w:t>
      </w:r>
      <w:r w:rsidR="00085C37" w:rsidRPr="0033338C">
        <w:rPr>
          <w:rFonts w:ascii="Arial" w:hAnsi="Arial" w:cs="Arial"/>
          <w:bCs/>
          <w:sz w:val="24"/>
          <w:szCs w:val="24"/>
          <w:lang w:val="en-US"/>
        </w:rPr>
        <w:t>%</w:t>
      </w:r>
      <w:r w:rsidRPr="0033338C">
        <w:rPr>
          <w:rFonts w:ascii="Arial" w:hAnsi="Arial" w:cs="Arial"/>
          <w:bCs/>
          <w:sz w:val="24"/>
          <w:szCs w:val="24"/>
          <w:lang w:val="en-US"/>
        </w:rPr>
        <w:t xml:space="preserve"> than that of Project A of 16.89%. This implies that the actual cash flows of Project C can reduce by a higher percentage, and then the project is unprofitable (NPV &lt; 0). This excessive IRR buffer is critical to GE, which cannot afford another bad investment.</w:t>
      </w:r>
    </w:p>
    <w:p w14:paraId="53806CC1" w14:textId="21262623" w:rsidR="00030C2B" w:rsidRPr="0033338C" w:rsidRDefault="00030C2B" w:rsidP="00A94490">
      <w:pPr>
        <w:pStyle w:val="ListParagraph"/>
        <w:numPr>
          <w:ilvl w:val="0"/>
          <w:numId w:val="20"/>
        </w:numPr>
        <w:spacing w:before="240" w:line="360" w:lineRule="auto"/>
        <w:jc w:val="both"/>
        <w:rPr>
          <w:rFonts w:ascii="Arial" w:hAnsi="Arial" w:cs="Arial"/>
          <w:bCs/>
          <w:sz w:val="24"/>
          <w:szCs w:val="24"/>
          <w:lang w:val="en-US"/>
        </w:rPr>
      </w:pPr>
      <w:r w:rsidRPr="0033338C">
        <w:rPr>
          <w:rFonts w:ascii="Arial" w:hAnsi="Arial" w:cs="Arial"/>
          <w:b/>
          <w:sz w:val="24"/>
          <w:szCs w:val="24"/>
          <w:lang w:val="en-US"/>
        </w:rPr>
        <w:t>NPV Reliability:</w:t>
      </w:r>
      <w:r w:rsidRPr="0033338C">
        <w:rPr>
          <w:rFonts w:ascii="Arial" w:hAnsi="Arial" w:cs="Arial"/>
          <w:bCs/>
          <w:sz w:val="24"/>
          <w:szCs w:val="24"/>
          <w:lang w:val="en-US"/>
        </w:rPr>
        <w:t xml:space="preserve"> </w:t>
      </w:r>
      <w:r w:rsidR="00600569" w:rsidRPr="0033338C">
        <w:rPr>
          <w:rFonts w:ascii="Arial" w:hAnsi="Arial" w:cs="Arial"/>
          <w:bCs/>
          <w:sz w:val="24"/>
          <w:szCs w:val="24"/>
        </w:rPr>
        <w:t xml:space="preserve">As the implicit assumptions of the method assume that cash flows are reinvested at the cost of the risk of the company, and the most realistic (10%) cost of capital of the company, and the large value of the NPV figure of Project C, making it the most realistic one, it is the most reliable value creation indicator. It is better than the IRR method, which will apply cash flows </w:t>
      </w:r>
      <w:r w:rsidR="00600569" w:rsidRPr="0033338C">
        <w:rPr>
          <w:rFonts w:ascii="Arial" w:hAnsi="Arial" w:cs="Arial"/>
          <w:bCs/>
          <w:sz w:val="24"/>
          <w:szCs w:val="24"/>
        </w:rPr>
        <w:lastRenderedPageBreak/>
        <w:t>reinvested at the impractical value of the project IRR (18.46), which cannot be assumed in the capital-constrained world of GE (AnalystPrep, 2019).</w:t>
      </w:r>
    </w:p>
    <w:p w14:paraId="3DAFEBCC" w14:textId="7D160D94" w:rsidR="003560E1" w:rsidRPr="0033338C" w:rsidRDefault="00030C2B" w:rsidP="00587465">
      <w:pPr>
        <w:spacing w:before="240" w:line="360" w:lineRule="auto"/>
        <w:jc w:val="both"/>
        <w:rPr>
          <w:rFonts w:ascii="Arial" w:hAnsi="Arial" w:cs="Arial"/>
          <w:bCs/>
          <w:sz w:val="24"/>
          <w:szCs w:val="24"/>
          <w:lang w:val="en-US"/>
        </w:rPr>
      </w:pPr>
      <w:r w:rsidRPr="0033338C">
        <w:rPr>
          <w:rFonts w:ascii="Arial" w:hAnsi="Arial" w:cs="Arial"/>
          <w:bCs/>
          <w:sz w:val="24"/>
          <w:szCs w:val="24"/>
          <w:lang w:val="en-US"/>
        </w:rPr>
        <w:t xml:space="preserve">The remaining amount of the budget, which is </w:t>
      </w:r>
      <w:r w:rsidR="003560E1" w:rsidRPr="0033338C">
        <w:rPr>
          <w:rFonts w:ascii="Arial" w:hAnsi="Arial" w:cs="Arial"/>
          <w:bCs/>
          <w:sz w:val="24"/>
          <w:szCs w:val="24"/>
          <w:lang w:val="en-US"/>
        </w:rPr>
        <w:t>£</w:t>
      </w:r>
      <w:r w:rsidRPr="0033338C">
        <w:rPr>
          <w:rFonts w:ascii="Arial" w:hAnsi="Arial" w:cs="Arial"/>
          <w:bCs/>
          <w:sz w:val="24"/>
          <w:szCs w:val="24"/>
          <w:lang w:val="en-US"/>
        </w:rPr>
        <w:t xml:space="preserve">10 million, should be kept as a cash reserve (instead of being subjected to a </w:t>
      </w:r>
      <w:r w:rsidR="0021137A" w:rsidRPr="0033338C">
        <w:rPr>
          <w:rFonts w:ascii="Arial" w:hAnsi="Arial" w:cs="Arial"/>
          <w:bCs/>
          <w:sz w:val="24"/>
          <w:szCs w:val="24"/>
          <w:lang w:val="en-US"/>
        </w:rPr>
        <w:t>less-than-optimal</w:t>
      </w:r>
      <w:r w:rsidRPr="0033338C">
        <w:rPr>
          <w:rFonts w:ascii="Arial" w:hAnsi="Arial" w:cs="Arial"/>
          <w:bCs/>
          <w:sz w:val="24"/>
          <w:szCs w:val="24"/>
          <w:lang w:val="en-US"/>
        </w:rPr>
        <w:t xml:space="preserve"> investment) in order to enhance the short-term liquidity of the firm (Quick Ratio) and act as a buffer against unforeseen operational requirements (CFI, 2025).</w:t>
      </w:r>
      <w:r w:rsidR="003560E1" w:rsidRPr="0033338C">
        <w:rPr>
          <w:rFonts w:ascii="Arial" w:hAnsi="Arial" w:cs="Arial"/>
        </w:rPr>
        <w:br w:type="page"/>
      </w:r>
    </w:p>
    <w:p w14:paraId="575EB617" w14:textId="3E618173" w:rsidR="00CD4561" w:rsidRPr="0033338C" w:rsidRDefault="00CD4561" w:rsidP="00CD4561">
      <w:pPr>
        <w:pStyle w:val="Heading1"/>
        <w:rPr>
          <w:rFonts w:cs="Arial"/>
        </w:rPr>
      </w:pPr>
      <w:bookmarkStart w:id="18" w:name="_Toc214831139"/>
      <w:r w:rsidRPr="0033338C">
        <w:rPr>
          <w:rFonts w:cs="Arial"/>
        </w:rPr>
        <w:lastRenderedPageBreak/>
        <w:t>Conclusion</w:t>
      </w:r>
      <w:bookmarkEnd w:id="18"/>
    </w:p>
    <w:p w14:paraId="677C664C" w14:textId="787D5B5E" w:rsidR="00CD4561" w:rsidRPr="0033338C" w:rsidRDefault="003A033E" w:rsidP="00E02195">
      <w:pPr>
        <w:spacing w:before="240" w:line="360" w:lineRule="auto"/>
        <w:jc w:val="both"/>
        <w:rPr>
          <w:rFonts w:ascii="Arial" w:hAnsi="Arial" w:cs="Arial"/>
          <w:sz w:val="24"/>
          <w:szCs w:val="24"/>
          <w:lang w:val="en-US"/>
        </w:rPr>
      </w:pPr>
      <w:r w:rsidRPr="0033338C">
        <w:rPr>
          <w:rFonts w:ascii="Arial" w:hAnsi="Arial" w:cs="Arial"/>
          <w:sz w:val="24"/>
          <w:szCs w:val="24"/>
        </w:rPr>
        <w:t>All in all, the discussion illustrates that General Electronics is in serious financial trouble due to the deterioration of profitability, liquidity issues and its deteriorated solvency. The trend of ratio, results of Altman Z-Score, and international financial risks all show that the company needs restructuring as an immediate priority. Principles of investment appraisal and capital budgeting are crucial in the assessment of the foreign investment opportunities, merger possibilities and upgrade of technology to make sure that only projects that add value are carried out. The only project which has been recommended in the investment appraisal regarding rationing of capital is project C (PI:</w:t>
      </w:r>
      <w:r w:rsidR="00784C19">
        <w:rPr>
          <w:rFonts w:ascii="Arial" w:hAnsi="Arial" w:cs="Arial"/>
          <w:sz w:val="24"/>
          <w:szCs w:val="24"/>
        </w:rPr>
        <w:t xml:space="preserve"> 1.25) because it will result in</w:t>
      </w:r>
      <w:r w:rsidRPr="0033338C">
        <w:rPr>
          <w:rFonts w:ascii="Arial" w:hAnsi="Arial" w:cs="Arial"/>
          <w:sz w:val="24"/>
          <w:szCs w:val="24"/>
        </w:rPr>
        <w:t xml:space="preserve"> the highest value per pound invested. This plan is significant in ensuring that the balance sheet is stabilised, investor confidence is reinstated and GE is assured a future in the competitive consumer electronics market</w:t>
      </w:r>
      <w:r w:rsidR="00E02195" w:rsidRPr="0033338C">
        <w:rPr>
          <w:rFonts w:ascii="Arial" w:hAnsi="Arial" w:cs="Arial"/>
          <w:sz w:val="24"/>
          <w:szCs w:val="24"/>
          <w:lang w:val="en-US"/>
        </w:rPr>
        <w:t>.</w:t>
      </w:r>
      <w:r w:rsidR="00CD4561" w:rsidRPr="0033338C">
        <w:rPr>
          <w:rFonts w:ascii="Arial" w:hAnsi="Arial" w:cs="Arial"/>
          <w:sz w:val="24"/>
          <w:szCs w:val="24"/>
        </w:rPr>
        <w:br w:type="page"/>
      </w:r>
    </w:p>
    <w:p w14:paraId="2A6D5890" w14:textId="77777777" w:rsidR="00CD4561" w:rsidRPr="0033338C" w:rsidRDefault="00CD4561" w:rsidP="00CD4561">
      <w:pPr>
        <w:pStyle w:val="Heading1"/>
        <w:rPr>
          <w:rFonts w:cs="Arial"/>
        </w:rPr>
      </w:pPr>
      <w:bookmarkStart w:id="19" w:name="_Toc214831140"/>
      <w:r w:rsidRPr="0033338C">
        <w:rPr>
          <w:rFonts w:cs="Arial"/>
        </w:rPr>
        <w:lastRenderedPageBreak/>
        <w:t>Reference</w:t>
      </w:r>
      <w:bookmarkEnd w:id="19"/>
    </w:p>
    <w:p w14:paraId="1C9052AD" w14:textId="77777777" w:rsidR="008E5EEB" w:rsidRPr="0033338C" w:rsidRDefault="008E5EEB" w:rsidP="0033338C">
      <w:pPr>
        <w:pStyle w:val="NormalWeb"/>
        <w:spacing w:line="360" w:lineRule="auto"/>
        <w:jc w:val="both"/>
        <w:rPr>
          <w:rFonts w:ascii="Arial" w:hAnsi="Arial" w:cs="Arial"/>
        </w:rPr>
      </w:pPr>
      <w:r w:rsidRPr="0033338C">
        <w:rPr>
          <w:rFonts w:ascii="Arial" w:hAnsi="Arial" w:cs="Arial"/>
        </w:rPr>
        <w:t>Altman, E. (2013) Corporate Financial Distress and Bankruptcy. Wiley. Available at: https://doi.org/10.1002/9781118656257 (Accessed: 23 November 2025).</w:t>
      </w:r>
    </w:p>
    <w:p w14:paraId="67C087FE" w14:textId="77777777" w:rsidR="008E5EEB" w:rsidRPr="0033338C" w:rsidRDefault="008E5EEB" w:rsidP="0033338C">
      <w:pPr>
        <w:pStyle w:val="NormalWeb"/>
        <w:spacing w:line="360" w:lineRule="auto"/>
        <w:jc w:val="both"/>
        <w:rPr>
          <w:rFonts w:ascii="Arial" w:hAnsi="Arial" w:cs="Arial"/>
          <w:lang w:val="en-US"/>
        </w:rPr>
      </w:pPr>
      <w:r w:rsidRPr="0033338C">
        <w:rPr>
          <w:rFonts w:ascii="Arial" w:hAnsi="Arial" w:cs="Arial"/>
          <w:lang w:val="en-US"/>
        </w:rPr>
        <w:t>Altman, E.I. (2020) ‘A fifty-year retrospective on credit risk models, the Altman Z-score family of models and their applications to financial market’, Journal of Credit Risk, 16(3), pp. 1–32.</w:t>
      </w:r>
    </w:p>
    <w:p w14:paraId="602E109C" w14:textId="77777777" w:rsidR="008E5EEB" w:rsidRPr="0033338C" w:rsidRDefault="008E5EEB" w:rsidP="0033338C">
      <w:pPr>
        <w:pStyle w:val="NormalWeb"/>
        <w:spacing w:line="360" w:lineRule="auto"/>
        <w:jc w:val="both"/>
        <w:rPr>
          <w:rFonts w:ascii="Arial" w:hAnsi="Arial" w:cs="Arial"/>
          <w:lang w:val="en-US"/>
        </w:rPr>
      </w:pPr>
      <w:r w:rsidRPr="0033338C">
        <w:rPr>
          <w:rFonts w:ascii="Arial" w:hAnsi="Arial" w:cs="Arial"/>
          <w:lang w:val="en-US"/>
        </w:rPr>
        <w:t xml:space="preserve">AnalystPrep (2019) Profitability Measures: NPV, IRR, AAR, PI | CFA Level 1. Available at: </w:t>
      </w:r>
      <w:hyperlink r:id="rId10" w:tgtFrame="_blank" w:history="1">
        <w:r w:rsidRPr="0033338C">
          <w:rPr>
            <w:rStyle w:val="Hyperlink"/>
            <w:rFonts w:ascii="Arial" w:hAnsi="Arial" w:cs="Arial"/>
            <w:lang w:val="en-US"/>
          </w:rPr>
          <w:t>https://analystprep.com/cfa-level-1-exam/corporate-finance/measures-profitability-npv-irr-aar-pi/</w:t>
        </w:r>
      </w:hyperlink>
      <w:r w:rsidRPr="0033338C">
        <w:rPr>
          <w:rFonts w:ascii="Arial" w:hAnsi="Arial" w:cs="Arial"/>
          <w:lang w:val="en-US"/>
        </w:rPr>
        <w:t xml:space="preserve"> (Accessed: 23 November 2025).</w:t>
      </w:r>
    </w:p>
    <w:p w14:paraId="62401BBE" w14:textId="73461484" w:rsidR="008E5EEB" w:rsidRPr="0033338C" w:rsidRDefault="008E5EEB" w:rsidP="0033338C">
      <w:pPr>
        <w:pStyle w:val="NormalWeb"/>
        <w:spacing w:line="360" w:lineRule="auto"/>
        <w:jc w:val="both"/>
        <w:rPr>
          <w:rFonts w:ascii="Arial" w:hAnsi="Arial" w:cs="Arial"/>
        </w:rPr>
      </w:pPr>
      <w:r w:rsidRPr="0033338C">
        <w:rPr>
          <w:rFonts w:ascii="Arial" w:hAnsi="Arial" w:cs="Arial"/>
        </w:rPr>
        <w:t>Atrill, P. and McLaney, E. (2022) Financial Management for Decision Makers. Pearson. Available at:</w:t>
      </w:r>
      <w:r w:rsidRPr="0033338C">
        <w:rPr>
          <w:rFonts w:ascii="Arial" w:hAnsi="Arial" w:cs="Arial"/>
        </w:rPr>
        <w:br/>
      </w:r>
      <w:hyperlink r:id="rId11" w:history="1">
        <w:r w:rsidR="00C338C0" w:rsidRPr="0033338C">
          <w:rPr>
            <w:rStyle w:val="Hyperlink"/>
            <w:rFonts w:ascii="Arial" w:hAnsi="Arial" w:cs="Arial"/>
          </w:rPr>
          <w:t>https://www.pearson.com/en-gb/subject-catalog/p/financial-management-for-decision-makers</w:t>
        </w:r>
      </w:hyperlink>
      <w:r w:rsidR="00C338C0" w:rsidRPr="0033338C">
        <w:rPr>
          <w:rFonts w:ascii="Arial" w:hAnsi="Arial" w:cs="Arial"/>
        </w:rPr>
        <w:t xml:space="preserve"> </w:t>
      </w:r>
      <w:r w:rsidRPr="0033338C">
        <w:rPr>
          <w:rFonts w:ascii="Arial" w:hAnsi="Arial" w:cs="Arial"/>
        </w:rPr>
        <w:t>(Accessed: 23 November 2025).</w:t>
      </w:r>
    </w:p>
    <w:p w14:paraId="50753784" w14:textId="0DB0B74F" w:rsidR="008E5EEB" w:rsidRPr="0033338C" w:rsidRDefault="008E5EEB" w:rsidP="0033338C">
      <w:pPr>
        <w:pStyle w:val="NormalWeb"/>
        <w:spacing w:line="360" w:lineRule="auto"/>
        <w:jc w:val="both"/>
        <w:rPr>
          <w:rFonts w:ascii="Arial" w:hAnsi="Arial" w:cs="Arial"/>
        </w:rPr>
      </w:pPr>
      <w:r w:rsidRPr="0033338C">
        <w:rPr>
          <w:rFonts w:ascii="Arial" w:hAnsi="Arial" w:cs="Arial"/>
        </w:rPr>
        <w:t>Bebchuk, L. and Neuman, K. (2022) The Law and Economics of Tax Avoidance. Available at:</w:t>
      </w:r>
      <w:r w:rsidR="00C338C0" w:rsidRPr="0033338C">
        <w:rPr>
          <w:rFonts w:ascii="Arial" w:hAnsi="Arial" w:cs="Arial"/>
        </w:rPr>
        <w:t xml:space="preserve"> </w:t>
      </w:r>
      <w:hyperlink r:id="rId12" w:history="1">
        <w:r w:rsidR="00C338C0" w:rsidRPr="0033338C">
          <w:rPr>
            <w:rStyle w:val="Hyperlink"/>
            <w:rFonts w:ascii="Arial" w:hAnsi="Arial" w:cs="Arial"/>
          </w:rPr>
          <w:t>https://papers.ssrn.com/sol3/papers.cfm?abstract_id=4279580</w:t>
        </w:r>
      </w:hyperlink>
      <w:r w:rsidR="00C338C0" w:rsidRPr="0033338C">
        <w:rPr>
          <w:rFonts w:ascii="Arial" w:hAnsi="Arial" w:cs="Arial"/>
        </w:rPr>
        <w:t xml:space="preserve"> </w:t>
      </w:r>
      <w:r w:rsidRPr="0033338C">
        <w:rPr>
          <w:rFonts w:ascii="Arial" w:hAnsi="Arial" w:cs="Arial"/>
        </w:rPr>
        <w:t>(Accessed: 23 November 2025).</w:t>
      </w:r>
    </w:p>
    <w:p w14:paraId="3BDFA795" w14:textId="35FB794A" w:rsidR="008E5EEB" w:rsidRPr="0033338C" w:rsidRDefault="008E5EEB" w:rsidP="0033338C">
      <w:pPr>
        <w:pStyle w:val="NormalWeb"/>
        <w:spacing w:line="360" w:lineRule="auto"/>
        <w:jc w:val="both"/>
        <w:rPr>
          <w:rFonts w:ascii="Arial" w:hAnsi="Arial" w:cs="Arial"/>
        </w:rPr>
      </w:pPr>
      <w:r w:rsidRPr="0033338C">
        <w:rPr>
          <w:rFonts w:ascii="Arial" w:hAnsi="Arial" w:cs="Arial"/>
        </w:rPr>
        <w:t>Brealey, R., Myers, S. and Allen, F. (2020) Principles of Corporate Finance. McGraw-Hill. Available at:</w:t>
      </w:r>
      <w:r w:rsidR="00C338C0" w:rsidRPr="0033338C">
        <w:rPr>
          <w:rFonts w:ascii="Arial" w:hAnsi="Arial" w:cs="Arial"/>
        </w:rPr>
        <w:t xml:space="preserve"> </w:t>
      </w:r>
      <w:hyperlink r:id="rId13" w:history="1">
        <w:r w:rsidR="00C338C0" w:rsidRPr="0033338C">
          <w:rPr>
            <w:rStyle w:val="Hyperlink"/>
            <w:rFonts w:ascii="Arial" w:hAnsi="Arial" w:cs="Arial"/>
          </w:rPr>
          <w:t>https://www.mheducation.com/highered/product/principles-corporate-finance</w:t>
        </w:r>
      </w:hyperlink>
      <w:r w:rsidR="00C338C0" w:rsidRPr="0033338C">
        <w:rPr>
          <w:rFonts w:ascii="Arial" w:hAnsi="Arial" w:cs="Arial"/>
        </w:rPr>
        <w:t xml:space="preserve"> </w:t>
      </w:r>
      <w:r w:rsidRPr="0033338C">
        <w:rPr>
          <w:rFonts w:ascii="Arial" w:hAnsi="Arial" w:cs="Arial"/>
        </w:rPr>
        <w:t>(Accessed: 23 November 2025).</w:t>
      </w:r>
    </w:p>
    <w:p w14:paraId="0E2CD6CC" w14:textId="2836239C" w:rsidR="008E5EEB" w:rsidRPr="0033338C" w:rsidRDefault="008E5EEB" w:rsidP="0033338C">
      <w:pPr>
        <w:pStyle w:val="NormalWeb"/>
        <w:spacing w:line="360" w:lineRule="auto"/>
        <w:jc w:val="both"/>
        <w:rPr>
          <w:rFonts w:ascii="Arial" w:hAnsi="Arial" w:cs="Arial"/>
        </w:rPr>
      </w:pPr>
      <w:r w:rsidRPr="0033338C">
        <w:rPr>
          <w:rFonts w:ascii="Arial" w:hAnsi="Arial" w:cs="Arial"/>
        </w:rPr>
        <w:t>Buckley, P. (2022) International Business. Palgrave Macmillan. Available at:</w:t>
      </w:r>
      <w:r w:rsidRPr="0033338C">
        <w:rPr>
          <w:rFonts w:ascii="Arial" w:hAnsi="Arial" w:cs="Arial"/>
        </w:rPr>
        <w:br/>
      </w:r>
      <w:hyperlink r:id="rId14" w:history="1">
        <w:r w:rsidR="00C338C0" w:rsidRPr="0033338C">
          <w:rPr>
            <w:rStyle w:val="Hyperlink"/>
            <w:rFonts w:ascii="Arial" w:hAnsi="Arial" w:cs="Arial"/>
          </w:rPr>
          <w:t>https://link.springer.com/book/10.1007/978-3-031-08969-0</w:t>
        </w:r>
      </w:hyperlink>
      <w:r w:rsidR="00C338C0" w:rsidRPr="0033338C">
        <w:rPr>
          <w:rFonts w:ascii="Arial" w:hAnsi="Arial" w:cs="Arial"/>
        </w:rPr>
        <w:t xml:space="preserve"> </w:t>
      </w:r>
      <w:r w:rsidRPr="0033338C">
        <w:rPr>
          <w:rFonts w:ascii="Arial" w:hAnsi="Arial" w:cs="Arial"/>
        </w:rPr>
        <w:t>(Accessed: 23 November 2025).</w:t>
      </w:r>
    </w:p>
    <w:p w14:paraId="69391784" w14:textId="77777777" w:rsidR="008E5EEB" w:rsidRPr="0033338C" w:rsidRDefault="008E5EEB" w:rsidP="0033338C">
      <w:pPr>
        <w:pStyle w:val="NormalWeb"/>
        <w:spacing w:line="360" w:lineRule="auto"/>
        <w:jc w:val="both"/>
        <w:rPr>
          <w:rFonts w:ascii="Arial" w:hAnsi="Arial" w:cs="Arial"/>
          <w:lang w:val="en-US"/>
        </w:rPr>
      </w:pPr>
      <w:r w:rsidRPr="0033338C">
        <w:rPr>
          <w:rFonts w:ascii="Arial" w:hAnsi="Arial" w:cs="Arial"/>
          <w:lang w:val="en-US"/>
        </w:rPr>
        <w:t xml:space="preserve">CFI (2025) Capital Rationing - Definition, Example, Types, Pros. Available at: </w:t>
      </w:r>
      <w:hyperlink r:id="rId15" w:tgtFrame="_blank" w:history="1">
        <w:r w:rsidRPr="0033338C">
          <w:rPr>
            <w:rStyle w:val="Hyperlink"/>
            <w:rFonts w:ascii="Arial" w:hAnsi="Arial" w:cs="Arial"/>
            <w:lang w:val="en-US"/>
          </w:rPr>
          <w:t>https://corporatefinanceinstitute.com/resources/accounting/capital-rationing/</w:t>
        </w:r>
      </w:hyperlink>
      <w:r w:rsidRPr="0033338C">
        <w:rPr>
          <w:rFonts w:ascii="Arial" w:hAnsi="Arial" w:cs="Arial"/>
          <w:lang w:val="en-US"/>
        </w:rPr>
        <w:t xml:space="preserve"> (Accessed: 23 November 2025).</w:t>
      </w:r>
    </w:p>
    <w:p w14:paraId="4E4800C3" w14:textId="61A15FF2" w:rsidR="008E5EEB" w:rsidRPr="0033338C" w:rsidRDefault="008E5EEB" w:rsidP="0033338C">
      <w:pPr>
        <w:pStyle w:val="NormalWeb"/>
        <w:spacing w:line="360" w:lineRule="auto"/>
        <w:jc w:val="both"/>
        <w:rPr>
          <w:rFonts w:ascii="Arial" w:hAnsi="Arial" w:cs="Arial"/>
        </w:rPr>
      </w:pPr>
      <w:r w:rsidRPr="0033338C">
        <w:rPr>
          <w:rFonts w:ascii="Arial" w:hAnsi="Arial" w:cs="Arial"/>
        </w:rPr>
        <w:lastRenderedPageBreak/>
        <w:t>Crane, A., Matten, D. and Spence, L. (2019) Corporate Social Responsibility: Readings and Cases. Routledge. Available at:</w:t>
      </w:r>
      <w:r w:rsidR="00C338C0" w:rsidRPr="0033338C">
        <w:rPr>
          <w:rFonts w:ascii="Arial" w:hAnsi="Arial" w:cs="Arial"/>
        </w:rPr>
        <w:t xml:space="preserve"> </w:t>
      </w:r>
      <w:hyperlink r:id="rId16" w:history="1">
        <w:r w:rsidR="00C338C0" w:rsidRPr="0033338C">
          <w:rPr>
            <w:rStyle w:val="Hyperlink"/>
            <w:rFonts w:ascii="Arial" w:hAnsi="Arial" w:cs="Arial"/>
          </w:rPr>
          <w:t>https://www.routledge.com/Corporate-Social-Responsibility</w:t>
        </w:r>
      </w:hyperlink>
      <w:r w:rsidR="00C338C0" w:rsidRPr="0033338C">
        <w:rPr>
          <w:rFonts w:ascii="Arial" w:hAnsi="Arial" w:cs="Arial"/>
        </w:rPr>
        <w:t xml:space="preserve"> </w:t>
      </w:r>
      <w:r w:rsidRPr="0033338C">
        <w:rPr>
          <w:rFonts w:ascii="Arial" w:hAnsi="Arial" w:cs="Arial"/>
        </w:rPr>
        <w:t>(Accessed: 23 November 2025).</w:t>
      </w:r>
    </w:p>
    <w:p w14:paraId="3B522290" w14:textId="4CFCD23F" w:rsidR="008E5EEB" w:rsidRPr="0033338C" w:rsidRDefault="008E5EEB" w:rsidP="0033338C">
      <w:pPr>
        <w:pStyle w:val="NormalWeb"/>
        <w:spacing w:line="360" w:lineRule="auto"/>
        <w:jc w:val="both"/>
        <w:rPr>
          <w:rFonts w:ascii="Arial" w:hAnsi="Arial" w:cs="Arial"/>
        </w:rPr>
      </w:pPr>
      <w:r w:rsidRPr="0033338C">
        <w:rPr>
          <w:rFonts w:ascii="Arial" w:hAnsi="Arial" w:cs="Arial"/>
        </w:rPr>
        <w:t>Damodaran, A. (2015) Applied Corporate Finance. Wiley. Available at:</w:t>
      </w:r>
      <w:r w:rsidRPr="0033338C">
        <w:rPr>
          <w:rFonts w:ascii="Arial" w:hAnsi="Arial" w:cs="Arial"/>
        </w:rPr>
        <w:br/>
      </w:r>
      <w:hyperlink r:id="rId17" w:history="1">
        <w:r w:rsidR="00C338C0" w:rsidRPr="0033338C">
          <w:rPr>
            <w:rStyle w:val="Hyperlink"/>
            <w:rFonts w:ascii="Arial" w:hAnsi="Arial" w:cs="Arial"/>
          </w:rPr>
          <w:t>https://www.wiley.com/en-us/Applied+Corporate+Finance</w:t>
        </w:r>
      </w:hyperlink>
      <w:r w:rsidR="00C338C0" w:rsidRPr="0033338C">
        <w:rPr>
          <w:rFonts w:ascii="Arial" w:hAnsi="Arial" w:cs="Arial"/>
        </w:rPr>
        <w:t xml:space="preserve"> </w:t>
      </w:r>
      <w:r w:rsidRPr="0033338C">
        <w:rPr>
          <w:rFonts w:ascii="Arial" w:hAnsi="Arial" w:cs="Arial"/>
        </w:rPr>
        <w:t>(Accessed: 23 November 2025).</w:t>
      </w:r>
    </w:p>
    <w:p w14:paraId="5904D377" w14:textId="4E14E44A" w:rsidR="008E5EEB" w:rsidRPr="0033338C" w:rsidRDefault="008E5EEB" w:rsidP="0033338C">
      <w:pPr>
        <w:pStyle w:val="NormalWeb"/>
        <w:spacing w:line="360" w:lineRule="auto"/>
        <w:jc w:val="both"/>
        <w:rPr>
          <w:rFonts w:ascii="Arial" w:hAnsi="Arial" w:cs="Arial"/>
        </w:rPr>
      </w:pPr>
      <w:r w:rsidRPr="0033338C">
        <w:rPr>
          <w:rFonts w:ascii="Arial" w:hAnsi="Arial" w:cs="Arial"/>
        </w:rPr>
        <w:t>Fernando, A. (2022) Business Ethics and Corporate Governance. Pearson. Available at:</w:t>
      </w:r>
      <w:r w:rsidR="00C338C0" w:rsidRPr="0033338C">
        <w:rPr>
          <w:rFonts w:ascii="Arial" w:hAnsi="Arial" w:cs="Arial"/>
        </w:rPr>
        <w:t xml:space="preserve"> </w:t>
      </w:r>
      <w:hyperlink r:id="rId18" w:history="1">
        <w:r w:rsidR="00C338C0" w:rsidRPr="0033338C">
          <w:rPr>
            <w:rStyle w:val="Hyperlink"/>
            <w:rFonts w:ascii="Arial" w:hAnsi="Arial" w:cs="Arial"/>
          </w:rPr>
          <w:t>https://www.pearson.com/en-gb/subject-catalog/p/business-ethics-and-corporate-governance</w:t>
        </w:r>
      </w:hyperlink>
      <w:r w:rsidR="00C338C0" w:rsidRPr="0033338C">
        <w:rPr>
          <w:rFonts w:ascii="Arial" w:hAnsi="Arial" w:cs="Arial"/>
        </w:rPr>
        <w:t xml:space="preserve"> </w:t>
      </w:r>
      <w:r w:rsidRPr="0033338C">
        <w:rPr>
          <w:rFonts w:ascii="Arial" w:hAnsi="Arial" w:cs="Arial"/>
        </w:rPr>
        <w:t>(Accessed: 23 November 2025).</w:t>
      </w:r>
    </w:p>
    <w:p w14:paraId="29315E50" w14:textId="77777777" w:rsidR="008E5EEB" w:rsidRPr="0033338C" w:rsidRDefault="008E5EEB" w:rsidP="0033338C">
      <w:pPr>
        <w:pStyle w:val="NormalWeb"/>
        <w:spacing w:line="360" w:lineRule="auto"/>
        <w:jc w:val="both"/>
        <w:rPr>
          <w:rFonts w:ascii="Arial" w:hAnsi="Arial" w:cs="Arial"/>
        </w:rPr>
      </w:pPr>
      <w:r w:rsidRPr="0033338C">
        <w:rPr>
          <w:rFonts w:ascii="Arial" w:hAnsi="Arial" w:cs="Arial"/>
        </w:rPr>
        <w:t>Financial Management Assessment Brief (2025) General Electronics Financial Statements 2020–2024. Provided by student.</w:t>
      </w:r>
    </w:p>
    <w:p w14:paraId="65FBF3FC" w14:textId="127340D6" w:rsidR="008E5EEB" w:rsidRPr="0033338C" w:rsidRDefault="008E5EEB" w:rsidP="0033338C">
      <w:pPr>
        <w:pStyle w:val="NormalWeb"/>
        <w:spacing w:line="360" w:lineRule="auto"/>
        <w:jc w:val="both"/>
        <w:rPr>
          <w:rFonts w:ascii="Arial" w:hAnsi="Arial" w:cs="Arial"/>
        </w:rPr>
      </w:pPr>
      <w:r w:rsidRPr="0033338C">
        <w:rPr>
          <w:rFonts w:ascii="Arial" w:hAnsi="Arial" w:cs="Arial"/>
        </w:rPr>
        <w:t>Gaughan, P. (2017) Mergers, Acquisitions, and Corporate Restructurings. Wiley. Available at:</w:t>
      </w:r>
      <w:r w:rsidR="00C338C0" w:rsidRPr="0033338C">
        <w:rPr>
          <w:rFonts w:ascii="Arial" w:hAnsi="Arial" w:cs="Arial"/>
        </w:rPr>
        <w:t xml:space="preserve"> </w:t>
      </w:r>
      <w:hyperlink r:id="rId19" w:history="1">
        <w:r w:rsidR="00C338C0" w:rsidRPr="0033338C">
          <w:rPr>
            <w:rStyle w:val="Hyperlink"/>
            <w:rFonts w:ascii="Arial" w:hAnsi="Arial" w:cs="Arial"/>
          </w:rPr>
          <w:t>https://www.wiley.com/enus/Mergers%2C+Acquisitions%2C+and+Corporate+Restructurings</w:t>
        </w:r>
      </w:hyperlink>
      <w:r w:rsidR="00C338C0" w:rsidRPr="0033338C">
        <w:rPr>
          <w:rFonts w:ascii="Arial" w:hAnsi="Arial" w:cs="Arial"/>
        </w:rPr>
        <w:t xml:space="preserve"> </w:t>
      </w:r>
      <w:r w:rsidRPr="0033338C">
        <w:rPr>
          <w:rFonts w:ascii="Arial" w:hAnsi="Arial" w:cs="Arial"/>
        </w:rPr>
        <w:t>(Accessed: 23 November 2025).</w:t>
      </w:r>
    </w:p>
    <w:p w14:paraId="0DCBEAFC" w14:textId="71610D7D" w:rsidR="008E5EEB" w:rsidRPr="0033338C" w:rsidRDefault="008E5EEB" w:rsidP="0033338C">
      <w:pPr>
        <w:pStyle w:val="NormalWeb"/>
        <w:spacing w:line="360" w:lineRule="auto"/>
        <w:jc w:val="both"/>
        <w:rPr>
          <w:rFonts w:ascii="Arial" w:hAnsi="Arial" w:cs="Arial"/>
        </w:rPr>
      </w:pPr>
      <w:r w:rsidRPr="0033338C">
        <w:rPr>
          <w:rFonts w:ascii="Arial" w:hAnsi="Arial" w:cs="Arial"/>
        </w:rPr>
        <w:t>Hill, C. and Hult, G. (2020) International Business: Competing in the Global Marketplace. McGraw-Hill. Available at:</w:t>
      </w:r>
      <w:r w:rsidRPr="0033338C">
        <w:rPr>
          <w:rFonts w:ascii="Arial" w:hAnsi="Arial" w:cs="Arial"/>
        </w:rPr>
        <w:br/>
      </w:r>
      <w:hyperlink r:id="rId20" w:history="1">
        <w:r w:rsidR="00C338C0" w:rsidRPr="0033338C">
          <w:rPr>
            <w:rStyle w:val="Hyperlink"/>
            <w:rFonts w:ascii="Arial" w:hAnsi="Arial" w:cs="Arial"/>
          </w:rPr>
          <w:t>https://www.mheducation.com/highered/product/international-business</w:t>
        </w:r>
      </w:hyperlink>
      <w:r w:rsidR="00C338C0" w:rsidRPr="0033338C">
        <w:rPr>
          <w:rFonts w:ascii="Arial" w:hAnsi="Arial" w:cs="Arial"/>
        </w:rPr>
        <w:t xml:space="preserve"> </w:t>
      </w:r>
      <w:r w:rsidRPr="0033338C">
        <w:rPr>
          <w:rFonts w:ascii="Arial" w:hAnsi="Arial" w:cs="Arial"/>
        </w:rPr>
        <w:t>(Accessed: 23 November 2025).</w:t>
      </w:r>
    </w:p>
    <w:p w14:paraId="63027041" w14:textId="77777777" w:rsidR="008E5EEB" w:rsidRPr="0033338C" w:rsidRDefault="008E5EEB" w:rsidP="0033338C">
      <w:pPr>
        <w:pStyle w:val="NormalWeb"/>
        <w:spacing w:line="360" w:lineRule="auto"/>
        <w:jc w:val="both"/>
        <w:rPr>
          <w:rFonts w:ascii="Arial" w:hAnsi="Arial" w:cs="Arial"/>
          <w:lang w:val="en-US"/>
        </w:rPr>
      </w:pPr>
      <w:r w:rsidRPr="0033338C">
        <w:rPr>
          <w:rFonts w:ascii="Arial" w:hAnsi="Arial" w:cs="Arial"/>
          <w:lang w:val="en-US"/>
        </w:rPr>
        <w:t xml:space="preserve">LegalVision UK (2025) Short-Term vs Long-Term Financing. Available at: </w:t>
      </w:r>
      <w:hyperlink r:id="rId21" w:tgtFrame="_blank" w:history="1">
        <w:r w:rsidRPr="0033338C">
          <w:rPr>
            <w:rStyle w:val="Hyperlink"/>
            <w:rFonts w:ascii="Arial" w:hAnsi="Arial" w:cs="Arial"/>
            <w:lang w:val="en-US"/>
          </w:rPr>
          <w:t>https://legalvision.co.uk/corporations/term-financing/</w:t>
        </w:r>
      </w:hyperlink>
      <w:r w:rsidRPr="0033338C">
        <w:rPr>
          <w:rFonts w:ascii="Arial" w:hAnsi="Arial" w:cs="Arial"/>
          <w:lang w:val="en-US"/>
        </w:rPr>
        <w:t xml:space="preserve"> (Accessed: 23 November 2025).</w:t>
      </w:r>
    </w:p>
    <w:p w14:paraId="696A9B60" w14:textId="212837FD" w:rsidR="008E5EEB" w:rsidRPr="0033338C" w:rsidRDefault="008E5EEB" w:rsidP="0033338C">
      <w:pPr>
        <w:pStyle w:val="NormalWeb"/>
        <w:spacing w:line="360" w:lineRule="auto"/>
        <w:jc w:val="both"/>
        <w:rPr>
          <w:rFonts w:ascii="Arial" w:hAnsi="Arial" w:cs="Arial"/>
        </w:rPr>
      </w:pPr>
      <w:r w:rsidRPr="0033338C">
        <w:rPr>
          <w:rFonts w:ascii="Arial" w:hAnsi="Arial" w:cs="Arial"/>
        </w:rPr>
        <w:t>Moffett, M., Stonehill, A. and Eiteman, D. (2017) Fundamentals of Multinational Finance. Pearson. Available at:</w:t>
      </w:r>
      <w:r w:rsidRPr="0033338C">
        <w:rPr>
          <w:rFonts w:ascii="Arial" w:hAnsi="Arial" w:cs="Arial"/>
        </w:rPr>
        <w:br/>
      </w:r>
      <w:hyperlink r:id="rId22" w:history="1">
        <w:r w:rsidR="00C338C0" w:rsidRPr="0033338C">
          <w:rPr>
            <w:rStyle w:val="Hyperlink"/>
            <w:rFonts w:ascii="Arial" w:hAnsi="Arial" w:cs="Arial"/>
          </w:rPr>
          <w:t>https://www.pearson.com/store/p/fundamentals-of-multinational-finance</w:t>
        </w:r>
      </w:hyperlink>
      <w:r w:rsidR="00C338C0" w:rsidRPr="0033338C">
        <w:rPr>
          <w:rFonts w:ascii="Arial" w:hAnsi="Arial" w:cs="Arial"/>
        </w:rPr>
        <w:t xml:space="preserve"> </w:t>
      </w:r>
      <w:r w:rsidRPr="0033338C">
        <w:rPr>
          <w:rFonts w:ascii="Arial" w:hAnsi="Arial" w:cs="Arial"/>
        </w:rPr>
        <w:t>(Accessed: 23 November 2025).</w:t>
      </w:r>
    </w:p>
    <w:p w14:paraId="39D7A0FF" w14:textId="77777777" w:rsidR="008E5EEB" w:rsidRPr="0033338C" w:rsidRDefault="008E5EEB" w:rsidP="0033338C">
      <w:pPr>
        <w:pStyle w:val="NormalWeb"/>
        <w:spacing w:line="360" w:lineRule="auto"/>
        <w:jc w:val="both"/>
        <w:rPr>
          <w:rFonts w:ascii="Arial" w:hAnsi="Arial" w:cs="Arial"/>
          <w:lang w:val="en-US"/>
        </w:rPr>
      </w:pPr>
      <w:r w:rsidRPr="0033338C">
        <w:rPr>
          <w:rFonts w:ascii="Arial" w:hAnsi="Arial" w:cs="Arial"/>
          <w:lang w:val="en-US"/>
        </w:rPr>
        <w:t>Porter, M.E. and Kramer, M.R. (2011) ‘Creating Shared Value’, Harvard Business Review, 89(1/2), pp. 62–77.</w:t>
      </w:r>
    </w:p>
    <w:p w14:paraId="2048186D" w14:textId="77777777" w:rsidR="008E5EEB" w:rsidRPr="0033338C" w:rsidRDefault="008E5EEB" w:rsidP="0033338C">
      <w:pPr>
        <w:pStyle w:val="NormalWeb"/>
        <w:spacing w:line="360" w:lineRule="auto"/>
        <w:jc w:val="both"/>
        <w:rPr>
          <w:rFonts w:ascii="Arial" w:hAnsi="Arial" w:cs="Arial"/>
          <w:lang w:val="en-US"/>
        </w:rPr>
      </w:pPr>
      <w:r w:rsidRPr="0033338C">
        <w:rPr>
          <w:rFonts w:ascii="Arial" w:hAnsi="Arial" w:cs="Arial"/>
          <w:lang w:val="en-US"/>
        </w:rPr>
        <w:lastRenderedPageBreak/>
        <w:t xml:space="preserve">Taxmann (2025) CAPITAL BUDGETING. Available at: </w:t>
      </w:r>
      <w:hyperlink r:id="rId23" w:tgtFrame="_blank" w:history="1">
        <w:r w:rsidRPr="0033338C">
          <w:rPr>
            <w:rStyle w:val="Hyperlink"/>
            <w:rFonts w:ascii="Arial" w:hAnsi="Arial" w:cs="Arial"/>
            <w:lang w:val="en-US"/>
          </w:rPr>
          <w:t>https://cdn.taxmann.com/BookshopFiles/bookfiles/1751112898387_Cracker_CAFM--NS_Zad-_9789371268929.pdf</w:t>
        </w:r>
      </w:hyperlink>
      <w:r w:rsidRPr="0033338C">
        <w:rPr>
          <w:rFonts w:ascii="Arial" w:hAnsi="Arial" w:cs="Arial"/>
          <w:lang w:val="en-US"/>
        </w:rPr>
        <w:t xml:space="preserve"> (Accessed: 23 November 2025).</w:t>
      </w:r>
    </w:p>
    <w:p w14:paraId="18F63417" w14:textId="77777777" w:rsidR="00C338C0" w:rsidRPr="0033338C" w:rsidRDefault="00C338C0" w:rsidP="00CE226E">
      <w:pPr>
        <w:pStyle w:val="NormalWeb"/>
        <w:spacing w:line="360" w:lineRule="auto"/>
        <w:rPr>
          <w:rFonts w:ascii="Arial" w:hAnsi="Arial" w:cs="Arial"/>
          <w:lang w:val="en-US"/>
        </w:rPr>
      </w:pPr>
    </w:p>
    <w:p w14:paraId="7EDF0630" w14:textId="77777777" w:rsidR="00C338C0" w:rsidRPr="0033338C" w:rsidRDefault="00C338C0" w:rsidP="00CE226E">
      <w:pPr>
        <w:pStyle w:val="NormalWeb"/>
        <w:spacing w:line="360" w:lineRule="auto"/>
        <w:rPr>
          <w:rFonts w:ascii="Arial" w:hAnsi="Arial" w:cs="Arial"/>
          <w:lang w:val="en-US"/>
        </w:rPr>
      </w:pPr>
    </w:p>
    <w:p w14:paraId="2BFDCE59" w14:textId="77777777" w:rsidR="00C338C0" w:rsidRPr="0033338C" w:rsidRDefault="00C338C0" w:rsidP="00CE226E">
      <w:pPr>
        <w:pStyle w:val="NormalWeb"/>
        <w:spacing w:line="360" w:lineRule="auto"/>
        <w:rPr>
          <w:rFonts w:ascii="Arial" w:hAnsi="Arial" w:cs="Arial"/>
          <w:lang w:val="en-US"/>
        </w:rPr>
      </w:pPr>
    </w:p>
    <w:p w14:paraId="72A68814" w14:textId="77777777" w:rsidR="00C338C0" w:rsidRPr="0033338C" w:rsidRDefault="00C338C0" w:rsidP="00CE226E">
      <w:pPr>
        <w:pStyle w:val="NormalWeb"/>
        <w:spacing w:line="360" w:lineRule="auto"/>
        <w:rPr>
          <w:rFonts w:ascii="Arial" w:hAnsi="Arial" w:cs="Arial"/>
          <w:lang w:val="en-US"/>
        </w:rPr>
      </w:pPr>
    </w:p>
    <w:p w14:paraId="3CD1F0DC" w14:textId="77777777" w:rsidR="00C338C0" w:rsidRPr="0033338C" w:rsidRDefault="00C338C0" w:rsidP="00CE226E">
      <w:pPr>
        <w:pStyle w:val="NormalWeb"/>
        <w:spacing w:line="360" w:lineRule="auto"/>
        <w:rPr>
          <w:rFonts w:ascii="Arial" w:hAnsi="Arial" w:cs="Arial"/>
          <w:lang w:val="en-US"/>
        </w:rPr>
      </w:pPr>
    </w:p>
    <w:p w14:paraId="14E07E47" w14:textId="77777777" w:rsidR="00C338C0" w:rsidRPr="0033338C" w:rsidRDefault="00C338C0" w:rsidP="00CE226E">
      <w:pPr>
        <w:pStyle w:val="NormalWeb"/>
        <w:spacing w:line="360" w:lineRule="auto"/>
        <w:rPr>
          <w:rFonts w:ascii="Arial" w:hAnsi="Arial" w:cs="Arial"/>
          <w:lang w:val="en-US"/>
        </w:rPr>
      </w:pPr>
    </w:p>
    <w:p w14:paraId="0C2978BA" w14:textId="77777777" w:rsidR="00C338C0" w:rsidRPr="0033338C" w:rsidRDefault="00C338C0" w:rsidP="00CE226E">
      <w:pPr>
        <w:pStyle w:val="NormalWeb"/>
        <w:spacing w:line="360" w:lineRule="auto"/>
        <w:rPr>
          <w:rFonts w:ascii="Arial" w:hAnsi="Arial" w:cs="Arial"/>
          <w:lang w:val="en-US"/>
        </w:rPr>
      </w:pPr>
    </w:p>
    <w:p w14:paraId="2F8ECB00" w14:textId="77777777" w:rsidR="00C338C0" w:rsidRPr="0033338C" w:rsidRDefault="00C338C0" w:rsidP="00CE226E">
      <w:pPr>
        <w:pStyle w:val="NormalWeb"/>
        <w:spacing w:line="360" w:lineRule="auto"/>
        <w:rPr>
          <w:rFonts w:ascii="Arial" w:hAnsi="Arial" w:cs="Arial"/>
          <w:lang w:val="en-US"/>
        </w:rPr>
      </w:pPr>
    </w:p>
    <w:p w14:paraId="0CAE9CF0" w14:textId="77777777" w:rsidR="00C338C0" w:rsidRPr="0033338C" w:rsidRDefault="00C338C0" w:rsidP="00CE226E">
      <w:pPr>
        <w:pStyle w:val="NormalWeb"/>
        <w:spacing w:line="360" w:lineRule="auto"/>
        <w:rPr>
          <w:rFonts w:ascii="Arial" w:hAnsi="Arial" w:cs="Arial"/>
          <w:lang w:val="en-US"/>
        </w:rPr>
      </w:pPr>
    </w:p>
    <w:p w14:paraId="7A796537" w14:textId="77777777" w:rsidR="00C338C0" w:rsidRPr="0033338C" w:rsidRDefault="00C338C0" w:rsidP="00CE226E">
      <w:pPr>
        <w:pStyle w:val="NormalWeb"/>
        <w:spacing w:line="360" w:lineRule="auto"/>
        <w:rPr>
          <w:rFonts w:ascii="Arial" w:hAnsi="Arial" w:cs="Arial"/>
          <w:lang w:val="en-US"/>
        </w:rPr>
      </w:pPr>
    </w:p>
    <w:p w14:paraId="3C5C75C5" w14:textId="77777777" w:rsidR="00C338C0" w:rsidRPr="0033338C" w:rsidRDefault="00C338C0" w:rsidP="00CE226E">
      <w:pPr>
        <w:pStyle w:val="NormalWeb"/>
        <w:spacing w:line="360" w:lineRule="auto"/>
        <w:rPr>
          <w:rFonts w:ascii="Arial" w:hAnsi="Arial" w:cs="Arial"/>
          <w:lang w:val="en-US"/>
        </w:rPr>
      </w:pPr>
    </w:p>
    <w:p w14:paraId="3637A015" w14:textId="77777777" w:rsidR="00C338C0" w:rsidRPr="0033338C" w:rsidRDefault="00C338C0" w:rsidP="00CE226E">
      <w:pPr>
        <w:pStyle w:val="NormalWeb"/>
        <w:spacing w:line="360" w:lineRule="auto"/>
        <w:rPr>
          <w:rFonts w:ascii="Arial" w:hAnsi="Arial" w:cs="Arial"/>
          <w:lang w:val="en-US"/>
        </w:rPr>
      </w:pPr>
    </w:p>
    <w:p w14:paraId="51CEB930" w14:textId="77777777" w:rsidR="00C338C0" w:rsidRPr="0033338C" w:rsidRDefault="00C338C0" w:rsidP="00CE226E">
      <w:pPr>
        <w:pStyle w:val="NormalWeb"/>
        <w:spacing w:line="360" w:lineRule="auto"/>
        <w:rPr>
          <w:rFonts w:ascii="Arial" w:hAnsi="Arial" w:cs="Arial"/>
          <w:lang w:val="en-US"/>
        </w:rPr>
      </w:pPr>
    </w:p>
    <w:p w14:paraId="4E32FAF4" w14:textId="77777777" w:rsidR="00C338C0" w:rsidRPr="0033338C" w:rsidRDefault="00C338C0" w:rsidP="00CE226E">
      <w:pPr>
        <w:pStyle w:val="NormalWeb"/>
        <w:spacing w:line="360" w:lineRule="auto"/>
        <w:rPr>
          <w:rFonts w:ascii="Arial" w:hAnsi="Arial" w:cs="Arial"/>
          <w:lang w:val="en-US"/>
        </w:rPr>
      </w:pPr>
    </w:p>
    <w:p w14:paraId="6036458E" w14:textId="77777777" w:rsidR="00C338C0" w:rsidRPr="0033338C" w:rsidRDefault="00C338C0" w:rsidP="00CE226E">
      <w:pPr>
        <w:pStyle w:val="NormalWeb"/>
        <w:spacing w:line="360" w:lineRule="auto"/>
        <w:rPr>
          <w:rFonts w:ascii="Arial" w:hAnsi="Arial" w:cs="Arial"/>
          <w:lang w:val="en-US"/>
        </w:rPr>
      </w:pPr>
    </w:p>
    <w:p w14:paraId="21492AFE" w14:textId="77777777" w:rsidR="00C338C0" w:rsidRPr="0033338C" w:rsidRDefault="00C338C0" w:rsidP="00CE226E">
      <w:pPr>
        <w:pStyle w:val="NormalWeb"/>
        <w:spacing w:line="360" w:lineRule="auto"/>
        <w:rPr>
          <w:rFonts w:ascii="Arial" w:hAnsi="Arial" w:cs="Arial"/>
          <w:lang w:val="en-US"/>
        </w:rPr>
      </w:pPr>
    </w:p>
    <w:p w14:paraId="031A1BC0" w14:textId="77777777" w:rsidR="00C338C0" w:rsidRPr="0033338C" w:rsidRDefault="00C338C0" w:rsidP="00CE226E">
      <w:pPr>
        <w:pStyle w:val="NormalWeb"/>
        <w:spacing w:line="360" w:lineRule="auto"/>
        <w:rPr>
          <w:rFonts w:ascii="Arial" w:hAnsi="Arial" w:cs="Arial"/>
          <w:lang w:val="en-US"/>
        </w:rPr>
      </w:pPr>
    </w:p>
    <w:p w14:paraId="7E310C38" w14:textId="77777777" w:rsidR="00C338C0" w:rsidRPr="0033338C" w:rsidRDefault="00C338C0" w:rsidP="00CE226E">
      <w:pPr>
        <w:pStyle w:val="NormalWeb"/>
        <w:spacing w:line="360" w:lineRule="auto"/>
        <w:rPr>
          <w:rFonts w:ascii="Arial" w:hAnsi="Arial" w:cs="Arial"/>
          <w:lang w:val="en-US"/>
        </w:rPr>
      </w:pPr>
    </w:p>
    <w:p w14:paraId="5E795CE2" w14:textId="0A05FB2B" w:rsidR="00C338C0" w:rsidRPr="0033338C" w:rsidRDefault="00C338C0" w:rsidP="00674C2E">
      <w:pPr>
        <w:pStyle w:val="Heading1"/>
        <w:rPr>
          <w:rFonts w:cs="Arial"/>
        </w:rPr>
      </w:pPr>
      <w:bookmarkStart w:id="20" w:name="_Toc214831141"/>
      <w:r w:rsidRPr="0033338C">
        <w:rPr>
          <w:rFonts w:cs="Arial"/>
        </w:rPr>
        <w:lastRenderedPageBreak/>
        <w:t>Appendices</w:t>
      </w:r>
      <w:bookmarkEnd w:id="20"/>
    </w:p>
    <w:p w14:paraId="7A6F48F5" w14:textId="72A226E1" w:rsidR="00C338C0" w:rsidRPr="0033338C" w:rsidRDefault="001110EB" w:rsidP="00E51711">
      <w:pPr>
        <w:pStyle w:val="Heading2"/>
        <w:rPr>
          <w:rFonts w:cs="Arial"/>
        </w:rPr>
      </w:pPr>
      <w:bookmarkStart w:id="21" w:name="_Toc214831142"/>
      <w:r w:rsidRPr="0033338C">
        <w:rPr>
          <w:rFonts w:cs="Arial"/>
        </w:rPr>
        <w:t>APPENDIX A: Financial Ratio Tables</w:t>
      </w:r>
      <w:bookmarkEnd w:id="21"/>
    </w:p>
    <w:p w14:paraId="4CA10131" w14:textId="23B2833F" w:rsidR="001110EB" w:rsidRPr="0033338C" w:rsidRDefault="001110EB" w:rsidP="00C338C0">
      <w:pPr>
        <w:pStyle w:val="NormalWeb"/>
        <w:spacing w:line="360" w:lineRule="auto"/>
        <w:rPr>
          <w:rFonts w:ascii="Arial" w:hAnsi="Arial" w:cs="Arial"/>
          <w:b/>
          <w:bCs/>
        </w:rPr>
      </w:pPr>
      <w:r w:rsidRPr="0033338C">
        <w:rPr>
          <w:rFonts w:ascii="Arial" w:hAnsi="Arial" w:cs="Arial"/>
          <w:b/>
          <w:bCs/>
        </w:rPr>
        <w:t>Table A1. Profitability Ratios (2021–2024)</w:t>
      </w:r>
    </w:p>
    <w:tbl>
      <w:tblPr>
        <w:tblStyle w:val="TableGrid"/>
        <w:tblW w:w="9015" w:type="dxa"/>
        <w:tblLook w:val="04A0" w:firstRow="1" w:lastRow="0" w:firstColumn="1" w:lastColumn="0" w:noHBand="0" w:noVBand="1"/>
      </w:tblPr>
      <w:tblGrid>
        <w:gridCol w:w="1803"/>
        <w:gridCol w:w="1803"/>
        <w:gridCol w:w="1803"/>
        <w:gridCol w:w="1803"/>
        <w:gridCol w:w="1803"/>
      </w:tblGrid>
      <w:tr w:rsidR="001110EB" w:rsidRPr="0033338C" w14:paraId="5BA5BB75" w14:textId="77777777" w:rsidTr="001110EB">
        <w:tc>
          <w:tcPr>
            <w:tcW w:w="1803" w:type="dxa"/>
          </w:tcPr>
          <w:p w14:paraId="1D8E6E7A" w14:textId="3F2C874B" w:rsidR="001110EB" w:rsidRPr="0033338C" w:rsidRDefault="001110EB" w:rsidP="001110EB">
            <w:pPr>
              <w:pStyle w:val="NormalWeb"/>
              <w:spacing w:line="360" w:lineRule="auto"/>
              <w:rPr>
                <w:rFonts w:ascii="Arial" w:hAnsi="Arial" w:cs="Arial"/>
              </w:rPr>
            </w:pPr>
            <w:r w:rsidRPr="0033338C">
              <w:rPr>
                <w:rFonts w:ascii="Arial" w:hAnsi="Arial" w:cs="Arial"/>
                <w:b/>
                <w:bCs/>
              </w:rPr>
              <w:t>Year</w:t>
            </w:r>
          </w:p>
        </w:tc>
        <w:tc>
          <w:tcPr>
            <w:tcW w:w="1803" w:type="dxa"/>
          </w:tcPr>
          <w:p w14:paraId="7C30FD7B" w14:textId="14B451AF" w:rsidR="001110EB" w:rsidRPr="0033338C" w:rsidRDefault="001110EB" w:rsidP="001110EB">
            <w:pPr>
              <w:pStyle w:val="NormalWeb"/>
              <w:spacing w:line="360" w:lineRule="auto"/>
              <w:rPr>
                <w:rFonts w:ascii="Arial" w:hAnsi="Arial" w:cs="Arial"/>
              </w:rPr>
            </w:pPr>
            <w:r w:rsidRPr="0033338C">
              <w:rPr>
                <w:rFonts w:ascii="Arial" w:hAnsi="Arial" w:cs="Arial"/>
                <w:b/>
                <w:bCs/>
              </w:rPr>
              <w:t>Gross Margin%</w:t>
            </w:r>
          </w:p>
        </w:tc>
        <w:tc>
          <w:tcPr>
            <w:tcW w:w="1803" w:type="dxa"/>
            <w:vAlign w:val="center"/>
          </w:tcPr>
          <w:p w14:paraId="1A8FB9AD" w14:textId="099BE801" w:rsidR="001110EB" w:rsidRPr="0033338C" w:rsidRDefault="001110EB" w:rsidP="001110EB">
            <w:pPr>
              <w:pStyle w:val="NormalWeb"/>
              <w:spacing w:line="360" w:lineRule="auto"/>
              <w:rPr>
                <w:rFonts w:ascii="Arial" w:hAnsi="Arial" w:cs="Arial"/>
              </w:rPr>
            </w:pPr>
            <w:r w:rsidRPr="0033338C">
              <w:rPr>
                <w:rFonts w:ascii="Arial" w:hAnsi="Arial" w:cs="Arial"/>
                <w:b/>
                <w:bCs/>
              </w:rPr>
              <w:t>Operating Margin %</w:t>
            </w:r>
          </w:p>
        </w:tc>
        <w:tc>
          <w:tcPr>
            <w:tcW w:w="1803" w:type="dxa"/>
            <w:vAlign w:val="center"/>
          </w:tcPr>
          <w:p w14:paraId="5705B32E" w14:textId="4A3B4484" w:rsidR="001110EB" w:rsidRPr="0033338C" w:rsidRDefault="001110EB" w:rsidP="001110EB">
            <w:pPr>
              <w:pStyle w:val="NormalWeb"/>
              <w:spacing w:line="360" w:lineRule="auto"/>
              <w:rPr>
                <w:rFonts w:ascii="Arial" w:hAnsi="Arial" w:cs="Arial"/>
              </w:rPr>
            </w:pPr>
            <w:r w:rsidRPr="0033338C">
              <w:rPr>
                <w:rFonts w:ascii="Arial" w:hAnsi="Arial" w:cs="Arial"/>
                <w:b/>
                <w:bCs/>
              </w:rPr>
              <w:t>Net Margin %</w:t>
            </w:r>
          </w:p>
        </w:tc>
        <w:tc>
          <w:tcPr>
            <w:tcW w:w="1803" w:type="dxa"/>
            <w:vAlign w:val="center"/>
          </w:tcPr>
          <w:p w14:paraId="15C934D5" w14:textId="7487C2FC" w:rsidR="001110EB" w:rsidRPr="0033338C" w:rsidRDefault="001110EB" w:rsidP="001110EB">
            <w:pPr>
              <w:pStyle w:val="NormalWeb"/>
              <w:spacing w:line="360" w:lineRule="auto"/>
              <w:rPr>
                <w:rFonts w:ascii="Arial" w:hAnsi="Arial" w:cs="Arial"/>
              </w:rPr>
            </w:pPr>
            <w:r w:rsidRPr="0033338C">
              <w:rPr>
                <w:rFonts w:ascii="Arial" w:hAnsi="Arial" w:cs="Arial"/>
                <w:b/>
                <w:bCs/>
              </w:rPr>
              <w:t>ROCE %</w:t>
            </w:r>
          </w:p>
        </w:tc>
      </w:tr>
      <w:tr w:rsidR="001110EB" w:rsidRPr="0033338C" w14:paraId="6C7E1915" w14:textId="77777777" w:rsidTr="00020729">
        <w:tc>
          <w:tcPr>
            <w:tcW w:w="1803" w:type="dxa"/>
            <w:vAlign w:val="center"/>
          </w:tcPr>
          <w:p w14:paraId="00156E92" w14:textId="08A051F0" w:rsidR="001110EB" w:rsidRPr="0033338C" w:rsidRDefault="001110EB" w:rsidP="001110EB">
            <w:pPr>
              <w:pStyle w:val="NormalWeb"/>
              <w:spacing w:line="360" w:lineRule="auto"/>
              <w:rPr>
                <w:rFonts w:ascii="Arial" w:hAnsi="Arial" w:cs="Arial"/>
              </w:rPr>
            </w:pPr>
            <w:r w:rsidRPr="0033338C">
              <w:rPr>
                <w:rFonts w:ascii="Arial" w:hAnsi="Arial" w:cs="Arial"/>
                <w:b/>
                <w:bCs/>
              </w:rPr>
              <w:t>2021</w:t>
            </w:r>
          </w:p>
        </w:tc>
        <w:tc>
          <w:tcPr>
            <w:tcW w:w="1803" w:type="dxa"/>
            <w:vAlign w:val="center"/>
          </w:tcPr>
          <w:p w14:paraId="513F7C34" w14:textId="0974199D" w:rsidR="001110EB" w:rsidRPr="0033338C" w:rsidRDefault="001110EB" w:rsidP="001110EB">
            <w:pPr>
              <w:pStyle w:val="NormalWeb"/>
              <w:spacing w:line="360" w:lineRule="auto"/>
              <w:rPr>
                <w:rFonts w:ascii="Arial" w:hAnsi="Arial" w:cs="Arial"/>
              </w:rPr>
            </w:pPr>
            <w:r w:rsidRPr="0033338C">
              <w:rPr>
                <w:rFonts w:ascii="Arial" w:hAnsi="Arial" w:cs="Arial"/>
              </w:rPr>
              <w:t>28.75%</w:t>
            </w:r>
          </w:p>
        </w:tc>
        <w:tc>
          <w:tcPr>
            <w:tcW w:w="1803" w:type="dxa"/>
            <w:vAlign w:val="center"/>
          </w:tcPr>
          <w:p w14:paraId="7731165F" w14:textId="46076311" w:rsidR="001110EB" w:rsidRPr="0033338C" w:rsidRDefault="001110EB" w:rsidP="001110EB">
            <w:pPr>
              <w:pStyle w:val="NormalWeb"/>
              <w:spacing w:line="360" w:lineRule="auto"/>
              <w:rPr>
                <w:rFonts w:ascii="Arial" w:hAnsi="Arial" w:cs="Arial"/>
              </w:rPr>
            </w:pPr>
            <w:r w:rsidRPr="0033338C">
              <w:rPr>
                <w:rFonts w:ascii="Arial" w:hAnsi="Arial" w:cs="Arial"/>
              </w:rPr>
              <w:t>3.86%</w:t>
            </w:r>
          </w:p>
        </w:tc>
        <w:tc>
          <w:tcPr>
            <w:tcW w:w="1803" w:type="dxa"/>
            <w:vAlign w:val="center"/>
          </w:tcPr>
          <w:p w14:paraId="5C9EB9E1" w14:textId="24706482" w:rsidR="001110EB" w:rsidRPr="0033338C" w:rsidRDefault="001110EB" w:rsidP="001110EB">
            <w:pPr>
              <w:pStyle w:val="NormalWeb"/>
              <w:spacing w:line="360" w:lineRule="auto"/>
              <w:rPr>
                <w:rFonts w:ascii="Arial" w:hAnsi="Arial" w:cs="Arial"/>
              </w:rPr>
            </w:pPr>
            <w:r w:rsidRPr="0033338C">
              <w:rPr>
                <w:rFonts w:ascii="Arial" w:hAnsi="Arial" w:cs="Arial"/>
              </w:rPr>
              <w:t>0.88%</w:t>
            </w:r>
          </w:p>
        </w:tc>
        <w:tc>
          <w:tcPr>
            <w:tcW w:w="1803" w:type="dxa"/>
            <w:vAlign w:val="center"/>
          </w:tcPr>
          <w:p w14:paraId="2C2D88D9" w14:textId="06CCA732" w:rsidR="001110EB" w:rsidRPr="0033338C" w:rsidRDefault="001110EB" w:rsidP="001110EB">
            <w:pPr>
              <w:pStyle w:val="NormalWeb"/>
              <w:spacing w:line="360" w:lineRule="auto"/>
              <w:rPr>
                <w:rFonts w:ascii="Arial" w:hAnsi="Arial" w:cs="Arial"/>
              </w:rPr>
            </w:pPr>
            <w:r w:rsidRPr="0033338C">
              <w:rPr>
                <w:rFonts w:ascii="Arial" w:hAnsi="Arial" w:cs="Arial"/>
              </w:rPr>
              <w:t>7.92%</w:t>
            </w:r>
          </w:p>
        </w:tc>
      </w:tr>
      <w:tr w:rsidR="001110EB" w:rsidRPr="0033338C" w14:paraId="44B7BB31" w14:textId="77777777" w:rsidTr="00020729">
        <w:tc>
          <w:tcPr>
            <w:tcW w:w="1803" w:type="dxa"/>
            <w:vAlign w:val="center"/>
          </w:tcPr>
          <w:p w14:paraId="3C953B22" w14:textId="41E9B3A4" w:rsidR="001110EB" w:rsidRPr="0033338C" w:rsidRDefault="001110EB" w:rsidP="001110EB">
            <w:pPr>
              <w:pStyle w:val="NormalWeb"/>
              <w:spacing w:line="360" w:lineRule="auto"/>
              <w:rPr>
                <w:rFonts w:ascii="Arial" w:hAnsi="Arial" w:cs="Arial"/>
              </w:rPr>
            </w:pPr>
            <w:r w:rsidRPr="0033338C">
              <w:rPr>
                <w:rFonts w:ascii="Arial" w:hAnsi="Arial" w:cs="Arial"/>
                <w:b/>
                <w:bCs/>
              </w:rPr>
              <w:t>2022</w:t>
            </w:r>
          </w:p>
        </w:tc>
        <w:tc>
          <w:tcPr>
            <w:tcW w:w="1803" w:type="dxa"/>
            <w:vAlign w:val="center"/>
          </w:tcPr>
          <w:p w14:paraId="440A4E9C" w14:textId="3D9D7085" w:rsidR="001110EB" w:rsidRPr="0033338C" w:rsidRDefault="001110EB" w:rsidP="001110EB">
            <w:pPr>
              <w:pStyle w:val="NormalWeb"/>
              <w:spacing w:line="360" w:lineRule="auto"/>
              <w:rPr>
                <w:rFonts w:ascii="Arial" w:hAnsi="Arial" w:cs="Arial"/>
              </w:rPr>
            </w:pPr>
            <w:r w:rsidRPr="0033338C">
              <w:rPr>
                <w:rFonts w:ascii="Arial" w:hAnsi="Arial" w:cs="Arial"/>
              </w:rPr>
              <w:t>28.06%</w:t>
            </w:r>
          </w:p>
        </w:tc>
        <w:tc>
          <w:tcPr>
            <w:tcW w:w="1803" w:type="dxa"/>
            <w:vAlign w:val="center"/>
          </w:tcPr>
          <w:p w14:paraId="2A27C342" w14:textId="5BF28544" w:rsidR="001110EB" w:rsidRPr="0033338C" w:rsidRDefault="001110EB" w:rsidP="001110EB">
            <w:pPr>
              <w:pStyle w:val="NormalWeb"/>
              <w:spacing w:line="360" w:lineRule="auto"/>
              <w:rPr>
                <w:rFonts w:ascii="Arial" w:hAnsi="Arial" w:cs="Arial"/>
              </w:rPr>
            </w:pPr>
            <w:r w:rsidRPr="0033338C">
              <w:rPr>
                <w:rFonts w:ascii="Arial" w:hAnsi="Arial" w:cs="Arial"/>
              </w:rPr>
              <w:t>2.68%</w:t>
            </w:r>
          </w:p>
        </w:tc>
        <w:tc>
          <w:tcPr>
            <w:tcW w:w="1803" w:type="dxa"/>
            <w:vAlign w:val="center"/>
          </w:tcPr>
          <w:p w14:paraId="1F87C0A4" w14:textId="01EF7193" w:rsidR="001110EB" w:rsidRPr="0033338C" w:rsidRDefault="001110EB" w:rsidP="001110EB">
            <w:pPr>
              <w:pStyle w:val="NormalWeb"/>
              <w:spacing w:line="360" w:lineRule="auto"/>
              <w:rPr>
                <w:rFonts w:ascii="Arial" w:hAnsi="Arial" w:cs="Arial"/>
              </w:rPr>
            </w:pPr>
            <w:r w:rsidRPr="0033338C">
              <w:rPr>
                <w:rFonts w:ascii="Arial" w:hAnsi="Arial" w:cs="Arial"/>
              </w:rPr>
              <w:t>0.07%</w:t>
            </w:r>
          </w:p>
        </w:tc>
        <w:tc>
          <w:tcPr>
            <w:tcW w:w="1803" w:type="dxa"/>
            <w:vAlign w:val="center"/>
          </w:tcPr>
          <w:p w14:paraId="04F6E989" w14:textId="59E4CF25" w:rsidR="001110EB" w:rsidRPr="0033338C" w:rsidRDefault="001110EB" w:rsidP="001110EB">
            <w:pPr>
              <w:pStyle w:val="NormalWeb"/>
              <w:spacing w:line="360" w:lineRule="auto"/>
              <w:rPr>
                <w:rFonts w:ascii="Arial" w:hAnsi="Arial" w:cs="Arial"/>
              </w:rPr>
            </w:pPr>
            <w:r w:rsidRPr="0033338C">
              <w:rPr>
                <w:rFonts w:ascii="Arial" w:hAnsi="Arial" w:cs="Arial"/>
              </w:rPr>
              <w:t>5.06%</w:t>
            </w:r>
          </w:p>
        </w:tc>
      </w:tr>
      <w:tr w:rsidR="001110EB" w:rsidRPr="0033338C" w14:paraId="57E96396" w14:textId="77777777" w:rsidTr="00020729">
        <w:tc>
          <w:tcPr>
            <w:tcW w:w="1803" w:type="dxa"/>
            <w:vAlign w:val="center"/>
          </w:tcPr>
          <w:p w14:paraId="30E681D8" w14:textId="7FEE1AEA" w:rsidR="001110EB" w:rsidRPr="0033338C" w:rsidRDefault="001110EB" w:rsidP="001110EB">
            <w:pPr>
              <w:pStyle w:val="NormalWeb"/>
              <w:spacing w:line="360" w:lineRule="auto"/>
              <w:rPr>
                <w:rFonts w:ascii="Arial" w:hAnsi="Arial" w:cs="Arial"/>
                <w:b/>
                <w:bCs/>
              </w:rPr>
            </w:pPr>
            <w:r w:rsidRPr="0033338C">
              <w:rPr>
                <w:rFonts w:ascii="Arial" w:hAnsi="Arial" w:cs="Arial"/>
                <w:b/>
                <w:bCs/>
              </w:rPr>
              <w:t>2023</w:t>
            </w:r>
          </w:p>
        </w:tc>
        <w:tc>
          <w:tcPr>
            <w:tcW w:w="1803" w:type="dxa"/>
            <w:vAlign w:val="center"/>
          </w:tcPr>
          <w:p w14:paraId="1610183C" w14:textId="6C8B7CEA" w:rsidR="001110EB" w:rsidRPr="0033338C" w:rsidRDefault="001110EB" w:rsidP="001110EB">
            <w:pPr>
              <w:pStyle w:val="NormalWeb"/>
              <w:spacing w:line="360" w:lineRule="auto"/>
              <w:rPr>
                <w:rFonts w:ascii="Arial" w:hAnsi="Arial" w:cs="Arial"/>
              </w:rPr>
            </w:pPr>
            <w:r w:rsidRPr="0033338C">
              <w:rPr>
                <w:rFonts w:ascii="Arial" w:hAnsi="Arial" w:cs="Arial"/>
              </w:rPr>
              <w:t>23.21%</w:t>
            </w:r>
          </w:p>
        </w:tc>
        <w:tc>
          <w:tcPr>
            <w:tcW w:w="1803" w:type="dxa"/>
            <w:vAlign w:val="center"/>
          </w:tcPr>
          <w:p w14:paraId="027E6455" w14:textId="3E440B3A" w:rsidR="001110EB" w:rsidRPr="0033338C" w:rsidRDefault="001110EB" w:rsidP="001110EB">
            <w:pPr>
              <w:pStyle w:val="NormalWeb"/>
              <w:spacing w:line="360" w:lineRule="auto"/>
              <w:rPr>
                <w:rFonts w:ascii="Arial" w:hAnsi="Arial" w:cs="Arial"/>
              </w:rPr>
            </w:pPr>
            <w:r w:rsidRPr="0033338C">
              <w:rPr>
                <w:rFonts w:ascii="Arial" w:hAnsi="Arial" w:cs="Arial"/>
              </w:rPr>
              <w:t>-20.29%</w:t>
            </w:r>
          </w:p>
        </w:tc>
        <w:tc>
          <w:tcPr>
            <w:tcW w:w="1803" w:type="dxa"/>
            <w:vAlign w:val="center"/>
          </w:tcPr>
          <w:p w14:paraId="45DBBCA3" w14:textId="536F9167" w:rsidR="001110EB" w:rsidRPr="0033338C" w:rsidRDefault="001110EB" w:rsidP="001110EB">
            <w:pPr>
              <w:pStyle w:val="NormalWeb"/>
              <w:spacing w:line="360" w:lineRule="auto"/>
              <w:rPr>
                <w:rFonts w:ascii="Arial" w:hAnsi="Arial" w:cs="Arial"/>
              </w:rPr>
            </w:pPr>
            <w:r w:rsidRPr="0033338C">
              <w:rPr>
                <w:rFonts w:ascii="Arial" w:hAnsi="Arial" w:cs="Arial"/>
              </w:rPr>
              <w:t>-23.37%</w:t>
            </w:r>
          </w:p>
        </w:tc>
        <w:tc>
          <w:tcPr>
            <w:tcW w:w="1803" w:type="dxa"/>
            <w:vAlign w:val="center"/>
          </w:tcPr>
          <w:p w14:paraId="19E0960E" w14:textId="7A29F461" w:rsidR="001110EB" w:rsidRPr="0033338C" w:rsidRDefault="001110EB" w:rsidP="001110EB">
            <w:pPr>
              <w:pStyle w:val="NormalWeb"/>
              <w:spacing w:line="360" w:lineRule="auto"/>
              <w:rPr>
                <w:rFonts w:ascii="Arial" w:hAnsi="Arial" w:cs="Arial"/>
              </w:rPr>
            </w:pPr>
            <w:r w:rsidRPr="0033338C">
              <w:rPr>
                <w:rFonts w:ascii="Arial" w:hAnsi="Arial" w:cs="Arial"/>
              </w:rPr>
              <w:t>-43.82%</w:t>
            </w:r>
          </w:p>
        </w:tc>
      </w:tr>
      <w:tr w:rsidR="001110EB" w:rsidRPr="0033338C" w14:paraId="4428286A" w14:textId="77777777" w:rsidTr="00020729">
        <w:tc>
          <w:tcPr>
            <w:tcW w:w="1803" w:type="dxa"/>
            <w:vAlign w:val="center"/>
          </w:tcPr>
          <w:p w14:paraId="601303E6" w14:textId="00D7D802" w:rsidR="001110EB" w:rsidRPr="0033338C" w:rsidRDefault="001110EB" w:rsidP="001110EB">
            <w:pPr>
              <w:pStyle w:val="NormalWeb"/>
              <w:spacing w:line="360" w:lineRule="auto"/>
              <w:rPr>
                <w:rFonts w:ascii="Arial" w:hAnsi="Arial" w:cs="Arial"/>
                <w:b/>
                <w:bCs/>
              </w:rPr>
            </w:pPr>
            <w:r w:rsidRPr="0033338C">
              <w:rPr>
                <w:rFonts w:ascii="Arial" w:hAnsi="Arial" w:cs="Arial"/>
                <w:b/>
                <w:bCs/>
              </w:rPr>
              <w:t>2024</w:t>
            </w:r>
          </w:p>
        </w:tc>
        <w:tc>
          <w:tcPr>
            <w:tcW w:w="1803" w:type="dxa"/>
            <w:vAlign w:val="center"/>
          </w:tcPr>
          <w:p w14:paraId="54896E89" w14:textId="73868097" w:rsidR="001110EB" w:rsidRPr="0033338C" w:rsidRDefault="001110EB" w:rsidP="001110EB">
            <w:pPr>
              <w:pStyle w:val="NormalWeb"/>
              <w:spacing w:line="360" w:lineRule="auto"/>
              <w:rPr>
                <w:rFonts w:ascii="Arial" w:hAnsi="Arial" w:cs="Arial"/>
              </w:rPr>
            </w:pPr>
            <w:r w:rsidRPr="0033338C">
              <w:rPr>
                <w:rFonts w:ascii="Arial" w:hAnsi="Arial" w:cs="Arial"/>
              </w:rPr>
              <w:t>28.88%</w:t>
            </w:r>
          </w:p>
        </w:tc>
        <w:tc>
          <w:tcPr>
            <w:tcW w:w="1803" w:type="dxa"/>
            <w:vAlign w:val="center"/>
          </w:tcPr>
          <w:p w14:paraId="376271C2" w14:textId="0A002615" w:rsidR="001110EB" w:rsidRPr="0033338C" w:rsidRDefault="001110EB" w:rsidP="001110EB">
            <w:pPr>
              <w:pStyle w:val="NormalWeb"/>
              <w:spacing w:line="360" w:lineRule="auto"/>
              <w:rPr>
                <w:rFonts w:ascii="Arial" w:hAnsi="Arial" w:cs="Arial"/>
              </w:rPr>
            </w:pPr>
            <w:r w:rsidRPr="0033338C">
              <w:rPr>
                <w:rFonts w:ascii="Arial" w:hAnsi="Arial" w:cs="Arial"/>
              </w:rPr>
              <w:t>-3.87%</w:t>
            </w:r>
          </w:p>
        </w:tc>
        <w:tc>
          <w:tcPr>
            <w:tcW w:w="1803" w:type="dxa"/>
            <w:vAlign w:val="center"/>
          </w:tcPr>
          <w:p w14:paraId="56B30035" w14:textId="42C1B0FF" w:rsidR="001110EB" w:rsidRPr="0033338C" w:rsidRDefault="001110EB" w:rsidP="001110EB">
            <w:pPr>
              <w:pStyle w:val="NormalWeb"/>
              <w:spacing w:line="360" w:lineRule="auto"/>
              <w:rPr>
                <w:rFonts w:ascii="Arial" w:hAnsi="Arial" w:cs="Arial"/>
              </w:rPr>
            </w:pPr>
            <w:r w:rsidRPr="0033338C">
              <w:rPr>
                <w:rFonts w:ascii="Arial" w:hAnsi="Arial" w:cs="Arial"/>
              </w:rPr>
              <w:t>-6.09%</w:t>
            </w:r>
          </w:p>
        </w:tc>
        <w:tc>
          <w:tcPr>
            <w:tcW w:w="1803" w:type="dxa"/>
            <w:vAlign w:val="center"/>
          </w:tcPr>
          <w:p w14:paraId="2C1BDE34" w14:textId="1BAFF769" w:rsidR="001110EB" w:rsidRPr="0033338C" w:rsidRDefault="001110EB" w:rsidP="001110EB">
            <w:pPr>
              <w:pStyle w:val="NormalWeb"/>
              <w:spacing w:line="360" w:lineRule="auto"/>
              <w:rPr>
                <w:rFonts w:ascii="Arial" w:hAnsi="Arial" w:cs="Arial"/>
              </w:rPr>
            </w:pPr>
            <w:r w:rsidRPr="0033338C">
              <w:rPr>
                <w:rFonts w:ascii="Arial" w:hAnsi="Arial" w:cs="Arial"/>
              </w:rPr>
              <w:t>-9.27%</w:t>
            </w:r>
          </w:p>
        </w:tc>
      </w:tr>
    </w:tbl>
    <w:p w14:paraId="6CF435B0" w14:textId="13B670D7" w:rsidR="001110EB" w:rsidRPr="0033338C" w:rsidRDefault="001110EB" w:rsidP="00C338C0">
      <w:pPr>
        <w:pStyle w:val="NormalWeb"/>
        <w:spacing w:line="360" w:lineRule="auto"/>
        <w:rPr>
          <w:rFonts w:ascii="Arial" w:hAnsi="Arial" w:cs="Arial"/>
        </w:rPr>
      </w:pPr>
      <w:r w:rsidRPr="0033338C">
        <w:rPr>
          <w:rFonts w:ascii="Arial" w:hAnsi="Arial" w:cs="Arial"/>
          <w:b/>
          <w:bCs/>
        </w:rPr>
        <w:t>Explanation:</w:t>
      </w:r>
      <w:r w:rsidRPr="0033338C">
        <w:rPr>
          <w:rFonts w:ascii="Arial" w:hAnsi="Arial" w:cs="Arial"/>
        </w:rPr>
        <w:t xml:space="preserve"> Profitability weakens significantly in 2023 due to a collapse in operating performance and net income, with only partial margin recovery in 2024.</w:t>
      </w:r>
    </w:p>
    <w:p w14:paraId="11B0967C" w14:textId="45E410A5" w:rsidR="001110EB" w:rsidRPr="0033338C" w:rsidRDefault="001110EB" w:rsidP="00C338C0">
      <w:pPr>
        <w:pStyle w:val="NormalWeb"/>
        <w:spacing w:line="360" w:lineRule="auto"/>
        <w:rPr>
          <w:rFonts w:ascii="Arial" w:hAnsi="Arial" w:cs="Arial"/>
          <w:b/>
          <w:bCs/>
        </w:rPr>
      </w:pPr>
      <w:r w:rsidRPr="0033338C">
        <w:rPr>
          <w:rFonts w:ascii="Arial" w:hAnsi="Arial" w:cs="Arial"/>
          <w:b/>
          <w:bCs/>
        </w:rPr>
        <w:t>Table A2. Liquidity Ratios (2021–2024)</w:t>
      </w:r>
    </w:p>
    <w:tbl>
      <w:tblPr>
        <w:tblStyle w:val="TableGrid"/>
        <w:tblW w:w="0" w:type="auto"/>
        <w:tblInd w:w="1985" w:type="dxa"/>
        <w:tblLook w:val="04A0" w:firstRow="1" w:lastRow="0" w:firstColumn="1" w:lastColumn="0" w:noHBand="0" w:noVBand="1"/>
      </w:tblPr>
      <w:tblGrid>
        <w:gridCol w:w="750"/>
        <w:gridCol w:w="1750"/>
        <w:gridCol w:w="1550"/>
      </w:tblGrid>
      <w:tr w:rsidR="00674C2E" w:rsidRPr="0033338C" w14:paraId="40052E4B" w14:textId="77777777" w:rsidTr="00674C2E">
        <w:tc>
          <w:tcPr>
            <w:tcW w:w="0" w:type="auto"/>
            <w:hideMark/>
          </w:tcPr>
          <w:p w14:paraId="30261D1C"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Year</w:t>
            </w:r>
          </w:p>
        </w:tc>
        <w:tc>
          <w:tcPr>
            <w:tcW w:w="0" w:type="auto"/>
            <w:hideMark/>
          </w:tcPr>
          <w:p w14:paraId="413792EA"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Current Ratio</w:t>
            </w:r>
          </w:p>
        </w:tc>
        <w:tc>
          <w:tcPr>
            <w:tcW w:w="0" w:type="auto"/>
            <w:hideMark/>
          </w:tcPr>
          <w:p w14:paraId="0C0BE963"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Quick Ratio</w:t>
            </w:r>
          </w:p>
        </w:tc>
      </w:tr>
      <w:tr w:rsidR="00674C2E" w:rsidRPr="0033338C" w14:paraId="0B9D015E" w14:textId="77777777" w:rsidTr="00674C2E">
        <w:tc>
          <w:tcPr>
            <w:tcW w:w="0" w:type="auto"/>
            <w:hideMark/>
          </w:tcPr>
          <w:p w14:paraId="21CDB6FC"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2021</w:t>
            </w:r>
          </w:p>
        </w:tc>
        <w:tc>
          <w:tcPr>
            <w:tcW w:w="0" w:type="auto"/>
            <w:hideMark/>
          </w:tcPr>
          <w:p w14:paraId="6BF19CD0"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1.56</w:t>
            </w:r>
          </w:p>
        </w:tc>
        <w:tc>
          <w:tcPr>
            <w:tcW w:w="0" w:type="auto"/>
            <w:hideMark/>
          </w:tcPr>
          <w:p w14:paraId="2F19CB67"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0.94</w:t>
            </w:r>
          </w:p>
        </w:tc>
      </w:tr>
      <w:tr w:rsidR="00674C2E" w:rsidRPr="0033338C" w14:paraId="414D34A2" w14:textId="77777777" w:rsidTr="00674C2E">
        <w:tc>
          <w:tcPr>
            <w:tcW w:w="0" w:type="auto"/>
            <w:hideMark/>
          </w:tcPr>
          <w:p w14:paraId="214A298C"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2022</w:t>
            </w:r>
          </w:p>
        </w:tc>
        <w:tc>
          <w:tcPr>
            <w:tcW w:w="0" w:type="auto"/>
            <w:hideMark/>
          </w:tcPr>
          <w:p w14:paraId="3528B4C1"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1.56</w:t>
            </w:r>
          </w:p>
        </w:tc>
        <w:tc>
          <w:tcPr>
            <w:tcW w:w="0" w:type="auto"/>
            <w:hideMark/>
          </w:tcPr>
          <w:p w14:paraId="75AB223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0.91</w:t>
            </w:r>
          </w:p>
        </w:tc>
      </w:tr>
      <w:tr w:rsidR="00674C2E" w:rsidRPr="0033338C" w14:paraId="59A060BC" w14:textId="77777777" w:rsidTr="00674C2E">
        <w:tc>
          <w:tcPr>
            <w:tcW w:w="0" w:type="auto"/>
            <w:hideMark/>
          </w:tcPr>
          <w:p w14:paraId="49E906CA"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2023</w:t>
            </w:r>
          </w:p>
        </w:tc>
        <w:tc>
          <w:tcPr>
            <w:tcW w:w="0" w:type="auto"/>
            <w:hideMark/>
          </w:tcPr>
          <w:p w14:paraId="0BB6485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1.61</w:t>
            </w:r>
          </w:p>
        </w:tc>
        <w:tc>
          <w:tcPr>
            <w:tcW w:w="0" w:type="auto"/>
            <w:hideMark/>
          </w:tcPr>
          <w:p w14:paraId="6B027DC8"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1.06</w:t>
            </w:r>
          </w:p>
        </w:tc>
      </w:tr>
      <w:tr w:rsidR="00674C2E" w:rsidRPr="0033338C" w14:paraId="39BCD897" w14:textId="77777777" w:rsidTr="00674C2E">
        <w:tc>
          <w:tcPr>
            <w:tcW w:w="0" w:type="auto"/>
            <w:hideMark/>
          </w:tcPr>
          <w:p w14:paraId="78ABE888"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2024</w:t>
            </w:r>
          </w:p>
        </w:tc>
        <w:tc>
          <w:tcPr>
            <w:tcW w:w="0" w:type="auto"/>
            <w:hideMark/>
          </w:tcPr>
          <w:p w14:paraId="76049A3F"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1.53</w:t>
            </w:r>
          </w:p>
        </w:tc>
        <w:tc>
          <w:tcPr>
            <w:tcW w:w="0" w:type="auto"/>
            <w:hideMark/>
          </w:tcPr>
          <w:p w14:paraId="299E5202"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1.03</w:t>
            </w:r>
          </w:p>
        </w:tc>
      </w:tr>
    </w:tbl>
    <w:p w14:paraId="697B3014" w14:textId="504F6AE8" w:rsidR="001110EB" w:rsidRPr="0033338C" w:rsidRDefault="00674C2E" w:rsidP="00C338C0">
      <w:pPr>
        <w:pStyle w:val="NormalWeb"/>
        <w:spacing w:line="360" w:lineRule="auto"/>
        <w:rPr>
          <w:rFonts w:ascii="Arial" w:hAnsi="Arial" w:cs="Arial"/>
        </w:rPr>
      </w:pPr>
      <w:r w:rsidRPr="0033338C">
        <w:rPr>
          <w:rFonts w:ascii="Arial" w:hAnsi="Arial" w:cs="Arial"/>
          <w:b/>
          <w:bCs/>
        </w:rPr>
        <w:t>Explanation:</w:t>
      </w:r>
      <w:r w:rsidRPr="0033338C">
        <w:rPr>
          <w:rFonts w:ascii="Arial" w:hAnsi="Arial" w:cs="Arial"/>
        </w:rPr>
        <w:t xml:space="preserve"> Liquidity remains constrained; quick ratio below or near 1 suggests limited ability to meet short-term obligations without relying on inventory.</w:t>
      </w:r>
    </w:p>
    <w:p w14:paraId="2AFCAF31" w14:textId="27994B15" w:rsidR="00674C2E" w:rsidRPr="0033338C" w:rsidRDefault="00674C2E" w:rsidP="00C338C0">
      <w:pPr>
        <w:pStyle w:val="NormalWeb"/>
        <w:spacing w:line="360" w:lineRule="auto"/>
        <w:rPr>
          <w:rFonts w:ascii="Arial" w:hAnsi="Arial" w:cs="Arial"/>
          <w:b/>
          <w:bCs/>
        </w:rPr>
      </w:pPr>
      <w:r w:rsidRPr="0033338C">
        <w:rPr>
          <w:rFonts w:ascii="Arial" w:hAnsi="Arial" w:cs="Arial"/>
          <w:b/>
          <w:bCs/>
        </w:rPr>
        <w:t>Table A3. Efficiency Ratios (2021–2024)</w:t>
      </w:r>
    </w:p>
    <w:tbl>
      <w:tblPr>
        <w:tblStyle w:val="TableGrid"/>
        <w:tblW w:w="0" w:type="auto"/>
        <w:tblLook w:val="04A0" w:firstRow="1" w:lastRow="0" w:firstColumn="1" w:lastColumn="0" w:noHBand="0" w:noVBand="1"/>
      </w:tblPr>
      <w:tblGrid>
        <w:gridCol w:w="1803"/>
        <w:gridCol w:w="1803"/>
        <w:gridCol w:w="1803"/>
        <w:gridCol w:w="1803"/>
        <w:gridCol w:w="1804"/>
      </w:tblGrid>
      <w:tr w:rsidR="00674C2E" w:rsidRPr="0033338C" w14:paraId="2670BF32" w14:textId="77777777" w:rsidTr="00020729">
        <w:tc>
          <w:tcPr>
            <w:tcW w:w="1803" w:type="dxa"/>
            <w:vAlign w:val="center"/>
          </w:tcPr>
          <w:p w14:paraId="171F8102" w14:textId="48E7253E" w:rsidR="00674C2E" w:rsidRPr="0033338C" w:rsidRDefault="00674C2E" w:rsidP="00674C2E">
            <w:pPr>
              <w:pStyle w:val="NormalWeb"/>
              <w:spacing w:line="360" w:lineRule="auto"/>
              <w:rPr>
                <w:rFonts w:ascii="Arial" w:hAnsi="Arial" w:cs="Arial"/>
                <w:lang w:val="en-US"/>
              </w:rPr>
            </w:pPr>
            <w:r w:rsidRPr="0033338C">
              <w:rPr>
                <w:rFonts w:ascii="Arial" w:hAnsi="Arial" w:cs="Arial"/>
                <w:b/>
                <w:bCs/>
              </w:rPr>
              <w:t>Year</w:t>
            </w:r>
          </w:p>
        </w:tc>
        <w:tc>
          <w:tcPr>
            <w:tcW w:w="1803" w:type="dxa"/>
            <w:vAlign w:val="center"/>
          </w:tcPr>
          <w:p w14:paraId="2EA4F734" w14:textId="668C8BEB" w:rsidR="00674C2E" w:rsidRPr="0033338C" w:rsidRDefault="00674C2E" w:rsidP="00674C2E">
            <w:pPr>
              <w:pStyle w:val="NormalWeb"/>
              <w:spacing w:line="360" w:lineRule="auto"/>
              <w:rPr>
                <w:rFonts w:ascii="Arial" w:hAnsi="Arial" w:cs="Arial"/>
                <w:lang w:val="en-US"/>
              </w:rPr>
            </w:pPr>
            <w:r w:rsidRPr="0033338C">
              <w:rPr>
                <w:rFonts w:ascii="Arial" w:hAnsi="Arial" w:cs="Arial"/>
                <w:b/>
                <w:bCs/>
              </w:rPr>
              <w:t>Inventory Days</w:t>
            </w:r>
          </w:p>
        </w:tc>
        <w:tc>
          <w:tcPr>
            <w:tcW w:w="1803" w:type="dxa"/>
            <w:vAlign w:val="center"/>
          </w:tcPr>
          <w:p w14:paraId="09AC58B1" w14:textId="38E0B2C1" w:rsidR="00674C2E" w:rsidRPr="0033338C" w:rsidRDefault="00674C2E" w:rsidP="00674C2E">
            <w:pPr>
              <w:pStyle w:val="NormalWeb"/>
              <w:spacing w:line="360" w:lineRule="auto"/>
              <w:rPr>
                <w:rFonts w:ascii="Arial" w:hAnsi="Arial" w:cs="Arial"/>
                <w:lang w:val="en-US"/>
              </w:rPr>
            </w:pPr>
            <w:r w:rsidRPr="0033338C">
              <w:rPr>
                <w:rFonts w:ascii="Arial" w:hAnsi="Arial" w:cs="Arial"/>
                <w:b/>
                <w:bCs/>
              </w:rPr>
              <w:t>Receivable Days</w:t>
            </w:r>
          </w:p>
        </w:tc>
        <w:tc>
          <w:tcPr>
            <w:tcW w:w="1803" w:type="dxa"/>
            <w:vAlign w:val="center"/>
          </w:tcPr>
          <w:p w14:paraId="33D326C3" w14:textId="1F365DAC" w:rsidR="00674C2E" w:rsidRPr="0033338C" w:rsidRDefault="00674C2E" w:rsidP="00674C2E">
            <w:pPr>
              <w:pStyle w:val="NormalWeb"/>
              <w:spacing w:line="360" w:lineRule="auto"/>
              <w:rPr>
                <w:rFonts w:ascii="Arial" w:hAnsi="Arial" w:cs="Arial"/>
                <w:lang w:val="en-US"/>
              </w:rPr>
            </w:pPr>
            <w:r w:rsidRPr="0033338C">
              <w:rPr>
                <w:rFonts w:ascii="Arial" w:hAnsi="Arial" w:cs="Arial"/>
                <w:b/>
                <w:bCs/>
              </w:rPr>
              <w:t>Payable Days</w:t>
            </w:r>
          </w:p>
        </w:tc>
        <w:tc>
          <w:tcPr>
            <w:tcW w:w="1804" w:type="dxa"/>
            <w:vAlign w:val="center"/>
          </w:tcPr>
          <w:p w14:paraId="4682E3FA" w14:textId="03B454DF" w:rsidR="00674C2E" w:rsidRPr="0033338C" w:rsidRDefault="00674C2E" w:rsidP="00674C2E">
            <w:pPr>
              <w:pStyle w:val="NormalWeb"/>
              <w:spacing w:line="360" w:lineRule="auto"/>
              <w:rPr>
                <w:rFonts w:ascii="Arial" w:hAnsi="Arial" w:cs="Arial"/>
                <w:lang w:val="en-US"/>
              </w:rPr>
            </w:pPr>
            <w:r w:rsidRPr="0033338C">
              <w:rPr>
                <w:rFonts w:ascii="Arial" w:hAnsi="Arial" w:cs="Arial"/>
                <w:b/>
                <w:bCs/>
              </w:rPr>
              <w:t>Asset Turnover</w:t>
            </w:r>
          </w:p>
        </w:tc>
      </w:tr>
      <w:tr w:rsidR="00674C2E" w:rsidRPr="0033338C" w14:paraId="21B4064C" w14:textId="77777777" w:rsidTr="00020729">
        <w:tc>
          <w:tcPr>
            <w:tcW w:w="1803" w:type="dxa"/>
            <w:vAlign w:val="center"/>
          </w:tcPr>
          <w:p w14:paraId="4E639EAE" w14:textId="6F791AD3" w:rsidR="00674C2E" w:rsidRPr="0033338C" w:rsidRDefault="00674C2E" w:rsidP="00674C2E">
            <w:pPr>
              <w:pStyle w:val="NormalWeb"/>
              <w:spacing w:line="360" w:lineRule="auto"/>
              <w:rPr>
                <w:rFonts w:ascii="Arial" w:hAnsi="Arial" w:cs="Arial"/>
                <w:lang w:val="en-US"/>
              </w:rPr>
            </w:pPr>
            <w:r w:rsidRPr="0033338C">
              <w:rPr>
                <w:rFonts w:ascii="Arial" w:hAnsi="Arial" w:cs="Arial"/>
                <w:b/>
                <w:bCs/>
              </w:rPr>
              <w:t>2021</w:t>
            </w:r>
          </w:p>
        </w:tc>
        <w:tc>
          <w:tcPr>
            <w:tcW w:w="1803" w:type="dxa"/>
            <w:vAlign w:val="center"/>
          </w:tcPr>
          <w:p w14:paraId="5ECB57EB" w14:textId="14071401" w:rsidR="00674C2E" w:rsidRPr="0033338C" w:rsidRDefault="00674C2E" w:rsidP="00674C2E">
            <w:pPr>
              <w:pStyle w:val="NormalWeb"/>
              <w:spacing w:line="360" w:lineRule="auto"/>
              <w:rPr>
                <w:rFonts w:ascii="Arial" w:hAnsi="Arial" w:cs="Arial"/>
                <w:lang w:val="en-US"/>
              </w:rPr>
            </w:pPr>
            <w:r w:rsidRPr="0033338C">
              <w:rPr>
                <w:rFonts w:ascii="Arial" w:hAnsi="Arial" w:cs="Arial"/>
              </w:rPr>
              <w:t>115</w:t>
            </w:r>
          </w:p>
        </w:tc>
        <w:tc>
          <w:tcPr>
            <w:tcW w:w="1803" w:type="dxa"/>
            <w:vAlign w:val="center"/>
          </w:tcPr>
          <w:p w14:paraId="39F8C2FD" w14:textId="6E972DDF" w:rsidR="00674C2E" w:rsidRPr="0033338C" w:rsidRDefault="00674C2E" w:rsidP="00674C2E">
            <w:pPr>
              <w:pStyle w:val="NormalWeb"/>
              <w:spacing w:line="360" w:lineRule="auto"/>
              <w:rPr>
                <w:rFonts w:ascii="Arial" w:hAnsi="Arial" w:cs="Arial"/>
                <w:lang w:val="en-US"/>
              </w:rPr>
            </w:pPr>
            <w:r w:rsidRPr="0033338C">
              <w:rPr>
                <w:rFonts w:ascii="Arial" w:hAnsi="Arial" w:cs="Arial"/>
              </w:rPr>
              <w:t>78</w:t>
            </w:r>
          </w:p>
        </w:tc>
        <w:tc>
          <w:tcPr>
            <w:tcW w:w="1803" w:type="dxa"/>
            <w:vAlign w:val="center"/>
          </w:tcPr>
          <w:p w14:paraId="175D3DFA" w14:textId="38C7B71A" w:rsidR="00674C2E" w:rsidRPr="0033338C" w:rsidRDefault="00674C2E" w:rsidP="00674C2E">
            <w:pPr>
              <w:pStyle w:val="NormalWeb"/>
              <w:spacing w:line="360" w:lineRule="auto"/>
              <w:rPr>
                <w:rFonts w:ascii="Arial" w:hAnsi="Arial" w:cs="Arial"/>
                <w:lang w:val="en-US"/>
              </w:rPr>
            </w:pPr>
            <w:r w:rsidRPr="0033338C">
              <w:rPr>
                <w:rFonts w:ascii="Arial" w:hAnsi="Arial" w:cs="Arial"/>
              </w:rPr>
              <w:t>79</w:t>
            </w:r>
          </w:p>
        </w:tc>
        <w:tc>
          <w:tcPr>
            <w:tcW w:w="1804" w:type="dxa"/>
            <w:vAlign w:val="center"/>
          </w:tcPr>
          <w:p w14:paraId="6F1F6008" w14:textId="60C83A48" w:rsidR="00674C2E" w:rsidRPr="0033338C" w:rsidRDefault="00674C2E" w:rsidP="00674C2E">
            <w:pPr>
              <w:pStyle w:val="NormalWeb"/>
              <w:spacing w:line="360" w:lineRule="auto"/>
              <w:rPr>
                <w:rFonts w:ascii="Arial" w:hAnsi="Arial" w:cs="Arial"/>
                <w:lang w:val="en-US"/>
              </w:rPr>
            </w:pPr>
            <w:r w:rsidRPr="0033338C">
              <w:rPr>
                <w:rFonts w:ascii="Arial" w:hAnsi="Arial" w:cs="Arial"/>
              </w:rPr>
              <w:t>1.18</w:t>
            </w:r>
          </w:p>
        </w:tc>
      </w:tr>
      <w:tr w:rsidR="00674C2E" w:rsidRPr="0033338C" w14:paraId="1004138B" w14:textId="77777777" w:rsidTr="00020729">
        <w:tc>
          <w:tcPr>
            <w:tcW w:w="1803" w:type="dxa"/>
            <w:vAlign w:val="center"/>
          </w:tcPr>
          <w:p w14:paraId="1D1BEEBC" w14:textId="30E227B4" w:rsidR="00674C2E" w:rsidRPr="0033338C" w:rsidRDefault="00674C2E" w:rsidP="00674C2E">
            <w:pPr>
              <w:pStyle w:val="NormalWeb"/>
              <w:spacing w:line="360" w:lineRule="auto"/>
              <w:rPr>
                <w:rFonts w:ascii="Arial" w:hAnsi="Arial" w:cs="Arial"/>
                <w:b/>
                <w:bCs/>
              </w:rPr>
            </w:pPr>
            <w:r w:rsidRPr="0033338C">
              <w:rPr>
                <w:rFonts w:ascii="Arial" w:hAnsi="Arial" w:cs="Arial"/>
                <w:b/>
                <w:bCs/>
              </w:rPr>
              <w:t>2022</w:t>
            </w:r>
          </w:p>
        </w:tc>
        <w:tc>
          <w:tcPr>
            <w:tcW w:w="1803" w:type="dxa"/>
            <w:vAlign w:val="center"/>
          </w:tcPr>
          <w:p w14:paraId="53A25360" w14:textId="6F19E2A7" w:rsidR="00674C2E" w:rsidRPr="0033338C" w:rsidRDefault="00674C2E" w:rsidP="00674C2E">
            <w:pPr>
              <w:pStyle w:val="NormalWeb"/>
              <w:spacing w:line="360" w:lineRule="auto"/>
              <w:rPr>
                <w:rFonts w:ascii="Arial" w:hAnsi="Arial" w:cs="Arial"/>
              </w:rPr>
            </w:pPr>
            <w:r w:rsidRPr="0033338C">
              <w:rPr>
                <w:rFonts w:ascii="Arial" w:hAnsi="Arial" w:cs="Arial"/>
              </w:rPr>
              <w:t>131</w:t>
            </w:r>
          </w:p>
        </w:tc>
        <w:tc>
          <w:tcPr>
            <w:tcW w:w="1803" w:type="dxa"/>
            <w:vAlign w:val="center"/>
          </w:tcPr>
          <w:p w14:paraId="156562BE" w14:textId="4F191EB2" w:rsidR="00674C2E" w:rsidRPr="0033338C" w:rsidRDefault="00674C2E" w:rsidP="00674C2E">
            <w:pPr>
              <w:pStyle w:val="NormalWeb"/>
              <w:spacing w:line="360" w:lineRule="auto"/>
              <w:rPr>
                <w:rFonts w:ascii="Arial" w:hAnsi="Arial" w:cs="Arial"/>
              </w:rPr>
            </w:pPr>
            <w:r w:rsidRPr="0033338C">
              <w:rPr>
                <w:rFonts w:ascii="Arial" w:hAnsi="Arial" w:cs="Arial"/>
              </w:rPr>
              <w:t>75</w:t>
            </w:r>
          </w:p>
        </w:tc>
        <w:tc>
          <w:tcPr>
            <w:tcW w:w="1803" w:type="dxa"/>
            <w:vAlign w:val="center"/>
          </w:tcPr>
          <w:p w14:paraId="6D89D6D5" w14:textId="11BB8096" w:rsidR="00674C2E" w:rsidRPr="0033338C" w:rsidRDefault="00674C2E" w:rsidP="00674C2E">
            <w:pPr>
              <w:pStyle w:val="NormalWeb"/>
              <w:spacing w:line="360" w:lineRule="auto"/>
              <w:rPr>
                <w:rFonts w:ascii="Arial" w:hAnsi="Arial" w:cs="Arial"/>
              </w:rPr>
            </w:pPr>
            <w:r w:rsidRPr="0033338C">
              <w:rPr>
                <w:rFonts w:ascii="Arial" w:hAnsi="Arial" w:cs="Arial"/>
              </w:rPr>
              <w:t>67</w:t>
            </w:r>
          </w:p>
        </w:tc>
        <w:tc>
          <w:tcPr>
            <w:tcW w:w="1804" w:type="dxa"/>
            <w:vAlign w:val="center"/>
          </w:tcPr>
          <w:p w14:paraId="5C0391FA" w14:textId="6140BFE0" w:rsidR="00674C2E" w:rsidRPr="0033338C" w:rsidRDefault="00674C2E" w:rsidP="00674C2E">
            <w:pPr>
              <w:pStyle w:val="NormalWeb"/>
              <w:spacing w:line="360" w:lineRule="auto"/>
              <w:rPr>
                <w:rFonts w:ascii="Arial" w:hAnsi="Arial" w:cs="Arial"/>
              </w:rPr>
            </w:pPr>
            <w:r w:rsidRPr="0033338C">
              <w:rPr>
                <w:rFonts w:ascii="Arial" w:hAnsi="Arial" w:cs="Arial"/>
              </w:rPr>
              <w:t>1.08</w:t>
            </w:r>
          </w:p>
        </w:tc>
      </w:tr>
      <w:tr w:rsidR="00674C2E" w:rsidRPr="0033338C" w14:paraId="7E43386A" w14:textId="77777777" w:rsidTr="00020729">
        <w:tc>
          <w:tcPr>
            <w:tcW w:w="1803" w:type="dxa"/>
            <w:vAlign w:val="center"/>
          </w:tcPr>
          <w:p w14:paraId="52C84ADA" w14:textId="216FE6F6" w:rsidR="00674C2E" w:rsidRPr="0033338C" w:rsidRDefault="00674C2E" w:rsidP="00674C2E">
            <w:pPr>
              <w:pStyle w:val="NormalWeb"/>
              <w:spacing w:line="360" w:lineRule="auto"/>
              <w:rPr>
                <w:rFonts w:ascii="Arial" w:hAnsi="Arial" w:cs="Arial"/>
                <w:b/>
                <w:bCs/>
              </w:rPr>
            </w:pPr>
            <w:r w:rsidRPr="0033338C">
              <w:rPr>
                <w:rFonts w:ascii="Arial" w:hAnsi="Arial" w:cs="Arial"/>
                <w:b/>
                <w:bCs/>
              </w:rPr>
              <w:t>2023</w:t>
            </w:r>
          </w:p>
        </w:tc>
        <w:tc>
          <w:tcPr>
            <w:tcW w:w="1803" w:type="dxa"/>
            <w:vAlign w:val="center"/>
          </w:tcPr>
          <w:p w14:paraId="68EC60D0" w14:textId="5CFC37F1" w:rsidR="00674C2E" w:rsidRPr="0033338C" w:rsidRDefault="00674C2E" w:rsidP="00674C2E">
            <w:pPr>
              <w:pStyle w:val="NormalWeb"/>
              <w:spacing w:line="360" w:lineRule="auto"/>
              <w:rPr>
                <w:rFonts w:ascii="Arial" w:hAnsi="Arial" w:cs="Arial"/>
              </w:rPr>
            </w:pPr>
            <w:r w:rsidRPr="0033338C">
              <w:rPr>
                <w:rFonts w:ascii="Arial" w:hAnsi="Arial" w:cs="Arial"/>
              </w:rPr>
              <w:t>100</w:t>
            </w:r>
          </w:p>
        </w:tc>
        <w:tc>
          <w:tcPr>
            <w:tcW w:w="1803" w:type="dxa"/>
            <w:vAlign w:val="center"/>
          </w:tcPr>
          <w:p w14:paraId="4F4B00AD" w14:textId="52FB0AD1" w:rsidR="00674C2E" w:rsidRPr="0033338C" w:rsidRDefault="00674C2E" w:rsidP="00674C2E">
            <w:pPr>
              <w:pStyle w:val="NormalWeb"/>
              <w:spacing w:line="360" w:lineRule="auto"/>
              <w:rPr>
                <w:rFonts w:ascii="Arial" w:hAnsi="Arial" w:cs="Arial"/>
              </w:rPr>
            </w:pPr>
            <w:r w:rsidRPr="0033338C">
              <w:rPr>
                <w:rFonts w:ascii="Arial" w:hAnsi="Arial" w:cs="Arial"/>
              </w:rPr>
              <w:t>98</w:t>
            </w:r>
          </w:p>
        </w:tc>
        <w:tc>
          <w:tcPr>
            <w:tcW w:w="1803" w:type="dxa"/>
            <w:vAlign w:val="center"/>
          </w:tcPr>
          <w:p w14:paraId="0B65C305" w14:textId="03DACDD8" w:rsidR="00674C2E" w:rsidRPr="0033338C" w:rsidRDefault="00674C2E" w:rsidP="00674C2E">
            <w:pPr>
              <w:pStyle w:val="NormalWeb"/>
              <w:spacing w:line="360" w:lineRule="auto"/>
              <w:rPr>
                <w:rFonts w:ascii="Arial" w:hAnsi="Arial" w:cs="Arial"/>
              </w:rPr>
            </w:pPr>
            <w:r w:rsidRPr="0033338C">
              <w:rPr>
                <w:rFonts w:ascii="Arial" w:hAnsi="Arial" w:cs="Arial"/>
              </w:rPr>
              <w:t>64</w:t>
            </w:r>
          </w:p>
        </w:tc>
        <w:tc>
          <w:tcPr>
            <w:tcW w:w="1804" w:type="dxa"/>
            <w:vAlign w:val="center"/>
          </w:tcPr>
          <w:p w14:paraId="59F745F2" w14:textId="7C1789BE" w:rsidR="00674C2E" w:rsidRPr="0033338C" w:rsidRDefault="00674C2E" w:rsidP="00674C2E">
            <w:pPr>
              <w:pStyle w:val="NormalWeb"/>
              <w:spacing w:line="360" w:lineRule="auto"/>
              <w:rPr>
                <w:rFonts w:ascii="Arial" w:hAnsi="Arial" w:cs="Arial"/>
              </w:rPr>
            </w:pPr>
            <w:r w:rsidRPr="0033338C">
              <w:rPr>
                <w:rFonts w:ascii="Arial" w:hAnsi="Arial" w:cs="Arial"/>
              </w:rPr>
              <w:t>1.18</w:t>
            </w:r>
          </w:p>
        </w:tc>
      </w:tr>
      <w:tr w:rsidR="00674C2E" w:rsidRPr="0033338C" w14:paraId="5E2C60E0" w14:textId="77777777" w:rsidTr="00020729">
        <w:tc>
          <w:tcPr>
            <w:tcW w:w="1803" w:type="dxa"/>
            <w:vAlign w:val="center"/>
          </w:tcPr>
          <w:p w14:paraId="63A49E18" w14:textId="2EA9217D" w:rsidR="00674C2E" w:rsidRPr="0033338C" w:rsidRDefault="00674C2E" w:rsidP="00674C2E">
            <w:pPr>
              <w:pStyle w:val="NormalWeb"/>
              <w:spacing w:line="360" w:lineRule="auto"/>
              <w:rPr>
                <w:rFonts w:ascii="Arial" w:hAnsi="Arial" w:cs="Arial"/>
                <w:b/>
                <w:bCs/>
              </w:rPr>
            </w:pPr>
            <w:r w:rsidRPr="0033338C">
              <w:rPr>
                <w:rFonts w:ascii="Arial" w:hAnsi="Arial" w:cs="Arial"/>
                <w:b/>
                <w:bCs/>
              </w:rPr>
              <w:t>2024</w:t>
            </w:r>
          </w:p>
        </w:tc>
        <w:tc>
          <w:tcPr>
            <w:tcW w:w="1803" w:type="dxa"/>
            <w:vAlign w:val="center"/>
          </w:tcPr>
          <w:p w14:paraId="3D51F57B" w14:textId="29769639" w:rsidR="00674C2E" w:rsidRPr="0033338C" w:rsidRDefault="00674C2E" w:rsidP="00674C2E">
            <w:pPr>
              <w:pStyle w:val="NormalWeb"/>
              <w:spacing w:line="360" w:lineRule="auto"/>
              <w:rPr>
                <w:rFonts w:ascii="Arial" w:hAnsi="Arial" w:cs="Arial"/>
              </w:rPr>
            </w:pPr>
            <w:r w:rsidRPr="0033338C">
              <w:rPr>
                <w:rFonts w:ascii="Arial" w:hAnsi="Arial" w:cs="Arial"/>
              </w:rPr>
              <w:t>103</w:t>
            </w:r>
          </w:p>
        </w:tc>
        <w:tc>
          <w:tcPr>
            <w:tcW w:w="1803" w:type="dxa"/>
            <w:vAlign w:val="center"/>
          </w:tcPr>
          <w:p w14:paraId="0C4345B4" w14:textId="456DCC11" w:rsidR="00674C2E" w:rsidRPr="0033338C" w:rsidRDefault="00674C2E" w:rsidP="00674C2E">
            <w:pPr>
              <w:pStyle w:val="NormalWeb"/>
              <w:spacing w:line="360" w:lineRule="auto"/>
              <w:rPr>
                <w:rFonts w:ascii="Arial" w:hAnsi="Arial" w:cs="Arial"/>
              </w:rPr>
            </w:pPr>
            <w:r w:rsidRPr="0033338C">
              <w:rPr>
                <w:rFonts w:ascii="Arial" w:hAnsi="Arial" w:cs="Arial"/>
              </w:rPr>
              <w:t>106</w:t>
            </w:r>
          </w:p>
        </w:tc>
        <w:tc>
          <w:tcPr>
            <w:tcW w:w="1803" w:type="dxa"/>
            <w:vAlign w:val="center"/>
          </w:tcPr>
          <w:p w14:paraId="0BD5D1F3" w14:textId="203A8D55" w:rsidR="00674C2E" w:rsidRPr="0033338C" w:rsidRDefault="00674C2E" w:rsidP="00674C2E">
            <w:pPr>
              <w:pStyle w:val="NormalWeb"/>
              <w:spacing w:line="360" w:lineRule="auto"/>
              <w:rPr>
                <w:rFonts w:ascii="Arial" w:hAnsi="Arial" w:cs="Arial"/>
              </w:rPr>
            </w:pPr>
            <w:r w:rsidRPr="0033338C">
              <w:rPr>
                <w:rFonts w:ascii="Arial" w:hAnsi="Arial" w:cs="Arial"/>
              </w:rPr>
              <w:t>94</w:t>
            </w:r>
          </w:p>
        </w:tc>
        <w:tc>
          <w:tcPr>
            <w:tcW w:w="1804" w:type="dxa"/>
            <w:vAlign w:val="center"/>
          </w:tcPr>
          <w:p w14:paraId="24E41CAA" w14:textId="014CB19A" w:rsidR="00674C2E" w:rsidRPr="0033338C" w:rsidRDefault="00674C2E" w:rsidP="00674C2E">
            <w:pPr>
              <w:pStyle w:val="NormalWeb"/>
              <w:spacing w:line="360" w:lineRule="auto"/>
              <w:rPr>
                <w:rFonts w:ascii="Arial" w:hAnsi="Arial" w:cs="Arial"/>
              </w:rPr>
            </w:pPr>
            <w:r w:rsidRPr="0033338C">
              <w:rPr>
                <w:rFonts w:ascii="Arial" w:hAnsi="Arial" w:cs="Arial"/>
              </w:rPr>
              <w:t>1.22</w:t>
            </w:r>
          </w:p>
        </w:tc>
      </w:tr>
    </w:tbl>
    <w:p w14:paraId="25553806" w14:textId="77777777" w:rsidR="00674C2E" w:rsidRPr="0033338C" w:rsidRDefault="00674C2E" w:rsidP="00674C2E">
      <w:pPr>
        <w:pStyle w:val="NormalWeb"/>
        <w:spacing w:line="360" w:lineRule="auto"/>
        <w:rPr>
          <w:rFonts w:ascii="Arial" w:hAnsi="Arial" w:cs="Arial"/>
          <w:vanish/>
        </w:rPr>
      </w:pPr>
    </w:p>
    <w:p w14:paraId="6FE57B34" w14:textId="77777777" w:rsidR="00674C2E" w:rsidRPr="0033338C" w:rsidRDefault="00674C2E" w:rsidP="00674C2E">
      <w:pPr>
        <w:pStyle w:val="NormalWeb"/>
        <w:spacing w:line="360" w:lineRule="auto"/>
        <w:rPr>
          <w:rFonts w:ascii="Arial" w:hAnsi="Arial" w:cs="Arial"/>
          <w:vanish/>
        </w:rPr>
      </w:pPr>
    </w:p>
    <w:p w14:paraId="30268032" w14:textId="56F94103" w:rsidR="00674C2E" w:rsidRPr="0033338C" w:rsidRDefault="00674C2E" w:rsidP="00C338C0">
      <w:pPr>
        <w:pStyle w:val="NormalWeb"/>
        <w:spacing w:line="360" w:lineRule="auto"/>
        <w:rPr>
          <w:rFonts w:ascii="Arial" w:hAnsi="Arial" w:cs="Arial"/>
        </w:rPr>
      </w:pPr>
      <w:r w:rsidRPr="0033338C">
        <w:rPr>
          <w:rFonts w:ascii="Arial" w:hAnsi="Arial" w:cs="Arial"/>
          <w:b/>
          <w:bCs/>
        </w:rPr>
        <w:t>Explanation:</w:t>
      </w:r>
      <w:r w:rsidRPr="0033338C">
        <w:rPr>
          <w:rFonts w:ascii="Arial" w:hAnsi="Arial" w:cs="Arial"/>
        </w:rPr>
        <w:t xml:space="preserve"> Working capital cycles become increasingly strained, driven by slower receivable collection and volatile inventory management.</w:t>
      </w:r>
    </w:p>
    <w:tbl>
      <w:tblPr>
        <w:tblStyle w:val="TableGrid"/>
        <w:tblpPr w:leftFromText="180" w:rightFromText="180" w:vertAnchor="text" w:horzAnchor="page" w:tblpX="2751" w:tblpY="561"/>
        <w:tblW w:w="0" w:type="auto"/>
        <w:tblLook w:val="04A0" w:firstRow="1" w:lastRow="0" w:firstColumn="1" w:lastColumn="0" w:noHBand="0" w:noVBand="1"/>
      </w:tblPr>
      <w:tblGrid>
        <w:gridCol w:w="750"/>
        <w:gridCol w:w="1870"/>
        <w:gridCol w:w="2244"/>
        <w:gridCol w:w="1057"/>
      </w:tblGrid>
      <w:tr w:rsidR="00674C2E" w:rsidRPr="0033338C" w14:paraId="2AB5E148" w14:textId="77777777" w:rsidTr="00674C2E">
        <w:tc>
          <w:tcPr>
            <w:tcW w:w="0" w:type="auto"/>
            <w:hideMark/>
          </w:tcPr>
          <w:p w14:paraId="5964DDDA"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lastRenderedPageBreak/>
              <w:t>Year</w:t>
            </w:r>
          </w:p>
        </w:tc>
        <w:tc>
          <w:tcPr>
            <w:tcW w:w="0" w:type="auto"/>
            <w:hideMark/>
          </w:tcPr>
          <w:p w14:paraId="0D9FD0CF"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Debt-to-Equity</w:t>
            </w:r>
          </w:p>
        </w:tc>
        <w:tc>
          <w:tcPr>
            <w:tcW w:w="0" w:type="auto"/>
            <w:hideMark/>
          </w:tcPr>
          <w:p w14:paraId="471A5C28"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Interest Coverage</w:t>
            </w:r>
          </w:p>
        </w:tc>
        <w:tc>
          <w:tcPr>
            <w:tcW w:w="0" w:type="auto"/>
            <w:hideMark/>
          </w:tcPr>
          <w:p w14:paraId="594E44E5"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EPS (£)</w:t>
            </w:r>
          </w:p>
        </w:tc>
      </w:tr>
      <w:tr w:rsidR="00674C2E" w:rsidRPr="0033338C" w14:paraId="12F1269B" w14:textId="77777777" w:rsidTr="00674C2E">
        <w:tc>
          <w:tcPr>
            <w:tcW w:w="0" w:type="auto"/>
            <w:hideMark/>
          </w:tcPr>
          <w:p w14:paraId="1E9043B3"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2021</w:t>
            </w:r>
          </w:p>
        </w:tc>
        <w:tc>
          <w:tcPr>
            <w:tcW w:w="0" w:type="auto"/>
            <w:hideMark/>
          </w:tcPr>
          <w:p w14:paraId="1F81FAE1"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0.85</w:t>
            </w:r>
          </w:p>
        </w:tc>
        <w:tc>
          <w:tcPr>
            <w:tcW w:w="0" w:type="auto"/>
            <w:hideMark/>
          </w:tcPr>
          <w:p w14:paraId="58823CD7"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41.07</w:t>
            </w:r>
          </w:p>
        </w:tc>
        <w:tc>
          <w:tcPr>
            <w:tcW w:w="0" w:type="auto"/>
            <w:hideMark/>
          </w:tcPr>
          <w:p w14:paraId="1764D94D"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0.39</w:t>
            </w:r>
          </w:p>
        </w:tc>
      </w:tr>
      <w:tr w:rsidR="00674C2E" w:rsidRPr="0033338C" w14:paraId="40B4CB4D" w14:textId="77777777" w:rsidTr="00674C2E">
        <w:tc>
          <w:tcPr>
            <w:tcW w:w="0" w:type="auto"/>
            <w:hideMark/>
          </w:tcPr>
          <w:p w14:paraId="4862D4A9"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2022</w:t>
            </w:r>
          </w:p>
        </w:tc>
        <w:tc>
          <w:tcPr>
            <w:tcW w:w="0" w:type="auto"/>
            <w:hideMark/>
          </w:tcPr>
          <w:p w14:paraId="128534C2"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0.88</w:t>
            </w:r>
          </w:p>
        </w:tc>
        <w:tc>
          <w:tcPr>
            <w:tcW w:w="0" w:type="auto"/>
            <w:hideMark/>
          </w:tcPr>
          <w:p w14:paraId="1B45B665"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6.61</w:t>
            </w:r>
          </w:p>
        </w:tc>
        <w:tc>
          <w:tcPr>
            <w:tcW w:w="0" w:type="auto"/>
            <w:hideMark/>
          </w:tcPr>
          <w:p w14:paraId="5C72F1D8"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0.03</w:t>
            </w:r>
          </w:p>
        </w:tc>
      </w:tr>
      <w:tr w:rsidR="00674C2E" w:rsidRPr="0033338C" w14:paraId="3E89F58C" w14:textId="77777777" w:rsidTr="00674C2E">
        <w:tc>
          <w:tcPr>
            <w:tcW w:w="0" w:type="auto"/>
            <w:hideMark/>
          </w:tcPr>
          <w:p w14:paraId="72E82F06"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2023</w:t>
            </w:r>
          </w:p>
        </w:tc>
        <w:tc>
          <w:tcPr>
            <w:tcW w:w="0" w:type="auto"/>
            <w:hideMark/>
          </w:tcPr>
          <w:p w14:paraId="5060E227"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0.99</w:t>
            </w:r>
          </w:p>
        </w:tc>
        <w:tc>
          <w:tcPr>
            <w:tcW w:w="0" w:type="auto"/>
            <w:hideMark/>
          </w:tcPr>
          <w:p w14:paraId="2FD0DE71"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-19.71</w:t>
            </w:r>
          </w:p>
        </w:tc>
        <w:tc>
          <w:tcPr>
            <w:tcW w:w="0" w:type="auto"/>
            <w:hideMark/>
          </w:tcPr>
          <w:p w14:paraId="7AF25A95"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-7.64</w:t>
            </w:r>
          </w:p>
        </w:tc>
      </w:tr>
      <w:tr w:rsidR="00674C2E" w:rsidRPr="0033338C" w14:paraId="2FB68A06" w14:textId="77777777" w:rsidTr="00674C2E">
        <w:tc>
          <w:tcPr>
            <w:tcW w:w="0" w:type="auto"/>
            <w:hideMark/>
          </w:tcPr>
          <w:p w14:paraId="4D9DD998"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2024</w:t>
            </w:r>
          </w:p>
        </w:tc>
        <w:tc>
          <w:tcPr>
            <w:tcW w:w="0" w:type="auto"/>
            <w:hideMark/>
          </w:tcPr>
          <w:p w14:paraId="3BB17EFA"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1.11</w:t>
            </w:r>
          </w:p>
        </w:tc>
        <w:tc>
          <w:tcPr>
            <w:tcW w:w="0" w:type="auto"/>
            <w:hideMark/>
          </w:tcPr>
          <w:p w14:paraId="2360FFBC"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-4.55</w:t>
            </w:r>
          </w:p>
        </w:tc>
        <w:tc>
          <w:tcPr>
            <w:tcW w:w="0" w:type="auto"/>
            <w:hideMark/>
          </w:tcPr>
          <w:p w14:paraId="5B3F8AA4"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-1.85</w:t>
            </w:r>
          </w:p>
        </w:tc>
      </w:tr>
    </w:tbl>
    <w:p w14:paraId="020D7C61" w14:textId="125A3520" w:rsidR="00674C2E" w:rsidRPr="0033338C" w:rsidRDefault="00674C2E" w:rsidP="00C338C0">
      <w:pPr>
        <w:pStyle w:val="NormalWeb"/>
        <w:spacing w:line="360" w:lineRule="auto"/>
        <w:rPr>
          <w:rFonts w:ascii="Arial" w:hAnsi="Arial" w:cs="Arial"/>
          <w:b/>
          <w:bCs/>
        </w:rPr>
      </w:pPr>
      <w:r w:rsidRPr="0033338C">
        <w:rPr>
          <w:rFonts w:ascii="Arial" w:hAnsi="Arial" w:cs="Arial"/>
          <w:b/>
          <w:bCs/>
        </w:rPr>
        <w:t>Table A4. Gearing &amp; Investment Ratios (2021–2024)</w:t>
      </w:r>
    </w:p>
    <w:p w14:paraId="57FF5315" w14:textId="77777777" w:rsidR="00674C2E" w:rsidRPr="0033338C" w:rsidRDefault="00674C2E" w:rsidP="00C338C0">
      <w:pPr>
        <w:pStyle w:val="NormalWeb"/>
        <w:spacing w:line="360" w:lineRule="auto"/>
        <w:rPr>
          <w:rFonts w:ascii="Arial" w:hAnsi="Arial" w:cs="Arial"/>
          <w:lang w:val="en-US"/>
        </w:rPr>
      </w:pPr>
    </w:p>
    <w:p w14:paraId="28145EC2" w14:textId="77777777" w:rsidR="00674C2E" w:rsidRPr="0033338C" w:rsidRDefault="00674C2E" w:rsidP="00674C2E">
      <w:pPr>
        <w:rPr>
          <w:rFonts w:ascii="Arial" w:hAnsi="Arial" w:cs="Arial"/>
          <w:lang w:val="en-US" w:eastAsia="en-GB"/>
        </w:rPr>
      </w:pPr>
    </w:p>
    <w:p w14:paraId="55B6DF7C" w14:textId="77777777" w:rsidR="00674C2E" w:rsidRPr="0033338C" w:rsidRDefault="00674C2E" w:rsidP="00674C2E">
      <w:pPr>
        <w:rPr>
          <w:rFonts w:ascii="Arial" w:eastAsia="Times New Roman" w:hAnsi="Arial" w:cs="Arial"/>
          <w:sz w:val="24"/>
          <w:szCs w:val="24"/>
          <w:lang w:val="en-US" w:eastAsia="en-GB"/>
        </w:rPr>
      </w:pPr>
    </w:p>
    <w:p w14:paraId="05D85888" w14:textId="77777777" w:rsidR="00674C2E" w:rsidRPr="0033338C" w:rsidRDefault="00674C2E" w:rsidP="00674C2E">
      <w:pPr>
        <w:rPr>
          <w:rFonts w:ascii="Arial" w:hAnsi="Arial" w:cs="Arial"/>
          <w:sz w:val="24"/>
          <w:szCs w:val="24"/>
          <w:lang w:eastAsia="en-GB"/>
        </w:rPr>
      </w:pPr>
      <w:r w:rsidRPr="0033338C">
        <w:rPr>
          <w:rFonts w:ascii="Arial" w:hAnsi="Arial" w:cs="Arial"/>
          <w:b/>
          <w:bCs/>
          <w:sz w:val="24"/>
          <w:szCs w:val="24"/>
          <w:lang w:eastAsia="en-GB"/>
        </w:rPr>
        <w:t>Explanation:</w:t>
      </w:r>
      <w:r w:rsidRPr="0033338C">
        <w:rPr>
          <w:rFonts w:ascii="Arial" w:hAnsi="Arial" w:cs="Arial"/>
          <w:sz w:val="24"/>
          <w:szCs w:val="24"/>
          <w:lang w:eastAsia="en-GB"/>
        </w:rPr>
        <w:t xml:space="preserve"> Rising leverage and negative interest coverage in 2023–2024 indicate deteriorating financial stability and increased default risk.</w:t>
      </w:r>
    </w:p>
    <w:p w14:paraId="1710F2E5" w14:textId="6FED4524" w:rsidR="00674C2E" w:rsidRPr="0033338C" w:rsidRDefault="00674C2E" w:rsidP="00674C2E">
      <w:pPr>
        <w:rPr>
          <w:rFonts w:ascii="Arial" w:hAnsi="Arial" w:cs="Arial"/>
          <w:b/>
          <w:bCs/>
          <w:sz w:val="24"/>
          <w:szCs w:val="24"/>
          <w:lang w:eastAsia="en-GB"/>
        </w:rPr>
      </w:pPr>
      <w:r w:rsidRPr="0033338C">
        <w:rPr>
          <w:rFonts w:ascii="Arial" w:hAnsi="Arial" w:cs="Arial"/>
          <w:b/>
          <w:bCs/>
          <w:sz w:val="24"/>
          <w:szCs w:val="24"/>
          <w:lang w:eastAsia="en-GB"/>
        </w:rPr>
        <w:t>Table A5. Cash Flow Ratios (2021–2024)</w:t>
      </w:r>
    </w:p>
    <w:tbl>
      <w:tblPr>
        <w:tblStyle w:val="TableGrid"/>
        <w:tblW w:w="0" w:type="auto"/>
        <w:tblInd w:w="1448" w:type="dxa"/>
        <w:tblLook w:val="04A0" w:firstRow="1" w:lastRow="0" w:firstColumn="1" w:lastColumn="0" w:noHBand="0" w:noVBand="1"/>
      </w:tblPr>
      <w:tblGrid>
        <w:gridCol w:w="750"/>
        <w:gridCol w:w="3283"/>
        <w:gridCol w:w="2564"/>
      </w:tblGrid>
      <w:tr w:rsidR="00674C2E" w:rsidRPr="0033338C" w14:paraId="18BC9805" w14:textId="77777777" w:rsidTr="00674C2E">
        <w:tc>
          <w:tcPr>
            <w:tcW w:w="0" w:type="auto"/>
            <w:hideMark/>
          </w:tcPr>
          <w:p w14:paraId="4ACAD8DB"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Year</w:t>
            </w:r>
          </w:p>
        </w:tc>
        <w:tc>
          <w:tcPr>
            <w:tcW w:w="0" w:type="auto"/>
            <w:hideMark/>
          </w:tcPr>
          <w:p w14:paraId="62EE1C81"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Operating Cash Flow Ratio</w:t>
            </w:r>
          </w:p>
        </w:tc>
        <w:tc>
          <w:tcPr>
            <w:tcW w:w="0" w:type="auto"/>
            <w:hideMark/>
          </w:tcPr>
          <w:p w14:paraId="63C85D9F"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Free Cash Flow (£m)</w:t>
            </w:r>
          </w:p>
        </w:tc>
      </w:tr>
      <w:tr w:rsidR="00674C2E" w:rsidRPr="0033338C" w14:paraId="42604F00" w14:textId="77777777" w:rsidTr="00674C2E">
        <w:tc>
          <w:tcPr>
            <w:tcW w:w="0" w:type="auto"/>
            <w:hideMark/>
          </w:tcPr>
          <w:p w14:paraId="1620C9F1"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2021</w:t>
            </w:r>
          </w:p>
        </w:tc>
        <w:tc>
          <w:tcPr>
            <w:tcW w:w="0" w:type="auto"/>
            <w:hideMark/>
          </w:tcPr>
          <w:p w14:paraId="02EFD907"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0.19</w:t>
            </w:r>
          </w:p>
        </w:tc>
        <w:tc>
          <w:tcPr>
            <w:tcW w:w="0" w:type="auto"/>
            <w:hideMark/>
          </w:tcPr>
          <w:p w14:paraId="4665970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27,697</w:t>
            </w:r>
          </w:p>
        </w:tc>
      </w:tr>
      <w:tr w:rsidR="00674C2E" w:rsidRPr="0033338C" w14:paraId="4889D36E" w14:textId="77777777" w:rsidTr="00674C2E">
        <w:tc>
          <w:tcPr>
            <w:tcW w:w="0" w:type="auto"/>
            <w:hideMark/>
          </w:tcPr>
          <w:p w14:paraId="03C380D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2022</w:t>
            </w:r>
          </w:p>
        </w:tc>
        <w:tc>
          <w:tcPr>
            <w:tcW w:w="0" w:type="auto"/>
            <w:hideMark/>
          </w:tcPr>
          <w:p w14:paraId="7E32FA77"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0.05</w:t>
            </w:r>
          </w:p>
        </w:tc>
        <w:tc>
          <w:tcPr>
            <w:tcW w:w="0" w:type="auto"/>
            <w:hideMark/>
          </w:tcPr>
          <w:p w14:paraId="04BFAE2E"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-3,080</w:t>
            </w:r>
          </w:p>
        </w:tc>
      </w:tr>
      <w:tr w:rsidR="00674C2E" w:rsidRPr="0033338C" w14:paraId="78C5D7DD" w14:textId="77777777" w:rsidTr="00674C2E">
        <w:tc>
          <w:tcPr>
            <w:tcW w:w="0" w:type="auto"/>
            <w:hideMark/>
          </w:tcPr>
          <w:p w14:paraId="6A81100E"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2023</w:t>
            </w:r>
          </w:p>
        </w:tc>
        <w:tc>
          <w:tcPr>
            <w:tcW w:w="0" w:type="auto"/>
            <w:hideMark/>
          </w:tcPr>
          <w:p w14:paraId="7451D4E8"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0.16</w:t>
            </w:r>
          </w:p>
        </w:tc>
        <w:tc>
          <w:tcPr>
            <w:tcW w:w="0" w:type="auto"/>
            <w:hideMark/>
          </w:tcPr>
          <w:p w14:paraId="0261B0BC"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17,074</w:t>
            </w:r>
          </w:p>
        </w:tc>
      </w:tr>
      <w:tr w:rsidR="00674C2E" w:rsidRPr="0033338C" w14:paraId="34BDDB86" w14:textId="77777777" w:rsidTr="00674C2E">
        <w:tc>
          <w:tcPr>
            <w:tcW w:w="0" w:type="auto"/>
            <w:hideMark/>
          </w:tcPr>
          <w:p w14:paraId="58F722A3"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2024</w:t>
            </w:r>
          </w:p>
        </w:tc>
        <w:tc>
          <w:tcPr>
            <w:tcW w:w="0" w:type="auto"/>
            <w:hideMark/>
          </w:tcPr>
          <w:p w14:paraId="1BF8A09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0.09</w:t>
            </w:r>
          </w:p>
        </w:tc>
        <w:tc>
          <w:tcPr>
            <w:tcW w:w="0" w:type="auto"/>
            <w:hideMark/>
          </w:tcPr>
          <w:p w14:paraId="2C362889"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10,250</w:t>
            </w:r>
          </w:p>
        </w:tc>
      </w:tr>
    </w:tbl>
    <w:p w14:paraId="3A4A9944" w14:textId="77777777" w:rsidR="00674C2E" w:rsidRPr="0033338C" w:rsidRDefault="00674C2E" w:rsidP="00674C2E">
      <w:pPr>
        <w:rPr>
          <w:rFonts w:ascii="Arial" w:hAnsi="Arial" w:cs="Arial"/>
          <w:sz w:val="24"/>
          <w:szCs w:val="24"/>
          <w:lang w:eastAsia="en-GB"/>
        </w:rPr>
      </w:pPr>
      <w:r w:rsidRPr="0033338C">
        <w:rPr>
          <w:rFonts w:ascii="Arial" w:hAnsi="Arial" w:cs="Arial"/>
          <w:b/>
          <w:bCs/>
          <w:sz w:val="24"/>
          <w:szCs w:val="24"/>
          <w:lang w:eastAsia="en-GB"/>
        </w:rPr>
        <w:t>Explanation:</w:t>
      </w:r>
      <w:r w:rsidRPr="0033338C">
        <w:rPr>
          <w:rFonts w:ascii="Arial" w:hAnsi="Arial" w:cs="Arial"/>
          <w:sz w:val="24"/>
          <w:szCs w:val="24"/>
          <w:lang w:eastAsia="en-GB"/>
        </w:rPr>
        <w:t xml:space="preserve"> Cash flow performance is volatile, reflecting unstable operational results and inconsistent reinvestment capacity.</w:t>
      </w:r>
    </w:p>
    <w:p w14:paraId="42F5A95D" w14:textId="33568BE0" w:rsidR="00674C2E" w:rsidRPr="0033338C" w:rsidRDefault="00674C2E" w:rsidP="00E51711">
      <w:pPr>
        <w:pStyle w:val="Heading2"/>
        <w:rPr>
          <w:rFonts w:cs="Arial"/>
          <w:lang w:eastAsia="en-GB"/>
        </w:rPr>
      </w:pPr>
      <w:bookmarkStart w:id="22" w:name="_Toc214831143"/>
      <w:r w:rsidRPr="0033338C">
        <w:rPr>
          <w:rFonts w:cs="Arial"/>
          <w:lang w:eastAsia="en-GB"/>
        </w:rPr>
        <w:t>APPENDIX B: Investment Appraisal Calculations</w:t>
      </w:r>
      <w:bookmarkEnd w:id="22"/>
    </w:p>
    <w:p w14:paraId="473DD376" w14:textId="1A39C265" w:rsidR="00674C2E" w:rsidRPr="0033338C" w:rsidRDefault="00674C2E" w:rsidP="00674C2E">
      <w:pPr>
        <w:rPr>
          <w:rFonts w:ascii="Arial" w:hAnsi="Arial" w:cs="Arial"/>
          <w:b/>
          <w:bCs/>
          <w:sz w:val="24"/>
          <w:szCs w:val="24"/>
          <w:lang w:eastAsia="en-GB"/>
        </w:rPr>
      </w:pPr>
      <w:r w:rsidRPr="0033338C">
        <w:rPr>
          <w:rFonts w:ascii="Arial" w:hAnsi="Arial" w:cs="Arial"/>
          <w:b/>
          <w:bCs/>
          <w:sz w:val="24"/>
          <w:szCs w:val="24"/>
          <w:lang w:eastAsia="en-GB"/>
        </w:rPr>
        <w:t>Table B1. Net Present Value (NPV) Template</w:t>
      </w:r>
    </w:p>
    <w:tbl>
      <w:tblPr>
        <w:tblStyle w:val="TableGrid"/>
        <w:tblW w:w="0" w:type="auto"/>
        <w:tblLook w:val="04A0" w:firstRow="1" w:lastRow="0" w:firstColumn="1" w:lastColumn="0" w:noHBand="0" w:noVBand="1"/>
      </w:tblPr>
      <w:tblGrid>
        <w:gridCol w:w="1350"/>
        <w:gridCol w:w="2017"/>
        <w:gridCol w:w="2643"/>
        <w:gridCol w:w="2975"/>
      </w:tblGrid>
      <w:tr w:rsidR="00674C2E" w:rsidRPr="0033338C" w14:paraId="14E67F02" w14:textId="77777777" w:rsidTr="00674C2E">
        <w:tc>
          <w:tcPr>
            <w:tcW w:w="0" w:type="auto"/>
            <w:hideMark/>
          </w:tcPr>
          <w:p w14:paraId="623D424E"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Year</w:t>
            </w:r>
          </w:p>
        </w:tc>
        <w:tc>
          <w:tcPr>
            <w:tcW w:w="0" w:type="auto"/>
            <w:hideMark/>
          </w:tcPr>
          <w:p w14:paraId="63259269"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Cash Flow (£m)</w:t>
            </w:r>
          </w:p>
        </w:tc>
        <w:tc>
          <w:tcPr>
            <w:tcW w:w="0" w:type="auto"/>
            <w:hideMark/>
          </w:tcPr>
          <w:p w14:paraId="336EAB73"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Discount Factor (X%)</w:t>
            </w:r>
          </w:p>
        </w:tc>
        <w:tc>
          <w:tcPr>
            <w:tcW w:w="0" w:type="auto"/>
            <w:hideMark/>
          </w:tcPr>
          <w:p w14:paraId="37B4246F" w14:textId="77777777" w:rsidR="00674C2E" w:rsidRPr="0033338C" w:rsidRDefault="00674C2E" w:rsidP="00674C2E">
            <w:pPr>
              <w:spacing w:after="0" w:line="240" w:lineRule="auto"/>
              <w:jc w:val="center"/>
              <w:rPr>
                <w:rFonts w:ascii="Arial" w:eastAsia="Times New Roman" w:hAnsi="Arial" w:cs="Arial"/>
                <w:b/>
                <w:bCs/>
                <w:sz w:val="24"/>
                <w:szCs w:val="24"/>
                <w:lang w:eastAsia="en-GB" w:bidi="bn-IN"/>
              </w:rPr>
            </w:pPr>
            <w:r w:rsidRPr="0033338C">
              <w:rPr>
                <w:rFonts w:ascii="Arial" w:eastAsia="Times New Roman" w:hAnsi="Arial" w:cs="Arial"/>
                <w:b/>
                <w:bCs/>
                <w:sz w:val="24"/>
                <w:szCs w:val="24"/>
                <w:lang w:eastAsia="en-GB" w:bidi="bn-IN"/>
              </w:rPr>
              <w:t>Present Value (£m)</w:t>
            </w:r>
          </w:p>
        </w:tc>
      </w:tr>
      <w:tr w:rsidR="00674C2E" w:rsidRPr="0033338C" w14:paraId="6BC06A4F" w14:textId="77777777" w:rsidTr="00674C2E">
        <w:tc>
          <w:tcPr>
            <w:tcW w:w="0" w:type="auto"/>
            <w:hideMark/>
          </w:tcPr>
          <w:p w14:paraId="69A32A8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0</w:t>
            </w:r>
          </w:p>
        </w:tc>
        <w:tc>
          <w:tcPr>
            <w:tcW w:w="0" w:type="auto"/>
            <w:hideMark/>
          </w:tcPr>
          <w:p w14:paraId="33A406E4"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Initial Investment</w:t>
            </w:r>
          </w:p>
        </w:tc>
        <w:tc>
          <w:tcPr>
            <w:tcW w:w="0" w:type="auto"/>
            <w:hideMark/>
          </w:tcPr>
          <w:p w14:paraId="36A91DFD"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1.000</w:t>
            </w:r>
          </w:p>
        </w:tc>
        <w:tc>
          <w:tcPr>
            <w:tcW w:w="0" w:type="auto"/>
            <w:hideMark/>
          </w:tcPr>
          <w:p w14:paraId="10F03F7D"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r>
      <w:tr w:rsidR="00674C2E" w:rsidRPr="0033338C" w14:paraId="580DABA8" w14:textId="77777777" w:rsidTr="00674C2E">
        <w:tc>
          <w:tcPr>
            <w:tcW w:w="0" w:type="auto"/>
            <w:hideMark/>
          </w:tcPr>
          <w:p w14:paraId="4FBB58FA"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1</w:t>
            </w:r>
          </w:p>
        </w:tc>
        <w:tc>
          <w:tcPr>
            <w:tcW w:w="0" w:type="auto"/>
            <w:hideMark/>
          </w:tcPr>
          <w:p w14:paraId="61514775"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062F4F24"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5FFBC050"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r>
      <w:tr w:rsidR="00674C2E" w:rsidRPr="0033338C" w14:paraId="6B6D91E3" w14:textId="77777777" w:rsidTr="00674C2E">
        <w:tc>
          <w:tcPr>
            <w:tcW w:w="0" w:type="auto"/>
            <w:hideMark/>
          </w:tcPr>
          <w:p w14:paraId="1F7F29C5"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2</w:t>
            </w:r>
          </w:p>
        </w:tc>
        <w:tc>
          <w:tcPr>
            <w:tcW w:w="0" w:type="auto"/>
            <w:hideMark/>
          </w:tcPr>
          <w:p w14:paraId="6C7226F5"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724D6E47"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1F8C7B94"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r>
      <w:tr w:rsidR="00674C2E" w:rsidRPr="0033338C" w14:paraId="48A5C658" w14:textId="77777777" w:rsidTr="00674C2E">
        <w:tc>
          <w:tcPr>
            <w:tcW w:w="0" w:type="auto"/>
            <w:hideMark/>
          </w:tcPr>
          <w:p w14:paraId="6582A959"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3</w:t>
            </w:r>
          </w:p>
        </w:tc>
        <w:tc>
          <w:tcPr>
            <w:tcW w:w="0" w:type="auto"/>
            <w:hideMark/>
          </w:tcPr>
          <w:p w14:paraId="60A7AD25"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1BAA6146"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7262856E"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r>
      <w:tr w:rsidR="00674C2E" w:rsidRPr="0033338C" w14:paraId="41BAD446" w14:textId="77777777" w:rsidTr="00674C2E">
        <w:tc>
          <w:tcPr>
            <w:tcW w:w="0" w:type="auto"/>
            <w:hideMark/>
          </w:tcPr>
          <w:p w14:paraId="1AB701B3"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4</w:t>
            </w:r>
          </w:p>
        </w:tc>
        <w:tc>
          <w:tcPr>
            <w:tcW w:w="0" w:type="auto"/>
            <w:hideMark/>
          </w:tcPr>
          <w:p w14:paraId="79C900CC"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2F308AF8"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7450257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r>
      <w:tr w:rsidR="00674C2E" w:rsidRPr="0033338C" w14:paraId="6D276BA8" w14:textId="77777777" w:rsidTr="00674C2E">
        <w:tc>
          <w:tcPr>
            <w:tcW w:w="0" w:type="auto"/>
            <w:hideMark/>
          </w:tcPr>
          <w:p w14:paraId="376E4D2F"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5</w:t>
            </w:r>
          </w:p>
        </w:tc>
        <w:tc>
          <w:tcPr>
            <w:tcW w:w="0" w:type="auto"/>
            <w:hideMark/>
          </w:tcPr>
          <w:p w14:paraId="1D93D00E"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4AA1639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c>
          <w:tcPr>
            <w:tcW w:w="0" w:type="auto"/>
            <w:hideMark/>
          </w:tcPr>
          <w:p w14:paraId="2C7705D4"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sz w:val="24"/>
                <w:szCs w:val="24"/>
                <w:lang w:eastAsia="en-GB" w:bidi="bn-IN"/>
              </w:rPr>
              <w:t>—</w:t>
            </w:r>
          </w:p>
        </w:tc>
      </w:tr>
      <w:tr w:rsidR="00674C2E" w:rsidRPr="0033338C" w14:paraId="33175466" w14:textId="77777777" w:rsidTr="00674C2E">
        <w:tc>
          <w:tcPr>
            <w:tcW w:w="0" w:type="auto"/>
            <w:hideMark/>
          </w:tcPr>
          <w:p w14:paraId="1C59FD7A"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Total NPV</w:t>
            </w:r>
          </w:p>
        </w:tc>
        <w:tc>
          <w:tcPr>
            <w:tcW w:w="0" w:type="auto"/>
            <w:hideMark/>
          </w:tcPr>
          <w:p w14:paraId="435DE519" w14:textId="77777777" w:rsidR="00674C2E" w:rsidRPr="0033338C" w:rsidRDefault="00674C2E" w:rsidP="00674C2E">
            <w:pPr>
              <w:spacing w:after="0" w:line="240" w:lineRule="auto"/>
              <w:rPr>
                <w:rFonts w:ascii="Arial" w:eastAsia="Times New Roman" w:hAnsi="Arial" w:cs="Arial"/>
                <w:sz w:val="24"/>
                <w:szCs w:val="24"/>
                <w:lang w:eastAsia="en-GB" w:bidi="bn-IN"/>
              </w:rPr>
            </w:pPr>
          </w:p>
        </w:tc>
        <w:tc>
          <w:tcPr>
            <w:tcW w:w="0" w:type="auto"/>
            <w:hideMark/>
          </w:tcPr>
          <w:p w14:paraId="042AB745" w14:textId="77777777" w:rsidR="00674C2E" w:rsidRPr="0033338C" w:rsidRDefault="00674C2E" w:rsidP="00674C2E">
            <w:pPr>
              <w:spacing w:after="0" w:line="240" w:lineRule="auto"/>
              <w:rPr>
                <w:rFonts w:ascii="Arial" w:eastAsia="Times New Roman" w:hAnsi="Arial" w:cs="Arial"/>
                <w:sz w:val="20"/>
                <w:szCs w:val="20"/>
                <w:lang w:eastAsia="en-GB" w:bidi="bn-IN"/>
              </w:rPr>
            </w:pPr>
          </w:p>
        </w:tc>
        <w:tc>
          <w:tcPr>
            <w:tcW w:w="0" w:type="auto"/>
            <w:hideMark/>
          </w:tcPr>
          <w:p w14:paraId="75C5749B" w14:textId="77777777" w:rsidR="00674C2E" w:rsidRPr="0033338C" w:rsidRDefault="00674C2E" w:rsidP="00674C2E">
            <w:pPr>
              <w:spacing w:after="0" w:line="240" w:lineRule="auto"/>
              <w:rPr>
                <w:rFonts w:ascii="Arial" w:eastAsia="Times New Roman" w:hAnsi="Arial" w:cs="Arial"/>
                <w:sz w:val="24"/>
                <w:szCs w:val="24"/>
                <w:lang w:eastAsia="en-GB" w:bidi="bn-IN"/>
              </w:rPr>
            </w:pPr>
            <w:r w:rsidRPr="0033338C">
              <w:rPr>
                <w:rFonts w:ascii="Arial" w:eastAsia="Times New Roman" w:hAnsi="Arial" w:cs="Arial"/>
                <w:b/>
                <w:bCs/>
                <w:sz w:val="24"/>
                <w:szCs w:val="24"/>
                <w:lang w:eastAsia="en-GB" w:bidi="bn-IN"/>
              </w:rPr>
              <w:t>Σ PV – Initial Investment</w:t>
            </w:r>
          </w:p>
        </w:tc>
      </w:tr>
    </w:tbl>
    <w:p w14:paraId="61B2816B" w14:textId="77777777" w:rsidR="00674C2E" w:rsidRPr="0033338C" w:rsidRDefault="00674C2E" w:rsidP="00674C2E">
      <w:pPr>
        <w:rPr>
          <w:rFonts w:ascii="Arial" w:hAnsi="Arial" w:cs="Arial"/>
          <w:sz w:val="24"/>
          <w:szCs w:val="24"/>
          <w:lang w:eastAsia="en-GB"/>
        </w:rPr>
      </w:pPr>
    </w:p>
    <w:p w14:paraId="132D8944" w14:textId="4E6044D3" w:rsidR="00674C2E" w:rsidRPr="0033338C" w:rsidRDefault="00674C2E" w:rsidP="00674C2E">
      <w:pPr>
        <w:rPr>
          <w:rFonts w:ascii="Arial" w:hAnsi="Arial" w:cs="Arial"/>
          <w:b/>
          <w:bCs/>
          <w:sz w:val="24"/>
          <w:szCs w:val="24"/>
          <w:lang w:eastAsia="en-GB"/>
        </w:rPr>
      </w:pPr>
      <w:r w:rsidRPr="0033338C">
        <w:rPr>
          <w:rFonts w:ascii="Arial" w:hAnsi="Arial" w:cs="Arial"/>
          <w:b/>
          <w:bCs/>
          <w:sz w:val="24"/>
          <w:szCs w:val="24"/>
          <w:lang w:eastAsia="en-GB"/>
        </w:rPr>
        <w:t xml:space="preserve">Table </w:t>
      </w:r>
      <w:r w:rsidR="00760C24" w:rsidRPr="0033338C">
        <w:rPr>
          <w:rFonts w:ascii="Arial" w:hAnsi="Arial" w:cs="Arial"/>
          <w:b/>
          <w:bCs/>
          <w:sz w:val="24"/>
          <w:szCs w:val="24"/>
          <w:lang w:eastAsia="en-GB"/>
        </w:rPr>
        <w:t>B</w:t>
      </w:r>
      <w:r w:rsidRPr="0033338C">
        <w:rPr>
          <w:rFonts w:ascii="Arial" w:hAnsi="Arial" w:cs="Arial"/>
          <w:b/>
          <w:bCs/>
          <w:sz w:val="24"/>
          <w:szCs w:val="24"/>
          <w:lang w:eastAsia="en-GB"/>
        </w:rPr>
        <w:t>2. Internal Rate of Return (IRR) Calculation</w:t>
      </w:r>
    </w:p>
    <w:p w14:paraId="549C067B" w14:textId="74FC9DF4" w:rsidR="0084211F" w:rsidRPr="0033338C" w:rsidRDefault="0084211F" w:rsidP="00674C2E">
      <w:pPr>
        <w:rPr>
          <w:rFonts w:ascii="Arial" w:hAnsi="Arial" w:cs="Arial"/>
          <w:sz w:val="24"/>
          <w:szCs w:val="24"/>
          <w:lang w:eastAsia="en-GB"/>
        </w:rPr>
      </w:pPr>
      <m:oMathPara>
        <m:oMath>
          <m:r>
            <m:rPr>
              <m:sty m:val="bi"/>
            </m:rPr>
            <w:rPr>
              <w:rFonts w:ascii="Cambria Math" w:hAnsi="Cambria Math" w:cs="Arial"/>
              <w:sz w:val="24"/>
              <w:szCs w:val="24"/>
              <w:lang w:eastAsia="en-GB"/>
            </w:rPr>
            <m:t>IRR</m:t>
          </m:r>
          <m:r>
            <w:rPr>
              <w:rFonts w:ascii="Cambria Math" w:hAnsi="Cambria Math" w:cs="Arial"/>
              <w:sz w:val="24"/>
              <w:szCs w:val="24"/>
              <w:lang w:eastAsia="en-GB"/>
            </w:rPr>
            <m:t>=</m:t>
          </m:r>
          <m:r>
            <m:rPr>
              <m:sty m:val="bi"/>
            </m:rPr>
            <w:rPr>
              <w:rFonts w:ascii="Cambria Math" w:hAnsi="Cambria Math" w:cs="Arial"/>
              <w:sz w:val="24"/>
              <w:szCs w:val="24"/>
              <w:lang w:eastAsia="en-GB"/>
            </w:rPr>
            <m:t>r</m:t>
          </m:r>
          <m:r>
            <m:rPr>
              <m:sty m:val="bi"/>
            </m:rPr>
            <w:rPr>
              <w:rFonts w:ascii="Cambria Math" w:hAnsi="Cambria Math" w:cs="Arial"/>
              <w:sz w:val="24"/>
              <w:szCs w:val="24"/>
              <w:lang w:eastAsia="en-GB"/>
            </w:rPr>
            <m:t>1</m:t>
          </m:r>
          <m:r>
            <w:rPr>
              <w:rFonts w:ascii="Cambria Math" w:hAnsi="Cambria Math" w:cs="Arial"/>
              <w:sz w:val="24"/>
              <w:szCs w:val="24"/>
              <w:lang w:eastAsia="en-GB"/>
            </w:rPr>
            <m:t>​+</m:t>
          </m:r>
          <m:d>
            <m:dPr>
              <m:ctrlPr>
                <w:rPr>
                  <w:rFonts w:ascii="Cambria Math" w:hAnsi="Cambria Math" w:cs="Arial"/>
                  <w:i/>
                  <w:sz w:val="24"/>
                  <w:szCs w:val="24"/>
                  <w:lang w:eastAsia="en-GB"/>
                </w:rPr>
              </m:ctrlPr>
            </m:dPr>
            <m:e>
              <m:f>
                <m:fPr>
                  <m:ctrlPr>
                    <w:rPr>
                      <w:rFonts w:ascii="Cambria Math" w:hAnsi="Cambria Math" w:cs="Arial"/>
                      <w:i/>
                      <w:sz w:val="24"/>
                      <w:szCs w:val="24"/>
                      <w:lang w:eastAsia="en-GB"/>
                    </w:rPr>
                  </m:ctrlPr>
                </m:fPr>
                <m:num>
                  <m:r>
                    <m:rPr>
                      <m:sty m:val="bi"/>
                    </m:rPr>
                    <w:rPr>
                      <w:rFonts w:ascii="Cambria Math" w:hAnsi="Cambria Math" w:cs="Arial"/>
                      <w:sz w:val="24"/>
                      <w:szCs w:val="24"/>
                      <w:lang w:eastAsia="en-GB"/>
                    </w:rPr>
                    <m:t>NPV</m:t>
                  </m:r>
                  <m:r>
                    <m:rPr>
                      <m:sty m:val="bi"/>
                    </m:rPr>
                    <w:rPr>
                      <w:rFonts w:ascii="Cambria Math" w:hAnsi="Cambria Math" w:cs="Arial"/>
                      <w:sz w:val="24"/>
                      <w:szCs w:val="24"/>
                      <w:lang w:eastAsia="en-GB"/>
                    </w:rPr>
                    <m:t>1</m:t>
                  </m:r>
                </m:num>
                <m:den>
                  <m:r>
                    <m:rPr>
                      <m:sty m:val="bi"/>
                    </m:rPr>
                    <w:rPr>
                      <w:rFonts w:ascii="Cambria Math" w:hAnsi="Cambria Math" w:cs="Arial"/>
                      <w:sz w:val="24"/>
                      <w:szCs w:val="24"/>
                      <w:lang w:eastAsia="en-GB"/>
                    </w:rPr>
                    <m:t>NPV</m:t>
                  </m:r>
                  <m:r>
                    <m:rPr>
                      <m:sty m:val="bi"/>
                    </m:rPr>
                    <w:rPr>
                      <w:rFonts w:ascii="Cambria Math" w:hAnsi="Cambria Math" w:cs="Arial"/>
                      <w:sz w:val="24"/>
                      <w:szCs w:val="24"/>
                      <w:lang w:eastAsia="en-GB"/>
                    </w:rPr>
                    <m:t>1-NPV</m:t>
                  </m:r>
                  <m:r>
                    <m:rPr>
                      <m:sty m:val="bi"/>
                    </m:rPr>
                    <w:rPr>
                      <w:rFonts w:ascii="Cambria Math" w:hAnsi="Cambria Math" w:cs="Arial"/>
                      <w:sz w:val="24"/>
                      <w:szCs w:val="24"/>
                      <w:lang w:eastAsia="en-GB"/>
                    </w:rPr>
                    <m:t>2</m:t>
                  </m:r>
                </m:den>
              </m:f>
            </m:e>
          </m:d>
          <m:r>
            <w:rPr>
              <w:rFonts w:ascii="Cambria Math" w:hAnsi="Cambria Math" w:cs="Arial"/>
              <w:sz w:val="24"/>
              <w:szCs w:val="24"/>
              <w:lang w:eastAsia="en-GB"/>
            </w:rPr>
            <m:t>(r2-r1)</m:t>
          </m:r>
        </m:oMath>
      </m:oMathPara>
    </w:p>
    <w:p w14:paraId="00CF1EA8" w14:textId="7E350F61" w:rsidR="00674C2E" w:rsidRPr="0033338C" w:rsidRDefault="00674C2E" w:rsidP="00674C2E">
      <w:pPr>
        <w:rPr>
          <w:rFonts w:ascii="Arial" w:hAnsi="Arial" w:cs="Arial"/>
          <w:sz w:val="24"/>
          <w:szCs w:val="24"/>
          <w:lang w:eastAsia="en-GB"/>
        </w:rPr>
      </w:pPr>
      <w:r w:rsidRPr="0033338C">
        <w:rPr>
          <w:rFonts w:ascii="Arial" w:hAnsi="Arial" w:cs="Arial"/>
          <w:b/>
          <w:bCs/>
          <w:sz w:val="24"/>
          <w:szCs w:val="24"/>
          <w:lang w:eastAsia="en-GB"/>
        </w:rPr>
        <w:t>Explanation:</w:t>
      </w:r>
      <w:r w:rsidRPr="0033338C">
        <w:rPr>
          <w:rFonts w:ascii="Arial" w:hAnsi="Arial" w:cs="Arial"/>
          <w:sz w:val="24"/>
          <w:szCs w:val="24"/>
          <w:lang w:eastAsia="en-GB"/>
        </w:rPr>
        <w:t xml:space="preserve"> IRR identifies the discount rate at which project NPV = 0.</w:t>
      </w:r>
    </w:p>
    <w:p w14:paraId="10634094" w14:textId="3875FA01" w:rsidR="00674C2E" w:rsidRPr="0033338C" w:rsidRDefault="00674C2E" w:rsidP="00674C2E">
      <w:pPr>
        <w:rPr>
          <w:rFonts w:ascii="Arial" w:hAnsi="Arial" w:cs="Arial"/>
          <w:b/>
          <w:bCs/>
          <w:sz w:val="24"/>
          <w:szCs w:val="24"/>
          <w:lang w:eastAsia="en-GB"/>
        </w:rPr>
      </w:pPr>
      <w:r w:rsidRPr="0033338C">
        <w:rPr>
          <w:rFonts w:ascii="Arial" w:hAnsi="Arial" w:cs="Arial"/>
          <w:b/>
          <w:bCs/>
          <w:sz w:val="24"/>
          <w:szCs w:val="24"/>
          <w:lang w:eastAsia="en-GB"/>
        </w:rPr>
        <w:t xml:space="preserve">Table </w:t>
      </w:r>
      <w:r w:rsidR="00760C24" w:rsidRPr="0033338C">
        <w:rPr>
          <w:rFonts w:ascii="Arial" w:hAnsi="Arial" w:cs="Arial"/>
          <w:b/>
          <w:bCs/>
          <w:sz w:val="24"/>
          <w:szCs w:val="24"/>
          <w:lang w:eastAsia="en-GB"/>
        </w:rPr>
        <w:t>B</w:t>
      </w:r>
      <w:r w:rsidRPr="0033338C">
        <w:rPr>
          <w:rFonts w:ascii="Arial" w:hAnsi="Arial" w:cs="Arial"/>
          <w:b/>
          <w:bCs/>
          <w:sz w:val="24"/>
          <w:szCs w:val="24"/>
          <w:lang w:eastAsia="en-GB"/>
        </w:rPr>
        <w:t>3. Payback Period Calculation</w:t>
      </w:r>
    </w:p>
    <w:p w14:paraId="51EEEE93" w14:textId="50E8F2C8" w:rsidR="00674C2E" w:rsidRPr="0033338C" w:rsidRDefault="00760C24" w:rsidP="00674C2E">
      <w:pPr>
        <w:rPr>
          <w:rFonts w:ascii="Arial" w:hAnsi="Arial" w:cs="Arial"/>
          <w:lang w:val="en-US" w:eastAsia="en-GB"/>
        </w:rPr>
      </w:pPr>
      <m:oMathPara>
        <m:oMath>
          <m:r>
            <w:rPr>
              <w:rFonts w:ascii="Cambria Math" w:hAnsi="Cambria Math" w:cs="Arial"/>
              <w:lang w:eastAsia="en-GB"/>
            </w:rPr>
            <m:t>Payback Period=</m:t>
          </m:r>
          <m:r>
            <m:rPr>
              <m:sty m:val="bi"/>
            </m:rPr>
            <w:rPr>
              <w:rFonts w:ascii="Cambria Math" w:hAnsi="Cambria Math" w:cs="Arial"/>
              <w:lang w:eastAsia="en-GB"/>
            </w:rPr>
            <m:t>Years before recovery</m:t>
          </m:r>
          <m:r>
            <w:rPr>
              <w:rFonts w:ascii="Cambria Math" w:hAnsi="Cambria Math" w:cs="Arial"/>
              <w:lang w:eastAsia="en-GB"/>
            </w:rPr>
            <m:t>+</m:t>
          </m:r>
          <m:d>
            <m:dPr>
              <m:ctrlPr>
                <w:rPr>
                  <w:rFonts w:ascii="Cambria Math" w:hAnsi="Cambria Math" w:cs="Arial"/>
                  <w:i/>
                  <w:iCs/>
                  <w:lang w:eastAsia="en-GB"/>
                </w:rPr>
              </m:ctrlPr>
            </m:dPr>
            <m:e>
              <m:f>
                <m:fPr>
                  <m:ctrlPr>
                    <w:rPr>
                      <w:rFonts w:ascii="Cambria Math" w:hAnsi="Cambria Math" w:cs="Arial"/>
                      <w:i/>
                      <w:iCs/>
                      <w:lang w:eastAsia="en-GB"/>
                    </w:rPr>
                  </m:ctrlPr>
                </m:fPr>
                <m:num>
                  <m:r>
                    <w:rPr>
                      <w:rFonts w:ascii="Cambria Math" w:hAnsi="Cambria Math" w:cs="Arial"/>
                      <w:lang w:eastAsia="en-GB"/>
                    </w:rPr>
                    <m:t>Unrecovered amount​</m:t>
                  </m:r>
                </m:num>
                <m:den>
                  <m:r>
                    <w:rPr>
                      <w:rFonts w:ascii="Cambria Math" w:hAnsi="Cambria Math" w:cs="Arial"/>
                      <w:lang w:eastAsia="en-GB"/>
                    </w:rPr>
                    <m:t>Cash flow of next year</m:t>
                  </m:r>
                </m:den>
              </m:f>
            </m:e>
          </m:d>
        </m:oMath>
      </m:oMathPara>
    </w:p>
    <w:p w14:paraId="343F04FA" w14:textId="3751238F" w:rsidR="00760C24" w:rsidRPr="0033338C" w:rsidRDefault="00760C24" w:rsidP="00674C2E">
      <w:pPr>
        <w:rPr>
          <w:rFonts w:ascii="Arial" w:hAnsi="Arial" w:cs="Arial"/>
          <w:sz w:val="24"/>
          <w:szCs w:val="24"/>
          <w:lang w:eastAsia="en-GB"/>
        </w:rPr>
      </w:pPr>
      <w:r w:rsidRPr="0033338C">
        <w:rPr>
          <w:rFonts w:ascii="Arial" w:hAnsi="Arial" w:cs="Arial"/>
          <w:b/>
          <w:bCs/>
          <w:sz w:val="24"/>
          <w:szCs w:val="24"/>
          <w:lang w:eastAsia="en-GB"/>
        </w:rPr>
        <w:t>Explanation:</w:t>
      </w:r>
      <w:r w:rsidRPr="0033338C">
        <w:rPr>
          <w:rFonts w:ascii="Arial" w:hAnsi="Arial" w:cs="Arial"/>
          <w:sz w:val="24"/>
          <w:szCs w:val="24"/>
          <w:lang w:eastAsia="en-GB"/>
        </w:rPr>
        <w:t xml:space="preserve"> Measures time required to recover the initial investment from net cash flows.</w:t>
      </w:r>
    </w:p>
    <w:p w14:paraId="46E6C2C4" w14:textId="2407EE3E" w:rsidR="00E51711" w:rsidRPr="0033338C" w:rsidRDefault="00E51711" w:rsidP="00674C2E">
      <w:pPr>
        <w:rPr>
          <w:rFonts w:ascii="Arial" w:hAnsi="Arial" w:cs="Arial"/>
          <w:b/>
          <w:bCs/>
          <w:sz w:val="24"/>
          <w:szCs w:val="24"/>
          <w:lang w:eastAsia="en-GB"/>
        </w:rPr>
      </w:pPr>
      <w:r w:rsidRPr="0033338C">
        <w:rPr>
          <w:rFonts w:ascii="Arial" w:hAnsi="Arial" w:cs="Arial"/>
          <w:b/>
          <w:bCs/>
          <w:sz w:val="24"/>
          <w:szCs w:val="24"/>
          <w:lang w:eastAsia="en-GB"/>
        </w:rPr>
        <w:lastRenderedPageBreak/>
        <w:t>Table B4. Profitability Index (PI)</w:t>
      </w:r>
    </w:p>
    <w:p w14:paraId="0C57AF59" w14:textId="074045DA" w:rsidR="00E51711" w:rsidRPr="0033338C" w:rsidRDefault="00E51711" w:rsidP="00674C2E">
      <w:pPr>
        <w:rPr>
          <w:rFonts w:ascii="Arial" w:hAnsi="Arial" w:cs="Arial"/>
          <w:sz w:val="24"/>
          <w:szCs w:val="24"/>
          <w:lang w:eastAsia="en-GB"/>
        </w:rPr>
      </w:pPr>
      <m:oMathPara>
        <m:oMath>
          <m:r>
            <m:rPr>
              <m:sty m:val="bi"/>
            </m:rPr>
            <w:rPr>
              <w:rFonts w:ascii="Cambria Math" w:hAnsi="Cambria Math" w:cs="Arial"/>
              <w:sz w:val="24"/>
              <w:szCs w:val="24"/>
              <w:lang w:eastAsia="en-GB"/>
            </w:rPr>
            <m:t>PI</m:t>
          </m:r>
          <m:r>
            <w:rPr>
              <w:rFonts w:ascii="Cambria Math" w:hAnsi="Cambria Math" w:cs="Arial"/>
              <w:sz w:val="24"/>
              <w:szCs w:val="24"/>
              <w:lang w:eastAsia="en-GB"/>
            </w:rPr>
            <m:t>=</m:t>
          </m:r>
          <m:f>
            <m:fPr>
              <m:ctrlPr>
                <w:rPr>
                  <w:rFonts w:ascii="Cambria Math" w:hAnsi="Cambria Math" w:cs="Arial"/>
                  <w:i/>
                  <w:iCs/>
                  <w:sz w:val="24"/>
                  <w:szCs w:val="24"/>
                  <w:lang w:eastAsia="en-GB"/>
                </w:rPr>
              </m:ctrlPr>
            </m:fPr>
            <m:num>
              <m:r>
                <w:rPr>
                  <w:rFonts w:ascii="Cambria Math" w:hAnsi="Cambria Math" w:cs="Arial"/>
                  <w:sz w:val="24"/>
                  <w:szCs w:val="24"/>
                  <w:lang w:eastAsia="en-GB"/>
                </w:rPr>
                <m:t>PV of Future Cash Inflows​</m:t>
              </m:r>
            </m:num>
            <m:den>
              <m:r>
                <w:rPr>
                  <w:rFonts w:ascii="Cambria Math" w:hAnsi="Cambria Math" w:cs="Arial"/>
                  <w:sz w:val="24"/>
                  <w:szCs w:val="24"/>
                  <w:lang w:eastAsia="en-GB"/>
                </w:rPr>
                <m:t>Initial Investment</m:t>
              </m:r>
            </m:den>
          </m:f>
        </m:oMath>
      </m:oMathPara>
    </w:p>
    <w:p w14:paraId="03CC3E04" w14:textId="77777777" w:rsidR="00E51711" w:rsidRPr="0033338C" w:rsidRDefault="00E51711" w:rsidP="00E51711">
      <w:pPr>
        <w:rPr>
          <w:rFonts w:ascii="Arial" w:hAnsi="Arial" w:cs="Arial"/>
          <w:sz w:val="24"/>
          <w:szCs w:val="24"/>
          <w:lang w:eastAsia="en-GB"/>
        </w:rPr>
      </w:pPr>
      <w:r w:rsidRPr="0033338C">
        <w:rPr>
          <w:rFonts w:ascii="Arial" w:hAnsi="Arial" w:cs="Arial"/>
          <w:b/>
          <w:bCs/>
          <w:sz w:val="24"/>
          <w:szCs w:val="24"/>
          <w:lang w:eastAsia="en-GB"/>
        </w:rPr>
        <w:t>Decision Rule:</w:t>
      </w:r>
    </w:p>
    <w:p w14:paraId="4D73C0F2" w14:textId="77777777" w:rsidR="00E51711" w:rsidRPr="0033338C" w:rsidRDefault="00E51711" w:rsidP="00E51711">
      <w:pPr>
        <w:numPr>
          <w:ilvl w:val="0"/>
          <w:numId w:val="30"/>
        </w:numPr>
        <w:rPr>
          <w:rFonts w:ascii="Arial" w:hAnsi="Arial" w:cs="Arial"/>
          <w:sz w:val="24"/>
          <w:szCs w:val="24"/>
          <w:lang w:eastAsia="en-GB"/>
        </w:rPr>
      </w:pPr>
      <w:r w:rsidRPr="0033338C">
        <w:rPr>
          <w:rFonts w:ascii="Arial" w:hAnsi="Arial" w:cs="Arial"/>
          <w:sz w:val="24"/>
          <w:szCs w:val="24"/>
          <w:lang w:eastAsia="en-GB"/>
        </w:rPr>
        <w:t>PI &gt; 1 → Accept project</w:t>
      </w:r>
    </w:p>
    <w:p w14:paraId="6CBDE52B" w14:textId="77777777" w:rsidR="00E51711" w:rsidRPr="0033338C" w:rsidRDefault="00E51711" w:rsidP="00E51711">
      <w:pPr>
        <w:numPr>
          <w:ilvl w:val="0"/>
          <w:numId w:val="30"/>
        </w:numPr>
        <w:rPr>
          <w:rFonts w:ascii="Arial" w:hAnsi="Arial" w:cs="Arial"/>
          <w:sz w:val="24"/>
          <w:szCs w:val="24"/>
          <w:lang w:eastAsia="en-GB"/>
        </w:rPr>
      </w:pPr>
      <w:r w:rsidRPr="0033338C">
        <w:rPr>
          <w:rFonts w:ascii="Arial" w:hAnsi="Arial" w:cs="Arial"/>
          <w:sz w:val="24"/>
          <w:szCs w:val="24"/>
          <w:lang w:eastAsia="en-GB"/>
        </w:rPr>
        <w:t>PI &lt; 1 → Reject project</w:t>
      </w:r>
    </w:p>
    <w:p w14:paraId="50DFAD67" w14:textId="77777777" w:rsidR="00E51711" w:rsidRPr="0033338C" w:rsidRDefault="00E51711" w:rsidP="00674C2E">
      <w:pPr>
        <w:rPr>
          <w:rFonts w:ascii="Arial" w:hAnsi="Arial" w:cs="Arial"/>
          <w:sz w:val="24"/>
          <w:szCs w:val="24"/>
          <w:lang w:val="en-US" w:eastAsia="en-GB"/>
        </w:rPr>
      </w:pPr>
    </w:p>
    <w:sectPr w:rsidR="00E51711" w:rsidRPr="0033338C" w:rsidSect="00CD4561">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E4DED99" w14:textId="77777777" w:rsidR="00BE0663" w:rsidRDefault="00BE0663">
      <w:pPr>
        <w:spacing w:after="0" w:line="240" w:lineRule="auto"/>
      </w:pPr>
      <w:r>
        <w:separator/>
      </w:r>
    </w:p>
  </w:endnote>
  <w:endnote w:type="continuationSeparator" w:id="0">
    <w:p w14:paraId="52184425" w14:textId="77777777" w:rsidR="00BE0663" w:rsidRDefault="00BE06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11253965"/>
      <w:docPartObj>
        <w:docPartGallery w:val="Page Numbers (Bottom of Page)"/>
        <w:docPartUnique/>
      </w:docPartObj>
    </w:sdtPr>
    <w:sdtEndPr>
      <w:rPr>
        <w:noProof/>
      </w:rPr>
    </w:sdtEndPr>
    <w:sdtContent>
      <w:p w14:paraId="5E313B21" w14:textId="67BC4005" w:rsidR="00020729" w:rsidRDefault="00020729">
        <w:pPr>
          <w:pStyle w:val="Footer"/>
          <w:jc w:val="center"/>
        </w:pPr>
        <w:r>
          <w:fldChar w:fldCharType="begin"/>
        </w:r>
        <w:r>
          <w:instrText xml:space="preserve"> PAGE   \* MERGEFORMAT </w:instrText>
        </w:r>
        <w:r>
          <w:fldChar w:fldCharType="separate"/>
        </w:r>
        <w:r w:rsidR="00031A66">
          <w:rPr>
            <w:noProof/>
          </w:rPr>
          <w:t>11</w:t>
        </w:r>
        <w:r>
          <w:rPr>
            <w:noProof/>
          </w:rPr>
          <w:fldChar w:fldCharType="end"/>
        </w:r>
      </w:p>
    </w:sdtContent>
  </w:sdt>
  <w:p w14:paraId="6E415772" w14:textId="77777777" w:rsidR="00020729" w:rsidRDefault="0002072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0C700D" w14:textId="77777777" w:rsidR="00BE0663" w:rsidRDefault="00BE0663">
      <w:pPr>
        <w:spacing w:after="0" w:line="240" w:lineRule="auto"/>
      </w:pPr>
      <w:r>
        <w:separator/>
      </w:r>
    </w:p>
  </w:footnote>
  <w:footnote w:type="continuationSeparator" w:id="0">
    <w:p w14:paraId="4BC32E91" w14:textId="77777777" w:rsidR="00BE0663" w:rsidRDefault="00BE06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82C65"/>
    <w:multiLevelType w:val="hybridMultilevel"/>
    <w:tmpl w:val="5288ACCE"/>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5BC2481"/>
    <w:multiLevelType w:val="hybridMultilevel"/>
    <w:tmpl w:val="21F8A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3B6CC9"/>
    <w:multiLevelType w:val="hybridMultilevel"/>
    <w:tmpl w:val="77E2A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683F04"/>
    <w:multiLevelType w:val="hybridMultilevel"/>
    <w:tmpl w:val="5EBA8D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C95747B"/>
    <w:multiLevelType w:val="hybridMultilevel"/>
    <w:tmpl w:val="73AADAAC"/>
    <w:lvl w:ilvl="0" w:tplc="B67A051E">
      <w:start w:val="1"/>
      <w:numFmt w:val="decimal"/>
      <w:lvlText w:val="%1."/>
      <w:lvlJc w:val="left"/>
      <w:pPr>
        <w:ind w:left="720" w:hanging="360"/>
      </w:pPr>
      <w:rPr>
        <w:b/>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73A31A5"/>
    <w:multiLevelType w:val="hybridMultilevel"/>
    <w:tmpl w:val="BF2EFAB6"/>
    <w:lvl w:ilvl="0" w:tplc="08090013">
      <w:start w:val="1"/>
      <w:numFmt w:val="upperRoman"/>
      <w:lvlText w:val="%1."/>
      <w:lvlJc w:val="righ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7DF7CD1"/>
    <w:multiLevelType w:val="hybridMultilevel"/>
    <w:tmpl w:val="5D526F5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4C3FD4"/>
    <w:multiLevelType w:val="hybridMultilevel"/>
    <w:tmpl w:val="EF30882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934D0A"/>
    <w:multiLevelType w:val="hybridMultilevel"/>
    <w:tmpl w:val="6066A7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E804ABA"/>
    <w:multiLevelType w:val="multilevel"/>
    <w:tmpl w:val="F41EA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DC5113"/>
    <w:multiLevelType w:val="hybridMultilevel"/>
    <w:tmpl w:val="18AC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BFF1462"/>
    <w:multiLevelType w:val="hybridMultilevel"/>
    <w:tmpl w:val="B5CA9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F3B267D"/>
    <w:multiLevelType w:val="hybridMultilevel"/>
    <w:tmpl w:val="15CA5B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030677B"/>
    <w:multiLevelType w:val="multilevel"/>
    <w:tmpl w:val="35EAA7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195D0F"/>
    <w:multiLevelType w:val="hybridMultilevel"/>
    <w:tmpl w:val="B2388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661766D"/>
    <w:multiLevelType w:val="hybridMultilevel"/>
    <w:tmpl w:val="1E5A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5D095A"/>
    <w:multiLevelType w:val="hybridMultilevel"/>
    <w:tmpl w:val="CD801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4818E6"/>
    <w:multiLevelType w:val="hybridMultilevel"/>
    <w:tmpl w:val="ECF87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14F01A6"/>
    <w:multiLevelType w:val="hybridMultilevel"/>
    <w:tmpl w:val="C4F6A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1F86D48"/>
    <w:multiLevelType w:val="hybridMultilevel"/>
    <w:tmpl w:val="5852DD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2B244C6"/>
    <w:multiLevelType w:val="hybridMultilevel"/>
    <w:tmpl w:val="477C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55A1A98"/>
    <w:multiLevelType w:val="hybridMultilevel"/>
    <w:tmpl w:val="2892DB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17808A9"/>
    <w:multiLevelType w:val="hybridMultilevel"/>
    <w:tmpl w:val="ECA65FF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E52563"/>
    <w:multiLevelType w:val="hybridMultilevel"/>
    <w:tmpl w:val="13BA3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C107374"/>
    <w:multiLevelType w:val="hybridMultilevel"/>
    <w:tmpl w:val="00BEE86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F56338"/>
    <w:multiLevelType w:val="hybridMultilevel"/>
    <w:tmpl w:val="525AA1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0BF200D"/>
    <w:multiLevelType w:val="hybridMultilevel"/>
    <w:tmpl w:val="AAFC3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2991847"/>
    <w:multiLevelType w:val="hybridMultilevel"/>
    <w:tmpl w:val="22988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791F6517"/>
    <w:multiLevelType w:val="multilevel"/>
    <w:tmpl w:val="C1D0B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8260E8"/>
    <w:multiLevelType w:val="hybridMultilevel"/>
    <w:tmpl w:val="03DC4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11"/>
  </w:num>
  <w:num w:numId="4">
    <w:abstractNumId w:val="23"/>
  </w:num>
  <w:num w:numId="5">
    <w:abstractNumId w:val="15"/>
  </w:num>
  <w:num w:numId="6">
    <w:abstractNumId w:val="1"/>
  </w:num>
  <w:num w:numId="7">
    <w:abstractNumId w:val="3"/>
  </w:num>
  <w:num w:numId="8">
    <w:abstractNumId w:val="27"/>
  </w:num>
  <w:num w:numId="9">
    <w:abstractNumId w:val="29"/>
  </w:num>
  <w:num w:numId="10">
    <w:abstractNumId w:val="2"/>
  </w:num>
  <w:num w:numId="11">
    <w:abstractNumId w:val="8"/>
  </w:num>
  <w:num w:numId="12">
    <w:abstractNumId w:val="25"/>
  </w:num>
  <w:num w:numId="13">
    <w:abstractNumId w:val="12"/>
  </w:num>
  <w:num w:numId="14">
    <w:abstractNumId w:val="14"/>
  </w:num>
  <w:num w:numId="15">
    <w:abstractNumId w:val="19"/>
  </w:num>
  <w:num w:numId="16">
    <w:abstractNumId w:val="21"/>
  </w:num>
  <w:num w:numId="17">
    <w:abstractNumId w:val="16"/>
  </w:num>
  <w:num w:numId="18">
    <w:abstractNumId w:val="4"/>
  </w:num>
  <w:num w:numId="19">
    <w:abstractNumId w:val="17"/>
  </w:num>
  <w:num w:numId="20">
    <w:abstractNumId w:val="26"/>
  </w:num>
  <w:num w:numId="21">
    <w:abstractNumId w:val="18"/>
  </w:num>
  <w:num w:numId="22">
    <w:abstractNumId w:val="28"/>
  </w:num>
  <w:num w:numId="23">
    <w:abstractNumId w:val="13"/>
  </w:num>
  <w:num w:numId="24">
    <w:abstractNumId w:val="6"/>
  </w:num>
  <w:num w:numId="25">
    <w:abstractNumId w:val="22"/>
  </w:num>
  <w:num w:numId="26">
    <w:abstractNumId w:val="7"/>
  </w:num>
  <w:num w:numId="27">
    <w:abstractNumId w:val="0"/>
  </w:num>
  <w:num w:numId="28">
    <w:abstractNumId w:val="5"/>
  </w:num>
  <w:num w:numId="29">
    <w:abstractNumId w:val="24"/>
  </w:num>
  <w:num w:numId="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067B"/>
    <w:rsid w:val="00001166"/>
    <w:rsid w:val="00010500"/>
    <w:rsid w:val="0001067B"/>
    <w:rsid w:val="0001625B"/>
    <w:rsid w:val="00020729"/>
    <w:rsid w:val="00021322"/>
    <w:rsid w:val="00030C2B"/>
    <w:rsid w:val="00031A66"/>
    <w:rsid w:val="00044D2A"/>
    <w:rsid w:val="00054EA0"/>
    <w:rsid w:val="0006674A"/>
    <w:rsid w:val="00067880"/>
    <w:rsid w:val="0007319E"/>
    <w:rsid w:val="0007358E"/>
    <w:rsid w:val="00082691"/>
    <w:rsid w:val="00085C37"/>
    <w:rsid w:val="00093C2B"/>
    <w:rsid w:val="000A25B6"/>
    <w:rsid w:val="000C31EF"/>
    <w:rsid w:val="000C7E1D"/>
    <w:rsid w:val="000D2F0E"/>
    <w:rsid w:val="000D5950"/>
    <w:rsid w:val="000E425E"/>
    <w:rsid w:val="000E57EC"/>
    <w:rsid w:val="000F5354"/>
    <w:rsid w:val="00102FE3"/>
    <w:rsid w:val="001110EB"/>
    <w:rsid w:val="00121C5E"/>
    <w:rsid w:val="00132778"/>
    <w:rsid w:val="00136699"/>
    <w:rsid w:val="001513EC"/>
    <w:rsid w:val="00154C68"/>
    <w:rsid w:val="00164A9D"/>
    <w:rsid w:val="00173EFA"/>
    <w:rsid w:val="00173FFE"/>
    <w:rsid w:val="00177B3A"/>
    <w:rsid w:val="00191BD8"/>
    <w:rsid w:val="001A6211"/>
    <w:rsid w:val="001A6F14"/>
    <w:rsid w:val="001A7DE2"/>
    <w:rsid w:val="001C7B10"/>
    <w:rsid w:val="001D07E0"/>
    <w:rsid w:val="001D5EF2"/>
    <w:rsid w:val="001E4D6A"/>
    <w:rsid w:val="001E6BD1"/>
    <w:rsid w:val="001F3C98"/>
    <w:rsid w:val="00202662"/>
    <w:rsid w:val="0021137A"/>
    <w:rsid w:val="00212ED5"/>
    <w:rsid w:val="00214673"/>
    <w:rsid w:val="00221C18"/>
    <w:rsid w:val="00230F0F"/>
    <w:rsid w:val="002323BA"/>
    <w:rsid w:val="00233945"/>
    <w:rsid w:val="00237558"/>
    <w:rsid w:val="00246627"/>
    <w:rsid w:val="00253B80"/>
    <w:rsid w:val="00253EAC"/>
    <w:rsid w:val="00256284"/>
    <w:rsid w:val="00257360"/>
    <w:rsid w:val="002671E2"/>
    <w:rsid w:val="00267509"/>
    <w:rsid w:val="002710CA"/>
    <w:rsid w:val="00274862"/>
    <w:rsid w:val="00277DB0"/>
    <w:rsid w:val="002908C5"/>
    <w:rsid w:val="0029341A"/>
    <w:rsid w:val="002B47A5"/>
    <w:rsid w:val="002C03FC"/>
    <w:rsid w:val="002D0261"/>
    <w:rsid w:val="002D2171"/>
    <w:rsid w:val="002F227A"/>
    <w:rsid w:val="002F7DCF"/>
    <w:rsid w:val="00302251"/>
    <w:rsid w:val="00307503"/>
    <w:rsid w:val="00315F4E"/>
    <w:rsid w:val="003164BE"/>
    <w:rsid w:val="0033338C"/>
    <w:rsid w:val="00350EEB"/>
    <w:rsid w:val="00351168"/>
    <w:rsid w:val="00355497"/>
    <w:rsid w:val="003560E1"/>
    <w:rsid w:val="00361E3B"/>
    <w:rsid w:val="003769AA"/>
    <w:rsid w:val="003851D2"/>
    <w:rsid w:val="0039093F"/>
    <w:rsid w:val="003951D2"/>
    <w:rsid w:val="003A033E"/>
    <w:rsid w:val="003B1879"/>
    <w:rsid w:val="003C568C"/>
    <w:rsid w:val="003D6404"/>
    <w:rsid w:val="003E4B91"/>
    <w:rsid w:val="003E5102"/>
    <w:rsid w:val="003E5DF1"/>
    <w:rsid w:val="003F6B39"/>
    <w:rsid w:val="004007FE"/>
    <w:rsid w:val="00400BF4"/>
    <w:rsid w:val="004019A6"/>
    <w:rsid w:val="00406FCA"/>
    <w:rsid w:val="004153C2"/>
    <w:rsid w:val="00426515"/>
    <w:rsid w:val="004268B7"/>
    <w:rsid w:val="00427961"/>
    <w:rsid w:val="00433ED2"/>
    <w:rsid w:val="004352DB"/>
    <w:rsid w:val="00441FD6"/>
    <w:rsid w:val="00443D84"/>
    <w:rsid w:val="004517D6"/>
    <w:rsid w:val="0045296A"/>
    <w:rsid w:val="00456C22"/>
    <w:rsid w:val="004663E1"/>
    <w:rsid w:val="00466D95"/>
    <w:rsid w:val="004738F5"/>
    <w:rsid w:val="00475B44"/>
    <w:rsid w:val="0047629C"/>
    <w:rsid w:val="00476F3E"/>
    <w:rsid w:val="0048680F"/>
    <w:rsid w:val="0049022D"/>
    <w:rsid w:val="004934D6"/>
    <w:rsid w:val="004975D8"/>
    <w:rsid w:val="004A401D"/>
    <w:rsid w:val="004A4E0A"/>
    <w:rsid w:val="004B4CAF"/>
    <w:rsid w:val="004C53AA"/>
    <w:rsid w:val="004D49B8"/>
    <w:rsid w:val="004E2988"/>
    <w:rsid w:val="004E2CCB"/>
    <w:rsid w:val="004E3410"/>
    <w:rsid w:val="004E4F48"/>
    <w:rsid w:val="004E54CC"/>
    <w:rsid w:val="004F6FE3"/>
    <w:rsid w:val="005018C6"/>
    <w:rsid w:val="00506162"/>
    <w:rsid w:val="0051361F"/>
    <w:rsid w:val="0052136D"/>
    <w:rsid w:val="00534263"/>
    <w:rsid w:val="00541A7B"/>
    <w:rsid w:val="00542447"/>
    <w:rsid w:val="005436CC"/>
    <w:rsid w:val="0055094B"/>
    <w:rsid w:val="00552969"/>
    <w:rsid w:val="0055527D"/>
    <w:rsid w:val="005563D3"/>
    <w:rsid w:val="00562C5D"/>
    <w:rsid w:val="005667DF"/>
    <w:rsid w:val="00581329"/>
    <w:rsid w:val="00587023"/>
    <w:rsid w:val="00587465"/>
    <w:rsid w:val="0059217F"/>
    <w:rsid w:val="0059249A"/>
    <w:rsid w:val="0059582F"/>
    <w:rsid w:val="00595FE3"/>
    <w:rsid w:val="005A1936"/>
    <w:rsid w:val="005A26AE"/>
    <w:rsid w:val="005A31D5"/>
    <w:rsid w:val="005C7A43"/>
    <w:rsid w:val="005D67BF"/>
    <w:rsid w:val="005E19DE"/>
    <w:rsid w:val="005E7CC2"/>
    <w:rsid w:val="005F4F0D"/>
    <w:rsid w:val="005F73FC"/>
    <w:rsid w:val="00600569"/>
    <w:rsid w:val="00611DBB"/>
    <w:rsid w:val="00623F4E"/>
    <w:rsid w:val="00644E4D"/>
    <w:rsid w:val="0066278B"/>
    <w:rsid w:val="00674C2E"/>
    <w:rsid w:val="00686C1D"/>
    <w:rsid w:val="00686E71"/>
    <w:rsid w:val="00690E59"/>
    <w:rsid w:val="00690E84"/>
    <w:rsid w:val="00697158"/>
    <w:rsid w:val="006A21CF"/>
    <w:rsid w:val="006A7494"/>
    <w:rsid w:val="006C37F1"/>
    <w:rsid w:val="006D0CF6"/>
    <w:rsid w:val="006D46C4"/>
    <w:rsid w:val="006F4BB0"/>
    <w:rsid w:val="006F52C7"/>
    <w:rsid w:val="00712B9D"/>
    <w:rsid w:val="00713FEA"/>
    <w:rsid w:val="0071558B"/>
    <w:rsid w:val="007321D3"/>
    <w:rsid w:val="00737A1E"/>
    <w:rsid w:val="00737F84"/>
    <w:rsid w:val="00740EF9"/>
    <w:rsid w:val="00741828"/>
    <w:rsid w:val="007445AC"/>
    <w:rsid w:val="007446FC"/>
    <w:rsid w:val="00745AA7"/>
    <w:rsid w:val="00750EE4"/>
    <w:rsid w:val="00754117"/>
    <w:rsid w:val="00760C24"/>
    <w:rsid w:val="00763476"/>
    <w:rsid w:val="00770CC4"/>
    <w:rsid w:val="007846BC"/>
    <w:rsid w:val="00784C19"/>
    <w:rsid w:val="00785E22"/>
    <w:rsid w:val="007B59A6"/>
    <w:rsid w:val="007C59F0"/>
    <w:rsid w:val="007C6067"/>
    <w:rsid w:val="007D010B"/>
    <w:rsid w:val="007D7411"/>
    <w:rsid w:val="007E1475"/>
    <w:rsid w:val="007E78B4"/>
    <w:rsid w:val="00814796"/>
    <w:rsid w:val="008233AF"/>
    <w:rsid w:val="00827173"/>
    <w:rsid w:val="00836320"/>
    <w:rsid w:val="00840E24"/>
    <w:rsid w:val="0084211F"/>
    <w:rsid w:val="00847DD3"/>
    <w:rsid w:val="00855351"/>
    <w:rsid w:val="00872181"/>
    <w:rsid w:val="008731D3"/>
    <w:rsid w:val="00883B8D"/>
    <w:rsid w:val="00887CA7"/>
    <w:rsid w:val="0089479C"/>
    <w:rsid w:val="008C60CA"/>
    <w:rsid w:val="008E5EEB"/>
    <w:rsid w:val="008F513D"/>
    <w:rsid w:val="00905E74"/>
    <w:rsid w:val="0090679B"/>
    <w:rsid w:val="0092011F"/>
    <w:rsid w:val="00927D75"/>
    <w:rsid w:val="00961E42"/>
    <w:rsid w:val="00973393"/>
    <w:rsid w:val="0098161B"/>
    <w:rsid w:val="0098183F"/>
    <w:rsid w:val="0098188F"/>
    <w:rsid w:val="00995546"/>
    <w:rsid w:val="009A13EA"/>
    <w:rsid w:val="009A77F5"/>
    <w:rsid w:val="009B1167"/>
    <w:rsid w:val="009B4396"/>
    <w:rsid w:val="009C0DE1"/>
    <w:rsid w:val="009C207F"/>
    <w:rsid w:val="009D2E4E"/>
    <w:rsid w:val="009E05F2"/>
    <w:rsid w:val="009F4E80"/>
    <w:rsid w:val="009F6E63"/>
    <w:rsid w:val="00A11EA6"/>
    <w:rsid w:val="00A13C66"/>
    <w:rsid w:val="00A21C96"/>
    <w:rsid w:val="00A269DF"/>
    <w:rsid w:val="00A26CD3"/>
    <w:rsid w:val="00A27AA4"/>
    <w:rsid w:val="00A3094D"/>
    <w:rsid w:val="00A343E8"/>
    <w:rsid w:val="00A51675"/>
    <w:rsid w:val="00A532B3"/>
    <w:rsid w:val="00A55A49"/>
    <w:rsid w:val="00A606C0"/>
    <w:rsid w:val="00A7047A"/>
    <w:rsid w:val="00A70FD0"/>
    <w:rsid w:val="00A720E2"/>
    <w:rsid w:val="00A74415"/>
    <w:rsid w:val="00A82208"/>
    <w:rsid w:val="00A82882"/>
    <w:rsid w:val="00A86D67"/>
    <w:rsid w:val="00A92C0B"/>
    <w:rsid w:val="00A94490"/>
    <w:rsid w:val="00A95700"/>
    <w:rsid w:val="00AA50D3"/>
    <w:rsid w:val="00AB0055"/>
    <w:rsid w:val="00AC24F6"/>
    <w:rsid w:val="00AE6B04"/>
    <w:rsid w:val="00AE707B"/>
    <w:rsid w:val="00AF0650"/>
    <w:rsid w:val="00B01907"/>
    <w:rsid w:val="00B0440C"/>
    <w:rsid w:val="00B04D68"/>
    <w:rsid w:val="00B0799B"/>
    <w:rsid w:val="00B07DD7"/>
    <w:rsid w:val="00B10EA1"/>
    <w:rsid w:val="00B25BCA"/>
    <w:rsid w:val="00B371A4"/>
    <w:rsid w:val="00B67732"/>
    <w:rsid w:val="00B705E4"/>
    <w:rsid w:val="00B817DB"/>
    <w:rsid w:val="00B838F9"/>
    <w:rsid w:val="00B92999"/>
    <w:rsid w:val="00B96F81"/>
    <w:rsid w:val="00BA47B9"/>
    <w:rsid w:val="00BA7898"/>
    <w:rsid w:val="00BB3B33"/>
    <w:rsid w:val="00BC4C87"/>
    <w:rsid w:val="00BD3881"/>
    <w:rsid w:val="00BD444C"/>
    <w:rsid w:val="00BD6A56"/>
    <w:rsid w:val="00BE0663"/>
    <w:rsid w:val="00BF0246"/>
    <w:rsid w:val="00BF270C"/>
    <w:rsid w:val="00BF5056"/>
    <w:rsid w:val="00BF6A84"/>
    <w:rsid w:val="00C1382C"/>
    <w:rsid w:val="00C1403F"/>
    <w:rsid w:val="00C33465"/>
    <w:rsid w:val="00C338C0"/>
    <w:rsid w:val="00C342CB"/>
    <w:rsid w:val="00C361EB"/>
    <w:rsid w:val="00C417C2"/>
    <w:rsid w:val="00C5615B"/>
    <w:rsid w:val="00C76725"/>
    <w:rsid w:val="00C76E06"/>
    <w:rsid w:val="00C95F86"/>
    <w:rsid w:val="00CA2804"/>
    <w:rsid w:val="00CA67F1"/>
    <w:rsid w:val="00CC66AB"/>
    <w:rsid w:val="00CD3E5E"/>
    <w:rsid w:val="00CD4561"/>
    <w:rsid w:val="00CE226E"/>
    <w:rsid w:val="00CE5988"/>
    <w:rsid w:val="00CF44BF"/>
    <w:rsid w:val="00CF7221"/>
    <w:rsid w:val="00D05EAC"/>
    <w:rsid w:val="00D11E03"/>
    <w:rsid w:val="00D21485"/>
    <w:rsid w:val="00D2667D"/>
    <w:rsid w:val="00D31188"/>
    <w:rsid w:val="00D36A2A"/>
    <w:rsid w:val="00D46429"/>
    <w:rsid w:val="00D4720A"/>
    <w:rsid w:val="00D51D52"/>
    <w:rsid w:val="00D610AE"/>
    <w:rsid w:val="00D670CC"/>
    <w:rsid w:val="00D751B4"/>
    <w:rsid w:val="00D82017"/>
    <w:rsid w:val="00DA1123"/>
    <w:rsid w:val="00DA3912"/>
    <w:rsid w:val="00DA6E1B"/>
    <w:rsid w:val="00DC1D57"/>
    <w:rsid w:val="00DC5F77"/>
    <w:rsid w:val="00DE454B"/>
    <w:rsid w:val="00DE7D0D"/>
    <w:rsid w:val="00DE7F20"/>
    <w:rsid w:val="00DF588B"/>
    <w:rsid w:val="00E02195"/>
    <w:rsid w:val="00E03D8E"/>
    <w:rsid w:val="00E0673C"/>
    <w:rsid w:val="00E1213E"/>
    <w:rsid w:val="00E15A7F"/>
    <w:rsid w:val="00E3635F"/>
    <w:rsid w:val="00E45EC9"/>
    <w:rsid w:val="00E51711"/>
    <w:rsid w:val="00E5407B"/>
    <w:rsid w:val="00E818EE"/>
    <w:rsid w:val="00E93AE1"/>
    <w:rsid w:val="00E9427E"/>
    <w:rsid w:val="00EA08CE"/>
    <w:rsid w:val="00EA0F02"/>
    <w:rsid w:val="00EA2097"/>
    <w:rsid w:val="00EA4433"/>
    <w:rsid w:val="00EA7C0D"/>
    <w:rsid w:val="00EE696C"/>
    <w:rsid w:val="00EE7478"/>
    <w:rsid w:val="00EF57FC"/>
    <w:rsid w:val="00F02CB5"/>
    <w:rsid w:val="00F06794"/>
    <w:rsid w:val="00F11C6A"/>
    <w:rsid w:val="00F156E4"/>
    <w:rsid w:val="00F24553"/>
    <w:rsid w:val="00F76947"/>
    <w:rsid w:val="00F77637"/>
    <w:rsid w:val="00F9619B"/>
    <w:rsid w:val="00FA41BE"/>
    <w:rsid w:val="00FA42B4"/>
    <w:rsid w:val="00FB1E75"/>
    <w:rsid w:val="00FF470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CB60DD"/>
  <w15:chartTrackingRefBased/>
  <w15:docId w15:val="{B2CBB523-3157-4B9F-9537-2610A86971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4561"/>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9A13EA"/>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9A13EA"/>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4934D6"/>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0106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106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106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06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06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06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3EA"/>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9A13EA"/>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4934D6"/>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0106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106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106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06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06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067B"/>
    <w:rPr>
      <w:rFonts w:eastAsiaTheme="majorEastAsia" w:cstheme="majorBidi"/>
      <w:color w:val="272727" w:themeColor="text1" w:themeTint="D8"/>
    </w:rPr>
  </w:style>
  <w:style w:type="paragraph" w:styleId="Title">
    <w:name w:val="Title"/>
    <w:basedOn w:val="Normal"/>
    <w:next w:val="Normal"/>
    <w:link w:val="TitleChar"/>
    <w:uiPriority w:val="10"/>
    <w:qFormat/>
    <w:rsid w:val="000106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06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06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06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067B"/>
    <w:pPr>
      <w:spacing w:before="160"/>
      <w:jc w:val="center"/>
    </w:pPr>
    <w:rPr>
      <w:i/>
      <w:iCs/>
      <w:color w:val="404040" w:themeColor="text1" w:themeTint="BF"/>
    </w:rPr>
  </w:style>
  <w:style w:type="character" w:customStyle="1" w:styleId="QuoteChar">
    <w:name w:val="Quote Char"/>
    <w:basedOn w:val="DefaultParagraphFont"/>
    <w:link w:val="Quote"/>
    <w:uiPriority w:val="29"/>
    <w:rsid w:val="0001067B"/>
    <w:rPr>
      <w:i/>
      <w:iCs/>
      <w:color w:val="404040" w:themeColor="text1" w:themeTint="BF"/>
    </w:rPr>
  </w:style>
  <w:style w:type="paragraph" w:styleId="ListParagraph">
    <w:name w:val="List Paragraph"/>
    <w:basedOn w:val="Normal"/>
    <w:uiPriority w:val="34"/>
    <w:qFormat/>
    <w:rsid w:val="0001067B"/>
    <w:pPr>
      <w:ind w:left="720"/>
      <w:contextualSpacing/>
    </w:pPr>
  </w:style>
  <w:style w:type="character" w:styleId="IntenseEmphasis">
    <w:name w:val="Intense Emphasis"/>
    <w:basedOn w:val="DefaultParagraphFont"/>
    <w:uiPriority w:val="21"/>
    <w:qFormat/>
    <w:rsid w:val="0001067B"/>
    <w:rPr>
      <w:i/>
      <w:iCs/>
      <w:color w:val="2F5496" w:themeColor="accent1" w:themeShade="BF"/>
    </w:rPr>
  </w:style>
  <w:style w:type="paragraph" w:styleId="IntenseQuote">
    <w:name w:val="Intense Quote"/>
    <w:basedOn w:val="Normal"/>
    <w:next w:val="Normal"/>
    <w:link w:val="IntenseQuoteChar"/>
    <w:uiPriority w:val="30"/>
    <w:qFormat/>
    <w:rsid w:val="000106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1067B"/>
    <w:rPr>
      <w:i/>
      <w:iCs/>
      <w:color w:val="2F5496" w:themeColor="accent1" w:themeShade="BF"/>
    </w:rPr>
  </w:style>
  <w:style w:type="character" w:styleId="IntenseReference">
    <w:name w:val="Intense Reference"/>
    <w:basedOn w:val="DefaultParagraphFont"/>
    <w:uiPriority w:val="32"/>
    <w:qFormat/>
    <w:rsid w:val="0001067B"/>
    <w:rPr>
      <w:b/>
      <w:bCs/>
      <w:smallCaps/>
      <w:color w:val="2F5496" w:themeColor="accent1" w:themeShade="BF"/>
      <w:spacing w:val="5"/>
    </w:rPr>
  </w:style>
  <w:style w:type="paragraph" w:styleId="NormalWeb">
    <w:name w:val="Normal (Web)"/>
    <w:basedOn w:val="Normal"/>
    <w:uiPriority w:val="99"/>
    <w:unhideWhenUsed/>
    <w:rsid w:val="00CD45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CD45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4561"/>
    <w:rPr>
      <w:kern w:val="0"/>
      <w:sz w:val="22"/>
      <w:szCs w:val="22"/>
      <w:lang w:val="en-GB"/>
      <w14:ligatures w14:val="none"/>
    </w:rPr>
  </w:style>
  <w:style w:type="paragraph" w:styleId="TOCHeading">
    <w:name w:val="TOC Heading"/>
    <w:basedOn w:val="Heading1"/>
    <w:next w:val="Normal"/>
    <w:uiPriority w:val="39"/>
    <w:unhideWhenUsed/>
    <w:qFormat/>
    <w:rsid w:val="00CD4561"/>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CD4561"/>
    <w:pPr>
      <w:spacing w:after="100"/>
    </w:pPr>
  </w:style>
  <w:style w:type="character" w:styleId="Hyperlink">
    <w:name w:val="Hyperlink"/>
    <w:basedOn w:val="DefaultParagraphFont"/>
    <w:uiPriority w:val="99"/>
    <w:unhideWhenUsed/>
    <w:rsid w:val="00CD4561"/>
    <w:rPr>
      <w:color w:val="0563C1" w:themeColor="hyperlink"/>
      <w:u w:val="single"/>
    </w:rPr>
  </w:style>
  <w:style w:type="paragraph" w:styleId="NoSpacing">
    <w:name w:val="No Spacing"/>
    <w:link w:val="NoSpacingChar"/>
    <w:uiPriority w:val="1"/>
    <w:qFormat/>
    <w:rsid w:val="00CD4561"/>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CD4561"/>
    <w:rPr>
      <w:rFonts w:eastAsiaTheme="minorEastAsia"/>
      <w:kern w:val="0"/>
      <w:sz w:val="22"/>
      <w:szCs w:val="22"/>
      <w14:ligatures w14:val="none"/>
    </w:rPr>
  </w:style>
  <w:style w:type="character" w:customStyle="1" w:styleId="citation-198">
    <w:name w:val="citation-198"/>
    <w:basedOn w:val="DefaultParagraphFont"/>
    <w:rsid w:val="00CD4561"/>
  </w:style>
  <w:style w:type="character" w:customStyle="1" w:styleId="citation-197">
    <w:name w:val="citation-197"/>
    <w:basedOn w:val="DefaultParagraphFont"/>
    <w:rsid w:val="00CD4561"/>
  </w:style>
  <w:style w:type="character" w:customStyle="1" w:styleId="citation-194">
    <w:name w:val="citation-194"/>
    <w:basedOn w:val="DefaultParagraphFont"/>
    <w:rsid w:val="00CD4561"/>
  </w:style>
  <w:style w:type="paragraph" w:styleId="TOC2">
    <w:name w:val="toc 2"/>
    <w:basedOn w:val="Normal"/>
    <w:next w:val="Normal"/>
    <w:autoRedefine/>
    <w:uiPriority w:val="39"/>
    <w:unhideWhenUsed/>
    <w:rsid w:val="00CD4561"/>
    <w:pPr>
      <w:spacing w:after="100"/>
      <w:ind w:left="220"/>
    </w:pPr>
  </w:style>
  <w:style w:type="paragraph" w:styleId="Caption">
    <w:name w:val="caption"/>
    <w:basedOn w:val="Normal"/>
    <w:next w:val="Normal"/>
    <w:uiPriority w:val="35"/>
    <w:unhideWhenUsed/>
    <w:qFormat/>
    <w:rsid w:val="00CD4561"/>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CD4561"/>
    <w:pPr>
      <w:spacing w:after="0"/>
    </w:pPr>
  </w:style>
  <w:style w:type="table" w:styleId="TableGrid">
    <w:name w:val="Table Grid"/>
    <w:basedOn w:val="TableNormal"/>
    <w:uiPriority w:val="39"/>
    <w:rsid w:val="004762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C5F77"/>
    <w:rPr>
      <w:color w:val="666666"/>
    </w:rPr>
  </w:style>
  <w:style w:type="character" w:customStyle="1" w:styleId="UnresolvedMention">
    <w:name w:val="Unresolved Mention"/>
    <w:basedOn w:val="DefaultParagraphFont"/>
    <w:uiPriority w:val="99"/>
    <w:semiHidden/>
    <w:unhideWhenUsed/>
    <w:rsid w:val="00541A7B"/>
    <w:rPr>
      <w:color w:val="605E5C"/>
      <w:shd w:val="clear" w:color="auto" w:fill="E1DFDD"/>
    </w:rPr>
  </w:style>
  <w:style w:type="paragraph" w:styleId="TOC3">
    <w:name w:val="toc 3"/>
    <w:basedOn w:val="Normal"/>
    <w:next w:val="Normal"/>
    <w:autoRedefine/>
    <w:uiPriority w:val="39"/>
    <w:unhideWhenUsed/>
    <w:rsid w:val="00C5615B"/>
    <w:pPr>
      <w:spacing w:after="100"/>
      <w:ind w:left="440"/>
    </w:pPr>
  </w:style>
  <w:style w:type="character" w:styleId="Strong">
    <w:name w:val="Strong"/>
    <w:basedOn w:val="DefaultParagraphFont"/>
    <w:uiPriority w:val="22"/>
    <w:qFormat/>
    <w:rsid w:val="001110EB"/>
    <w:rPr>
      <w:b/>
      <w:bCs/>
    </w:rPr>
  </w:style>
  <w:style w:type="paragraph" w:styleId="Header">
    <w:name w:val="header"/>
    <w:basedOn w:val="Normal"/>
    <w:link w:val="HeaderChar"/>
    <w:uiPriority w:val="99"/>
    <w:unhideWhenUsed/>
    <w:rsid w:val="003333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338C"/>
    <w:rPr>
      <w:kern w:val="0"/>
      <w:sz w:val="22"/>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openxmlformats.org/officeDocument/2006/relationships/hyperlink" Target="https://www.mheducation.com/highered/product/principles-corporate-finance" TargetMode="External"/><Relationship Id="rId18" Type="http://schemas.openxmlformats.org/officeDocument/2006/relationships/hyperlink" Target="https://www.pearson.com/en-gb/subject-catalog/p/business-ethics-and-corporate-governance" TargetMode="External"/><Relationship Id="rId3" Type="http://schemas.openxmlformats.org/officeDocument/2006/relationships/settings" Target="settings.xml"/><Relationship Id="rId21" Type="http://schemas.openxmlformats.org/officeDocument/2006/relationships/hyperlink" Target="https://legalvision.co.uk/corporations/term-financing/" TargetMode="External"/><Relationship Id="rId7" Type="http://schemas.openxmlformats.org/officeDocument/2006/relationships/image" Target="media/image1.png"/><Relationship Id="rId12" Type="http://schemas.openxmlformats.org/officeDocument/2006/relationships/hyperlink" Target="https://papers.ssrn.com/sol3/papers.cfm?abstract_id=4279580" TargetMode="External"/><Relationship Id="rId17" Type="http://schemas.openxmlformats.org/officeDocument/2006/relationships/hyperlink" Target="https://www.wiley.com/en-us/Applied+Corporate+Financ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routledge.com/Corporate-Social-Responsibility" TargetMode="External"/><Relationship Id="rId20" Type="http://schemas.openxmlformats.org/officeDocument/2006/relationships/hyperlink" Target="https://www.mheducation.com/highered/product/international-busin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arson.com/en-gb/subject-catalog/p/financial-management-for-decision-makers"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orporatefinanceinstitute.com/resources/accounting/capital-rationing/" TargetMode="External"/><Relationship Id="rId23" Type="http://schemas.openxmlformats.org/officeDocument/2006/relationships/hyperlink" Target="https://cdn.taxmann.com/BookshopFiles/bookfiles/1751112898387_Cracker_CAFM--NS_Zad-_9789371268929.pdf" TargetMode="External"/><Relationship Id="rId10" Type="http://schemas.openxmlformats.org/officeDocument/2006/relationships/hyperlink" Target="https://analystprep.com/cfa-level-1-exam/corporate-finance/measures-profitability-npv-irr-aar-pi/" TargetMode="External"/><Relationship Id="rId19" Type="http://schemas.openxmlformats.org/officeDocument/2006/relationships/hyperlink" Target="https://www.wiley.com/enus/Mergers%2C+Acquisitions%2C+and+Corporate+Restructurings"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link.springer.com/book/10.1007/978-3-031-08969-0" TargetMode="External"/><Relationship Id="rId22" Type="http://schemas.openxmlformats.org/officeDocument/2006/relationships/hyperlink" Target="https://www.pearson.com/store/p/fundamentals-of-multinational-fin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6497</Words>
  <Characters>38597</Characters>
  <Application>Microsoft Office Word</Application>
  <DocSecurity>0</DocSecurity>
  <Lines>1608</Lines>
  <Paragraphs>920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dc:creator>
  <cp:keywords/>
  <dc:description/>
  <cp:lastModifiedBy>FRAANK83</cp:lastModifiedBy>
  <cp:revision>3</cp:revision>
  <dcterms:created xsi:type="dcterms:W3CDTF">2025-11-23T22:22:00Z</dcterms:created>
  <dcterms:modified xsi:type="dcterms:W3CDTF">2025-11-23T22:22:00Z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98030c30-798f-4ee4-b998-a7e84af9cd14</vt:lpwstr>
  </property>
</Properties>
</file>