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93985" w14:textId="7E47948A" w:rsidR="0051264F" w:rsidRPr="000D4635" w:rsidRDefault="0051264F">
      <w:pPr>
        <w:pStyle w:val="p1"/>
        <w:rPr>
          <w:rStyle w:val="s1"/>
          <w:rFonts w:ascii="Arial" w:hAnsi="Arial" w:cs="Arial"/>
          <w:sz w:val="22"/>
          <w:szCs w:val="22"/>
        </w:rPr>
      </w:pPr>
      <w:proofErr w:type="spellStart"/>
      <w:r w:rsidRPr="000D4635">
        <w:rPr>
          <w:rStyle w:val="s1"/>
          <w:rFonts w:ascii="Arial" w:hAnsi="Arial" w:cs="Arial"/>
          <w:sz w:val="22"/>
          <w:szCs w:val="22"/>
        </w:rPr>
        <w:t>Arfa</w:t>
      </w:r>
      <w:proofErr w:type="spellEnd"/>
      <w:r w:rsidRPr="000D4635">
        <w:rPr>
          <w:rStyle w:val="s1"/>
          <w:rFonts w:ascii="Arial" w:hAnsi="Arial" w:cs="Arial"/>
          <w:sz w:val="22"/>
          <w:szCs w:val="22"/>
        </w:rPr>
        <w:t xml:space="preserve"> Rahman </w:t>
      </w:r>
      <w:r w:rsidR="00254F0A">
        <w:rPr>
          <w:rStyle w:val="s1"/>
          <w:rFonts w:ascii="Arial" w:hAnsi="Arial" w:cs="Arial"/>
          <w:sz w:val="22"/>
          <w:szCs w:val="22"/>
        </w:rPr>
        <w:t>:2426612</w:t>
      </w:r>
    </w:p>
    <w:p w14:paraId="48F67435" w14:textId="77777777" w:rsidR="00AE4811" w:rsidRPr="000D4635" w:rsidRDefault="00AE4811">
      <w:pPr>
        <w:pStyle w:val="p1"/>
        <w:rPr>
          <w:rStyle w:val="s1"/>
          <w:rFonts w:ascii="Arial" w:hAnsi="Arial" w:cs="Arial"/>
          <w:sz w:val="22"/>
          <w:szCs w:val="22"/>
        </w:rPr>
      </w:pPr>
    </w:p>
    <w:p w14:paraId="3CC8A707" w14:textId="24BFBE56" w:rsidR="0051264F" w:rsidRPr="000D4635" w:rsidRDefault="002B442A">
      <w:pPr>
        <w:pStyle w:val="p1"/>
        <w:rPr>
          <w:rStyle w:val="s1"/>
          <w:rFonts w:ascii="Arial" w:hAnsi="Arial" w:cs="Arial"/>
          <w:sz w:val="22"/>
          <w:szCs w:val="22"/>
        </w:rPr>
      </w:pPr>
      <w:r w:rsidRPr="000D4635">
        <w:rPr>
          <w:rStyle w:val="s1"/>
          <w:rFonts w:ascii="Arial" w:hAnsi="Arial" w:cs="Arial"/>
          <w:sz w:val="22"/>
          <w:szCs w:val="22"/>
        </w:rPr>
        <w:t xml:space="preserve">Psychology in Health and Social care </w:t>
      </w:r>
    </w:p>
    <w:p w14:paraId="4FD7098C" w14:textId="77777777" w:rsidR="00AE4811" w:rsidRPr="000D4635" w:rsidRDefault="00AE4811">
      <w:pPr>
        <w:pStyle w:val="p1"/>
        <w:rPr>
          <w:rStyle w:val="s1"/>
          <w:rFonts w:ascii="Arial" w:hAnsi="Arial" w:cs="Arial"/>
          <w:sz w:val="22"/>
          <w:szCs w:val="22"/>
        </w:rPr>
      </w:pPr>
    </w:p>
    <w:p w14:paraId="6D7B5A24" w14:textId="51FB12CB" w:rsidR="002B442A" w:rsidRPr="000D4635" w:rsidRDefault="0012073F">
      <w:pPr>
        <w:pStyle w:val="p1"/>
        <w:rPr>
          <w:rStyle w:val="s1"/>
          <w:rFonts w:ascii="Arial" w:hAnsi="Arial" w:cs="Arial"/>
          <w:sz w:val="22"/>
          <w:szCs w:val="22"/>
        </w:rPr>
      </w:pPr>
      <w:r>
        <w:rPr>
          <w:rStyle w:val="s1"/>
          <w:rFonts w:ascii="Arial" w:hAnsi="Arial" w:cs="Arial"/>
          <w:sz w:val="22"/>
          <w:szCs w:val="22"/>
        </w:rPr>
        <w:t>Lecturer :</w:t>
      </w:r>
      <w:r w:rsidR="00AE4811" w:rsidRPr="000D4635">
        <w:rPr>
          <w:rStyle w:val="s1"/>
          <w:rFonts w:ascii="Arial" w:hAnsi="Arial" w:cs="Arial"/>
          <w:sz w:val="22"/>
          <w:szCs w:val="22"/>
        </w:rPr>
        <w:t xml:space="preserve">Neal </w:t>
      </w:r>
      <w:proofErr w:type="spellStart"/>
      <w:r w:rsidR="00AE4811" w:rsidRPr="000D4635">
        <w:rPr>
          <w:rStyle w:val="s1"/>
          <w:rFonts w:ascii="Arial" w:hAnsi="Arial" w:cs="Arial"/>
          <w:sz w:val="22"/>
          <w:szCs w:val="22"/>
        </w:rPr>
        <w:t>Hadden</w:t>
      </w:r>
      <w:proofErr w:type="spellEnd"/>
      <w:r w:rsidR="00AE4811" w:rsidRPr="000D4635">
        <w:rPr>
          <w:rStyle w:val="s1"/>
          <w:rFonts w:ascii="Arial" w:hAnsi="Arial" w:cs="Arial"/>
          <w:sz w:val="22"/>
          <w:szCs w:val="22"/>
        </w:rPr>
        <w:t xml:space="preserve"> </w:t>
      </w:r>
    </w:p>
    <w:p w14:paraId="3C16AB40" w14:textId="77777777" w:rsidR="00FF07A5" w:rsidRPr="000D4635" w:rsidRDefault="00FF07A5">
      <w:pPr>
        <w:pStyle w:val="p1"/>
        <w:rPr>
          <w:rStyle w:val="s1"/>
          <w:rFonts w:ascii="Arial" w:hAnsi="Arial" w:cs="Arial"/>
          <w:sz w:val="22"/>
          <w:szCs w:val="22"/>
        </w:rPr>
      </w:pPr>
    </w:p>
    <w:p w14:paraId="24E33403" w14:textId="6B053C2F" w:rsidR="00AE4811" w:rsidRPr="000D4635" w:rsidRDefault="0012073F">
      <w:pPr>
        <w:pStyle w:val="p1"/>
        <w:rPr>
          <w:rStyle w:val="s1"/>
          <w:rFonts w:ascii="Arial" w:hAnsi="Arial" w:cs="Arial"/>
          <w:sz w:val="22"/>
          <w:szCs w:val="22"/>
        </w:rPr>
      </w:pPr>
      <w:r>
        <w:rPr>
          <w:rStyle w:val="s1"/>
          <w:rFonts w:ascii="Arial" w:hAnsi="Arial" w:cs="Arial"/>
          <w:sz w:val="22"/>
          <w:szCs w:val="22"/>
        </w:rPr>
        <w:t>Module code:</w:t>
      </w:r>
      <w:r w:rsidR="00AE4811" w:rsidRPr="000D4635">
        <w:rPr>
          <w:rStyle w:val="s1"/>
          <w:rFonts w:ascii="Arial" w:hAnsi="Arial" w:cs="Arial"/>
          <w:sz w:val="22"/>
          <w:szCs w:val="22"/>
        </w:rPr>
        <w:t>LCHS</w:t>
      </w:r>
      <w:r w:rsidR="00FF07A5" w:rsidRPr="000D4635">
        <w:rPr>
          <w:rStyle w:val="s1"/>
          <w:rFonts w:ascii="Arial" w:hAnsi="Arial" w:cs="Arial"/>
          <w:sz w:val="22"/>
          <w:szCs w:val="22"/>
        </w:rPr>
        <w:t>4010</w:t>
      </w:r>
    </w:p>
    <w:p w14:paraId="0DA3685A" w14:textId="77777777" w:rsidR="00AE4811" w:rsidRPr="000D4635" w:rsidRDefault="00AE4811">
      <w:pPr>
        <w:pStyle w:val="p1"/>
        <w:rPr>
          <w:rStyle w:val="s1"/>
          <w:rFonts w:ascii="Arial" w:hAnsi="Arial" w:cs="Arial"/>
          <w:sz w:val="22"/>
          <w:szCs w:val="22"/>
        </w:rPr>
      </w:pPr>
    </w:p>
    <w:p w14:paraId="458A19B8" w14:textId="77777777" w:rsidR="00FF07A5" w:rsidRPr="000D4635" w:rsidRDefault="00FF07A5">
      <w:pPr>
        <w:pStyle w:val="p1"/>
        <w:rPr>
          <w:rStyle w:val="s1"/>
          <w:rFonts w:ascii="Arial" w:hAnsi="Arial" w:cs="Arial"/>
          <w:sz w:val="22"/>
          <w:szCs w:val="22"/>
        </w:rPr>
      </w:pPr>
    </w:p>
    <w:p w14:paraId="39F4EDB5" w14:textId="7CE67B68" w:rsidR="00D350A7" w:rsidRPr="00C30D4A" w:rsidRDefault="00D350A7">
      <w:pPr>
        <w:pStyle w:val="p1"/>
        <w:rPr>
          <w:rStyle w:val="s1"/>
          <w:rFonts w:ascii="Arial" w:hAnsi="Arial" w:cs="Arial"/>
          <w:sz w:val="22"/>
          <w:szCs w:val="22"/>
        </w:rPr>
      </w:pPr>
      <w:r w:rsidRPr="00C30D4A">
        <w:rPr>
          <w:rStyle w:val="s1"/>
          <w:rFonts w:ascii="Arial" w:hAnsi="Arial" w:cs="Arial"/>
          <w:sz w:val="22"/>
          <w:szCs w:val="22"/>
        </w:rPr>
        <w:t xml:space="preserve">Introduction </w:t>
      </w:r>
    </w:p>
    <w:p w14:paraId="107E5088" w14:textId="77777777" w:rsidR="00D350A7" w:rsidRPr="00C30D4A" w:rsidRDefault="00D350A7">
      <w:pPr>
        <w:pStyle w:val="p1"/>
        <w:rPr>
          <w:rStyle w:val="s1"/>
          <w:rFonts w:ascii="Arial" w:hAnsi="Arial" w:cs="Arial"/>
          <w:sz w:val="22"/>
          <w:szCs w:val="22"/>
        </w:rPr>
      </w:pPr>
    </w:p>
    <w:p w14:paraId="72293E3F" w14:textId="04501D3D" w:rsidR="00D350A7" w:rsidRPr="00C30D4A" w:rsidRDefault="00D350A7">
      <w:pPr>
        <w:pStyle w:val="p1"/>
        <w:rPr>
          <w:rFonts w:ascii="Arial" w:hAnsi="Arial" w:cs="Arial"/>
          <w:sz w:val="22"/>
          <w:szCs w:val="22"/>
        </w:rPr>
      </w:pPr>
      <w:r w:rsidRPr="00C30D4A">
        <w:rPr>
          <w:rStyle w:val="s1"/>
          <w:rFonts w:ascii="Arial" w:hAnsi="Arial" w:cs="Arial"/>
          <w:sz w:val="22"/>
          <w:szCs w:val="22"/>
        </w:rPr>
        <w:t>Older adults living in dementia care homes often experience psychological and behavioural challenges such as anxiety, depression, agitation, confusion, and withdrawal. These challenges are often linked to cognitive decline, loss of independence, changes in identity, and difficulties in communication. Health and social care professionals therefore need to use psychological theory to inform their practice. This report focuses on two theories— Erikson's Psychosocial Theory and the Health Belief Model (HBM)-and critically evaluates how they can be applied in dementia care settings. Practical examples, challenges, and strategies for implementation are discussed in line with professional practice needs.</w:t>
      </w:r>
    </w:p>
    <w:p w14:paraId="4025DDB9" w14:textId="77777777" w:rsidR="005E470E" w:rsidRPr="00C30D4A" w:rsidRDefault="005E470E">
      <w:pPr>
        <w:pStyle w:val="p1"/>
        <w:rPr>
          <w:rStyle w:val="s1"/>
          <w:rFonts w:ascii="Arial" w:hAnsi="Arial" w:cs="Arial"/>
          <w:sz w:val="22"/>
          <w:szCs w:val="22"/>
        </w:rPr>
      </w:pPr>
    </w:p>
    <w:p w14:paraId="260F51B3" w14:textId="77777777" w:rsidR="007C5078" w:rsidRPr="00C30D4A" w:rsidRDefault="007C5078">
      <w:pPr>
        <w:pStyle w:val="p1"/>
        <w:rPr>
          <w:rStyle w:val="s1"/>
          <w:rFonts w:ascii="Arial" w:hAnsi="Arial" w:cs="Arial"/>
          <w:sz w:val="22"/>
          <w:szCs w:val="22"/>
        </w:rPr>
      </w:pPr>
    </w:p>
    <w:p w14:paraId="60519ADD" w14:textId="2CA2B40E" w:rsidR="003A30F0" w:rsidRPr="00C30D4A" w:rsidRDefault="003A30F0">
      <w:pPr>
        <w:pStyle w:val="p1"/>
        <w:rPr>
          <w:rStyle w:val="s1"/>
          <w:rFonts w:ascii="Arial" w:hAnsi="Arial" w:cs="Arial"/>
          <w:sz w:val="22"/>
          <w:szCs w:val="22"/>
        </w:rPr>
      </w:pPr>
      <w:r w:rsidRPr="00C30D4A">
        <w:rPr>
          <w:rStyle w:val="s1"/>
          <w:rFonts w:ascii="Arial" w:hAnsi="Arial" w:cs="Arial"/>
          <w:sz w:val="22"/>
          <w:szCs w:val="22"/>
        </w:rPr>
        <w:t>The Psychosocial Theory of Erikson (Integrity vs. Despair)</w:t>
      </w:r>
    </w:p>
    <w:p w14:paraId="08AEF5A8" w14:textId="77777777" w:rsidR="002D7C4E" w:rsidRPr="00C30D4A" w:rsidRDefault="002D7C4E">
      <w:pPr>
        <w:pStyle w:val="p1"/>
        <w:rPr>
          <w:rFonts w:ascii="Arial" w:hAnsi="Arial" w:cs="Arial"/>
          <w:sz w:val="22"/>
          <w:szCs w:val="22"/>
        </w:rPr>
      </w:pPr>
    </w:p>
    <w:p w14:paraId="6DB3B6F8" w14:textId="77777777" w:rsidR="002D7C4E" w:rsidRPr="00C30D4A" w:rsidRDefault="003A30F0">
      <w:pPr>
        <w:pStyle w:val="p1"/>
        <w:rPr>
          <w:rStyle w:val="s1"/>
          <w:rFonts w:ascii="Arial" w:hAnsi="Arial" w:cs="Arial"/>
          <w:sz w:val="22"/>
          <w:szCs w:val="22"/>
        </w:rPr>
      </w:pPr>
      <w:r w:rsidRPr="00C30D4A">
        <w:rPr>
          <w:rStyle w:val="s1"/>
          <w:rFonts w:ascii="Arial" w:hAnsi="Arial" w:cs="Arial"/>
          <w:sz w:val="22"/>
          <w:szCs w:val="22"/>
        </w:rPr>
        <w:t>According to Erikson (1982), late adulthood is a time when people</w:t>
      </w:r>
    </w:p>
    <w:p w14:paraId="35AF0733" w14:textId="1B00185F" w:rsidR="003A30F0" w:rsidRPr="00C30D4A" w:rsidRDefault="003A30F0">
      <w:pPr>
        <w:pStyle w:val="p1"/>
        <w:rPr>
          <w:rStyle w:val="s1"/>
          <w:rFonts w:ascii="Arial" w:hAnsi="Arial" w:cs="Arial"/>
          <w:sz w:val="22"/>
          <w:szCs w:val="22"/>
        </w:rPr>
      </w:pPr>
      <w:r w:rsidRPr="00C30D4A">
        <w:rPr>
          <w:rStyle w:val="s1"/>
          <w:rFonts w:ascii="Arial" w:hAnsi="Arial" w:cs="Arial"/>
          <w:sz w:val="22"/>
          <w:szCs w:val="22"/>
        </w:rPr>
        <w:t xml:space="preserve"> evaluate their lives and look for integrity and significance. They achieve integrity if they are content with their lives; otherwise, they could feel forlorn, regretful, or depressed. Traditional reflection may be challenging for older persons with dementia, but emotional memory is frequently untouched. </w:t>
      </w:r>
      <w:r w:rsidRPr="00C30D4A">
        <w:rPr>
          <w:rStyle w:val="apple-converted-space"/>
          <w:rFonts w:ascii="Arial" w:hAnsi="Arial" w:cs="Arial"/>
          <w:sz w:val="22"/>
          <w:szCs w:val="22"/>
        </w:rPr>
        <w:t xml:space="preserve">  </w:t>
      </w:r>
      <w:r w:rsidRPr="00C30D4A">
        <w:rPr>
          <w:rStyle w:val="s1"/>
          <w:rFonts w:ascii="Arial" w:hAnsi="Arial" w:cs="Arial"/>
          <w:sz w:val="22"/>
          <w:szCs w:val="22"/>
        </w:rPr>
        <w:t>Because of this, identity-based, dignity-focused treatment is essential to wellbeing.</w:t>
      </w:r>
    </w:p>
    <w:p w14:paraId="785594F6" w14:textId="77777777" w:rsidR="007C5078" w:rsidRPr="00C30D4A" w:rsidRDefault="007C5078">
      <w:pPr>
        <w:pStyle w:val="p1"/>
        <w:rPr>
          <w:rFonts w:ascii="Arial" w:hAnsi="Arial" w:cs="Arial"/>
          <w:sz w:val="22"/>
          <w:szCs w:val="22"/>
        </w:rPr>
      </w:pPr>
    </w:p>
    <w:p w14:paraId="50BD499F" w14:textId="5063B9FE" w:rsidR="00EB69E9" w:rsidRPr="00EB69E9" w:rsidRDefault="00EB69E9" w:rsidP="00EB69E9">
      <w:pPr>
        <w:spacing w:before="100" w:beforeAutospacing="1" w:after="100" w:afterAutospacing="1" w:line="240" w:lineRule="auto"/>
        <w:rPr>
          <w:rFonts w:ascii="Arial" w:hAnsi="Arial" w:cs="Arial"/>
          <w:kern w:val="0"/>
          <w:sz w:val="22"/>
          <w:szCs w:val="22"/>
          <w14:ligatures w14:val="none"/>
        </w:rPr>
      </w:pPr>
      <w:r w:rsidRPr="00EB69E9">
        <w:rPr>
          <w:rFonts w:ascii="Arial" w:hAnsi="Arial" w:cs="Arial"/>
          <w:kern w:val="0"/>
          <w:sz w:val="22"/>
          <w:szCs w:val="22"/>
          <w14:ligatures w14:val="none"/>
        </w:rPr>
        <w:t>While Erikson’s stage of Integrity vs. Despair is often summarised as a personal life review, it also involves a deeper emotional process linked to identity, meaning, and acceptance. For older adults with dementia, cognitive decline can make formal life review difficult, but the emotional components of the stage remain influential. This means that even without clear autobiographical memory, individuals may still experience feelings of pride, regret, fear, or satisfaction. Research suggests that emotional memory often persists much longer than factual memory, meaning that a person may respond positively to familiar voices, music, or routines even if they cannot articulate why. This emotional responsiveness makes Erikson’s theory especially relevant for dementia care, as it highlights the importance of dignity, validation, and maintaining a sense of identity despite memory loss.</w:t>
      </w:r>
    </w:p>
    <w:p w14:paraId="08BE493C" w14:textId="77777777" w:rsidR="00EB69E9" w:rsidRPr="00EB69E9" w:rsidRDefault="00EB69E9" w:rsidP="00EB69E9">
      <w:pPr>
        <w:spacing w:before="100" w:beforeAutospacing="1" w:after="100" w:afterAutospacing="1" w:line="240" w:lineRule="auto"/>
        <w:rPr>
          <w:rFonts w:ascii="Arial" w:hAnsi="Arial" w:cs="Arial"/>
          <w:kern w:val="0"/>
          <w:sz w:val="22"/>
          <w:szCs w:val="22"/>
          <w14:ligatures w14:val="none"/>
        </w:rPr>
      </w:pPr>
      <w:r w:rsidRPr="00EB69E9">
        <w:rPr>
          <w:rFonts w:ascii="Arial" w:hAnsi="Arial" w:cs="Arial"/>
          <w:kern w:val="0"/>
          <w:sz w:val="22"/>
          <w:szCs w:val="22"/>
          <w14:ligatures w14:val="none"/>
        </w:rPr>
        <w:t>Furthermore, Erikson emphasised the role of social relationships in supporting integrity. For people in dementia care homes, social interactions with staff, visitors, and other residents shape daily experiences. Positive relationships can reinforce a sense of worth, whereas rushed or task-focused care risks increasing despair. Because of this, understanding Erikson’s theory encourages staff to adopt communication styles that preserve autonomy—for example, offering choices, using the person’s preferred name, or involving them in familiar routines. These small adjustments can significantly affect mood and behaviour.</w:t>
      </w:r>
    </w:p>
    <w:p w14:paraId="1A22CD33" w14:textId="77777777" w:rsidR="00D350A7" w:rsidRPr="00C30D4A" w:rsidRDefault="00D350A7">
      <w:pPr>
        <w:rPr>
          <w:rFonts w:ascii="Arial" w:hAnsi="Arial" w:cs="Arial"/>
          <w:sz w:val="22"/>
          <w:szCs w:val="22"/>
        </w:rPr>
      </w:pPr>
    </w:p>
    <w:p w14:paraId="3250D7BE" w14:textId="77777777" w:rsidR="005E470E" w:rsidRDefault="005E470E">
      <w:pPr>
        <w:rPr>
          <w:rFonts w:ascii="Arial" w:hAnsi="Arial" w:cs="Arial"/>
          <w:sz w:val="22"/>
          <w:szCs w:val="22"/>
        </w:rPr>
      </w:pPr>
    </w:p>
    <w:p w14:paraId="56409774" w14:textId="77777777" w:rsidR="00C30D4A" w:rsidRPr="00C30D4A" w:rsidRDefault="00C30D4A">
      <w:pPr>
        <w:rPr>
          <w:rFonts w:ascii="Arial" w:hAnsi="Arial" w:cs="Arial"/>
          <w:sz w:val="22"/>
          <w:szCs w:val="22"/>
        </w:rPr>
      </w:pPr>
    </w:p>
    <w:p w14:paraId="40E3950D" w14:textId="7176EF98" w:rsidR="002D7C4E" w:rsidRPr="00C30D4A" w:rsidRDefault="002D7C4E" w:rsidP="002D7C4E">
      <w:pPr>
        <w:rPr>
          <w:rFonts w:ascii="Arial" w:hAnsi="Arial" w:cs="Arial"/>
          <w:sz w:val="22"/>
          <w:szCs w:val="22"/>
        </w:rPr>
      </w:pPr>
      <w:r w:rsidRPr="00C30D4A">
        <w:rPr>
          <w:rFonts w:ascii="Arial" w:hAnsi="Arial" w:cs="Arial"/>
          <w:sz w:val="22"/>
          <w:szCs w:val="22"/>
        </w:rPr>
        <w:lastRenderedPageBreak/>
        <w:t>Model of Health Belief (HBM)</w:t>
      </w:r>
    </w:p>
    <w:p w14:paraId="22B4D0E9" w14:textId="56ED2014" w:rsidR="00647FCE" w:rsidRPr="00C30D4A" w:rsidRDefault="002D7C4E" w:rsidP="00C30D4A">
      <w:pPr>
        <w:rPr>
          <w:rFonts w:ascii="Arial" w:hAnsi="Arial" w:cs="Arial"/>
          <w:sz w:val="22"/>
          <w:szCs w:val="22"/>
        </w:rPr>
      </w:pPr>
      <w:r w:rsidRPr="00C30D4A">
        <w:rPr>
          <w:rFonts w:ascii="Arial" w:hAnsi="Arial" w:cs="Arial"/>
          <w:sz w:val="22"/>
          <w:szCs w:val="22"/>
        </w:rPr>
        <w:t>Rosenstock's (1974) Health Belief Model provides an explanation for why people engage in health-related actions or do not. Aspects of the model, such as cues to action, perceived barriers, and self-efficacy, are useful to organise routines and involve residents in supportive activities, even when dementia affects insight and decision-making. Employees can modify the model to focus on emotional reassurance and environmental cues rather than cognitive reasoning</w:t>
      </w:r>
      <w:r w:rsidR="00FF07A5" w:rsidRPr="00C30D4A">
        <w:rPr>
          <w:rFonts w:ascii="Arial" w:hAnsi="Arial" w:cs="Arial"/>
          <w:sz w:val="22"/>
          <w:szCs w:val="22"/>
        </w:rPr>
        <w:t>.</w:t>
      </w:r>
      <w:r w:rsidR="00647FCE" w:rsidRPr="00C30D4A">
        <w:rPr>
          <w:rStyle w:val="s1"/>
          <w:rFonts w:ascii="Arial" w:hAnsi="Arial" w:cs="Arial"/>
          <w:sz w:val="22"/>
          <w:szCs w:val="22"/>
        </w:rPr>
        <w:t>Using Erikson's Psychosocial Theory in the Management of DementiaSince identity, purpose, and emotional security are essential elements of wellbeing, Erikson's theory is highly applicable to older persons with dementia. Emotional reactions continue to have significance even when memory deteriorates.</w:t>
      </w:r>
    </w:p>
    <w:p w14:paraId="0DBF4307" w14:textId="77777777" w:rsidR="00647FCE" w:rsidRPr="00C30D4A" w:rsidRDefault="00647FCE">
      <w:pPr>
        <w:pStyle w:val="p1"/>
        <w:rPr>
          <w:rFonts w:ascii="Arial" w:hAnsi="Arial" w:cs="Arial"/>
          <w:sz w:val="22"/>
          <w:szCs w:val="22"/>
        </w:rPr>
      </w:pPr>
      <w:r w:rsidRPr="00C30D4A">
        <w:rPr>
          <w:rStyle w:val="s1"/>
          <w:rFonts w:ascii="Arial" w:hAnsi="Arial" w:cs="Arial"/>
          <w:sz w:val="22"/>
          <w:szCs w:val="22"/>
        </w:rPr>
        <w:t>Real-World Dementia Care Examples:</w:t>
      </w:r>
    </w:p>
    <w:p w14:paraId="7D7B28D9" w14:textId="77777777" w:rsidR="00647FCE" w:rsidRDefault="00647FCE">
      <w:pPr>
        <w:pStyle w:val="p1"/>
        <w:rPr>
          <w:rStyle w:val="s1"/>
          <w:rFonts w:ascii="Arial" w:hAnsi="Arial" w:cs="Arial"/>
          <w:sz w:val="22"/>
          <w:szCs w:val="22"/>
        </w:rPr>
      </w:pPr>
      <w:r w:rsidRPr="00C30D4A">
        <w:rPr>
          <w:rStyle w:val="s1"/>
          <w:rFonts w:ascii="Arial" w:hAnsi="Arial" w:cs="Arial"/>
          <w:sz w:val="22"/>
          <w:szCs w:val="22"/>
        </w:rPr>
        <w:t>Therapy of Reminiscence: This method has been effective in helping older persons re-establish connections with significant memories by using music, images, and sensory items from previous decades. For these patients, this typically lessens agitation and improves emotional stability (Woods et al., 2018).</w:t>
      </w:r>
    </w:p>
    <w:p w14:paraId="49B29A39" w14:textId="77777777" w:rsidR="00255DA0" w:rsidRPr="00C30D4A" w:rsidRDefault="00255DA0">
      <w:pPr>
        <w:pStyle w:val="p1"/>
        <w:rPr>
          <w:rFonts w:ascii="Arial" w:hAnsi="Arial" w:cs="Arial"/>
          <w:sz w:val="22"/>
          <w:szCs w:val="22"/>
        </w:rPr>
      </w:pPr>
    </w:p>
    <w:p w14:paraId="78DB0DB5" w14:textId="77777777" w:rsidR="00647FCE" w:rsidRPr="00C30D4A" w:rsidRDefault="00647FCE">
      <w:pPr>
        <w:pStyle w:val="p1"/>
        <w:rPr>
          <w:rFonts w:ascii="Arial" w:hAnsi="Arial" w:cs="Arial"/>
          <w:sz w:val="22"/>
          <w:szCs w:val="22"/>
        </w:rPr>
      </w:pPr>
      <w:r w:rsidRPr="00C30D4A">
        <w:rPr>
          <w:rStyle w:val="s1"/>
          <w:rFonts w:ascii="Arial" w:hAnsi="Arial" w:cs="Arial"/>
          <w:sz w:val="22"/>
          <w:szCs w:val="22"/>
        </w:rPr>
        <w:t>• Life Story Work: By creating personalised life storybooks, staff members can learn more about the history of residents, which promotes dignity and reduces discomfort when providing care. • Validation Therapy: Staff members acknowledge emotions like fear or sadness rather than correcting a misguided remark.</w:t>
      </w:r>
      <w:r w:rsidRPr="00C30D4A">
        <w:rPr>
          <w:rStyle w:val="apple-converted-space"/>
          <w:rFonts w:ascii="Arial" w:hAnsi="Arial" w:cs="Arial"/>
          <w:sz w:val="22"/>
          <w:szCs w:val="22"/>
        </w:rPr>
        <w:t> </w:t>
      </w:r>
    </w:p>
    <w:p w14:paraId="1F9CFDEE" w14:textId="7B7359D6" w:rsidR="00C93E15" w:rsidRPr="00C93E15" w:rsidRDefault="00C93E15" w:rsidP="007C5078">
      <w:pPr>
        <w:spacing w:before="100" w:beforeAutospacing="1" w:after="100" w:afterAutospacing="1" w:line="240" w:lineRule="auto"/>
        <w:outlineLvl w:val="2"/>
        <w:rPr>
          <w:rFonts w:ascii="Arial" w:eastAsia="Times New Roman" w:hAnsi="Arial" w:cs="Arial"/>
          <w:b/>
          <w:bCs/>
          <w:kern w:val="0"/>
          <w:sz w:val="22"/>
          <w:szCs w:val="22"/>
          <w14:ligatures w14:val="none"/>
        </w:rPr>
      </w:pPr>
      <w:r w:rsidRPr="00C93E15">
        <w:rPr>
          <w:rFonts w:ascii="Arial" w:eastAsia="Times New Roman" w:hAnsi="Arial" w:cs="Arial"/>
          <w:b/>
          <w:bCs/>
          <w:kern w:val="0"/>
          <w:sz w:val="22"/>
          <w:szCs w:val="22"/>
          <w14:ligatures w14:val="none"/>
        </w:rPr>
        <w:t>Additional Critical Evaluation of Erikson’s Theory in Dementia Care</w:t>
      </w:r>
    </w:p>
    <w:p w14:paraId="2953AC0E" w14:textId="36EC9C5D" w:rsidR="00C93E15" w:rsidRPr="00C93E15" w:rsidRDefault="00C93E15" w:rsidP="00C93E15">
      <w:pPr>
        <w:spacing w:before="100" w:beforeAutospacing="1" w:after="100" w:afterAutospacing="1" w:line="240" w:lineRule="auto"/>
        <w:rPr>
          <w:rFonts w:ascii="Arial" w:hAnsi="Arial" w:cs="Arial"/>
          <w:kern w:val="0"/>
          <w:sz w:val="22"/>
          <w:szCs w:val="22"/>
          <w14:ligatures w14:val="none"/>
        </w:rPr>
      </w:pPr>
      <w:r w:rsidRPr="00C93E15">
        <w:rPr>
          <w:rFonts w:ascii="Arial" w:hAnsi="Arial" w:cs="Arial"/>
          <w:kern w:val="0"/>
          <w:sz w:val="22"/>
          <w:szCs w:val="22"/>
          <w14:ligatures w14:val="none"/>
        </w:rPr>
        <w:t>A further challenge when applying Erikson’s theory is its assumption that individuals progress through psychosocial stages in a linear way. Many older adults with dementia may move between states of emotional stability and distress depending on the day, level of confusion, or familiarity of their surroundings. This raises questions about how accurately a rigid stage model can represent the lived experiences of people with dementia. However, even if the theory does not perfectly match clinical realities, it still offers a valuable lens for understanding the emotional needs of older adults. Its focus on meaning, identity, and acceptance aligns closely with person-centred care models widely used in dementia services.</w:t>
      </w:r>
    </w:p>
    <w:p w14:paraId="70EDF841" w14:textId="156189DF" w:rsidR="00EB1D20" w:rsidRPr="00C30D4A" w:rsidRDefault="00C93E15" w:rsidP="007C5078">
      <w:pPr>
        <w:spacing w:before="100" w:beforeAutospacing="1" w:after="100" w:afterAutospacing="1" w:line="240" w:lineRule="auto"/>
        <w:rPr>
          <w:rFonts w:ascii="Arial" w:hAnsi="Arial" w:cs="Arial"/>
          <w:kern w:val="0"/>
          <w:sz w:val="22"/>
          <w:szCs w:val="22"/>
          <w14:ligatures w14:val="none"/>
        </w:rPr>
      </w:pPr>
      <w:r w:rsidRPr="00C93E15">
        <w:rPr>
          <w:rFonts w:ascii="Arial" w:hAnsi="Arial" w:cs="Arial"/>
          <w:kern w:val="0"/>
          <w:sz w:val="22"/>
          <w:szCs w:val="22"/>
          <w14:ligatures w14:val="none"/>
        </w:rPr>
        <w:t>Another limitation is that Erikson’s theory is culturally dependent, based on Western ideas of self-reflection and life achievement. Some residents may come from cultural backgrounds where discussing personal history, emotions, or regrets is not usual. Staff therefore need cultural awareness when using reminiscence or life-story approaches. Training in culturally sensitive communication can help ensure that identity-focused work remains respectful and effective.</w:t>
      </w:r>
    </w:p>
    <w:p w14:paraId="1F11D526" w14:textId="77777777" w:rsidR="00F17221" w:rsidRPr="00C30D4A" w:rsidRDefault="00F17221">
      <w:pPr>
        <w:pStyle w:val="p1"/>
        <w:rPr>
          <w:rFonts w:ascii="Arial" w:hAnsi="Arial" w:cs="Arial"/>
          <w:sz w:val="22"/>
          <w:szCs w:val="22"/>
        </w:rPr>
      </w:pPr>
      <w:r w:rsidRPr="00C30D4A">
        <w:rPr>
          <w:rStyle w:val="s1"/>
          <w:rFonts w:ascii="Arial" w:hAnsi="Arial" w:cs="Arial"/>
          <w:sz w:val="22"/>
          <w:szCs w:val="22"/>
        </w:rPr>
        <w:t>Critical Evaluation: Erikson's theory advances holistic care by respecting the emotional and existential needs of older adults. However, it assumes cognitive capacity for reflection, which may not be achievable for individuals with moderate or severe dementia.</w:t>
      </w:r>
    </w:p>
    <w:p w14:paraId="0A2AC469" w14:textId="77777777" w:rsidR="00F17221" w:rsidRPr="00C30D4A" w:rsidRDefault="00F17221">
      <w:pPr>
        <w:pStyle w:val="p1"/>
        <w:rPr>
          <w:rFonts w:ascii="Arial" w:hAnsi="Arial" w:cs="Arial"/>
          <w:sz w:val="22"/>
          <w:szCs w:val="22"/>
        </w:rPr>
      </w:pPr>
      <w:r w:rsidRPr="00C30D4A">
        <w:rPr>
          <w:rStyle w:val="s1"/>
          <w:rFonts w:ascii="Arial" w:hAnsi="Arial" w:cs="Arial"/>
          <w:sz w:val="22"/>
          <w:szCs w:val="22"/>
        </w:rPr>
        <w:t>Therefore, professionals need to modify the program so that it emphasises emotional recollection rather than logical contemplation.</w:t>
      </w:r>
    </w:p>
    <w:p w14:paraId="5715EBA4" w14:textId="77777777" w:rsidR="001D48FD" w:rsidRPr="00C30D4A" w:rsidRDefault="00F17221">
      <w:pPr>
        <w:pStyle w:val="p1"/>
        <w:rPr>
          <w:rStyle w:val="s1"/>
          <w:rFonts w:ascii="Arial" w:hAnsi="Arial" w:cs="Arial"/>
          <w:sz w:val="22"/>
          <w:szCs w:val="22"/>
        </w:rPr>
      </w:pPr>
      <w:r w:rsidRPr="00C30D4A">
        <w:rPr>
          <w:rStyle w:val="s1"/>
          <w:rFonts w:ascii="Arial" w:hAnsi="Arial" w:cs="Arial"/>
          <w:sz w:val="22"/>
          <w:szCs w:val="22"/>
        </w:rPr>
        <w:t xml:space="preserve">Challenges include: </w:t>
      </w:r>
    </w:p>
    <w:p w14:paraId="3041AE90" w14:textId="77777777" w:rsidR="005C4BD7" w:rsidRPr="00C30D4A" w:rsidRDefault="00F17221">
      <w:pPr>
        <w:pStyle w:val="p1"/>
        <w:rPr>
          <w:rStyle w:val="s1"/>
          <w:rFonts w:ascii="Arial" w:hAnsi="Arial" w:cs="Arial"/>
          <w:sz w:val="22"/>
          <w:szCs w:val="22"/>
        </w:rPr>
      </w:pPr>
      <w:r w:rsidRPr="00C30D4A">
        <w:rPr>
          <w:rStyle w:val="s1"/>
          <w:rFonts w:ascii="Arial" w:hAnsi="Arial" w:cs="Arial"/>
          <w:sz w:val="22"/>
          <w:szCs w:val="22"/>
        </w:rPr>
        <w:t>• Inadequate staff training in person-centred approaches or remembrance techniques;</w:t>
      </w:r>
    </w:p>
    <w:p w14:paraId="6A5CE8AC" w14:textId="77777777" w:rsidR="001A0BCB" w:rsidRPr="00C30D4A" w:rsidRDefault="001A0BCB">
      <w:pPr>
        <w:pStyle w:val="p1"/>
        <w:rPr>
          <w:rStyle w:val="s1"/>
          <w:rFonts w:ascii="Arial" w:hAnsi="Arial" w:cs="Arial"/>
          <w:sz w:val="22"/>
          <w:szCs w:val="22"/>
        </w:rPr>
      </w:pPr>
    </w:p>
    <w:p w14:paraId="44DF2A20" w14:textId="77777777" w:rsidR="005C4BD7" w:rsidRPr="00C30D4A" w:rsidRDefault="00F17221">
      <w:pPr>
        <w:pStyle w:val="p1"/>
        <w:rPr>
          <w:rStyle w:val="s1"/>
          <w:rFonts w:ascii="Arial" w:hAnsi="Arial" w:cs="Arial"/>
          <w:sz w:val="22"/>
          <w:szCs w:val="22"/>
        </w:rPr>
      </w:pPr>
      <w:r w:rsidRPr="00C30D4A">
        <w:rPr>
          <w:rStyle w:val="s1"/>
          <w:rFonts w:ascii="Arial" w:hAnsi="Arial" w:cs="Arial"/>
          <w:sz w:val="22"/>
          <w:szCs w:val="22"/>
        </w:rPr>
        <w:t xml:space="preserve"> • A high workload can limit the amount of time available for individualised emotional support; and</w:t>
      </w:r>
    </w:p>
    <w:p w14:paraId="695A4472" w14:textId="77777777" w:rsidR="001A0BCB" w:rsidRPr="00C30D4A" w:rsidRDefault="001A0BCB">
      <w:pPr>
        <w:pStyle w:val="p1"/>
        <w:rPr>
          <w:rStyle w:val="s1"/>
          <w:rFonts w:ascii="Arial" w:hAnsi="Arial" w:cs="Arial"/>
          <w:sz w:val="22"/>
          <w:szCs w:val="22"/>
        </w:rPr>
      </w:pPr>
    </w:p>
    <w:p w14:paraId="25BDAD10" w14:textId="62D29D08" w:rsidR="00F17221" w:rsidRPr="00C30D4A" w:rsidRDefault="00F17221">
      <w:pPr>
        <w:pStyle w:val="p1"/>
        <w:rPr>
          <w:rStyle w:val="s1"/>
          <w:rFonts w:ascii="Arial" w:hAnsi="Arial" w:cs="Arial"/>
          <w:sz w:val="22"/>
          <w:szCs w:val="22"/>
        </w:rPr>
      </w:pPr>
      <w:r w:rsidRPr="00C30D4A">
        <w:rPr>
          <w:rStyle w:val="s1"/>
          <w:rFonts w:ascii="Arial" w:hAnsi="Arial" w:cs="Arial"/>
          <w:sz w:val="22"/>
          <w:szCs w:val="22"/>
        </w:rPr>
        <w:lastRenderedPageBreak/>
        <w:t xml:space="preserve"> • Residents with advanced stage dementia may have a greatly diminished ability to participate vocally.</w:t>
      </w:r>
    </w:p>
    <w:p w14:paraId="03F027D3" w14:textId="77777777" w:rsidR="001A0BCB" w:rsidRPr="00C30D4A" w:rsidRDefault="001A0BCB">
      <w:pPr>
        <w:pStyle w:val="p1"/>
        <w:rPr>
          <w:rFonts w:ascii="Arial" w:hAnsi="Arial" w:cs="Arial"/>
          <w:sz w:val="22"/>
          <w:szCs w:val="22"/>
        </w:rPr>
      </w:pPr>
    </w:p>
    <w:p w14:paraId="3B5C251A" w14:textId="77777777" w:rsidR="005C4BD7" w:rsidRPr="00C30D4A" w:rsidRDefault="00F17221">
      <w:pPr>
        <w:pStyle w:val="p1"/>
        <w:rPr>
          <w:rStyle w:val="s1"/>
          <w:rFonts w:ascii="Arial" w:hAnsi="Arial" w:cs="Arial"/>
          <w:sz w:val="22"/>
          <w:szCs w:val="22"/>
        </w:rPr>
      </w:pPr>
      <w:r w:rsidRPr="00C30D4A">
        <w:rPr>
          <w:rStyle w:val="s1"/>
          <w:rFonts w:ascii="Arial" w:hAnsi="Arial" w:cs="Arial"/>
          <w:sz w:val="22"/>
          <w:szCs w:val="22"/>
        </w:rPr>
        <w:t xml:space="preserve">Techniques for Overcoming Challenges: </w:t>
      </w:r>
    </w:p>
    <w:p w14:paraId="0C4985CF" w14:textId="77777777" w:rsidR="001A0BCB" w:rsidRPr="00C30D4A" w:rsidRDefault="001A0BCB">
      <w:pPr>
        <w:pStyle w:val="p1"/>
        <w:rPr>
          <w:rStyle w:val="s1"/>
          <w:rFonts w:ascii="Arial" w:hAnsi="Arial" w:cs="Arial"/>
          <w:sz w:val="22"/>
          <w:szCs w:val="22"/>
        </w:rPr>
      </w:pPr>
    </w:p>
    <w:p w14:paraId="78A50C23" w14:textId="405FEEE2" w:rsidR="00F17221" w:rsidRPr="00C30D4A" w:rsidRDefault="00F17221">
      <w:pPr>
        <w:pStyle w:val="p1"/>
        <w:rPr>
          <w:rStyle w:val="s1"/>
          <w:rFonts w:ascii="Arial" w:hAnsi="Arial" w:cs="Arial"/>
          <w:sz w:val="22"/>
          <w:szCs w:val="22"/>
        </w:rPr>
      </w:pPr>
      <w:r w:rsidRPr="00C30D4A">
        <w:rPr>
          <w:rStyle w:val="s1"/>
          <w:rFonts w:ascii="Arial" w:hAnsi="Arial" w:cs="Arial"/>
          <w:sz w:val="22"/>
          <w:szCs w:val="22"/>
        </w:rPr>
        <w:t>• Conduct regular, brief recall exercises as opposed to extended sessions.</w:t>
      </w:r>
    </w:p>
    <w:p w14:paraId="20F50FFE" w14:textId="77777777" w:rsidR="001A0BCB" w:rsidRPr="00C30D4A" w:rsidRDefault="001A0BCB">
      <w:pPr>
        <w:pStyle w:val="p1"/>
        <w:rPr>
          <w:rFonts w:ascii="Arial" w:hAnsi="Arial" w:cs="Arial"/>
          <w:sz w:val="22"/>
          <w:szCs w:val="22"/>
        </w:rPr>
      </w:pPr>
    </w:p>
    <w:p w14:paraId="6ECF85EF" w14:textId="77777777" w:rsidR="00F17221" w:rsidRPr="00C30D4A" w:rsidRDefault="00F17221">
      <w:pPr>
        <w:pStyle w:val="p1"/>
        <w:rPr>
          <w:rFonts w:ascii="Arial" w:hAnsi="Arial" w:cs="Arial"/>
          <w:sz w:val="22"/>
          <w:szCs w:val="22"/>
        </w:rPr>
      </w:pPr>
      <w:r w:rsidRPr="00C30D4A">
        <w:rPr>
          <w:rStyle w:val="s1"/>
          <w:rFonts w:ascii="Arial" w:hAnsi="Arial" w:cs="Arial"/>
          <w:sz w:val="22"/>
          <w:szCs w:val="22"/>
        </w:rPr>
        <w:t>• Provide nonverbal and communication training to employees.</w:t>
      </w:r>
      <w:r w:rsidRPr="00C30D4A">
        <w:rPr>
          <w:rStyle w:val="apple-converted-space"/>
          <w:rFonts w:ascii="Arial" w:hAnsi="Arial" w:cs="Arial"/>
          <w:sz w:val="22"/>
          <w:szCs w:val="22"/>
        </w:rPr>
        <w:t> </w:t>
      </w:r>
    </w:p>
    <w:p w14:paraId="2CAE72B1" w14:textId="77777777" w:rsidR="00FF07A5" w:rsidRPr="00C30D4A" w:rsidRDefault="00FF07A5">
      <w:pPr>
        <w:pStyle w:val="p1"/>
        <w:rPr>
          <w:rStyle w:val="s1"/>
          <w:rFonts w:ascii="Arial" w:hAnsi="Arial" w:cs="Arial"/>
          <w:sz w:val="22"/>
          <w:szCs w:val="22"/>
        </w:rPr>
      </w:pPr>
    </w:p>
    <w:p w14:paraId="3C012CED" w14:textId="77777777" w:rsidR="00FF07A5" w:rsidRPr="00C30D4A" w:rsidRDefault="00FF07A5">
      <w:pPr>
        <w:pStyle w:val="p1"/>
        <w:rPr>
          <w:rStyle w:val="s1"/>
          <w:rFonts w:ascii="Arial" w:hAnsi="Arial" w:cs="Arial"/>
          <w:sz w:val="22"/>
          <w:szCs w:val="22"/>
        </w:rPr>
      </w:pPr>
    </w:p>
    <w:p w14:paraId="156B7117" w14:textId="3B72BE74" w:rsidR="0035166F" w:rsidRPr="00C30D4A" w:rsidRDefault="00024B53">
      <w:pPr>
        <w:pStyle w:val="p1"/>
        <w:rPr>
          <w:rStyle w:val="s1"/>
          <w:rFonts w:ascii="Arial" w:hAnsi="Arial" w:cs="Arial"/>
          <w:sz w:val="22"/>
          <w:szCs w:val="22"/>
        </w:rPr>
      </w:pPr>
      <w:r w:rsidRPr="00C30D4A">
        <w:rPr>
          <w:rStyle w:val="s1"/>
          <w:rFonts w:ascii="Arial" w:hAnsi="Arial" w:cs="Arial"/>
          <w:sz w:val="22"/>
          <w:szCs w:val="22"/>
        </w:rPr>
        <w:t>The HBM needs to be modified for dementia care, emphasising "environmental structure, emotional reassurance, and routine" above insight.</w:t>
      </w:r>
    </w:p>
    <w:p w14:paraId="7872C192" w14:textId="7E7BCA57" w:rsidR="001A0BCB" w:rsidRPr="001A0BCB" w:rsidRDefault="001A0BCB" w:rsidP="001A0BCB">
      <w:pPr>
        <w:spacing w:before="100" w:beforeAutospacing="1" w:after="100" w:afterAutospacing="1" w:line="240" w:lineRule="auto"/>
        <w:outlineLvl w:val="2"/>
        <w:rPr>
          <w:rFonts w:ascii="Arial" w:eastAsia="Times New Roman" w:hAnsi="Arial" w:cs="Arial"/>
          <w:b/>
          <w:bCs/>
          <w:kern w:val="0"/>
          <w:sz w:val="22"/>
          <w:szCs w:val="22"/>
          <w14:ligatures w14:val="none"/>
        </w:rPr>
      </w:pPr>
      <w:r w:rsidRPr="001A0BCB">
        <w:rPr>
          <w:rFonts w:ascii="Arial" w:eastAsia="Times New Roman" w:hAnsi="Arial" w:cs="Arial"/>
          <w:b/>
          <w:bCs/>
          <w:kern w:val="0"/>
          <w:sz w:val="22"/>
          <w:szCs w:val="22"/>
          <w14:ligatures w14:val="none"/>
        </w:rPr>
        <w:t>Expanded Explanation of the Health Belief Model in Older Adults</w:t>
      </w:r>
    </w:p>
    <w:p w14:paraId="6C401365" w14:textId="1C74CC7D" w:rsidR="001A0BCB" w:rsidRPr="001A0BCB" w:rsidRDefault="001A0BCB" w:rsidP="001A0BCB">
      <w:pPr>
        <w:spacing w:before="100" w:beforeAutospacing="1" w:after="100" w:afterAutospacing="1" w:line="240" w:lineRule="auto"/>
        <w:rPr>
          <w:rFonts w:ascii="Arial" w:hAnsi="Arial" w:cs="Arial"/>
          <w:kern w:val="0"/>
          <w:sz w:val="22"/>
          <w:szCs w:val="22"/>
          <w14:ligatures w14:val="none"/>
        </w:rPr>
      </w:pPr>
      <w:r w:rsidRPr="001A0BCB">
        <w:rPr>
          <w:rFonts w:ascii="Arial" w:hAnsi="Arial" w:cs="Arial"/>
          <w:kern w:val="0"/>
          <w:sz w:val="22"/>
          <w:szCs w:val="22"/>
          <w14:ligatures w14:val="none"/>
        </w:rPr>
        <w:t>The HBM proposes that an individual’s behaviour is shaped by their beliefs about health risks, benefits, and barriers. However, older adults with dementia may have reduced insight into their own health needs due to memory loss or cognitive impairment. This means the traditional version of the model must be adapted for dementia care contexts. Instead of relying on the resident’s own beliefs, professionals often use environmental cues, emotional reassurance, and consistent routines to guide behaviour. For example, a resident may forget the purpose of medication or personal care, but gentle prompts, visual reminders, and positive reinforcement can encourage cooperation. In dementia care, the HBM becomes less about decision-making and more about reducing barriers and providing strong external supports.</w:t>
      </w:r>
    </w:p>
    <w:p w14:paraId="7134EE18" w14:textId="77777777" w:rsidR="001A0BCB" w:rsidRPr="001A0BCB" w:rsidRDefault="001A0BCB" w:rsidP="001A0BCB">
      <w:pPr>
        <w:spacing w:before="100" w:beforeAutospacing="1" w:after="100" w:afterAutospacing="1" w:line="240" w:lineRule="auto"/>
        <w:rPr>
          <w:rFonts w:ascii="Arial" w:hAnsi="Arial" w:cs="Arial"/>
          <w:kern w:val="0"/>
          <w:sz w:val="22"/>
          <w:szCs w:val="22"/>
          <w14:ligatures w14:val="none"/>
        </w:rPr>
      </w:pPr>
      <w:r w:rsidRPr="001A0BCB">
        <w:rPr>
          <w:rFonts w:ascii="Arial" w:hAnsi="Arial" w:cs="Arial"/>
          <w:kern w:val="0"/>
          <w:sz w:val="22"/>
          <w:szCs w:val="22"/>
          <w14:ligatures w14:val="none"/>
        </w:rPr>
        <w:t>This adapted approach is particularly helpful for understanding challenges such as resistance to washing, reluctance to engage in activities, or confusion around mealtimes. By identifying barriers—such as fear, sensory overload, or lack of understanding—staff can modify the environment or communication method to reduce distress. For instance, simplifying instructions or demonstrating a task visually may increase the resident’s sense of control and self-efficacy.</w:t>
      </w:r>
    </w:p>
    <w:p w14:paraId="77E67069" w14:textId="77777777" w:rsidR="0035166F" w:rsidRPr="00C30D4A" w:rsidRDefault="0035166F">
      <w:pPr>
        <w:pStyle w:val="p1"/>
        <w:rPr>
          <w:rFonts w:ascii="Arial" w:hAnsi="Arial" w:cs="Arial"/>
          <w:sz w:val="22"/>
          <w:szCs w:val="22"/>
        </w:rPr>
      </w:pPr>
    </w:p>
    <w:p w14:paraId="74797133" w14:textId="77777777" w:rsidR="00024B53" w:rsidRPr="00C30D4A" w:rsidRDefault="00024B53">
      <w:pPr>
        <w:pStyle w:val="p1"/>
        <w:rPr>
          <w:rFonts w:ascii="Arial" w:hAnsi="Arial" w:cs="Arial"/>
          <w:sz w:val="22"/>
          <w:szCs w:val="22"/>
        </w:rPr>
      </w:pPr>
      <w:r w:rsidRPr="00C30D4A">
        <w:rPr>
          <w:rStyle w:val="s1"/>
          <w:rFonts w:ascii="Arial" w:hAnsi="Arial" w:cs="Arial"/>
          <w:sz w:val="22"/>
          <w:szCs w:val="22"/>
        </w:rPr>
        <w:t>Real-World Dementia Care Examples</w:t>
      </w:r>
    </w:p>
    <w:p w14:paraId="71F8B327" w14:textId="77777777" w:rsidR="00024B53" w:rsidRPr="00C30D4A" w:rsidRDefault="00024B53">
      <w:pPr>
        <w:pStyle w:val="p1"/>
        <w:rPr>
          <w:rFonts w:ascii="Arial" w:hAnsi="Arial" w:cs="Arial"/>
          <w:sz w:val="22"/>
          <w:szCs w:val="22"/>
        </w:rPr>
      </w:pPr>
      <w:r w:rsidRPr="00C30D4A">
        <w:rPr>
          <w:rStyle w:val="s1"/>
          <w:rFonts w:ascii="Arial" w:hAnsi="Arial" w:cs="Arial"/>
          <w:sz w:val="22"/>
          <w:szCs w:val="22"/>
        </w:rPr>
        <w:t>• Cues to Action: Residents can be directed to dining rooms or activity areas by visual signs, colour-coded doors, and straightforward reminder cards.</w:t>
      </w:r>
    </w:p>
    <w:p w14:paraId="6CFDC225" w14:textId="77777777" w:rsidR="00024B53" w:rsidRPr="00C30D4A" w:rsidRDefault="00024B53">
      <w:pPr>
        <w:pStyle w:val="p1"/>
        <w:rPr>
          <w:rFonts w:ascii="Arial" w:hAnsi="Arial" w:cs="Arial"/>
          <w:sz w:val="22"/>
          <w:szCs w:val="22"/>
        </w:rPr>
      </w:pPr>
      <w:r w:rsidRPr="00C30D4A">
        <w:rPr>
          <w:rStyle w:val="s1"/>
          <w:rFonts w:ascii="Arial" w:hAnsi="Arial" w:cs="Arial"/>
          <w:sz w:val="22"/>
          <w:szCs w:val="22"/>
        </w:rPr>
        <w:t>• Information Simplification: According to Bandura (1997), breaking down tasks into smaller steps increases self-efficacy and reduces frustration.</w:t>
      </w:r>
    </w:p>
    <w:p w14:paraId="5E0E03B2" w14:textId="6020EB88" w:rsidR="00024B53" w:rsidRPr="00C30D4A" w:rsidRDefault="00024B53">
      <w:pPr>
        <w:pStyle w:val="p1"/>
        <w:rPr>
          <w:rFonts w:ascii="Arial" w:hAnsi="Arial" w:cs="Arial"/>
          <w:sz w:val="22"/>
          <w:szCs w:val="22"/>
        </w:rPr>
      </w:pPr>
    </w:p>
    <w:p w14:paraId="5AB0A00D" w14:textId="77777777" w:rsidR="00024B53" w:rsidRPr="00C30D4A" w:rsidRDefault="00024B53">
      <w:pPr>
        <w:pStyle w:val="p1"/>
        <w:rPr>
          <w:rFonts w:ascii="Arial" w:hAnsi="Arial" w:cs="Arial"/>
          <w:sz w:val="22"/>
          <w:szCs w:val="22"/>
        </w:rPr>
      </w:pPr>
      <w:r w:rsidRPr="00C30D4A">
        <w:rPr>
          <w:rStyle w:val="s1"/>
          <w:rFonts w:ascii="Arial" w:hAnsi="Arial" w:cs="Arial"/>
          <w:sz w:val="22"/>
          <w:szCs w:val="22"/>
        </w:rPr>
        <w:t>• Behavioural Activation: This encourages participation in worthwhile pursuits that lessen sadness and apathy, such as light exercise, crafts, or social organisations.</w:t>
      </w:r>
    </w:p>
    <w:p w14:paraId="44F8EB23" w14:textId="77777777" w:rsidR="00024B53" w:rsidRPr="00C30D4A" w:rsidRDefault="00024B53">
      <w:pPr>
        <w:pStyle w:val="p1"/>
        <w:rPr>
          <w:rFonts w:ascii="Arial" w:hAnsi="Arial" w:cs="Arial"/>
          <w:sz w:val="22"/>
          <w:szCs w:val="22"/>
        </w:rPr>
      </w:pPr>
      <w:r w:rsidRPr="00C30D4A">
        <w:rPr>
          <w:rStyle w:val="s1"/>
          <w:rFonts w:ascii="Arial" w:hAnsi="Arial" w:cs="Arial"/>
          <w:sz w:val="22"/>
          <w:szCs w:val="22"/>
        </w:rPr>
        <w:t>• Lowering Barriers: Clear, open areas and easy access to mobility devices ease anxiety and promote involvement.</w:t>
      </w:r>
    </w:p>
    <w:p w14:paraId="2B88BCF2" w14:textId="7B733FD3" w:rsidR="00F17221" w:rsidRPr="00C30D4A" w:rsidRDefault="00A41691" w:rsidP="00205FCA">
      <w:pPr>
        <w:pStyle w:val="p1"/>
        <w:rPr>
          <w:rStyle w:val="s1"/>
          <w:rFonts w:ascii="Arial" w:hAnsi="Arial" w:cs="Arial"/>
          <w:sz w:val="22"/>
          <w:szCs w:val="22"/>
        </w:rPr>
      </w:pPr>
      <w:r w:rsidRPr="00C30D4A">
        <w:rPr>
          <w:rStyle w:val="s1"/>
          <w:rFonts w:ascii="Arial" w:hAnsi="Arial" w:cs="Arial"/>
          <w:sz w:val="22"/>
          <w:szCs w:val="22"/>
        </w:rPr>
        <w:t>The HBM offers a helpful foundation for comprehending conduct and organising care routines, however people with dementia are much less able to comprehend perceived risks or advantages. Therefore, rather than using cognitive decision-making, professionals must rely on external behavioural supports. The concept works particularly well at lowering agitation, boosting involvement, and fostering a sense</w:t>
      </w:r>
      <w:r w:rsidR="00205FCA" w:rsidRPr="00C30D4A">
        <w:rPr>
          <w:rStyle w:val="s1"/>
          <w:rFonts w:ascii="Arial" w:hAnsi="Arial" w:cs="Arial"/>
          <w:sz w:val="22"/>
          <w:szCs w:val="22"/>
        </w:rPr>
        <w:t>.</w:t>
      </w:r>
    </w:p>
    <w:p w14:paraId="1CD6ABBE" w14:textId="77777777" w:rsidR="00205FCA" w:rsidRPr="00C30D4A" w:rsidRDefault="00205FCA" w:rsidP="00205FCA">
      <w:pPr>
        <w:pStyle w:val="p1"/>
        <w:rPr>
          <w:rFonts w:ascii="Arial" w:hAnsi="Arial" w:cs="Arial"/>
          <w:sz w:val="22"/>
          <w:szCs w:val="22"/>
        </w:rPr>
      </w:pPr>
    </w:p>
    <w:p w14:paraId="121E8200" w14:textId="77777777" w:rsidR="00205FCA" w:rsidRPr="00C30D4A" w:rsidRDefault="00205FCA">
      <w:pPr>
        <w:pStyle w:val="p1"/>
        <w:rPr>
          <w:rFonts w:ascii="Arial" w:hAnsi="Arial" w:cs="Arial"/>
          <w:sz w:val="22"/>
          <w:szCs w:val="22"/>
        </w:rPr>
      </w:pPr>
      <w:r w:rsidRPr="00C30D4A">
        <w:rPr>
          <w:rStyle w:val="s1"/>
          <w:rFonts w:ascii="Arial" w:hAnsi="Arial" w:cs="Arial"/>
          <w:sz w:val="22"/>
          <w:szCs w:val="22"/>
        </w:rPr>
        <w:t>Integrating Both Theories Critically</w:t>
      </w:r>
    </w:p>
    <w:p w14:paraId="376DFDD0" w14:textId="77777777" w:rsidR="00205FCA" w:rsidRPr="00C30D4A" w:rsidRDefault="00205FCA">
      <w:pPr>
        <w:pStyle w:val="p1"/>
        <w:rPr>
          <w:rFonts w:ascii="Arial" w:hAnsi="Arial" w:cs="Arial"/>
          <w:sz w:val="22"/>
          <w:szCs w:val="22"/>
        </w:rPr>
      </w:pPr>
      <w:r w:rsidRPr="00C30D4A">
        <w:rPr>
          <w:rStyle w:val="s1"/>
          <w:rFonts w:ascii="Arial" w:hAnsi="Arial" w:cs="Arial"/>
          <w:sz w:val="22"/>
          <w:szCs w:val="22"/>
        </w:rPr>
        <w:t xml:space="preserve">Erikson's theory promotes identity and emotional health, whereas the HBM encourages routine and behavioural involvement. When combined, they offer a comprehensive approach to dementia care. Professionals are able to reduce behavioural distress (HBM) while </w:t>
      </w:r>
      <w:r w:rsidRPr="00C30D4A">
        <w:rPr>
          <w:rStyle w:val="s1"/>
          <w:rFonts w:ascii="Arial" w:hAnsi="Arial" w:cs="Arial"/>
          <w:sz w:val="22"/>
          <w:szCs w:val="22"/>
        </w:rPr>
        <w:lastRenderedPageBreak/>
        <w:t>simultaneously promoting involvement and upholding dignity and identity (Erikson). Increased cooperation during everyday care routines, decreased anxiety, and enhanced emotional health are the results of this integrated approach.</w:t>
      </w:r>
    </w:p>
    <w:p w14:paraId="34DFD47D" w14:textId="77777777" w:rsidR="00F52C1D" w:rsidRPr="00F52C1D" w:rsidRDefault="00F52C1D" w:rsidP="00F52C1D">
      <w:pPr>
        <w:spacing w:before="100" w:beforeAutospacing="1" w:after="100" w:afterAutospacing="1" w:line="240" w:lineRule="auto"/>
        <w:outlineLvl w:val="2"/>
        <w:rPr>
          <w:rFonts w:ascii="Arial" w:eastAsia="Times New Roman" w:hAnsi="Arial" w:cs="Arial"/>
          <w:b/>
          <w:bCs/>
          <w:kern w:val="0"/>
          <w:sz w:val="22"/>
          <w:szCs w:val="22"/>
          <w14:ligatures w14:val="none"/>
        </w:rPr>
      </w:pPr>
      <w:r w:rsidRPr="00F52C1D">
        <w:rPr>
          <w:rFonts w:ascii="Arial" w:eastAsia="Times New Roman" w:hAnsi="Arial" w:cs="Arial"/>
          <w:b/>
          <w:bCs/>
          <w:kern w:val="0"/>
          <w:sz w:val="22"/>
          <w:szCs w:val="22"/>
          <w14:ligatures w14:val="none"/>
        </w:rPr>
        <w:t>Additional Integration and Implications for Professional Practice</w:t>
      </w:r>
    </w:p>
    <w:p w14:paraId="09E78459" w14:textId="77777777" w:rsidR="00F52C1D" w:rsidRPr="00F52C1D" w:rsidRDefault="00F52C1D" w:rsidP="00F52C1D">
      <w:pPr>
        <w:spacing w:before="100" w:beforeAutospacing="1" w:after="100" w:afterAutospacing="1" w:line="240" w:lineRule="auto"/>
        <w:rPr>
          <w:rFonts w:ascii="Arial" w:hAnsi="Arial" w:cs="Arial"/>
          <w:kern w:val="0"/>
          <w:sz w:val="22"/>
          <w:szCs w:val="22"/>
          <w14:ligatures w14:val="none"/>
        </w:rPr>
      </w:pPr>
    </w:p>
    <w:p w14:paraId="00D2B8A2" w14:textId="0DC8F5CF" w:rsidR="00F52C1D" w:rsidRPr="00F52C1D" w:rsidRDefault="00F52C1D" w:rsidP="00F52C1D">
      <w:pPr>
        <w:spacing w:before="100" w:beforeAutospacing="1" w:after="100" w:afterAutospacing="1" w:line="240" w:lineRule="auto"/>
        <w:rPr>
          <w:rFonts w:ascii="Arial" w:hAnsi="Arial" w:cs="Arial"/>
          <w:kern w:val="0"/>
          <w:sz w:val="22"/>
          <w:szCs w:val="22"/>
          <w14:ligatures w14:val="none"/>
        </w:rPr>
      </w:pPr>
      <w:r w:rsidRPr="00F52C1D">
        <w:rPr>
          <w:rFonts w:ascii="Arial" w:hAnsi="Arial" w:cs="Arial"/>
          <w:kern w:val="0"/>
          <w:sz w:val="22"/>
          <w:szCs w:val="22"/>
          <w14:ligatures w14:val="none"/>
        </w:rPr>
        <w:t xml:space="preserve">When Erikson’s theory and the HBM are combined, they allow professionals to address both the emotional and behavioural needs of older adults with dementia. Erikson highlights the importance of identity, continuity, and emotional validation, while the HBM helps structure routines that reduce confusion and increase engagement. Integrating the theories encourages </w:t>
      </w:r>
      <w:r w:rsidR="00254F0A" w:rsidRPr="00C30D4A">
        <w:rPr>
          <w:rFonts w:ascii="Arial" w:hAnsi="Arial" w:cs="Arial"/>
          <w:kern w:val="0"/>
          <w:sz w:val="22"/>
          <w:szCs w:val="22"/>
          <w14:ligatures w14:val="none"/>
        </w:rPr>
        <w:t>an integrated approach</w:t>
      </w:r>
      <w:r w:rsidRPr="00F52C1D">
        <w:rPr>
          <w:rFonts w:ascii="Arial" w:hAnsi="Arial" w:cs="Arial"/>
          <w:kern w:val="0"/>
          <w:sz w:val="22"/>
          <w:szCs w:val="22"/>
          <w14:ligatures w14:val="none"/>
        </w:rPr>
        <w:t>—supporting both “who the person is” (identity) and “what the person needs to do daily” (behavioural routines). This balance is essential in dementia care, where disrupted memory and communication often lead to distress.</w:t>
      </w:r>
    </w:p>
    <w:p w14:paraId="2F01D148" w14:textId="77777777" w:rsidR="00F52C1D" w:rsidRPr="00F52C1D" w:rsidRDefault="00F52C1D" w:rsidP="00F52C1D">
      <w:pPr>
        <w:spacing w:before="100" w:beforeAutospacing="1" w:after="100" w:afterAutospacing="1" w:line="240" w:lineRule="auto"/>
        <w:rPr>
          <w:rFonts w:ascii="Arial" w:hAnsi="Arial" w:cs="Arial"/>
          <w:kern w:val="0"/>
          <w:sz w:val="22"/>
          <w:szCs w:val="22"/>
          <w14:ligatures w14:val="none"/>
        </w:rPr>
      </w:pPr>
      <w:r w:rsidRPr="00F52C1D">
        <w:rPr>
          <w:rFonts w:ascii="Arial" w:hAnsi="Arial" w:cs="Arial"/>
          <w:kern w:val="0"/>
          <w:sz w:val="22"/>
          <w:szCs w:val="22"/>
          <w14:ligatures w14:val="none"/>
        </w:rPr>
        <w:t>For professionals, this integration means adopting flexible, compassionate communication, using validation techniques, and structuring the environment so that residents feel safe. It also reinforces the need for ongoing staff training, emotional intelligence, and teamwork within the care home. When staff understand both theories, they are better equipped to interpret behaviours not as “problems” but as expressions of unmet needs, leading to more empathetic and effective care.</w:t>
      </w:r>
    </w:p>
    <w:p w14:paraId="538CE4EB" w14:textId="77777777" w:rsidR="009562A1" w:rsidRPr="00C30D4A" w:rsidRDefault="009562A1">
      <w:pPr>
        <w:rPr>
          <w:rFonts w:ascii="Arial" w:hAnsi="Arial" w:cs="Arial"/>
          <w:sz w:val="22"/>
          <w:szCs w:val="22"/>
        </w:rPr>
      </w:pPr>
    </w:p>
    <w:p w14:paraId="22086A17" w14:textId="77777777" w:rsidR="00FB0C9A" w:rsidRPr="00C30D4A" w:rsidRDefault="00FB0C9A">
      <w:pPr>
        <w:pStyle w:val="p1"/>
        <w:rPr>
          <w:rFonts w:ascii="Arial" w:hAnsi="Arial" w:cs="Arial"/>
          <w:sz w:val="22"/>
          <w:szCs w:val="22"/>
        </w:rPr>
      </w:pPr>
      <w:r w:rsidRPr="00C30D4A">
        <w:rPr>
          <w:rStyle w:val="s1"/>
          <w:rFonts w:ascii="Arial" w:hAnsi="Arial" w:cs="Arial"/>
          <w:sz w:val="22"/>
          <w:szCs w:val="22"/>
        </w:rPr>
        <w:t>In conclusion</w:t>
      </w:r>
    </w:p>
    <w:p w14:paraId="48DC9E0A" w14:textId="0C4B39E8" w:rsidR="000F7B1F" w:rsidRPr="00C30D4A" w:rsidRDefault="00FB0C9A" w:rsidP="00FF07A5">
      <w:pPr>
        <w:pStyle w:val="p1"/>
        <w:rPr>
          <w:rFonts w:ascii="Arial" w:hAnsi="Arial" w:cs="Arial"/>
          <w:sz w:val="22"/>
          <w:szCs w:val="22"/>
        </w:rPr>
      </w:pPr>
      <w:r w:rsidRPr="00C30D4A">
        <w:rPr>
          <w:rStyle w:val="s1"/>
          <w:rFonts w:ascii="Arial" w:hAnsi="Arial" w:cs="Arial"/>
          <w:sz w:val="22"/>
          <w:szCs w:val="22"/>
        </w:rPr>
        <w:t>The use of psychological theory in dementia care facilities greatly enhances the emotional, psychological, and behavioural health of senior citizens. While the HBM provides tools for organising routines and encouraging engagement, Erikson's Psychosocial Theory supports identity, dignity, and emotional continuity. Although there may be challenges, such as cognitive decline, behavioural symptoms, and staff workload, they can be addressed with individualised care, environmental adaption, staff training, and routine-based</w:t>
      </w:r>
      <w:r w:rsidR="006A0B63" w:rsidRPr="00C30D4A">
        <w:rPr>
          <w:rStyle w:val="s1"/>
          <w:rFonts w:ascii="Arial" w:hAnsi="Arial" w:cs="Arial"/>
          <w:sz w:val="22"/>
          <w:szCs w:val="22"/>
        </w:rPr>
        <w:t>.</w:t>
      </w:r>
    </w:p>
    <w:p w14:paraId="09DC25F3" w14:textId="77777777" w:rsidR="000F7B1F" w:rsidRPr="00C30D4A" w:rsidRDefault="000F7B1F" w:rsidP="000F7B1F">
      <w:pPr>
        <w:spacing w:before="100" w:beforeAutospacing="1" w:after="100" w:afterAutospacing="1" w:line="240" w:lineRule="auto"/>
        <w:rPr>
          <w:rFonts w:ascii="Arial" w:hAnsi="Arial" w:cs="Arial"/>
          <w:kern w:val="0"/>
          <w:sz w:val="22"/>
          <w:szCs w:val="22"/>
          <w14:ligatures w14:val="none"/>
        </w:rPr>
      </w:pPr>
    </w:p>
    <w:p w14:paraId="73216696" w14:textId="77777777" w:rsidR="00254F0A" w:rsidRPr="00C30D4A" w:rsidRDefault="00254F0A" w:rsidP="000F7B1F">
      <w:pPr>
        <w:spacing w:before="100" w:beforeAutospacing="1" w:after="100" w:afterAutospacing="1" w:line="240" w:lineRule="auto"/>
        <w:rPr>
          <w:rFonts w:ascii="Arial" w:hAnsi="Arial" w:cs="Arial"/>
          <w:kern w:val="0"/>
          <w:sz w:val="22"/>
          <w:szCs w:val="22"/>
          <w14:ligatures w14:val="none"/>
        </w:rPr>
      </w:pPr>
    </w:p>
    <w:p w14:paraId="5E585854" w14:textId="77777777" w:rsidR="00254F0A" w:rsidRPr="00C30D4A" w:rsidRDefault="00254F0A" w:rsidP="000F7B1F">
      <w:pPr>
        <w:spacing w:before="100" w:beforeAutospacing="1" w:after="100" w:afterAutospacing="1" w:line="240" w:lineRule="auto"/>
        <w:rPr>
          <w:rFonts w:ascii="Arial" w:hAnsi="Arial" w:cs="Arial"/>
          <w:kern w:val="0"/>
          <w:sz w:val="22"/>
          <w:szCs w:val="22"/>
          <w14:ligatures w14:val="none"/>
        </w:rPr>
      </w:pPr>
    </w:p>
    <w:p w14:paraId="31F372B3" w14:textId="77777777" w:rsidR="00254F0A" w:rsidRPr="00C30D4A" w:rsidRDefault="00254F0A" w:rsidP="000F7B1F">
      <w:pPr>
        <w:spacing w:before="100" w:beforeAutospacing="1" w:after="100" w:afterAutospacing="1" w:line="240" w:lineRule="auto"/>
        <w:rPr>
          <w:rFonts w:ascii="Arial" w:hAnsi="Arial" w:cs="Arial"/>
          <w:kern w:val="0"/>
          <w:sz w:val="22"/>
          <w:szCs w:val="22"/>
          <w14:ligatures w14:val="none"/>
        </w:rPr>
      </w:pPr>
    </w:p>
    <w:p w14:paraId="76A350A1" w14:textId="77777777" w:rsidR="007C5078" w:rsidRPr="00C30D4A" w:rsidRDefault="007C5078" w:rsidP="000F7B1F">
      <w:pPr>
        <w:spacing w:before="100" w:beforeAutospacing="1" w:after="100" w:afterAutospacing="1" w:line="240" w:lineRule="auto"/>
        <w:rPr>
          <w:rFonts w:ascii="Arial" w:hAnsi="Arial" w:cs="Arial"/>
          <w:kern w:val="0"/>
          <w:sz w:val="22"/>
          <w:szCs w:val="22"/>
          <w14:ligatures w14:val="none"/>
        </w:rPr>
      </w:pPr>
    </w:p>
    <w:p w14:paraId="62350D7A" w14:textId="77777777" w:rsidR="007C5078" w:rsidRPr="00C30D4A" w:rsidRDefault="007C5078" w:rsidP="000F7B1F">
      <w:pPr>
        <w:spacing w:before="100" w:beforeAutospacing="1" w:after="100" w:afterAutospacing="1" w:line="240" w:lineRule="auto"/>
        <w:rPr>
          <w:rFonts w:ascii="Arial" w:hAnsi="Arial" w:cs="Arial"/>
          <w:kern w:val="0"/>
          <w:sz w:val="22"/>
          <w:szCs w:val="22"/>
          <w14:ligatures w14:val="none"/>
        </w:rPr>
      </w:pPr>
    </w:p>
    <w:p w14:paraId="119C984E" w14:textId="77777777" w:rsidR="007C5078" w:rsidRPr="00C30D4A" w:rsidRDefault="007C5078" w:rsidP="000F7B1F">
      <w:pPr>
        <w:spacing w:before="100" w:beforeAutospacing="1" w:after="100" w:afterAutospacing="1" w:line="240" w:lineRule="auto"/>
        <w:rPr>
          <w:rFonts w:ascii="Arial" w:hAnsi="Arial" w:cs="Arial"/>
          <w:kern w:val="0"/>
          <w:sz w:val="22"/>
          <w:szCs w:val="22"/>
          <w14:ligatures w14:val="none"/>
        </w:rPr>
      </w:pPr>
    </w:p>
    <w:p w14:paraId="6C24325E" w14:textId="77777777" w:rsidR="007C5078" w:rsidRPr="00C30D4A" w:rsidRDefault="007C5078" w:rsidP="000F7B1F">
      <w:pPr>
        <w:spacing w:before="100" w:beforeAutospacing="1" w:after="100" w:afterAutospacing="1" w:line="240" w:lineRule="auto"/>
        <w:rPr>
          <w:rFonts w:ascii="Arial" w:hAnsi="Arial" w:cs="Arial"/>
          <w:kern w:val="0"/>
          <w:sz w:val="22"/>
          <w:szCs w:val="22"/>
          <w14:ligatures w14:val="none"/>
        </w:rPr>
      </w:pPr>
    </w:p>
    <w:p w14:paraId="65B06F4A" w14:textId="77777777" w:rsidR="007C5078" w:rsidRPr="00C30D4A" w:rsidRDefault="007C5078" w:rsidP="000F7B1F">
      <w:pPr>
        <w:spacing w:before="100" w:beforeAutospacing="1" w:after="100" w:afterAutospacing="1" w:line="240" w:lineRule="auto"/>
        <w:rPr>
          <w:rFonts w:ascii="Arial" w:hAnsi="Arial" w:cs="Arial"/>
          <w:kern w:val="0"/>
          <w:sz w:val="22"/>
          <w:szCs w:val="22"/>
          <w14:ligatures w14:val="none"/>
        </w:rPr>
      </w:pPr>
    </w:p>
    <w:p w14:paraId="51DF41A7" w14:textId="70B971D8" w:rsidR="0051264F" w:rsidRPr="00C30D4A" w:rsidRDefault="000F7B1F" w:rsidP="000F7B1F">
      <w:pPr>
        <w:spacing w:before="100" w:beforeAutospacing="1" w:after="100" w:afterAutospacing="1" w:line="240" w:lineRule="auto"/>
        <w:rPr>
          <w:rFonts w:ascii="Arial" w:hAnsi="Arial" w:cs="Arial"/>
          <w:kern w:val="0"/>
          <w:sz w:val="22"/>
          <w:szCs w:val="22"/>
          <w14:ligatures w14:val="none"/>
        </w:rPr>
      </w:pPr>
      <w:proofErr w:type="spellStart"/>
      <w:r w:rsidRPr="00C30D4A">
        <w:rPr>
          <w:rFonts w:ascii="Arial" w:hAnsi="Arial" w:cs="Arial"/>
          <w:kern w:val="0"/>
          <w:sz w:val="22"/>
          <w:szCs w:val="22"/>
          <w14:ligatures w14:val="none"/>
        </w:rPr>
        <w:t>Refrence</w:t>
      </w:r>
      <w:proofErr w:type="spellEnd"/>
      <w:r w:rsidRPr="00C30D4A">
        <w:rPr>
          <w:rFonts w:ascii="Arial" w:hAnsi="Arial" w:cs="Arial"/>
          <w:kern w:val="0"/>
          <w:sz w:val="22"/>
          <w:szCs w:val="22"/>
          <w14:ligatures w14:val="none"/>
        </w:rPr>
        <w:t xml:space="preserve"> list </w:t>
      </w:r>
    </w:p>
    <w:p w14:paraId="23F8BB3B" w14:textId="11D6CFE3" w:rsidR="000F7B1F" w:rsidRPr="00C30D4A" w:rsidRDefault="000F7B1F" w:rsidP="000F7B1F">
      <w:pPr>
        <w:spacing w:before="100" w:beforeAutospacing="1" w:after="100" w:afterAutospacing="1" w:line="240" w:lineRule="auto"/>
        <w:rPr>
          <w:rFonts w:ascii="Arial" w:hAnsi="Arial" w:cs="Arial"/>
          <w:kern w:val="0"/>
          <w:sz w:val="22"/>
          <w:szCs w:val="22"/>
          <w14:ligatures w14:val="none"/>
        </w:rPr>
      </w:pPr>
      <w:r w:rsidRPr="000F7B1F">
        <w:rPr>
          <w:rFonts w:ascii="Arial" w:hAnsi="Arial" w:cs="Arial"/>
          <w:kern w:val="0"/>
          <w:sz w:val="22"/>
          <w:szCs w:val="22"/>
          <w14:ligatures w14:val="none"/>
        </w:rPr>
        <w:lastRenderedPageBreak/>
        <w:t>Bandura, A. (1997) Self-efficacy: The exercise of control. New York: W.H. Freeman.</w:t>
      </w:r>
    </w:p>
    <w:p w14:paraId="6D3758C7" w14:textId="77777777" w:rsidR="007C5078" w:rsidRPr="000F7B1F" w:rsidRDefault="007C5078" w:rsidP="000F7B1F">
      <w:pPr>
        <w:spacing w:before="100" w:beforeAutospacing="1" w:after="100" w:afterAutospacing="1" w:line="240" w:lineRule="auto"/>
        <w:rPr>
          <w:rFonts w:ascii="Arial" w:hAnsi="Arial" w:cs="Arial"/>
          <w:kern w:val="0"/>
          <w:sz w:val="22"/>
          <w:szCs w:val="22"/>
          <w14:ligatures w14:val="none"/>
        </w:rPr>
      </w:pPr>
    </w:p>
    <w:p w14:paraId="0EA9D9D7" w14:textId="2DA0AEA7" w:rsidR="000F7B1F" w:rsidRPr="00C30D4A" w:rsidRDefault="000F7B1F" w:rsidP="000F7B1F">
      <w:pPr>
        <w:spacing w:before="100" w:beforeAutospacing="1" w:after="100" w:afterAutospacing="1" w:line="240" w:lineRule="auto"/>
        <w:rPr>
          <w:rFonts w:ascii="Arial" w:hAnsi="Arial" w:cs="Arial"/>
          <w:kern w:val="0"/>
          <w:sz w:val="22"/>
          <w:szCs w:val="22"/>
          <w14:ligatures w14:val="none"/>
        </w:rPr>
      </w:pPr>
      <w:r w:rsidRPr="000F7B1F">
        <w:rPr>
          <w:rFonts w:ascii="Arial" w:hAnsi="Arial" w:cs="Arial"/>
          <w:kern w:val="0"/>
          <w:sz w:val="22"/>
          <w:szCs w:val="22"/>
          <w14:ligatures w14:val="none"/>
        </w:rPr>
        <w:t>Erikson, E.H. (1982) The life cycle completed. New York: W.W. Norton &amp; Company.</w:t>
      </w:r>
    </w:p>
    <w:p w14:paraId="152D0B04" w14:textId="77777777" w:rsidR="007C5078" w:rsidRPr="000F7B1F" w:rsidRDefault="007C5078" w:rsidP="000F7B1F">
      <w:pPr>
        <w:spacing w:before="100" w:beforeAutospacing="1" w:after="100" w:afterAutospacing="1" w:line="240" w:lineRule="auto"/>
        <w:rPr>
          <w:rFonts w:ascii="Arial" w:hAnsi="Arial" w:cs="Arial"/>
          <w:kern w:val="0"/>
          <w:sz w:val="22"/>
          <w:szCs w:val="22"/>
          <w14:ligatures w14:val="none"/>
        </w:rPr>
      </w:pPr>
    </w:p>
    <w:p w14:paraId="745A0C23" w14:textId="76896879" w:rsidR="000F7B1F" w:rsidRPr="00C30D4A" w:rsidRDefault="000F7B1F" w:rsidP="000F7B1F">
      <w:pPr>
        <w:spacing w:before="100" w:beforeAutospacing="1" w:after="100" w:afterAutospacing="1" w:line="240" w:lineRule="auto"/>
        <w:rPr>
          <w:rFonts w:ascii="Arial" w:hAnsi="Arial" w:cs="Arial"/>
          <w:kern w:val="0"/>
          <w:sz w:val="22"/>
          <w:szCs w:val="22"/>
          <w14:ligatures w14:val="none"/>
        </w:rPr>
      </w:pPr>
      <w:proofErr w:type="spellStart"/>
      <w:r w:rsidRPr="000F7B1F">
        <w:rPr>
          <w:rFonts w:ascii="Arial" w:hAnsi="Arial" w:cs="Arial"/>
          <w:kern w:val="0"/>
          <w:sz w:val="22"/>
          <w:szCs w:val="22"/>
          <w14:ligatures w14:val="none"/>
        </w:rPr>
        <w:t>Feil</w:t>
      </w:r>
      <w:proofErr w:type="spellEnd"/>
      <w:r w:rsidRPr="000F7B1F">
        <w:rPr>
          <w:rFonts w:ascii="Arial" w:hAnsi="Arial" w:cs="Arial"/>
          <w:kern w:val="0"/>
          <w:sz w:val="22"/>
          <w:szCs w:val="22"/>
          <w14:ligatures w14:val="none"/>
        </w:rPr>
        <w:t xml:space="preserve">, N. and de Klerk-Rubin, V. (2012) The validation breakthrough: Simple techniques for communicating with people with Alzheimer’s-type dementia. 3rd </w:t>
      </w:r>
      <w:proofErr w:type="spellStart"/>
      <w:r w:rsidRPr="000F7B1F">
        <w:rPr>
          <w:rFonts w:ascii="Arial" w:hAnsi="Arial" w:cs="Arial"/>
          <w:kern w:val="0"/>
          <w:sz w:val="22"/>
          <w:szCs w:val="22"/>
          <w14:ligatures w14:val="none"/>
        </w:rPr>
        <w:t>edn</w:t>
      </w:r>
      <w:proofErr w:type="spellEnd"/>
      <w:r w:rsidRPr="000F7B1F">
        <w:rPr>
          <w:rFonts w:ascii="Arial" w:hAnsi="Arial" w:cs="Arial"/>
          <w:kern w:val="0"/>
          <w:sz w:val="22"/>
          <w:szCs w:val="22"/>
          <w14:ligatures w14:val="none"/>
        </w:rPr>
        <w:t>. Baltimore: Health Professions Press.</w:t>
      </w:r>
    </w:p>
    <w:p w14:paraId="2D9235AB" w14:textId="77777777" w:rsidR="007C5078" w:rsidRPr="000F7B1F" w:rsidRDefault="007C5078" w:rsidP="000F7B1F">
      <w:pPr>
        <w:spacing w:before="100" w:beforeAutospacing="1" w:after="100" w:afterAutospacing="1" w:line="240" w:lineRule="auto"/>
        <w:rPr>
          <w:rFonts w:ascii="Arial" w:hAnsi="Arial" w:cs="Arial"/>
          <w:kern w:val="0"/>
          <w:sz w:val="22"/>
          <w:szCs w:val="22"/>
          <w14:ligatures w14:val="none"/>
        </w:rPr>
      </w:pPr>
    </w:p>
    <w:p w14:paraId="3D907E38" w14:textId="77777777" w:rsidR="000F7B1F" w:rsidRPr="000F7B1F" w:rsidRDefault="000F7B1F" w:rsidP="000F7B1F">
      <w:pPr>
        <w:spacing w:before="100" w:beforeAutospacing="1" w:after="100" w:afterAutospacing="1" w:line="240" w:lineRule="auto"/>
        <w:rPr>
          <w:rFonts w:ascii="Arial" w:hAnsi="Arial" w:cs="Arial"/>
          <w:kern w:val="0"/>
          <w:sz w:val="22"/>
          <w:szCs w:val="22"/>
          <w14:ligatures w14:val="none"/>
        </w:rPr>
      </w:pPr>
      <w:proofErr w:type="spellStart"/>
      <w:r w:rsidRPr="000F7B1F">
        <w:rPr>
          <w:rFonts w:ascii="Arial" w:hAnsi="Arial" w:cs="Arial"/>
          <w:kern w:val="0"/>
          <w:sz w:val="22"/>
          <w:szCs w:val="22"/>
          <w14:ligatures w14:val="none"/>
        </w:rPr>
        <w:t>Kitwood</w:t>
      </w:r>
      <w:proofErr w:type="spellEnd"/>
      <w:r w:rsidRPr="000F7B1F">
        <w:rPr>
          <w:rFonts w:ascii="Arial" w:hAnsi="Arial" w:cs="Arial"/>
          <w:kern w:val="0"/>
          <w:sz w:val="22"/>
          <w:szCs w:val="22"/>
          <w14:ligatures w14:val="none"/>
        </w:rPr>
        <w:t>, T. (1997) Dementia reconsidered: The person comes first. Buckingham: Open University Press.</w:t>
      </w:r>
    </w:p>
    <w:p w14:paraId="6B470C93" w14:textId="77777777" w:rsidR="000F7B1F" w:rsidRPr="000F7B1F" w:rsidRDefault="000F7B1F" w:rsidP="000F7B1F">
      <w:pPr>
        <w:spacing w:before="100" w:beforeAutospacing="1" w:after="100" w:afterAutospacing="1" w:line="240" w:lineRule="auto"/>
        <w:rPr>
          <w:rFonts w:ascii="Arial" w:hAnsi="Arial" w:cs="Arial"/>
          <w:kern w:val="0"/>
          <w:sz w:val="22"/>
          <w:szCs w:val="22"/>
          <w14:ligatures w14:val="none"/>
        </w:rPr>
      </w:pPr>
    </w:p>
    <w:p w14:paraId="1FBA4244" w14:textId="77777777" w:rsidR="000F7B1F" w:rsidRPr="000F7B1F" w:rsidRDefault="000F7B1F" w:rsidP="000F7B1F">
      <w:pPr>
        <w:spacing w:before="100" w:beforeAutospacing="1" w:after="100" w:afterAutospacing="1" w:line="240" w:lineRule="auto"/>
        <w:rPr>
          <w:rFonts w:ascii="Arial" w:hAnsi="Arial" w:cs="Arial"/>
          <w:kern w:val="0"/>
          <w:sz w:val="22"/>
          <w:szCs w:val="22"/>
          <w14:ligatures w14:val="none"/>
        </w:rPr>
      </w:pPr>
      <w:r w:rsidRPr="000F7B1F">
        <w:rPr>
          <w:rFonts w:ascii="Arial" w:hAnsi="Arial" w:cs="Arial"/>
          <w:kern w:val="0"/>
          <w:sz w:val="22"/>
          <w:szCs w:val="22"/>
          <w14:ligatures w14:val="none"/>
        </w:rPr>
        <w:t>Rosenstock, I.M. (1974) ‘Historical origins of the Health Belief Model’, Health Education Monographs, 2(4), pp. 328–335.</w:t>
      </w:r>
    </w:p>
    <w:p w14:paraId="478CDC88" w14:textId="77777777" w:rsidR="000F7B1F" w:rsidRPr="000F7B1F" w:rsidRDefault="000F7B1F" w:rsidP="000F7B1F">
      <w:pPr>
        <w:spacing w:before="100" w:beforeAutospacing="1" w:after="100" w:afterAutospacing="1" w:line="240" w:lineRule="auto"/>
        <w:rPr>
          <w:rFonts w:ascii="Arial" w:hAnsi="Arial" w:cs="Arial"/>
          <w:kern w:val="0"/>
          <w:sz w:val="22"/>
          <w:szCs w:val="22"/>
          <w14:ligatures w14:val="none"/>
        </w:rPr>
      </w:pPr>
    </w:p>
    <w:p w14:paraId="01F51F3B" w14:textId="77777777" w:rsidR="000F7B1F" w:rsidRPr="000F7B1F" w:rsidRDefault="000F7B1F" w:rsidP="000F7B1F">
      <w:pPr>
        <w:spacing w:before="100" w:beforeAutospacing="1" w:after="100" w:afterAutospacing="1" w:line="240" w:lineRule="auto"/>
        <w:rPr>
          <w:rFonts w:ascii="Arial" w:hAnsi="Arial" w:cs="Arial"/>
          <w:kern w:val="0"/>
          <w:sz w:val="22"/>
          <w:szCs w:val="22"/>
          <w14:ligatures w14:val="none"/>
        </w:rPr>
      </w:pPr>
      <w:r w:rsidRPr="000F7B1F">
        <w:rPr>
          <w:rFonts w:ascii="Arial" w:hAnsi="Arial" w:cs="Arial"/>
          <w:kern w:val="0"/>
          <w:sz w:val="22"/>
          <w:szCs w:val="22"/>
          <w14:ligatures w14:val="none"/>
        </w:rPr>
        <w:t xml:space="preserve">Woods, B., </w:t>
      </w:r>
      <w:proofErr w:type="spellStart"/>
      <w:r w:rsidRPr="000F7B1F">
        <w:rPr>
          <w:rFonts w:ascii="Arial" w:hAnsi="Arial" w:cs="Arial"/>
          <w:kern w:val="0"/>
          <w:sz w:val="22"/>
          <w:szCs w:val="22"/>
          <w14:ligatures w14:val="none"/>
        </w:rPr>
        <w:t>O’Philbin</w:t>
      </w:r>
      <w:proofErr w:type="spellEnd"/>
      <w:r w:rsidRPr="000F7B1F">
        <w:rPr>
          <w:rFonts w:ascii="Arial" w:hAnsi="Arial" w:cs="Arial"/>
          <w:kern w:val="0"/>
          <w:sz w:val="22"/>
          <w:szCs w:val="22"/>
          <w14:ligatures w14:val="none"/>
        </w:rPr>
        <w:t xml:space="preserve">, L., Farrell, E.M., Spector, A.E. and </w:t>
      </w:r>
      <w:proofErr w:type="spellStart"/>
      <w:r w:rsidRPr="000F7B1F">
        <w:rPr>
          <w:rFonts w:ascii="Arial" w:hAnsi="Arial" w:cs="Arial"/>
          <w:kern w:val="0"/>
          <w:sz w:val="22"/>
          <w:szCs w:val="22"/>
          <w14:ligatures w14:val="none"/>
        </w:rPr>
        <w:t>Orrell</w:t>
      </w:r>
      <w:proofErr w:type="spellEnd"/>
      <w:r w:rsidRPr="000F7B1F">
        <w:rPr>
          <w:rFonts w:ascii="Arial" w:hAnsi="Arial" w:cs="Arial"/>
          <w:kern w:val="0"/>
          <w:sz w:val="22"/>
          <w:szCs w:val="22"/>
          <w14:ligatures w14:val="none"/>
        </w:rPr>
        <w:t>, M. (2018) ‘Reminiscence therapy for dementia’, Cochrane Database of Systematic Reviews, 3, pp. 1–74.</w:t>
      </w:r>
    </w:p>
    <w:p w14:paraId="1CB6BCD2" w14:textId="77777777" w:rsidR="00FB0C9A" w:rsidRPr="00C30D4A" w:rsidRDefault="00FB0C9A">
      <w:pPr>
        <w:rPr>
          <w:rFonts w:ascii="Arial" w:hAnsi="Arial" w:cs="Arial"/>
          <w:sz w:val="22"/>
          <w:szCs w:val="22"/>
        </w:rPr>
      </w:pPr>
    </w:p>
    <w:sectPr w:rsidR="00FB0C9A" w:rsidRPr="00C30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0A7"/>
    <w:rsid w:val="00024B53"/>
    <w:rsid w:val="000D4635"/>
    <w:rsid w:val="000F7B1F"/>
    <w:rsid w:val="0012073F"/>
    <w:rsid w:val="001A0BCB"/>
    <w:rsid w:val="001D48FD"/>
    <w:rsid w:val="00205FCA"/>
    <w:rsid w:val="00254F0A"/>
    <w:rsid w:val="00255DA0"/>
    <w:rsid w:val="002B442A"/>
    <w:rsid w:val="002D7C4E"/>
    <w:rsid w:val="002F629B"/>
    <w:rsid w:val="0035166F"/>
    <w:rsid w:val="003A30F0"/>
    <w:rsid w:val="0051264F"/>
    <w:rsid w:val="005C4BD7"/>
    <w:rsid w:val="005E470E"/>
    <w:rsid w:val="00647FCE"/>
    <w:rsid w:val="006A0B63"/>
    <w:rsid w:val="007478FD"/>
    <w:rsid w:val="007C5078"/>
    <w:rsid w:val="009562A1"/>
    <w:rsid w:val="00A41691"/>
    <w:rsid w:val="00AE4811"/>
    <w:rsid w:val="00C30D4A"/>
    <w:rsid w:val="00C93E15"/>
    <w:rsid w:val="00CF3D22"/>
    <w:rsid w:val="00D350A7"/>
    <w:rsid w:val="00E24AB8"/>
    <w:rsid w:val="00EB1D20"/>
    <w:rsid w:val="00EB69E9"/>
    <w:rsid w:val="00F17221"/>
    <w:rsid w:val="00F52C1D"/>
    <w:rsid w:val="00FB0C9A"/>
    <w:rsid w:val="00FF0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9AEE2"/>
  <w15:chartTrackingRefBased/>
  <w15:docId w15:val="{B8E792BC-5FE8-AB40-9DBD-5AFE745FB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0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50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50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0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0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0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50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0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0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0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0A7"/>
    <w:rPr>
      <w:rFonts w:eastAsiaTheme="majorEastAsia" w:cstheme="majorBidi"/>
      <w:color w:val="272727" w:themeColor="text1" w:themeTint="D8"/>
    </w:rPr>
  </w:style>
  <w:style w:type="paragraph" w:styleId="Title">
    <w:name w:val="Title"/>
    <w:basedOn w:val="Normal"/>
    <w:next w:val="Normal"/>
    <w:link w:val="TitleChar"/>
    <w:uiPriority w:val="10"/>
    <w:qFormat/>
    <w:rsid w:val="00D35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0A7"/>
    <w:pPr>
      <w:spacing w:before="160"/>
      <w:jc w:val="center"/>
    </w:pPr>
    <w:rPr>
      <w:i/>
      <w:iCs/>
      <w:color w:val="404040" w:themeColor="text1" w:themeTint="BF"/>
    </w:rPr>
  </w:style>
  <w:style w:type="character" w:customStyle="1" w:styleId="QuoteChar">
    <w:name w:val="Quote Char"/>
    <w:basedOn w:val="DefaultParagraphFont"/>
    <w:link w:val="Quote"/>
    <w:uiPriority w:val="29"/>
    <w:rsid w:val="00D350A7"/>
    <w:rPr>
      <w:i/>
      <w:iCs/>
      <w:color w:val="404040" w:themeColor="text1" w:themeTint="BF"/>
    </w:rPr>
  </w:style>
  <w:style w:type="paragraph" w:styleId="ListParagraph">
    <w:name w:val="List Paragraph"/>
    <w:basedOn w:val="Normal"/>
    <w:uiPriority w:val="34"/>
    <w:qFormat/>
    <w:rsid w:val="00D350A7"/>
    <w:pPr>
      <w:ind w:left="720"/>
      <w:contextualSpacing/>
    </w:pPr>
  </w:style>
  <w:style w:type="character" w:styleId="IntenseEmphasis">
    <w:name w:val="Intense Emphasis"/>
    <w:basedOn w:val="DefaultParagraphFont"/>
    <w:uiPriority w:val="21"/>
    <w:qFormat/>
    <w:rsid w:val="00D350A7"/>
    <w:rPr>
      <w:i/>
      <w:iCs/>
      <w:color w:val="0F4761" w:themeColor="accent1" w:themeShade="BF"/>
    </w:rPr>
  </w:style>
  <w:style w:type="paragraph" w:styleId="IntenseQuote">
    <w:name w:val="Intense Quote"/>
    <w:basedOn w:val="Normal"/>
    <w:next w:val="Normal"/>
    <w:link w:val="IntenseQuoteChar"/>
    <w:uiPriority w:val="30"/>
    <w:qFormat/>
    <w:rsid w:val="00D350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0A7"/>
    <w:rPr>
      <w:i/>
      <w:iCs/>
      <w:color w:val="0F4761" w:themeColor="accent1" w:themeShade="BF"/>
    </w:rPr>
  </w:style>
  <w:style w:type="character" w:styleId="IntenseReference">
    <w:name w:val="Intense Reference"/>
    <w:basedOn w:val="DefaultParagraphFont"/>
    <w:uiPriority w:val="32"/>
    <w:qFormat/>
    <w:rsid w:val="00D350A7"/>
    <w:rPr>
      <w:b/>
      <w:bCs/>
      <w:smallCaps/>
      <w:color w:val="0F4761" w:themeColor="accent1" w:themeShade="BF"/>
      <w:spacing w:val="5"/>
    </w:rPr>
  </w:style>
  <w:style w:type="paragraph" w:customStyle="1" w:styleId="p1">
    <w:name w:val="p1"/>
    <w:basedOn w:val="Normal"/>
    <w:rsid w:val="00D350A7"/>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D350A7"/>
    <w:rPr>
      <w:rFonts w:ascii=".SFUI-Regular" w:hAnsi=".SFUI-Regular" w:hint="default"/>
      <w:b w:val="0"/>
      <w:bCs w:val="0"/>
      <w:i w:val="0"/>
      <w:iCs w:val="0"/>
      <w:sz w:val="26"/>
      <w:szCs w:val="26"/>
    </w:rPr>
  </w:style>
  <w:style w:type="character" w:customStyle="1" w:styleId="apple-converted-space">
    <w:name w:val="apple-converted-space"/>
    <w:basedOn w:val="DefaultParagraphFont"/>
    <w:rsid w:val="003A30F0"/>
  </w:style>
  <w:style w:type="character" w:customStyle="1" w:styleId="s2">
    <w:name w:val="s2"/>
    <w:basedOn w:val="DefaultParagraphFont"/>
    <w:rsid w:val="000F7B1F"/>
  </w:style>
  <w:style w:type="character" w:customStyle="1" w:styleId="s3">
    <w:name w:val="s3"/>
    <w:basedOn w:val="DefaultParagraphFont"/>
    <w:rsid w:val="000F7B1F"/>
  </w:style>
  <w:style w:type="paragraph" w:customStyle="1" w:styleId="p2">
    <w:name w:val="p2"/>
    <w:basedOn w:val="Normal"/>
    <w:rsid w:val="000F7B1F"/>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C93E1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1783</Words>
  <Characters>10166</Characters>
  <Application>Microsoft Office Word</Application>
  <DocSecurity>0</DocSecurity>
  <Lines>84</Lines>
  <Paragraphs>23</Paragraphs>
  <ScaleCrop>false</ScaleCrop>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 Rahman (2426612)</dc:creator>
  <cp:keywords/>
  <dc:description/>
  <cp:lastModifiedBy>Arfa Rahman (2426612)</cp:lastModifiedBy>
  <cp:revision>15</cp:revision>
  <dcterms:created xsi:type="dcterms:W3CDTF">2025-11-17T23:27:00Z</dcterms:created>
  <dcterms:modified xsi:type="dcterms:W3CDTF">2025-11-17T23:53:00Z</dcterms:modified>
</cp:coreProperties>
</file>