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620E9" w14:textId="77777777" w:rsidR="00E82EF0" w:rsidRPr="00A6075C" w:rsidRDefault="00E82EF0">
      <w:pPr>
        <w:spacing w:line="360" w:lineRule="auto"/>
        <w:jc w:val="both"/>
        <w:rPr>
          <w:rFonts w:eastAsia="Times New Roman"/>
          <w:b/>
          <w:sz w:val="24"/>
          <w:szCs w:val="24"/>
        </w:rPr>
      </w:pPr>
    </w:p>
    <w:p w14:paraId="40C96562" w14:textId="77777777" w:rsidR="00E82EF0" w:rsidRPr="00A6075C" w:rsidRDefault="00E82EF0">
      <w:pPr>
        <w:spacing w:line="360" w:lineRule="auto"/>
        <w:jc w:val="both"/>
        <w:rPr>
          <w:rFonts w:eastAsia="Times New Roman"/>
          <w:b/>
          <w:sz w:val="24"/>
          <w:szCs w:val="24"/>
        </w:rPr>
      </w:pPr>
    </w:p>
    <w:p w14:paraId="0943392C" w14:textId="77777777" w:rsidR="00E82EF0" w:rsidRPr="00A6075C" w:rsidRDefault="00E82EF0">
      <w:pPr>
        <w:spacing w:line="360" w:lineRule="auto"/>
        <w:jc w:val="both"/>
        <w:rPr>
          <w:rFonts w:eastAsia="Times New Roman"/>
          <w:b/>
          <w:sz w:val="24"/>
          <w:szCs w:val="24"/>
        </w:rPr>
      </w:pPr>
    </w:p>
    <w:p w14:paraId="72F4F4EB" w14:textId="77777777" w:rsidR="00E82EF0" w:rsidRPr="00A6075C" w:rsidRDefault="00E82EF0">
      <w:pPr>
        <w:spacing w:line="360" w:lineRule="auto"/>
        <w:jc w:val="both"/>
        <w:rPr>
          <w:rFonts w:eastAsia="Times New Roman"/>
          <w:b/>
          <w:sz w:val="24"/>
          <w:szCs w:val="24"/>
        </w:rPr>
      </w:pPr>
    </w:p>
    <w:p w14:paraId="3A64D475" w14:textId="77777777" w:rsidR="00E82EF0" w:rsidRPr="00A6075C" w:rsidRDefault="00E82EF0">
      <w:pPr>
        <w:spacing w:line="360" w:lineRule="auto"/>
        <w:jc w:val="both"/>
        <w:rPr>
          <w:rFonts w:eastAsia="Times New Roman"/>
          <w:b/>
          <w:sz w:val="24"/>
          <w:szCs w:val="24"/>
        </w:rPr>
      </w:pPr>
    </w:p>
    <w:p w14:paraId="4937545C" w14:textId="77777777" w:rsidR="00E82EF0" w:rsidRPr="00A6075C" w:rsidRDefault="00E82EF0">
      <w:pPr>
        <w:spacing w:line="360" w:lineRule="auto"/>
        <w:jc w:val="both"/>
        <w:rPr>
          <w:rFonts w:eastAsia="Times New Roman"/>
          <w:b/>
          <w:sz w:val="24"/>
          <w:szCs w:val="24"/>
        </w:rPr>
      </w:pPr>
    </w:p>
    <w:p w14:paraId="6AAC2EAD" w14:textId="77777777" w:rsidR="00E82EF0" w:rsidRPr="00A6075C" w:rsidRDefault="00E82EF0">
      <w:pPr>
        <w:spacing w:line="360" w:lineRule="auto"/>
        <w:jc w:val="both"/>
        <w:rPr>
          <w:rFonts w:eastAsia="Times New Roman"/>
          <w:b/>
          <w:sz w:val="24"/>
          <w:szCs w:val="24"/>
        </w:rPr>
      </w:pPr>
    </w:p>
    <w:p w14:paraId="6A879A35" w14:textId="77777777" w:rsidR="00E82EF0" w:rsidRPr="00A6075C" w:rsidRDefault="00E82EF0">
      <w:pPr>
        <w:spacing w:line="360" w:lineRule="auto"/>
        <w:jc w:val="center"/>
        <w:rPr>
          <w:rFonts w:eastAsia="Times New Roman"/>
          <w:b/>
          <w:sz w:val="40"/>
          <w:szCs w:val="40"/>
        </w:rPr>
      </w:pPr>
    </w:p>
    <w:p w14:paraId="6F33CAA7" w14:textId="77777777" w:rsidR="00E82EF0" w:rsidRPr="00A6075C" w:rsidRDefault="00E82EF0">
      <w:pPr>
        <w:spacing w:line="360" w:lineRule="auto"/>
        <w:jc w:val="center"/>
        <w:rPr>
          <w:rFonts w:eastAsia="Times New Roman"/>
          <w:b/>
          <w:sz w:val="40"/>
          <w:szCs w:val="40"/>
        </w:rPr>
      </w:pPr>
    </w:p>
    <w:p w14:paraId="0BBBC552" w14:textId="77777777" w:rsidR="00A6075C" w:rsidRPr="00A6075C" w:rsidRDefault="004C4DF9">
      <w:pPr>
        <w:spacing w:line="360" w:lineRule="auto"/>
        <w:jc w:val="center"/>
        <w:rPr>
          <w:rFonts w:eastAsiaTheme="minorEastAsia"/>
          <w:b/>
          <w:sz w:val="48"/>
          <w:szCs w:val="48"/>
          <w:lang w:eastAsia="zh-CN"/>
        </w:rPr>
      </w:pPr>
      <w:r w:rsidRPr="00A6075C">
        <w:rPr>
          <w:rFonts w:eastAsia="Times New Roman"/>
          <w:b/>
          <w:sz w:val="48"/>
          <w:szCs w:val="48"/>
        </w:rPr>
        <w:t xml:space="preserve">International Hotel Management </w:t>
      </w:r>
    </w:p>
    <w:p w14:paraId="7D6917E9" w14:textId="77777777" w:rsidR="00A6075C" w:rsidRDefault="00A6075C">
      <w:pPr>
        <w:spacing w:line="360" w:lineRule="auto"/>
        <w:jc w:val="center"/>
        <w:rPr>
          <w:rFonts w:eastAsiaTheme="minorEastAsia"/>
          <w:b/>
          <w:sz w:val="40"/>
          <w:szCs w:val="40"/>
          <w:lang w:eastAsia="zh-CN"/>
        </w:rPr>
      </w:pPr>
    </w:p>
    <w:p w14:paraId="02B1CB71" w14:textId="33C9A749" w:rsidR="00A6075C" w:rsidRDefault="00A6075C" w:rsidP="00A6075C">
      <w:pPr>
        <w:spacing w:line="360" w:lineRule="auto"/>
        <w:ind w:left="720"/>
        <w:jc w:val="center"/>
        <w:rPr>
          <w:rFonts w:eastAsiaTheme="minorEastAsia"/>
          <w:b/>
          <w:sz w:val="40"/>
          <w:szCs w:val="40"/>
          <w:lang w:val="en-GB" w:eastAsia="zh-CN"/>
        </w:rPr>
      </w:pPr>
      <w:r>
        <w:rPr>
          <w:rFonts w:eastAsiaTheme="minorEastAsia"/>
          <w:b/>
          <w:sz w:val="40"/>
          <w:szCs w:val="40"/>
          <w:lang w:val="en-GB" w:eastAsia="zh-CN"/>
        </w:rPr>
        <w:t xml:space="preserve">Module: Financial </w:t>
      </w:r>
      <w:r w:rsidR="00665099">
        <w:rPr>
          <w:rFonts w:eastAsiaTheme="minorEastAsia"/>
          <w:b/>
          <w:sz w:val="40"/>
          <w:szCs w:val="40"/>
          <w:lang w:val="en-GB" w:eastAsia="zh-CN"/>
        </w:rPr>
        <w:t>M</w:t>
      </w:r>
      <w:r>
        <w:rPr>
          <w:rFonts w:eastAsiaTheme="minorEastAsia"/>
          <w:b/>
          <w:sz w:val="40"/>
          <w:szCs w:val="40"/>
          <w:lang w:val="en-GB" w:eastAsia="zh-CN"/>
        </w:rPr>
        <w:t xml:space="preserve">anagement for the </w:t>
      </w:r>
      <w:r w:rsidR="00665099">
        <w:rPr>
          <w:rFonts w:eastAsiaTheme="minorEastAsia"/>
          <w:b/>
          <w:sz w:val="40"/>
          <w:szCs w:val="40"/>
          <w:lang w:val="en-GB" w:eastAsia="zh-CN"/>
        </w:rPr>
        <w:t>H</w:t>
      </w:r>
      <w:r>
        <w:rPr>
          <w:rFonts w:eastAsiaTheme="minorEastAsia"/>
          <w:b/>
          <w:sz w:val="40"/>
          <w:szCs w:val="40"/>
          <w:lang w:val="en-GB" w:eastAsia="zh-CN"/>
        </w:rPr>
        <w:t>otel Industry, BMIH5007</w:t>
      </w:r>
    </w:p>
    <w:p w14:paraId="315C22BB" w14:textId="77777777" w:rsidR="00A6075C" w:rsidRDefault="00A6075C" w:rsidP="00A6075C">
      <w:pPr>
        <w:spacing w:line="360" w:lineRule="auto"/>
        <w:ind w:left="720"/>
        <w:jc w:val="center"/>
        <w:rPr>
          <w:rFonts w:eastAsiaTheme="minorEastAsia"/>
          <w:b/>
          <w:sz w:val="40"/>
          <w:szCs w:val="40"/>
          <w:lang w:val="en-GB" w:eastAsia="zh-CN"/>
        </w:rPr>
      </w:pPr>
      <w:r>
        <w:rPr>
          <w:rFonts w:eastAsiaTheme="minorEastAsia"/>
          <w:b/>
          <w:sz w:val="40"/>
          <w:szCs w:val="40"/>
          <w:lang w:val="en-GB" w:eastAsia="zh-CN"/>
        </w:rPr>
        <w:t>Student name: Liviu Daniel Simon</w:t>
      </w:r>
    </w:p>
    <w:p w14:paraId="30F25BFC" w14:textId="0A194FDF" w:rsidR="00E82EF0" w:rsidRPr="00A6075C" w:rsidRDefault="00A6075C" w:rsidP="00A6075C">
      <w:pPr>
        <w:spacing w:line="360" w:lineRule="auto"/>
        <w:ind w:left="720"/>
        <w:jc w:val="center"/>
        <w:rPr>
          <w:rFonts w:eastAsia="Times New Roman"/>
          <w:b/>
          <w:sz w:val="24"/>
          <w:szCs w:val="24"/>
        </w:rPr>
      </w:pPr>
      <w:r>
        <w:rPr>
          <w:rFonts w:eastAsiaTheme="minorEastAsia"/>
          <w:b/>
          <w:sz w:val="40"/>
          <w:szCs w:val="40"/>
          <w:lang w:val="en-GB" w:eastAsia="zh-CN"/>
        </w:rPr>
        <w:t>Lecturer: Dale Clarke</w:t>
      </w:r>
      <w:r w:rsidR="004C4DF9" w:rsidRPr="00A6075C">
        <w:br w:type="page"/>
      </w:r>
    </w:p>
    <w:p w14:paraId="5CBF9B00" w14:textId="77777777" w:rsidR="00E82EF0" w:rsidRPr="00A6075C" w:rsidRDefault="004C4DF9">
      <w:pPr>
        <w:spacing w:line="360" w:lineRule="auto"/>
        <w:jc w:val="center"/>
        <w:rPr>
          <w:rFonts w:eastAsia="Times New Roman"/>
          <w:b/>
          <w:sz w:val="28"/>
          <w:szCs w:val="28"/>
        </w:rPr>
      </w:pPr>
      <w:r w:rsidRPr="00A6075C">
        <w:rPr>
          <w:rFonts w:eastAsia="Times New Roman"/>
          <w:b/>
          <w:sz w:val="28"/>
          <w:szCs w:val="28"/>
        </w:rPr>
        <w:lastRenderedPageBreak/>
        <w:t xml:space="preserve">Executive Summary </w:t>
      </w:r>
    </w:p>
    <w:p w14:paraId="3DAA41A4" w14:textId="77777777" w:rsidR="00E82EF0" w:rsidRPr="00A6075C" w:rsidRDefault="004C4DF9">
      <w:pPr>
        <w:spacing w:line="360" w:lineRule="auto"/>
        <w:jc w:val="both"/>
        <w:rPr>
          <w:rFonts w:eastAsia="Times New Roman"/>
          <w:bCs/>
          <w:sz w:val="24"/>
          <w:szCs w:val="24"/>
          <w:lang w:val="en-IN"/>
        </w:rPr>
      </w:pPr>
      <w:r w:rsidRPr="00A6075C">
        <w:rPr>
          <w:rFonts w:eastAsia="Times New Roman"/>
          <w:bCs/>
          <w:sz w:val="24"/>
          <w:szCs w:val="24"/>
          <w:lang w:val="en-IN"/>
        </w:rPr>
        <w:t>The concept of “Financial Management” is a vital part of organisation growth and development. It plays a significant role in understanding  the current position of a business along with its ability to ensure sustainable growth in the market. Therefore, the following report has been constructed on the financial position and performance of the American hospitality company, Marriott International Inc. Herein, the financial ratios will be analysed and interpreted in a detailed manner to provide necessary information. In addition to that, the advantages and drawbacks of the process will also be discussed.</w:t>
      </w:r>
    </w:p>
    <w:p w14:paraId="47A506F8" w14:textId="77777777" w:rsidR="00760FCD" w:rsidRPr="00A6075C" w:rsidRDefault="004C4DF9">
      <w:pPr>
        <w:spacing w:line="240" w:lineRule="auto"/>
        <w:rPr>
          <w:rFonts w:eastAsia="Times New Roman"/>
          <w:bCs/>
          <w:sz w:val="24"/>
          <w:szCs w:val="24"/>
          <w:lang w:val="en-IN"/>
        </w:rPr>
      </w:pPr>
      <w:r w:rsidRPr="00A6075C">
        <w:rPr>
          <w:rFonts w:eastAsia="Times New Roman"/>
          <w:bCs/>
          <w:sz w:val="24"/>
          <w:szCs w:val="24"/>
          <w:lang w:val="en-IN"/>
        </w:rPr>
        <w:br w:type="page"/>
      </w:r>
    </w:p>
    <w:p w14:paraId="2109427E" w14:textId="77777777" w:rsidR="00E82EF0" w:rsidRPr="00A6075C" w:rsidRDefault="00E82EF0" w:rsidP="00760FCD">
      <w:pPr>
        <w:rPr>
          <w:rFonts w:eastAsia="Times New Roman"/>
          <w:bCs/>
          <w:sz w:val="24"/>
          <w:szCs w:val="24"/>
          <w:lang w:val="en-IN"/>
        </w:rPr>
      </w:pPr>
    </w:p>
    <w:bookmarkStart w:id="0" w:name="_Toc23343" w:displacedByCustomXml="next"/>
    <w:sdt>
      <w:sdtPr>
        <w:rPr>
          <w:rFonts w:ascii="Arial" w:eastAsia="Arial" w:hAnsi="Arial" w:cs="Arial"/>
          <w:color w:val="auto"/>
          <w:sz w:val="22"/>
          <w:szCs w:val="22"/>
          <w:lang w:val="zh-CN"/>
        </w:rPr>
        <w:id w:val="1985283379"/>
        <w:docPartObj>
          <w:docPartGallery w:val="Table of Contents"/>
          <w:docPartUnique/>
        </w:docPartObj>
      </w:sdtPr>
      <w:sdtEndPr>
        <w:rPr>
          <w:b/>
          <w:bCs/>
          <w:noProof/>
        </w:rPr>
      </w:sdtEndPr>
      <w:sdtContent>
        <w:p w14:paraId="7B48B2E9" w14:textId="77777777" w:rsidR="00760FCD" w:rsidRPr="00A6075C" w:rsidRDefault="00760FCD" w:rsidP="00760FCD">
          <w:pPr>
            <w:pStyle w:val="TOCHeading"/>
            <w:spacing w:line="360" w:lineRule="auto"/>
            <w:jc w:val="center"/>
            <w:rPr>
              <w:rFonts w:ascii="Arial" w:hAnsi="Arial" w:cs="Arial"/>
              <w:b/>
              <w:color w:val="auto"/>
              <w:sz w:val="28"/>
              <w:szCs w:val="24"/>
            </w:rPr>
          </w:pPr>
          <w:r w:rsidRPr="00A6075C">
            <w:rPr>
              <w:rFonts w:ascii="Arial" w:hAnsi="Arial" w:cs="Arial"/>
              <w:b/>
              <w:color w:val="auto"/>
              <w:sz w:val="28"/>
              <w:szCs w:val="24"/>
            </w:rPr>
            <w:t>Table of Contents</w:t>
          </w:r>
        </w:p>
        <w:p w14:paraId="2F049E5D" w14:textId="77777777" w:rsidR="00760FCD" w:rsidRPr="00A6075C" w:rsidRDefault="00760FCD" w:rsidP="00760FCD">
          <w:pPr>
            <w:pStyle w:val="TOC1"/>
            <w:tabs>
              <w:tab w:val="right" w:leader="dot" w:pos="10459"/>
            </w:tabs>
            <w:spacing w:line="360" w:lineRule="auto"/>
            <w:jc w:val="both"/>
            <w:rPr>
              <w:rFonts w:eastAsiaTheme="minorEastAsia"/>
              <w:noProof/>
              <w:sz w:val="24"/>
              <w:szCs w:val="24"/>
              <w:lang w:val="en-US"/>
            </w:rPr>
          </w:pPr>
          <w:r w:rsidRPr="00A6075C">
            <w:rPr>
              <w:sz w:val="24"/>
              <w:szCs w:val="24"/>
            </w:rPr>
            <w:fldChar w:fldCharType="begin"/>
          </w:r>
          <w:r w:rsidRPr="00A6075C">
            <w:rPr>
              <w:sz w:val="24"/>
              <w:szCs w:val="24"/>
            </w:rPr>
            <w:instrText xml:space="preserve"> TOC \o "1-3" \h \z \u </w:instrText>
          </w:r>
          <w:r w:rsidRPr="00A6075C">
            <w:rPr>
              <w:sz w:val="24"/>
              <w:szCs w:val="24"/>
            </w:rPr>
            <w:fldChar w:fldCharType="separate"/>
          </w:r>
          <w:hyperlink w:anchor="_Toc119429574" w:history="1">
            <w:r w:rsidRPr="00A6075C">
              <w:rPr>
                <w:rStyle w:val="Hyperlink"/>
                <w:noProof/>
                <w:sz w:val="24"/>
                <w:szCs w:val="24"/>
              </w:rPr>
              <w:t>Introduction</w:t>
            </w:r>
            <w:r w:rsidRPr="00A6075C">
              <w:rPr>
                <w:noProof/>
                <w:webHidden/>
                <w:sz w:val="24"/>
                <w:szCs w:val="24"/>
              </w:rPr>
              <w:tab/>
            </w:r>
            <w:r w:rsidRPr="00A6075C">
              <w:rPr>
                <w:noProof/>
                <w:webHidden/>
                <w:sz w:val="24"/>
                <w:szCs w:val="24"/>
              </w:rPr>
              <w:fldChar w:fldCharType="begin"/>
            </w:r>
            <w:r w:rsidRPr="00A6075C">
              <w:rPr>
                <w:noProof/>
                <w:webHidden/>
                <w:sz w:val="24"/>
                <w:szCs w:val="24"/>
              </w:rPr>
              <w:instrText xml:space="preserve"> PAGEREF _Toc119429574 \h </w:instrText>
            </w:r>
            <w:r w:rsidRPr="00A6075C">
              <w:rPr>
                <w:noProof/>
                <w:webHidden/>
                <w:sz w:val="24"/>
                <w:szCs w:val="24"/>
              </w:rPr>
            </w:r>
            <w:r w:rsidRPr="00A6075C">
              <w:rPr>
                <w:noProof/>
                <w:webHidden/>
                <w:sz w:val="24"/>
                <w:szCs w:val="24"/>
              </w:rPr>
              <w:fldChar w:fldCharType="separate"/>
            </w:r>
            <w:r w:rsidRPr="00A6075C">
              <w:rPr>
                <w:noProof/>
                <w:webHidden/>
                <w:sz w:val="24"/>
                <w:szCs w:val="24"/>
              </w:rPr>
              <w:t>4</w:t>
            </w:r>
            <w:r w:rsidRPr="00A6075C">
              <w:rPr>
                <w:noProof/>
                <w:webHidden/>
                <w:sz w:val="24"/>
                <w:szCs w:val="24"/>
              </w:rPr>
              <w:fldChar w:fldCharType="end"/>
            </w:r>
          </w:hyperlink>
        </w:p>
        <w:p w14:paraId="5F3C2A3A" w14:textId="77777777" w:rsidR="00760FCD" w:rsidRPr="00A6075C" w:rsidRDefault="00000000" w:rsidP="00760FCD">
          <w:pPr>
            <w:pStyle w:val="TOC1"/>
            <w:tabs>
              <w:tab w:val="right" w:leader="dot" w:pos="10459"/>
            </w:tabs>
            <w:spacing w:line="360" w:lineRule="auto"/>
            <w:jc w:val="both"/>
            <w:rPr>
              <w:rFonts w:eastAsiaTheme="minorEastAsia"/>
              <w:noProof/>
              <w:sz w:val="24"/>
              <w:szCs w:val="24"/>
              <w:lang w:val="en-US"/>
            </w:rPr>
          </w:pPr>
          <w:hyperlink w:anchor="_Toc119429575" w:history="1">
            <w:r w:rsidR="00760FCD" w:rsidRPr="00A6075C">
              <w:rPr>
                <w:rStyle w:val="Hyperlink"/>
                <w:noProof/>
                <w:sz w:val="24"/>
                <w:szCs w:val="24"/>
              </w:rPr>
              <w:t>Financial Analysis Trends</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_Toc119429575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4</w:t>
            </w:r>
            <w:r w:rsidR="00760FCD" w:rsidRPr="00A6075C">
              <w:rPr>
                <w:noProof/>
                <w:webHidden/>
                <w:sz w:val="24"/>
                <w:szCs w:val="24"/>
              </w:rPr>
              <w:fldChar w:fldCharType="end"/>
            </w:r>
          </w:hyperlink>
        </w:p>
        <w:p w14:paraId="222CE81C" w14:textId="77777777" w:rsidR="00760FCD" w:rsidRPr="00A6075C" w:rsidRDefault="00000000" w:rsidP="00760FCD">
          <w:pPr>
            <w:pStyle w:val="TOC2"/>
            <w:tabs>
              <w:tab w:val="right" w:leader="dot" w:pos="10459"/>
            </w:tabs>
            <w:spacing w:line="360" w:lineRule="auto"/>
            <w:jc w:val="both"/>
            <w:rPr>
              <w:rFonts w:eastAsiaTheme="minorEastAsia"/>
              <w:noProof/>
              <w:sz w:val="24"/>
              <w:szCs w:val="24"/>
              <w:lang w:val="en-US"/>
            </w:rPr>
          </w:pPr>
          <w:hyperlink w:anchor="_Toc119429576" w:history="1">
            <w:r w:rsidR="00760FCD" w:rsidRPr="00A6075C">
              <w:rPr>
                <w:rStyle w:val="Hyperlink"/>
                <w:noProof/>
                <w:sz w:val="24"/>
                <w:szCs w:val="24"/>
              </w:rPr>
              <w:t>Profitability</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_Toc119429576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4</w:t>
            </w:r>
            <w:r w:rsidR="00760FCD" w:rsidRPr="00A6075C">
              <w:rPr>
                <w:noProof/>
                <w:webHidden/>
                <w:sz w:val="24"/>
                <w:szCs w:val="24"/>
              </w:rPr>
              <w:fldChar w:fldCharType="end"/>
            </w:r>
          </w:hyperlink>
        </w:p>
        <w:p w14:paraId="2FD1495F" w14:textId="77777777" w:rsidR="00760FCD" w:rsidRPr="00A6075C" w:rsidRDefault="00000000" w:rsidP="00760FCD">
          <w:pPr>
            <w:pStyle w:val="TOC2"/>
            <w:tabs>
              <w:tab w:val="right" w:leader="dot" w:pos="10459"/>
            </w:tabs>
            <w:spacing w:line="360" w:lineRule="auto"/>
            <w:jc w:val="both"/>
            <w:rPr>
              <w:rFonts w:eastAsiaTheme="minorEastAsia"/>
              <w:noProof/>
              <w:sz w:val="24"/>
              <w:szCs w:val="24"/>
              <w:lang w:val="en-US"/>
            </w:rPr>
          </w:pPr>
          <w:hyperlink w:anchor="_Toc119429577" w:history="1">
            <w:r w:rsidR="00760FCD" w:rsidRPr="00A6075C">
              <w:rPr>
                <w:rStyle w:val="Hyperlink"/>
                <w:noProof/>
                <w:sz w:val="24"/>
                <w:szCs w:val="24"/>
              </w:rPr>
              <w:t>Liquidity</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_Toc119429577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6</w:t>
            </w:r>
            <w:r w:rsidR="00760FCD" w:rsidRPr="00A6075C">
              <w:rPr>
                <w:noProof/>
                <w:webHidden/>
                <w:sz w:val="24"/>
                <w:szCs w:val="24"/>
              </w:rPr>
              <w:fldChar w:fldCharType="end"/>
            </w:r>
          </w:hyperlink>
        </w:p>
        <w:p w14:paraId="0AF89B21" w14:textId="77777777" w:rsidR="00760FCD" w:rsidRPr="00A6075C" w:rsidRDefault="00000000" w:rsidP="00760FCD">
          <w:pPr>
            <w:pStyle w:val="TOC2"/>
            <w:tabs>
              <w:tab w:val="right" w:leader="dot" w:pos="10459"/>
            </w:tabs>
            <w:spacing w:line="360" w:lineRule="auto"/>
            <w:jc w:val="both"/>
            <w:rPr>
              <w:rFonts w:eastAsiaTheme="minorEastAsia"/>
              <w:noProof/>
              <w:sz w:val="24"/>
              <w:szCs w:val="24"/>
              <w:lang w:val="en-US"/>
            </w:rPr>
          </w:pPr>
          <w:hyperlink w:anchor="_Toc119429578" w:history="1">
            <w:r w:rsidR="00760FCD" w:rsidRPr="00A6075C">
              <w:rPr>
                <w:rStyle w:val="Hyperlink"/>
                <w:noProof/>
                <w:sz w:val="24"/>
                <w:szCs w:val="24"/>
              </w:rPr>
              <w:t>Gearing</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_Toc119429578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7</w:t>
            </w:r>
            <w:r w:rsidR="00760FCD" w:rsidRPr="00A6075C">
              <w:rPr>
                <w:noProof/>
                <w:webHidden/>
                <w:sz w:val="24"/>
                <w:szCs w:val="24"/>
              </w:rPr>
              <w:fldChar w:fldCharType="end"/>
            </w:r>
          </w:hyperlink>
        </w:p>
        <w:p w14:paraId="7E63FDC0" w14:textId="77777777" w:rsidR="00760FCD" w:rsidRPr="00A6075C" w:rsidRDefault="00000000" w:rsidP="00760FCD">
          <w:pPr>
            <w:pStyle w:val="TOC1"/>
            <w:tabs>
              <w:tab w:val="right" w:leader="dot" w:pos="10459"/>
            </w:tabs>
            <w:spacing w:line="360" w:lineRule="auto"/>
            <w:jc w:val="both"/>
            <w:rPr>
              <w:rFonts w:eastAsiaTheme="minorEastAsia"/>
              <w:noProof/>
              <w:sz w:val="24"/>
              <w:szCs w:val="24"/>
              <w:lang w:val="en-US"/>
            </w:rPr>
          </w:pPr>
          <w:hyperlink w:anchor="_Toc119429579" w:history="1">
            <w:r w:rsidR="00760FCD" w:rsidRPr="00A6075C">
              <w:rPr>
                <w:rStyle w:val="Hyperlink"/>
                <w:noProof/>
                <w:sz w:val="24"/>
                <w:szCs w:val="24"/>
              </w:rPr>
              <w:t>Knowledge from Ratio Analysis</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_Toc119429579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8</w:t>
            </w:r>
            <w:r w:rsidR="00760FCD" w:rsidRPr="00A6075C">
              <w:rPr>
                <w:noProof/>
                <w:webHidden/>
                <w:sz w:val="24"/>
                <w:szCs w:val="24"/>
              </w:rPr>
              <w:fldChar w:fldCharType="end"/>
            </w:r>
          </w:hyperlink>
        </w:p>
        <w:p w14:paraId="5D0ABADD" w14:textId="77777777" w:rsidR="00760FCD" w:rsidRPr="00A6075C" w:rsidRDefault="00000000" w:rsidP="00760FCD">
          <w:pPr>
            <w:pStyle w:val="TOC1"/>
            <w:tabs>
              <w:tab w:val="right" w:leader="dot" w:pos="10459"/>
            </w:tabs>
            <w:spacing w:line="360" w:lineRule="auto"/>
            <w:jc w:val="both"/>
            <w:rPr>
              <w:rFonts w:eastAsiaTheme="minorEastAsia"/>
              <w:noProof/>
              <w:sz w:val="24"/>
              <w:szCs w:val="24"/>
              <w:lang w:val="en-US"/>
            </w:rPr>
          </w:pPr>
          <w:hyperlink w:anchor="_Toc119429580" w:history="1">
            <w:r w:rsidR="00760FCD" w:rsidRPr="00A6075C">
              <w:rPr>
                <w:rStyle w:val="Hyperlink"/>
                <w:noProof/>
                <w:sz w:val="24"/>
                <w:szCs w:val="24"/>
              </w:rPr>
              <w:t>Benefits and Limitations of Ratio Analysis</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_Toc119429580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9</w:t>
            </w:r>
            <w:r w:rsidR="00760FCD" w:rsidRPr="00A6075C">
              <w:rPr>
                <w:noProof/>
                <w:webHidden/>
                <w:sz w:val="24"/>
                <w:szCs w:val="24"/>
              </w:rPr>
              <w:fldChar w:fldCharType="end"/>
            </w:r>
          </w:hyperlink>
        </w:p>
        <w:p w14:paraId="7FAFA3E5" w14:textId="77777777" w:rsidR="00760FCD" w:rsidRPr="00A6075C" w:rsidRDefault="00000000" w:rsidP="00760FCD">
          <w:pPr>
            <w:pStyle w:val="TOC2"/>
            <w:tabs>
              <w:tab w:val="right" w:leader="dot" w:pos="10459"/>
            </w:tabs>
            <w:spacing w:line="360" w:lineRule="auto"/>
            <w:jc w:val="both"/>
            <w:rPr>
              <w:rFonts w:eastAsiaTheme="minorEastAsia"/>
              <w:noProof/>
              <w:sz w:val="24"/>
              <w:szCs w:val="24"/>
              <w:lang w:val="en-US"/>
            </w:rPr>
          </w:pPr>
          <w:hyperlink w:anchor="_Toc119429581" w:history="1">
            <w:r w:rsidR="00760FCD" w:rsidRPr="00A6075C">
              <w:rPr>
                <w:rStyle w:val="Hyperlink"/>
                <w:noProof/>
                <w:sz w:val="24"/>
                <w:szCs w:val="24"/>
              </w:rPr>
              <w:t>Benefits</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_Toc119429581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9</w:t>
            </w:r>
            <w:r w:rsidR="00760FCD" w:rsidRPr="00A6075C">
              <w:rPr>
                <w:noProof/>
                <w:webHidden/>
                <w:sz w:val="24"/>
                <w:szCs w:val="24"/>
              </w:rPr>
              <w:fldChar w:fldCharType="end"/>
            </w:r>
          </w:hyperlink>
        </w:p>
        <w:p w14:paraId="102F92D0" w14:textId="77777777" w:rsidR="00760FCD" w:rsidRPr="00A6075C" w:rsidRDefault="00000000" w:rsidP="00760FCD">
          <w:pPr>
            <w:pStyle w:val="TOC2"/>
            <w:tabs>
              <w:tab w:val="right" w:leader="dot" w:pos="10459"/>
            </w:tabs>
            <w:spacing w:line="360" w:lineRule="auto"/>
            <w:jc w:val="both"/>
            <w:rPr>
              <w:rFonts w:eastAsiaTheme="minorEastAsia"/>
              <w:noProof/>
              <w:sz w:val="24"/>
              <w:szCs w:val="24"/>
              <w:lang w:val="en-US"/>
            </w:rPr>
          </w:pPr>
          <w:hyperlink w:anchor="_Toc119429582" w:history="1">
            <w:r w:rsidR="00760FCD" w:rsidRPr="00A6075C">
              <w:rPr>
                <w:rStyle w:val="Hyperlink"/>
                <w:noProof/>
                <w:sz w:val="24"/>
                <w:szCs w:val="24"/>
              </w:rPr>
              <w:t>Limitations</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_Toc119429582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9</w:t>
            </w:r>
            <w:r w:rsidR="00760FCD" w:rsidRPr="00A6075C">
              <w:rPr>
                <w:noProof/>
                <w:webHidden/>
                <w:sz w:val="24"/>
                <w:szCs w:val="24"/>
              </w:rPr>
              <w:fldChar w:fldCharType="end"/>
            </w:r>
          </w:hyperlink>
        </w:p>
        <w:p w14:paraId="0C1FEA8A" w14:textId="77777777" w:rsidR="00760FCD" w:rsidRPr="00A6075C" w:rsidRDefault="00000000" w:rsidP="00760FCD">
          <w:pPr>
            <w:pStyle w:val="TOC1"/>
            <w:tabs>
              <w:tab w:val="right" w:leader="dot" w:pos="10459"/>
            </w:tabs>
            <w:spacing w:line="360" w:lineRule="auto"/>
            <w:jc w:val="both"/>
            <w:rPr>
              <w:rFonts w:eastAsiaTheme="minorEastAsia"/>
              <w:noProof/>
              <w:sz w:val="24"/>
              <w:szCs w:val="24"/>
              <w:lang w:val="en-US"/>
            </w:rPr>
          </w:pPr>
          <w:hyperlink w:anchor="_Toc119429583" w:history="1">
            <w:r w:rsidR="00760FCD" w:rsidRPr="00A6075C">
              <w:rPr>
                <w:rStyle w:val="Hyperlink"/>
                <w:noProof/>
                <w:sz w:val="24"/>
                <w:szCs w:val="24"/>
              </w:rPr>
              <w:t>Conclusion</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_Toc119429583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10</w:t>
            </w:r>
            <w:r w:rsidR="00760FCD" w:rsidRPr="00A6075C">
              <w:rPr>
                <w:noProof/>
                <w:webHidden/>
                <w:sz w:val="24"/>
                <w:szCs w:val="24"/>
              </w:rPr>
              <w:fldChar w:fldCharType="end"/>
            </w:r>
          </w:hyperlink>
        </w:p>
        <w:p w14:paraId="3F7573B8" w14:textId="77777777" w:rsidR="00760FCD" w:rsidRPr="00A6075C" w:rsidRDefault="00000000" w:rsidP="00760FCD">
          <w:pPr>
            <w:pStyle w:val="TOC1"/>
            <w:tabs>
              <w:tab w:val="right" w:leader="dot" w:pos="10459"/>
            </w:tabs>
            <w:spacing w:line="360" w:lineRule="auto"/>
            <w:jc w:val="both"/>
            <w:rPr>
              <w:rFonts w:eastAsiaTheme="minorEastAsia"/>
              <w:noProof/>
              <w:sz w:val="24"/>
              <w:szCs w:val="24"/>
              <w:lang w:val="en-US"/>
            </w:rPr>
          </w:pPr>
          <w:hyperlink w:anchor="_Toc119429584" w:history="1">
            <w:r w:rsidR="00760FCD" w:rsidRPr="00A6075C">
              <w:rPr>
                <w:rStyle w:val="Hyperlink"/>
                <w:noProof/>
                <w:sz w:val="24"/>
                <w:szCs w:val="24"/>
              </w:rPr>
              <w:t>Bibliography</w:t>
            </w:r>
            <w:r w:rsidR="00760FCD" w:rsidRPr="00A6075C">
              <w:rPr>
                <w:noProof/>
                <w:webHidden/>
                <w:sz w:val="24"/>
                <w:szCs w:val="24"/>
              </w:rPr>
              <w:tab/>
            </w:r>
            <w:r w:rsidR="00760FCD" w:rsidRPr="00A6075C">
              <w:rPr>
                <w:noProof/>
                <w:webHidden/>
                <w:sz w:val="24"/>
                <w:szCs w:val="24"/>
              </w:rPr>
              <w:fldChar w:fldCharType="begin"/>
            </w:r>
            <w:r w:rsidR="00760FCD" w:rsidRPr="00A6075C">
              <w:rPr>
                <w:noProof/>
                <w:webHidden/>
                <w:sz w:val="24"/>
                <w:szCs w:val="24"/>
              </w:rPr>
              <w:instrText xml:space="preserve"> PAGEREF _Toc119429584 \h </w:instrText>
            </w:r>
            <w:r w:rsidR="00760FCD" w:rsidRPr="00A6075C">
              <w:rPr>
                <w:noProof/>
                <w:webHidden/>
                <w:sz w:val="24"/>
                <w:szCs w:val="24"/>
              </w:rPr>
            </w:r>
            <w:r w:rsidR="00760FCD" w:rsidRPr="00A6075C">
              <w:rPr>
                <w:noProof/>
                <w:webHidden/>
                <w:sz w:val="24"/>
                <w:szCs w:val="24"/>
              </w:rPr>
              <w:fldChar w:fldCharType="separate"/>
            </w:r>
            <w:r w:rsidR="00760FCD" w:rsidRPr="00A6075C">
              <w:rPr>
                <w:noProof/>
                <w:webHidden/>
                <w:sz w:val="24"/>
                <w:szCs w:val="24"/>
              </w:rPr>
              <w:t>11</w:t>
            </w:r>
            <w:r w:rsidR="00760FCD" w:rsidRPr="00A6075C">
              <w:rPr>
                <w:noProof/>
                <w:webHidden/>
                <w:sz w:val="24"/>
                <w:szCs w:val="24"/>
              </w:rPr>
              <w:fldChar w:fldCharType="end"/>
            </w:r>
          </w:hyperlink>
        </w:p>
        <w:p w14:paraId="17E52D8B" w14:textId="77777777" w:rsidR="00760FCD" w:rsidRPr="00A6075C" w:rsidRDefault="00760FCD" w:rsidP="00760FCD">
          <w:pPr>
            <w:spacing w:line="360" w:lineRule="auto"/>
            <w:jc w:val="both"/>
          </w:pPr>
          <w:r w:rsidRPr="00A6075C">
            <w:rPr>
              <w:b/>
              <w:bCs/>
              <w:noProof/>
              <w:sz w:val="24"/>
              <w:szCs w:val="24"/>
            </w:rPr>
            <w:fldChar w:fldCharType="end"/>
          </w:r>
        </w:p>
      </w:sdtContent>
    </w:sdt>
    <w:p w14:paraId="4E10DCDA" w14:textId="77777777" w:rsidR="00760FCD" w:rsidRPr="00A6075C" w:rsidRDefault="00760FCD">
      <w:pPr>
        <w:spacing w:line="240" w:lineRule="auto"/>
        <w:rPr>
          <w:b/>
          <w:sz w:val="28"/>
          <w:szCs w:val="40"/>
        </w:rPr>
      </w:pPr>
      <w:r w:rsidRPr="00A6075C">
        <w:br w:type="page"/>
      </w:r>
    </w:p>
    <w:p w14:paraId="77F5693D" w14:textId="77777777" w:rsidR="00E82EF0" w:rsidRPr="00A6075C" w:rsidRDefault="004C4DF9">
      <w:pPr>
        <w:pStyle w:val="Heading1"/>
        <w:rPr>
          <w:rFonts w:ascii="Arial" w:eastAsia="Times New Roman" w:hAnsi="Arial"/>
          <w:szCs w:val="28"/>
        </w:rPr>
      </w:pPr>
      <w:bookmarkStart w:id="1" w:name="_Toc119429574"/>
      <w:r w:rsidRPr="00A6075C">
        <w:rPr>
          <w:rFonts w:ascii="Arial" w:hAnsi="Arial"/>
        </w:rPr>
        <w:lastRenderedPageBreak/>
        <w:t>Introduction</w:t>
      </w:r>
      <w:bookmarkEnd w:id="0"/>
      <w:bookmarkEnd w:id="1"/>
      <w:r w:rsidRPr="00A6075C">
        <w:rPr>
          <w:rFonts w:ascii="Arial" w:hAnsi="Arial"/>
        </w:rPr>
        <w:t xml:space="preserve"> </w:t>
      </w:r>
    </w:p>
    <w:p w14:paraId="1CD34565"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The process of “Financial Management” involves a series of activities that undertakes business functions related to the investigation and analysis of available financial resources by a company. Herein, the success of a business is determined based on the financial performance of the company in question (Sari </w:t>
      </w:r>
      <w:r w:rsidRPr="00A6075C">
        <w:rPr>
          <w:rFonts w:eastAsia="Times New Roman"/>
          <w:i/>
          <w:sz w:val="24"/>
          <w:szCs w:val="24"/>
        </w:rPr>
        <w:t>et al</w:t>
      </w:r>
      <w:r w:rsidRPr="00A6075C">
        <w:rPr>
          <w:rFonts w:eastAsia="Times New Roman"/>
          <w:sz w:val="24"/>
          <w:szCs w:val="24"/>
        </w:rPr>
        <w:t xml:space="preserve">. 2020). Therefore, the predominant purpose of conducting this particular report is to analyse various financial ratios of a  Hotel Management Company, that is Marriott International </w:t>
      </w:r>
      <w:r w:rsidRPr="00A6075C">
        <w:rPr>
          <w:rFonts w:eastAsia="Times New Roman"/>
          <w:sz w:val="24"/>
          <w:szCs w:val="24"/>
          <w:lang w:val="en-IN"/>
        </w:rPr>
        <w:t>Inc</w:t>
      </w:r>
      <w:r w:rsidRPr="00A6075C">
        <w:rPr>
          <w:rFonts w:eastAsia="Times New Roman"/>
          <w:sz w:val="24"/>
          <w:szCs w:val="24"/>
        </w:rPr>
        <w:t>. In addition to that, the advantages and disadvantages of ratio analysis will be provided to support the discussion on Financial Management. Moreover, the ratios will be interpreted and trends will be discussed to provide a deeper insight into the performance and position of the said company in financial terms.</w:t>
      </w:r>
    </w:p>
    <w:p w14:paraId="7019ED75"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The provided company, Marriott International </w:t>
      </w:r>
      <w:r w:rsidRPr="00A6075C">
        <w:rPr>
          <w:rFonts w:eastAsia="Times New Roman"/>
          <w:sz w:val="24"/>
          <w:szCs w:val="24"/>
          <w:lang w:val="en-IN"/>
        </w:rPr>
        <w:t>Inc.</w:t>
      </w:r>
      <w:r w:rsidRPr="00A6075C">
        <w:rPr>
          <w:rFonts w:eastAsia="Times New Roman"/>
          <w:sz w:val="24"/>
          <w:szCs w:val="24"/>
        </w:rPr>
        <w:t xml:space="preserve">. is a globally recognised American hospitality company. The company is said to operate in the lodging industry by franchising and licensing hotels, </w:t>
      </w:r>
      <w:r w:rsidRPr="00A6075C">
        <w:rPr>
          <w:rFonts w:eastAsia="Times New Roman"/>
          <w:sz w:val="24"/>
          <w:szCs w:val="24"/>
          <w:lang w:val="en-IN"/>
        </w:rPr>
        <w:t>time-share</w:t>
      </w:r>
      <w:r w:rsidRPr="00A6075C">
        <w:rPr>
          <w:rFonts w:eastAsia="Times New Roman"/>
          <w:sz w:val="24"/>
          <w:szCs w:val="24"/>
        </w:rPr>
        <w:t xml:space="preserve"> properties, and </w:t>
      </w:r>
      <w:r w:rsidRPr="00A6075C">
        <w:rPr>
          <w:rFonts w:eastAsia="Times New Roman"/>
          <w:sz w:val="24"/>
          <w:szCs w:val="24"/>
          <w:lang w:val="en-IN"/>
        </w:rPr>
        <w:t>residential</w:t>
      </w:r>
      <w:r w:rsidRPr="00A6075C">
        <w:rPr>
          <w:rFonts w:eastAsia="Times New Roman"/>
          <w:sz w:val="24"/>
          <w:szCs w:val="24"/>
        </w:rPr>
        <w:t xml:space="preserve">. The company is known to be operating in about 139 countries with more than 8000 properties (marriott.com, 2022). In addition to that, the company owns around 30 brands to provide exceptional hospitality services to its customers. </w:t>
      </w:r>
    </w:p>
    <w:p w14:paraId="2DB7A36E" w14:textId="77777777" w:rsidR="00E82EF0" w:rsidRPr="00A6075C" w:rsidRDefault="004C4DF9">
      <w:pPr>
        <w:pStyle w:val="Heading1"/>
        <w:rPr>
          <w:rFonts w:ascii="Arial" w:hAnsi="Arial"/>
        </w:rPr>
      </w:pPr>
      <w:bookmarkStart w:id="2" w:name="_Toc28429"/>
      <w:bookmarkStart w:id="3" w:name="_Toc119429575"/>
      <w:r w:rsidRPr="00A6075C">
        <w:rPr>
          <w:rFonts w:ascii="Arial" w:hAnsi="Arial"/>
        </w:rPr>
        <w:t>Financial Analysis Trends</w:t>
      </w:r>
      <w:bookmarkEnd w:id="2"/>
      <w:bookmarkEnd w:id="3"/>
    </w:p>
    <w:p w14:paraId="79058B99" w14:textId="77777777" w:rsidR="00E82EF0" w:rsidRPr="00A6075C" w:rsidRDefault="004C4DF9">
      <w:pPr>
        <w:pStyle w:val="Heading2"/>
        <w:rPr>
          <w:rFonts w:ascii="Arial" w:eastAsia="Times New Roman" w:hAnsi="Arial"/>
          <w:szCs w:val="24"/>
        </w:rPr>
      </w:pPr>
      <w:bookmarkStart w:id="4" w:name="_Toc16285"/>
      <w:bookmarkStart w:id="5" w:name="_Toc119429576"/>
      <w:r w:rsidRPr="00A6075C">
        <w:rPr>
          <w:rFonts w:ascii="Arial" w:hAnsi="Arial"/>
        </w:rPr>
        <w:t>Profitability</w:t>
      </w:r>
      <w:bookmarkEnd w:id="4"/>
      <w:bookmarkEnd w:id="5"/>
      <w:r w:rsidRPr="00A6075C">
        <w:rPr>
          <w:rFonts w:ascii="Arial" w:hAnsi="Arial"/>
        </w:rPr>
        <w:t xml:space="preserve"> </w:t>
      </w:r>
    </w:p>
    <w:p w14:paraId="64C96836" w14:textId="77777777" w:rsidR="00E82EF0" w:rsidRPr="00A6075C" w:rsidRDefault="004C4DF9">
      <w:pPr>
        <w:spacing w:line="360" w:lineRule="auto"/>
        <w:jc w:val="both"/>
        <w:rPr>
          <w:rFonts w:eastAsia="Times New Roman"/>
          <w:b/>
          <w:sz w:val="24"/>
          <w:szCs w:val="24"/>
        </w:rPr>
      </w:pPr>
      <w:r w:rsidRPr="00A6075C">
        <w:rPr>
          <w:rFonts w:eastAsia="Times New Roman"/>
          <w:b/>
          <w:sz w:val="24"/>
          <w:szCs w:val="24"/>
        </w:rPr>
        <w:t>Gross Profit Margin:</w:t>
      </w:r>
    </w:p>
    <w:p w14:paraId="1DAFD4BC"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drawing>
          <wp:inline distT="114300" distB="114300" distL="114300" distR="114300" wp14:anchorId="402612D2" wp14:editId="0FACE400">
            <wp:extent cx="4581525" cy="27527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8"/>
                    <a:srcRect/>
                    <a:stretch>
                      <a:fillRect/>
                    </a:stretch>
                  </pic:blipFill>
                  <pic:spPr>
                    <a:xfrm>
                      <a:off x="0" y="0"/>
                      <a:ext cx="4581525" cy="2752725"/>
                    </a:xfrm>
                    <a:prstGeom prst="rect">
                      <a:avLst/>
                    </a:prstGeom>
                  </pic:spPr>
                </pic:pic>
              </a:graphicData>
            </a:graphic>
          </wp:inline>
        </w:drawing>
      </w:r>
    </w:p>
    <w:p w14:paraId="7D80E019" w14:textId="77777777" w:rsidR="00E82EF0" w:rsidRPr="00A6075C" w:rsidRDefault="004C4DF9">
      <w:pPr>
        <w:spacing w:line="360" w:lineRule="auto"/>
        <w:jc w:val="center"/>
        <w:rPr>
          <w:rFonts w:eastAsia="Times New Roman"/>
          <w:b/>
          <w:sz w:val="24"/>
          <w:szCs w:val="24"/>
        </w:rPr>
      </w:pPr>
      <w:r w:rsidRPr="00A6075C">
        <w:rPr>
          <w:rFonts w:eastAsia="Times New Roman"/>
          <w:b/>
          <w:sz w:val="24"/>
          <w:szCs w:val="24"/>
        </w:rPr>
        <w:t>Figure 1: Gross Profit Margin</w:t>
      </w:r>
    </w:p>
    <w:p w14:paraId="54221AF0"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The above-presented graph depicts the margin of gross profit earned by </w:t>
      </w:r>
      <w:r w:rsidRPr="00A6075C">
        <w:rPr>
          <w:rFonts w:eastAsia="Times New Roman"/>
          <w:sz w:val="24"/>
          <w:szCs w:val="24"/>
          <w:lang w:val="en-IN"/>
        </w:rPr>
        <w:t>Marriott</w:t>
      </w:r>
      <w:r w:rsidRPr="00A6075C">
        <w:rPr>
          <w:rFonts w:eastAsia="Times New Roman"/>
          <w:sz w:val="24"/>
          <w:szCs w:val="24"/>
        </w:rPr>
        <w:t xml:space="preserve"> </w:t>
      </w:r>
      <w:r w:rsidRPr="00A6075C">
        <w:rPr>
          <w:rFonts w:eastAsia="Times New Roman"/>
          <w:sz w:val="24"/>
          <w:szCs w:val="24"/>
          <w:lang w:val="en-IN"/>
        </w:rPr>
        <w:t>International</w:t>
      </w:r>
      <w:r w:rsidRPr="00A6075C">
        <w:rPr>
          <w:rFonts w:eastAsia="Times New Roman"/>
          <w:sz w:val="24"/>
          <w:szCs w:val="24"/>
        </w:rPr>
        <w:t xml:space="preserve"> Inc. in the financial year 2020 and 2021 respectively. The ratio calculation of gross margin indicates the earnings made by the company after paying off its direct costs associated with the business like materials, labour, and so on (Nariswari and Nugraha, 2020). Therefore, the higher the margin, the </w:t>
      </w:r>
      <w:r w:rsidRPr="00A6075C">
        <w:rPr>
          <w:rFonts w:eastAsia="Times New Roman"/>
          <w:sz w:val="24"/>
          <w:szCs w:val="24"/>
        </w:rPr>
        <w:lastRenderedPageBreak/>
        <w:t>better it is considered for the company.  As per the provided graph, the company earned around 13.8019 in 2020 which increased up to 20.2136 in the following year, that is, 2021 (macrotrends.net, 2022). As a result, an increasing trend can be observed in the later year reflecting the ability of the company to earn a decent amount of profit on its sales. However, to maintain this increasing trend, the company must maintain control over its overhead costs. Additionally, it will allow the company to gather more funds from investors.</w:t>
      </w:r>
    </w:p>
    <w:p w14:paraId="3B704CC5" w14:textId="77777777" w:rsidR="00E82EF0" w:rsidRPr="00A6075C" w:rsidRDefault="004C4DF9">
      <w:pPr>
        <w:spacing w:line="360" w:lineRule="auto"/>
        <w:jc w:val="both"/>
        <w:rPr>
          <w:rFonts w:eastAsia="Times New Roman"/>
          <w:b/>
          <w:sz w:val="24"/>
          <w:szCs w:val="24"/>
        </w:rPr>
      </w:pPr>
      <w:r w:rsidRPr="00A6075C">
        <w:rPr>
          <w:rFonts w:eastAsia="Times New Roman"/>
          <w:b/>
          <w:sz w:val="24"/>
          <w:szCs w:val="24"/>
        </w:rPr>
        <w:t>Operating Profit Margin:</w:t>
      </w:r>
    </w:p>
    <w:p w14:paraId="5E3DE467"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drawing>
          <wp:inline distT="114300" distB="114300" distL="114300" distR="114300" wp14:anchorId="76B38214" wp14:editId="5F922E4D">
            <wp:extent cx="4581525" cy="2752725"/>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referRelativeResize="0"/>
                  </pic:nvPicPr>
                  <pic:blipFill>
                    <a:blip r:embed="rId9"/>
                    <a:srcRect/>
                    <a:stretch>
                      <a:fillRect/>
                    </a:stretch>
                  </pic:blipFill>
                  <pic:spPr>
                    <a:xfrm>
                      <a:off x="0" y="0"/>
                      <a:ext cx="4581525" cy="2752725"/>
                    </a:xfrm>
                    <a:prstGeom prst="rect">
                      <a:avLst/>
                    </a:prstGeom>
                  </pic:spPr>
                </pic:pic>
              </a:graphicData>
            </a:graphic>
          </wp:inline>
        </w:drawing>
      </w:r>
    </w:p>
    <w:p w14:paraId="07701E29" w14:textId="77777777" w:rsidR="00E82EF0" w:rsidRPr="00A6075C" w:rsidRDefault="004C4DF9">
      <w:pPr>
        <w:spacing w:line="360" w:lineRule="auto"/>
        <w:jc w:val="center"/>
        <w:rPr>
          <w:rFonts w:eastAsia="Times New Roman"/>
          <w:b/>
          <w:sz w:val="24"/>
          <w:szCs w:val="24"/>
        </w:rPr>
      </w:pPr>
      <w:r w:rsidRPr="00A6075C">
        <w:rPr>
          <w:rFonts w:eastAsia="Times New Roman"/>
          <w:b/>
          <w:sz w:val="24"/>
          <w:szCs w:val="24"/>
        </w:rPr>
        <w:t>Figure 2: Operating Profit Margin</w:t>
      </w:r>
    </w:p>
    <w:p w14:paraId="7341BD18"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The given chart signifies the margin of operating profit generated by the company in two consecutive years, that is, 2020 and 2021. This particular ratio is calculated to identify the amount of profit incurred by the company after making the payments of variable costs associated with production like wages, raw materials, and so on (Langemeier and Yeager, 2018). The calculations show that in 2020, the company generated around 0.7946 operating margin whereas, in 2021, it was calculated to be 12.629. This significant increasing trend in the margin is a favourable sign for the company as the ability to incur more profits has been built up enabling the company. However, the company must manage its operating costs to enhance its operating efficiency in an effective manner.</w:t>
      </w:r>
    </w:p>
    <w:p w14:paraId="3C003662" w14:textId="05FA6ADE" w:rsidR="00E82EF0" w:rsidRPr="00A6075C" w:rsidRDefault="004C4DF9">
      <w:pPr>
        <w:spacing w:line="360" w:lineRule="auto"/>
        <w:jc w:val="both"/>
        <w:rPr>
          <w:rFonts w:eastAsia="Times New Roman"/>
          <w:b/>
          <w:sz w:val="24"/>
          <w:szCs w:val="24"/>
        </w:rPr>
      </w:pPr>
      <w:r w:rsidRPr="00A6075C">
        <w:rPr>
          <w:rFonts w:eastAsia="Times New Roman"/>
          <w:b/>
          <w:sz w:val="24"/>
          <w:szCs w:val="24"/>
        </w:rPr>
        <w:t>Net Profit Margin:</w:t>
      </w:r>
    </w:p>
    <w:p w14:paraId="6F332065"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lastRenderedPageBreak/>
        <w:drawing>
          <wp:inline distT="114300" distB="114300" distL="114300" distR="114300" wp14:anchorId="060735B0" wp14:editId="5DA36220">
            <wp:extent cx="4581525" cy="275272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10"/>
                    <a:srcRect/>
                    <a:stretch>
                      <a:fillRect/>
                    </a:stretch>
                  </pic:blipFill>
                  <pic:spPr>
                    <a:xfrm>
                      <a:off x="0" y="0"/>
                      <a:ext cx="4581525" cy="2752725"/>
                    </a:xfrm>
                    <a:prstGeom prst="rect">
                      <a:avLst/>
                    </a:prstGeom>
                  </pic:spPr>
                </pic:pic>
              </a:graphicData>
            </a:graphic>
          </wp:inline>
        </w:drawing>
      </w:r>
    </w:p>
    <w:p w14:paraId="176EB7E2" w14:textId="77777777" w:rsidR="00E82EF0" w:rsidRPr="00A6075C" w:rsidRDefault="004C4DF9">
      <w:pPr>
        <w:spacing w:line="360" w:lineRule="auto"/>
        <w:jc w:val="center"/>
        <w:rPr>
          <w:rFonts w:eastAsia="Times New Roman"/>
          <w:b/>
          <w:sz w:val="24"/>
          <w:szCs w:val="24"/>
        </w:rPr>
      </w:pPr>
      <w:r w:rsidRPr="00A6075C">
        <w:rPr>
          <w:rFonts w:eastAsia="Times New Roman"/>
          <w:b/>
          <w:sz w:val="24"/>
          <w:szCs w:val="24"/>
        </w:rPr>
        <w:t>Figure 3: Net Profit Margin</w:t>
      </w:r>
    </w:p>
    <w:p w14:paraId="0D910FE1" w14:textId="5D4A4184" w:rsidR="00E82EF0" w:rsidRPr="00A6075C" w:rsidRDefault="004C4DF9">
      <w:pPr>
        <w:spacing w:line="360" w:lineRule="auto"/>
        <w:jc w:val="both"/>
        <w:rPr>
          <w:rFonts w:eastAsia="Times New Roman"/>
          <w:sz w:val="24"/>
          <w:szCs w:val="24"/>
        </w:rPr>
      </w:pPr>
      <w:r w:rsidRPr="00A6075C">
        <w:rPr>
          <w:rFonts w:eastAsia="Times New Roman"/>
          <w:sz w:val="24"/>
          <w:szCs w:val="24"/>
        </w:rPr>
        <w:t>The provided figure determines the margin of net profit that Marriott International Inc. has earned in the years 2020 and 2021. The calculations of “net profit margin” is undertaken to evaluate the profit or income of a business with respect to its sales. Therefore, an increasing or higher margin trend is termed to be highly profitable and effective for the growth of an organisation (bbc.co.uk, 2022). As depicted in the graph, the margin of the company was negative in 2020, that is -2.5258 while it experienced a hike in 2021 up to 7.9</w:t>
      </w:r>
      <w:r w:rsidR="00366816">
        <w:rPr>
          <w:rFonts w:eastAsia="Times New Roman"/>
          <w:sz w:val="24"/>
          <w:szCs w:val="24"/>
          <w:lang w:val="en-GB"/>
        </w:rPr>
        <w:t>31</w:t>
      </w:r>
      <w:r w:rsidRPr="00A6075C">
        <w:rPr>
          <w:rFonts w:eastAsia="Times New Roman"/>
          <w:sz w:val="24"/>
          <w:szCs w:val="24"/>
        </w:rPr>
        <w:t xml:space="preserve">. Although the profit generation capabilities of the company have enhanced, the margin is still lower than the generally favourable margin, that is, 20%. Therefore, the hospitality service provider must increase its sales or lower its expenses to increase this particular profitability ratio (bbc.co.uk, 2022). </w:t>
      </w:r>
    </w:p>
    <w:p w14:paraId="111AD5C0" w14:textId="77777777" w:rsidR="00E82EF0" w:rsidRPr="00A6075C" w:rsidRDefault="004C4DF9">
      <w:pPr>
        <w:spacing w:line="360" w:lineRule="auto"/>
        <w:jc w:val="both"/>
        <w:rPr>
          <w:rFonts w:eastAsia="Times New Roman"/>
          <w:b/>
          <w:sz w:val="24"/>
          <w:szCs w:val="24"/>
        </w:rPr>
      </w:pPr>
      <w:r w:rsidRPr="00A6075C">
        <w:rPr>
          <w:rFonts w:eastAsia="Times New Roman"/>
          <w:b/>
          <w:sz w:val="24"/>
          <w:szCs w:val="24"/>
        </w:rPr>
        <w:t>Return on Assets:</w:t>
      </w:r>
    </w:p>
    <w:p w14:paraId="4D86E444"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drawing>
          <wp:inline distT="114300" distB="114300" distL="114300" distR="114300" wp14:anchorId="5FF84083" wp14:editId="51CFC817">
            <wp:extent cx="4581525" cy="27527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1"/>
                    <a:srcRect/>
                    <a:stretch>
                      <a:fillRect/>
                    </a:stretch>
                  </pic:blipFill>
                  <pic:spPr>
                    <a:xfrm>
                      <a:off x="0" y="0"/>
                      <a:ext cx="4581525" cy="2752725"/>
                    </a:xfrm>
                    <a:prstGeom prst="rect">
                      <a:avLst/>
                    </a:prstGeom>
                  </pic:spPr>
                </pic:pic>
              </a:graphicData>
            </a:graphic>
          </wp:inline>
        </w:drawing>
      </w:r>
    </w:p>
    <w:p w14:paraId="4AEFE36A" w14:textId="77777777" w:rsidR="00E82EF0" w:rsidRPr="00366816" w:rsidRDefault="004C4DF9">
      <w:pPr>
        <w:spacing w:line="360" w:lineRule="auto"/>
        <w:jc w:val="center"/>
        <w:rPr>
          <w:rFonts w:eastAsiaTheme="minorEastAsia" w:hint="eastAsia"/>
          <w:b/>
          <w:sz w:val="24"/>
          <w:szCs w:val="24"/>
          <w:lang w:eastAsia="zh-CN"/>
        </w:rPr>
      </w:pPr>
      <w:r w:rsidRPr="00A6075C">
        <w:rPr>
          <w:rFonts w:eastAsia="Times New Roman"/>
          <w:b/>
          <w:sz w:val="24"/>
          <w:szCs w:val="24"/>
        </w:rPr>
        <w:t>Figure 4: Return on Assets</w:t>
      </w:r>
    </w:p>
    <w:p w14:paraId="6FF423C2"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The afore given graph indicates the return generated on assets in 2020 and 2021. The calculation of this particular financial metric indicates the profitability of the assets possessed by a business. Herein, the revenue generation ability of the assets is determined. In this particular ratio as well, an </w:t>
      </w:r>
      <w:r w:rsidRPr="00A6075C">
        <w:rPr>
          <w:rFonts w:eastAsia="Times New Roman"/>
          <w:sz w:val="24"/>
          <w:szCs w:val="24"/>
        </w:rPr>
        <w:lastRenderedPageBreak/>
        <w:t>increasing trend can be observed (Almira and Wiagustini, 2020). The ratio was calculated to be at -1.0809 which further increased to 4.3009 depicting that the poor ability has enhanced and now the assets generate an adequate amount of revenue. Therefore, it is evident that the profitability of the company has improved from the previous year, that is, 2020.</w:t>
      </w:r>
    </w:p>
    <w:p w14:paraId="040CC9E8" w14:textId="77777777" w:rsidR="00E82EF0" w:rsidRPr="00A6075C" w:rsidRDefault="004C4DF9">
      <w:pPr>
        <w:pStyle w:val="Heading2"/>
        <w:rPr>
          <w:rFonts w:ascii="Arial" w:eastAsia="Times New Roman" w:hAnsi="Arial"/>
          <w:szCs w:val="24"/>
        </w:rPr>
      </w:pPr>
      <w:bookmarkStart w:id="6" w:name="_Toc5471"/>
      <w:bookmarkStart w:id="7" w:name="_Toc119429577"/>
      <w:r w:rsidRPr="00A6075C">
        <w:rPr>
          <w:rFonts w:ascii="Arial" w:hAnsi="Arial"/>
        </w:rPr>
        <w:t>Liquidity</w:t>
      </w:r>
      <w:bookmarkEnd w:id="6"/>
      <w:bookmarkEnd w:id="7"/>
      <w:r w:rsidRPr="00A6075C">
        <w:rPr>
          <w:rFonts w:ascii="Arial" w:hAnsi="Arial"/>
        </w:rPr>
        <w:t xml:space="preserve"> </w:t>
      </w:r>
    </w:p>
    <w:p w14:paraId="79AA89A4" w14:textId="77777777" w:rsidR="00E82EF0" w:rsidRPr="00A6075C" w:rsidRDefault="004C4DF9">
      <w:pPr>
        <w:spacing w:line="360" w:lineRule="auto"/>
        <w:jc w:val="both"/>
        <w:rPr>
          <w:rFonts w:eastAsia="Times New Roman"/>
          <w:b/>
          <w:sz w:val="24"/>
          <w:szCs w:val="24"/>
        </w:rPr>
      </w:pPr>
      <w:r w:rsidRPr="00A6075C">
        <w:rPr>
          <w:rFonts w:eastAsia="Times New Roman"/>
          <w:b/>
          <w:sz w:val="24"/>
          <w:szCs w:val="24"/>
        </w:rPr>
        <w:t>Current Ratio:</w:t>
      </w:r>
    </w:p>
    <w:p w14:paraId="1E6F59E8"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drawing>
          <wp:inline distT="114300" distB="114300" distL="114300" distR="114300" wp14:anchorId="2B3C06C7" wp14:editId="38DCD3C4">
            <wp:extent cx="4581525" cy="2752725"/>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referRelativeResize="0"/>
                  </pic:nvPicPr>
                  <pic:blipFill>
                    <a:blip r:embed="rId12"/>
                    <a:srcRect/>
                    <a:stretch>
                      <a:fillRect/>
                    </a:stretch>
                  </pic:blipFill>
                  <pic:spPr>
                    <a:xfrm>
                      <a:off x="0" y="0"/>
                      <a:ext cx="4581525" cy="2752725"/>
                    </a:xfrm>
                    <a:prstGeom prst="rect">
                      <a:avLst/>
                    </a:prstGeom>
                  </pic:spPr>
                </pic:pic>
              </a:graphicData>
            </a:graphic>
          </wp:inline>
        </w:drawing>
      </w:r>
    </w:p>
    <w:p w14:paraId="30D8E08A" w14:textId="77777777" w:rsidR="00E82EF0" w:rsidRPr="00A6075C" w:rsidRDefault="004C4DF9">
      <w:pPr>
        <w:spacing w:line="360" w:lineRule="auto"/>
        <w:jc w:val="center"/>
        <w:rPr>
          <w:rFonts w:eastAsia="Times New Roman"/>
          <w:b/>
          <w:sz w:val="24"/>
          <w:szCs w:val="24"/>
        </w:rPr>
      </w:pPr>
      <w:r w:rsidRPr="00A6075C">
        <w:rPr>
          <w:rFonts w:eastAsia="Times New Roman"/>
          <w:b/>
          <w:sz w:val="24"/>
          <w:szCs w:val="24"/>
        </w:rPr>
        <w:t>Figure 5: Current Ratio</w:t>
      </w:r>
    </w:p>
    <w:p w14:paraId="0B2ADE03" w14:textId="77777777" w:rsidR="00E82EF0" w:rsidRPr="00366816" w:rsidRDefault="004C4DF9">
      <w:pPr>
        <w:spacing w:line="360" w:lineRule="auto"/>
        <w:jc w:val="both"/>
        <w:rPr>
          <w:rFonts w:eastAsiaTheme="minorEastAsia" w:hint="eastAsia"/>
          <w:sz w:val="24"/>
          <w:szCs w:val="24"/>
          <w:lang w:eastAsia="zh-CN"/>
        </w:rPr>
      </w:pPr>
      <w:r w:rsidRPr="00A6075C">
        <w:rPr>
          <w:rFonts w:eastAsia="Times New Roman"/>
          <w:sz w:val="24"/>
          <w:szCs w:val="24"/>
        </w:rPr>
        <w:t xml:space="preserve">The graph reflects on the developing or improving trend in terms of the current ratio of the company, Marriott International Inc for the years 2020 and 2021. This ratio is evaluated to determine the ability of the company to meet its short-term obligations. Therefore, an increasing ratio is preferred to be highly favourable for the company (Mulyadi and Sihabudin, 2020). The company’s ratio was at 0.4911 which has hiked up to 0.5659 in the succeeding year indicating that the company has enough cash to pay off its short-term or current liabilities effectively. </w:t>
      </w:r>
    </w:p>
    <w:p w14:paraId="0693BE55" w14:textId="77777777" w:rsidR="00E82EF0" w:rsidRPr="00A6075C" w:rsidRDefault="004C4DF9">
      <w:pPr>
        <w:pStyle w:val="Heading2"/>
        <w:rPr>
          <w:rFonts w:ascii="Arial" w:eastAsia="Times New Roman" w:hAnsi="Arial"/>
          <w:szCs w:val="24"/>
        </w:rPr>
      </w:pPr>
      <w:bookmarkStart w:id="8" w:name="_Toc14837"/>
      <w:bookmarkStart w:id="9" w:name="_Toc119429578"/>
      <w:r w:rsidRPr="00A6075C">
        <w:rPr>
          <w:rFonts w:ascii="Arial" w:hAnsi="Arial"/>
        </w:rPr>
        <w:t>Gearing</w:t>
      </w:r>
      <w:bookmarkEnd w:id="8"/>
      <w:bookmarkEnd w:id="9"/>
    </w:p>
    <w:p w14:paraId="6CF980EB" w14:textId="77777777" w:rsidR="00E82EF0" w:rsidRPr="00A6075C" w:rsidRDefault="004C4DF9">
      <w:pPr>
        <w:spacing w:line="360" w:lineRule="auto"/>
        <w:jc w:val="both"/>
        <w:rPr>
          <w:rFonts w:eastAsia="Times New Roman"/>
          <w:b/>
          <w:sz w:val="24"/>
          <w:szCs w:val="24"/>
        </w:rPr>
      </w:pPr>
      <w:r w:rsidRPr="00A6075C">
        <w:rPr>
          <w:rFonts w:eastAsia="Times New Roman"/>
          <w:b/>
          <w:sz w:val="24"/>
          <w:szCs w:val="24"/>
        </w:rPr>
        <w:t>Debt-to-Equity Ratio:</w:t>
      </w:r>
    </w:p>
    <w:p w14:paraId="3AD3A07F"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lastRenderedPageBreak/>
        <w:drawing>
          <wp:inline distT="114300" distB="114300" distL="114300" distR="114300" wp14:anchorId="0AB4C705" wp14:editId="5443C2DD">
            <wp:extent cx="4581525" cy="27527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13"/>
                    <a:srcRect/>
                    <a:stretch>
                      <a:fillRect/>
                    </a:stretch>
                  </pic:blipFill>
                  <pic:spPr>
                    <a:xfrm>
                      <a:off x="0" y="0"/>
                      <a:ext cx="4581525" cy="2752725"/>
                    </a:xfrm>
                    <a:prstGeom prst="rect">
                      <a:avLst/>
                    </a:prstGeom>
                  </pic:spPr>
                </pic:pic>
              </a:graphicData>
            </a:graphic>
          </wp:inline>
        </w:drawing>
      </w:r>
    </w:p>
    <w:p w14:paraId="63C0FBFB" w14:textId="77777777" w:rsidR="00E82EF0" w:rsidRPr="00A6075C" w:rsidRDefault="004C4DF9">
      <w:pPr>
        <w:spacing w:line="360" w:lineRule="auto"/>
        <w:jc w:val="center"/>
        <w:rPr>
          <w:rFonts w:eastAsia="Times New Roman"/>
          <w:b/>
          <w:sz w:val="24"/>
          <w:szCs w:val="24"/>
        </w:rPr>
      </w:pPr>
      <w:r w:rsidRPr="00A6075C">
        <w:rPr>
          <w:rFonts w:eastAsia="Times New Roman"/>
          <w:b/>
          <w:sz w:val="24"/>
          <w:szCs w:val="24"/>
        </w:rPr>
        <w:t>Figure 6: Debt-to-Equity Ratio</w:t>
      </w:r>
    </w:p>
    <w:p w14:paraId="7D8FAFD6"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The chart depicts the values of debt to equity ratio for two years, that is, 2020 and 2021 for Marriott International Inc. A downward trend can be observed from the provided figure which is considered non-risky for lenders as it signifies that the company’s potential growth is not inclined towards generating income based on its borrowings (Irman and Purwati, 2020). Therefore, as there has been a downfall in this particular ratio from 24.1302 to 7.1697, it is evident that the growth of the chosen company is </w:t>
      </w:r>
      <w:r w:rsidRPr="00A6075C">
        <w:rPr>
          <w:rFonts w:eastAsia="Times New Roman"/>
          <w:sz w:val="24"/>
          <w:szCs w:val="24"/>
          <w:lang w:val="en-IN"/>
        </w:rPr>
        <w:t>major</w:t>
      </w:r>
      <w:r w:rsidRPr="00A6075C">
        <w:rPr>
          <w:rFonts w:eastAsia="Times New Roman"/>
          <w:sz w:val="24"/>
          <w:szCs w:val="24"/>
        </w:rPr>
        <w:t xml:space="preserve"> dependent on its sales and revenues rather than its borrowings.</w:t>
      </w:r>
    </w:p>
    <w:p w14:paraId="0C5994EA" w14:textId="77777777" w:rsidR="00E82EF0" w:rsidRPr="00A6075C" w:rsidRDefault="004C4DF9">
      <w:pPr>
        <w:spacing w:line="360" w:lineRule="auto"/>
        <w:rPr>
          <w:rFonts w:eastAsia="Times New Roman"/>
          <w:b/>
          <w:sz w:val="24"/>
          <w:szCs w:val="24"/>
        </w:rPr>
      </w:pPr>
      <w:r w:rsidRPr="00A6075C">
        <w:rPr>
          <w:rFonts w:eastAsia="Times New Roman"/>
          <w:b/>
          <w:sz w:val="24"/>
          <w:szCs w:val="24"/>
        </w:rPr>
        <w:t>Long-term debt/Capital:</w:t>
      </w:r>
    </w:p>
    <w:p w14:paraId="63B28556" w14:textId="77777777" w:rsidR="00E82EF0" w:rsidRPr="00A6075C" w:rsidRDefault="004C4DF9">
      <w:pPr>
        <w:spacing w:line="360" w:lineRule="auto"/>
        <w:jc w:val="center"/>
        <w:rPr>
          <w:rFonts w:eastAsia="Times New Roman"/>
          <w:b/>
          <w:sz w:val="24"/>
          <w:szCs w:val="24"/>
        </w:rPr>
      </w:pPr>
      <w:r w:rsidRPr="00A6075C">
        <w:rPr>
          <w:rFonts w:eastAsia="Times New Roman"/>
          <w:b/>
          <w:noProof/>
          <w:sz w:val="24"/>
          <w:szCs w:val="24"/>
          <w:lang w:val="en-US"/>
        </w:rPr>
        <w:drawing>
          <wp:inline distT="114300" distB="114300" distL="114300" distR="114300" wp14:anchorId="46976D07" wp14:editId="3A3E9017">
            <wp:extent cx="4581525" cy="27527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referRelativeResize="0"/>
                  </pic:nvPicPr>
                  <pic:blipFill>
                    <a:blip r:embed="rId14"/>
                    <a:srcRect/>
                    <a:stretch>
                      <a:fillRect/>
                    </a:stretch>
                  </pic:blipFill>
                  <pic:spPr>
                    <a:xfrm>
                      <a:off x="0" y="0"/>
                      <a:ext cx="4581525" cy="2752725"/>
                    </a:xfrm>
                    <a:prstGeom prst="rect">
                      <a:avLst/>
                    </a:prstGeom>
                  </pic:spPr>
                </pic:pic>
              </a:graphicData>
            </a:graphic>
          </wp:inline>
        </w:drawing>
      </w:r>
    </w:p>
    <w:p w14:paraId="52B21426" w14:textId="77777777" w:rsidR="00E82EF0" w:rsidRPr="00A6075C" w:rsidRDefault="004C4DF9">
      <w:pPr>
        <w:spacing w:line="360" w:lineRule="auto"/>
        <w:jc w:val="center"/>
        <w:rPr>
          <w:rFonts w:eastAsia="Times New Roman"/>
          <w:b/>
          <w:sz w:val="24"/>
          <w:szCs w:val="24"/>
        </w:rPr>
      </w:pPr>
      <w:r w:rsidRPr="00A6075C">
        <w:rPr>
          <w:rFonts w:eastAsia="Times New Roman"/>
          <w:b/>
          <w:sz w:val="24"/>
          <w:szCs w:val="24"/>
        </w:rPr>
        <w:t>Figure 7: Long-term Debt to Capital</w:t>
      </w:r>
    </w:p>
    <w:p w14:paraId="14BBE2D4"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The above-provided figure showcases the long-term debt/capital ratio for the years 2020 and 2021. This ratio is evaluated with the aim of identifying the reliability of the company’s performance on debt and capital. A company more reliable on capital than debt is considered to be highly favourable (Nguyen, 2020). From the given figure, it can be inferred that there has been a considerable fall in this ratio in 2021 from 0.9554 to 0.8684. The declining trend infers that the activities of Marriott International Inc. are considerably less resilient on debts and more on capital. </w:t>
      </w:r>
    </w:p>
    <w:p w14:paraId="06F99D82" w14:textId="77777777" w:rsidR="00E82EF0" w:rsidRPr="00A6075C" w:rsidRDefault="004C4DF9">
      <w:pPr>
        <w:pStyle w:val="Heading1"/>
        <w:rPr>
          <w:rFonts w:ascii="Arial" w:hAnsi="Arial"/>
        </w:rPr>
      </w:pPr>
      <w:bookmarkStart w:id="10" w:name="_Toc9744"/>
      <w:bookmarkStart w:id="11" w:name="_Toc119429579"/>
      <w:r w:rsidRPr="00A6075C">
        <w:rPr>
          <w:rFonts w:ascii="Arial" w:hAnsi="Arial"/>
        </w:rPr>
        <w:lastRenderedPageBreak/>
        <w:t>Knowledge from Ratio Analysis</w:t>
      </w:r>
      <w:bookmarkEnd w:id="10"/>
      <w:bookmarkEnd w:id="11"/>
      <w:r w:rsidRPr="00A6075C">
        <w:rPr>
          <w:rFonts w:ascii="Arial" w:hAnsi="Arial"/>
        </w:rPr>
        <w:t xml:space="preserve"> </w:t>
      </w:r>
    </w:p>
    <w:p w14:paraId="311C4A70"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Ratio analysis is a critical aspect of every business establishment. It is essential to understand different types of ratios along with their importance and usage to determine the financial position of the company from different perspectives (Sutarno </w:t>
      </w:r>
      <w:r w:rsidRPr="00A6075C">
        <w:rPr>
          <w:rFonts w:eastAsia="Times New Roman"/>
          <w:i/>
          <w:sz w:val="24"/>
          <w:szCs w:val="24"/>
        </w:rPr>
        <w:t>et al</w:t>
      </w:r>
      <w:r w:rsidRPr="00A6075C">
        <w:rPr>
          <w:rFonts w:eastAsia="Times New Roman"/>
          <w:sz w:val="24"/>
          <w:szCs w:val="24"/>
        </w:rPr>
        <w:t xml:space="preserve">. 2019). Additionally, it is also valuable to identify and undertake the fluctuations in the ratio as it provides important insights into the financial operations and conditions of the business. Similarly, the analysis of the above-presented ratios of the renowned hotel management company, Marriott International Inc. has been effective in formulating and identifying the improvement in its financial performance. Based on the analysis of profitability ratios, it can be inferred that the company is highly effective in acquiring sufficient profits be it gross, operational or not (Saravanan </w:t>
      </w:r>
      <w:r w:rsidRPr="00A6075C">
        <w:rPr>
          <w:rFonts w:eastAsia="Times New Roman"/>
          <w:i/>
          <w:sz w:val="24"/>
          <w:szCs w:val="24"/>
        </w:rPr>
        <w:t>et al</w:t>
      </w:r>
      <w:r w:rsidRPr="00A6075C">
        <w:rPr>
          <w:rFonts w:eastAsia="Times New Roman"/>
          <w:sz w:val="24"/>
          <w:szCs w:val="24"/>
        </w:rPr>
        <w:t>. 2021). The positive fluctuation in the profitability ratios signifies that the company is effective in reducing costs from previous years followed by increasing turnover, productivity, and ultimate organisational efficiency.</w:t>
      </w:r>
    </w:p>
    <w:p w14:paraId="256065BC"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 xml:space="preserve">Following that, the liquidity ratio, that is, the current ratio has presented the capability of the company to fulfil its short-term debt requirements. It is evident from the analysis that the company has been successful in enhancing its position and has boosted its credibility. However, it can also be a sign of ineffective usage of assets which must be corrected by implementing effective strategies (Pelaez-Verdet and Loscertales-Sanchez, 2021). Lastly, the gearing ratio has depicted the rate of dependency of the company on its capital and debts. It has been observed that the future growth of the said company would be derived from its capital rather than its debts which is profitable for the lenders and investors. </w:t>
      </w:r>
    </w:p>
    <w:p w14:paraId="7E2B95DD" w14:textId="77777777" w:rsidR="00E82EF0" w:rsidRPr="00A6075C" w:rsidRDefault="004C4DF9">
      <w:pPr>
        <w:pStyle w:val="Heading1"/>
        <w:rPr>
          <w:rFonts w:ascii="Arial" w:hAnsi="Arial"/>
        </w:rPr>
      </w:pPr>
      <w:bookmarkStart w:id="12" w:name="_Toc12764"/>
      <w:bookmarkStart w:id="13" w:name="_Toc119429580"/>
      <w:r w:rsidRPr="00A6075C">
        <w:rPr>
          <w:rFonts w:ascii="Arial" w:hAnsi="Arial"/>
        </w:rPr>
        <w:t>Benefits and Limitations of Ratio Analysis</w:t>
      </w:r>
      <w:bookmarkEnd w:id="12"/>
      <w:bookmarkEnd w:id="13"/>
      <w:r w:rsidRPr="00A6075C">
        <w:rPr>
          <w:rFonts w:ascii="Arial" w:hAnsi="Arial"/>
        </w:rPr>
        <w:t xml:space="preserve"> </w:t>
      </w:r>
    </w:p>
    <w:p w14:paraId="692144CE" w14:textId="77777777" w:rsidR="00E82EF0" w:rsidRPr="00A6075C" w:rsidRDefault="004C4DF9">
      <w:pPr>
        <w:pStyle w:val="Heading2"/>
        <w:rPr>
          <w:rFonts w:ascii="Arial" w:eastAsia="Times New Roman" w:hAnsi="Arial"/>
          <w:szCs w:val="24"/>
        </w:rPr>
      </w:pPr>
      <w:bookmarkStart w:id="14" w:name="_Toc17681"/>
      <w:bookmarkStart w:id="15" w:name="_Toc119429581"/>
      <w:r w:rsidRPr="00A6075C">
        <w:rPr>
          <w:rFonts w:ascii="Arial" w:hAnsi="Arial"/>
        </w:rPr>
        <w:t>Benefits</w:t>
      </w:r>
      <w:bookmarkEnd w:id="14"/>
      <w:bookmarkEnd w:id="15"/>
      <w:r w:rsidRPr="00A6075C">
        <w:rPr>
          <w:rFonts w:ascii="Arial" w:hAnsi="Arial"/>
        </w:rPr>
        <w:t xml:space="preserve"> </w:t>
      </w:r>
    </w:p>
    <w:p w14:paraId="3C59870D"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Planning and Budgeting: </w:t>
      </w:r>
      <w:r w:rsidRPr="00A6075C">
        <w:rPr>
          <w:rFonts w:eastAsia="Times New Roman"/>
          <w:sz w:val="24"/>
          <w:szCs w:val="24"/>
        </w:rPr>
        <w:t>The trend observed in costs, profits, and sales of a company after the computation and interpretation of ratios are used to predict future patterns which is followed by detailed planning of future operations (bbc.co.uk, 2022). Moreover, based on the collected information, a budget is prepared to ensure that the negative aspects are overcome to ensure continuous growth.</w:t>
      </w:r>
    </w:p>
    <w:p w14:paraId="519ECCFF"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Simplifies decision-making: </w:t>
      </w:r>
      <w:r w:rsidRPr="00A6075C">
        <w:rPr>
          <w:rFonts w:eastAsia="Times New Roman"/>
          <w:sz w:val="24"/>
          <w:szCs w:val="24"/>
        </w:rPr>
        <w:t>The analysis of ratio plays a vital part in the decision-making process. It enables the organisation's management to know whether or not to opt for extra debts. Additionally, effective decisions are undertaken to achieve desirable outcomes related to sales, costs, and profits (forbes.com, 2020).</w:t>
      </w:r>
    </w:p>
    <w:p w14:paraId="542B3338"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Measure operational efficiency: </w:t>
      </w:r>
      <w:r w:rsidRPr="00A6075C">
        <w:rPr>
          <w:rFonts w:eastAsia="Times New Roman"/>
          <w:sz w:val="24"/>
          <w:szCs w:val="24"/>
        </w:rPr>
        <w:t xml:space="preserve">The degree of management's efficiency is identified through the analysis of ratios. Along with that, the effective usage of assets is also determined. Therefore, through the calculations of ratios, the efficiency in the company's operations is determined to help </w:t>
      </w:r>
      <w:r w:rsidRPr="00A6075C">
        <w:rPr>
          <w:rFonts w:eastAsia="Times New Roman"/>
          <w:sz w:val="24"/>
          <w:szCs w:val="24"/>
        </w:rPr>
        <w:lastRenderedPageBreak/>
        <w:t>the organisation earn more profits by undertaking corrective measures to overcome identified drawbacks in management.</w:t>
      </w:r>
    </w:p>
    <w:p w14:paraId="1858CA5B"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Communication: </w:t>
      </w:r>
      <w:r w:rsidRPr="00A6075C">
        <w:rPr>
          <w:rFonts w:eastAsia="Times New Roman"/>
          <w:sz w:val="24"/>
          <w:szCs w:val="24"/>
        </w:rPr>
        <w:t>The process of ratio analysis is also used as a means of communication. As the profitability and performance of business highly impact other entities, the ultimate result of ratio analysis is communicated to other parties like investors, shareholders, debenture holders, and so on (bbc.co.uk, 2022).</w:t>
      </w:r>
    </w:p>
    <w:p w14:paraId="2157C4D3"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Determination of liquidity and profitability position: </w:t>
      </w:r>
      <w:r w:rsidRPr="00A6075C">
        <w:rPr>
          <w:rFonts w:eastAsia="Times New Roman"/>
          <w:sz w:val="24"/>
          <w:szCs w:val="24"/>
        </w:rPr>
        <w:t>It is a major tool to identify the liquidity position of a company by determining its ability to meet its short-term requirements, pay off its current debts, and enhance its credibility by taking up effective measures. In addition to that, the overall profitability of the company is also determined through its profit generation capacity along with the utilisation of assets (forbes.com, 2020).</w:t>
      </w:r>
    </w:p>
    <w:p w14:paraId="3F269C3B" w14:textId="77777777" w:rsidR="00E82EF0" w:rsidRPr="00A6075C" w:rsidRDefault="004C4DF9">
      <w:pPr>
        <w:pStyle w:val="Heading2"/>
        <w:rPr>
          <w:rFonts w:ascii="Arial" w:eastAsia="Times New Roman" w:hAnsi="Arial"/>
          <w:szCs w:val="24"/>
        </w:rPr>
      </w:pPr>
      <w:bookmarkStart w:id="16" w:name="_Toc13014"/>
      <w:bookmarkStart w:id="17" w:name="_Toc119429582"/>
      <w:r w:rsidRPr="00A6075C">
        <w:rPr>
          <w:rFonts w:ascii="Arial" w:hAnsi="Arial"/>
        </w:rPr>
        <w:t>Limitations</w:t>
      </w:r>
      <w:bookmarkEnd w:id="16"/>
      <w:bookmarkEnd w:id="17"/>
    </w:p>
    <w:p w14:paraId="47446B82"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Historical information: </w:t>
      </w:r>
      <w:r w:rsidRPr="00A6075C">
        <w:rPr>
          <w:rFonts w:eastAsia="Times New Roman"/>
          <w:sz w:val="24"/>
          <w:szCs w:val="24"/>
        </w:rPr>
        <w:t>The financial statements, that is, balance sheet and income statement along with cash flow statements provide past information. The current position of the company is not provided which results in ineffective prediction of future business performance.</w:t>
      </w:r>
    </w:p>
    <w:p w14:paraId="26DD3F88"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Errors in financial statements: </w:t>
      </w:r>
      <w:r w:rsidRPr="00A6075C">
        <w:rPr>
          <w:rFonts w:eastAsia="Times New Roman"/>
          <w:sz w:val="24"/>
          <w:szCs w:val="24"/>
        </w:rPr>
        <w:t>The calculations of ratios are highly dependent on the data recorded in the financial statements of a company which are prone to errors. As a result, the calculations and interpretations also become erroneous. Moreover, the usage of accounting principles may vary from company to company which makes the comparison between two different companies difficult (bbc.co.uk, 2022).</w:t>
      </w:r>
    </w:p>
    <w:p w14:paraId="10DB0E10"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Quantitative analysis: </w:t>
      </w:r>
      <w:r w:rsidRPr="00A6075C">
        <w:rPr>
          <w:rFonts w:eastAsia="Times New Roman"/>
          <w:sz w:val="24"/>
          <w:szCs w:val="24"/>
        </w:rPr>
        <w:t>As ratios are a quantitative tool, qualitative factors which affect the business performance are not undertaken. In addition to that, the costs of fixed assets are recorded at costs which do not consider the changes occurring in the level of market prices. Therefore, the comparison becomes insignificant.</w:t>
      </w:r>
    </w:p>
    <w:p w14:paraId="3EB7447E"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Financial data affected by seasons: </w:t>
      </w:r>
      <w:r w:rsidRPr="00A6075C">
        <w:rPr>
          <w:rFonts w:eastAsia="Times New Roman"/>
          <w:sz w:val="24"/>
          <w:szCs w:val="24"/>
        </w:rPr>
        <w:t>The performance along with the profitability of a business is highly fluctuating during seasons (Hashemkhani Zolfani</w:t>
      </w:r>
      <w:r w:rsidRPr="00A6075C">
        <w:rPr>
          <w:rFonts w:eastAsia="Times New Roman"/>
          <w:i/>
          <w:sz w:val="24"/>
          <w:szCs w:val="24"/>
        </w:rPr>
        <w:t xml:space="preserve"> et al</w:t>
      </w:r>
      <w:r w:rsidRPr="00A6075C">
        <w:rPr>
          <w:rFonts w:eastAsia="Times New Roman"/>
          <w:sz w:val="24"/>
          <w:szCs w:val="24"/>
        </w:rPr>
        <w:t>. 2018). The sales, revenues, costs, and other factors may be favourable in one season and unfavourable in other. Therefore, the ratio analysis may present invaluable outcomes.</w:t>
      </w:r>
    </w:p>
    <w:p w14:paraId="17CB76F5" w14:textId="77777777" w:rsidR="00E82EF0" w:rsidRPr="00A6075C" w:rsidRDefault="004C4DF9">
      <w:pPr>
        <w:spacing w:line="360" w:lineRule="auto"/>
        <w:jc w:val="both"/>
        <w:rPr>
          <w:rFonts w:eastAsia="Times New Roman"/>
          <w:sz w:val="24"/>
          <w:szCs w:val="24"/>
        </w:rPr>
      </w:pPr>
      <w:r w:rsidRPr="00A6075C">
        <w:rPr>
          <w:rFonts w:eastAsia="Times New Roman"/>
          <w:b/>
          <w:sz w:val="24"/>
          <w:szCs w:val="24"/>
        </w:rPr>
        <w:t xml:space="preserve">Window-dressing: </w:t>
      </w:r>
      <w:r w:rsidRPr="00A6075C">
        <w:rPr>
          <w:rFonts w:eastAsia="Times New Roman"/>
          <w:sz w:val="24"/>
          <w:szCs w:val="24"/>
        </w:rPr>
        <w:t>Sometimes an organisation represents its financial statements inaccurately to showcase a positive financial position. Therefore, the practice of "window-dressing" negatively impacts the ratio analysis which further provides inaccurate and irrelevant outcomes (forbes.com, 2020).</w:t>
      </w:r>
    </w:p>
    <w:p w14:paraId="739F5F08" w14:textId="77777777" w:rsidR="00E82EF0" w:rsidRPr="00A6075C" w:rsidRDefault="004C4DF9">
      <w:pPr>
        <w:pStyle w:val="Heading1"/>
        <w:rPr>
          <w:rFonts w:ascii="Arial" w:eastAsia="Times New Roman" w:hAnsi="Arial"/>
          <w:szCs w:val="28"/>
        </w:rPr>
      </w:pPr>
      <w:bookmarkStart w:id="18" w:name="_Toc20938"/>
      <w:bookmarkStart w:id="19" w:name="_Toc119429583"/>
      <w:r w:rsidRPr="00A6075C">
        <w:rPr>
          <w:rFonts w:ascii="Arial" w:hAnsi="Arial"/>
        </w:rPr>
        <w:lastRenderedPageBreak/>
        <w:t>Conclusion</w:t>
      </w:r>
      <w:bookmarkEnd w:id="18"/>
      <w:bookmarkEnd w:id="19"/>
    </w:p>
    <w:p w14:paraId="440DA16E"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To precisely conclude the above-presented report on financial management, it can be concluded that ratio analysis is an effective process of determining the current position of a company along with the identification of future trends and patterns. In addition to that, it plays a vital role in the decisions opted by an organisation allowing the management to identify weak financial points of a company and overcome the same with effective solutions. Moreover, the “liquidity”, “profitability”, and “gearing” ratios of Marriott International Inc. have been effective in concluding that the company has been able to significantly improve its financial performance from the past years. Although there are certain limitations to the process of analysing ratios, it has several benefits that enable the organisation to improve its performance for future growth.</w:t>
      </w:r>
    </w:p>
    <w:p w14:paraId="59F6C59C" w14:textId="77777777" w:rsidR="00E82EF0" w:rsidRPr="00A6075C" w:rsidRDefault="004C4DF9">
      <w:pPr>
        <w:spacing w:line="360" w:lineRule="auto"/>
        <w:jc w:val="both"/>
        <w:rPr>
          <w:rFonts w:eastAsia="Times New Roman"/>
          <w:b/>
          <w:sz w:val="28"/>
          <w:szCs w:val="28"/>
        </w:rPr>
      </w:pPr>
      <w:r w:rsidRPr="00A6075C">
        <w:br w:type="page"/>
      </w:r>
    </w:p>
    <w:p w14:paraId="6B07EAE7" w14:textId="77777777" w:rsidR="00E82EF0" w:rsidRPr="00A6075C" w:rsidRDefault="004C4DF9">
      <w:pPr>
        <w:pStyle w:val="Heading1"/>
        <w:rPr>
          <w:rFonts w:ascii="Arial" w:eastAsia="Times New Roman" w:hAnsi="Arial"/>
          <w:szCs w:val="28"/>
        </w:rPr>
      </w:pPr>
      <w:bookmarkStart w:id="20" w:name="_Toc24793"/>
      <w:bookmarkStart w:id="21" w:name="_Toc119429584"/>
      <w:r w:rsidRPr="00A6075C">
        <w:rPr>
          <w:rFonts w:ascii="Arial" w:hAnsi="Arial"/>
        </w:rPr>
        <w:lastRenderedPageBreak/>
        <w:t>Bibliography</w:t>
      </w:r>
      <w:bookmarkEnd w:id="20"/>
      <w:bookmarkEnd w:id="21"/>
    </w:p>
    <w:p w14:paraId="29CB9C13"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Almira, N.P.A.K. and Wiagustini, N.L.P., (2020). Return on asset, return on equity, dan earning per share berpengaruh terhadap return saham. E-Jurnal Manajemen Universitas Udayana, 9(3), p.1069.</w:t>
      </w:r>
    </w:p>
    <w:p w14:paraId="032F5DFF"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bbc.co.uk, (2022). Available at: https://www.bbc.co.uk/bitesize/guides/zd2fpg8/revision/4. [Accessed on: 03.11.2022]</w:t>
      </w:r>
    </w:p>
    <w:p w14:paraId="4B35B1FD"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bbc.co.uk, (2022). Available at: https://www.bbc.co.uk/bitesize/guides/zrxn47h/revision/5. [Accessed on: 03.11.2022]</w:t>
      </w:r>
    </w:p>
    <w:p w14:paraId="65FA1326"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forbes.com, (2020), how-a-financial-analysis-can-accelerate-openness-to-technology-during-a-crisis. Available at: https://www.forbes.com/sites/forbesbusinessdevelopmentcouncil/2020/05/20/how-a-financial-analysis-can-accelerate-openness-to-technology-during-a-crisis/?sh=512263e55c89. [Accessed on: 03.11.2022]</w:t>
      </w:r>
    </w:p>
    <w:p w14:paraId="45BD7A49"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Hashemkhani Zolfani, S., Yazdani, M. and Zavadskas, E.K., (2018). An extended stepwise weight assessment ratio analysis (SWARA) method for improving criteria prioritization process. Soft Computing, 22(22), pp.7399-7405.</w:t>
      </w:r>
    </w:p>
    <w:p w14:paraId="1109286D"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Irman, M. and Purwati, A.A., (2020). Analysis on the influence of current ratio, debt to equity ratio and total asset turnover toward return on assets on the otomotive and component company that has been registered in Indonesia Stock Exchange Within 2011-2017. International Journal of Economics Development Research (IJEDR), 1(1), pp.36-44.</w:t>
      </w:r>
    </w:p>
    <w:p w14:paraId="27609246"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Langemeier, M. and Yeager, E., (2018). Operating profit margin benchmarks. farmdoc daily, 8.</w:t>
      </w:r>
    </w:p>
    <w:p w14:paraId="3ED85581"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macrotrends.net, (2022), financial-ratios. Available at: https://www.macrotrends.net/stocks/charts/MAR/marriott/financial-ratios. [Accessed on: 03.11.2022]</w:t>
      </w:r>
    </w:p>
    <w:p w14:paraId="0C551A0C"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marriott.com, (2022), history. Available at: https://www.marriott.com/about/culture-and-values/history.mi. [Accessed on: 03.11.2022]</w:t>
      </w:r>
    </w:p>
    <w:p w14:paraId="37D4EC37"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Mulyadi, D. and Sihabudin, O.S., (2020). Analysis of Current Ratio, Net Profit Margin, and Good Corporate Governance against Company Value. Systematic Reviews in Pharmacy, 11(1), pp.588-600.</w:t>
      </w:r>
    </w:p>
    <w:p w14:paraId="7E76DA1C"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Nariswari, T.N. and Nugraha, N.M., (2020). Profit growth: impact of net profit margin, gross profit margin and total assests turnover. International Journal of Finance &amp; Banking Studies (2147-4486), 9(4), pp.87-96.</w:t>
      </w:r>
    </w:p>
    <w:p w14:paraId="309A6619"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Nguyen, H.T. and Nguyen, A.H., (2020). The impact of capital structure on firm performance: Evidence from Vietnam. The Journal of Asian Finance, Economics and Business, 7(4), pp.97-105.</w:t>
      </w:r>
    </w:p>
    <w:p w14:paraId="2E4BA5B9"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lastRenderedPageBreak/>
        <w:t>Pelaez-Verdet, A. and Loscertales-Sanchez, P., (2021). Key ratios for long-term prediction of hotel financial distress and corporate default: survival analysis for an economic stagnation. Sustainability, 13(3), p.1473.</w:t>
      </w:r>
    </w:p>
    <w:p w14:paraId="27217F7A"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Saravanan, V., Ramachandran, M., Vennila, T. and Mathivanan, G., (2021). A Study on Multi-Objective Optimization on the basis of Ratio Analysis. Recent trends in Management and Commerce, 2(3), pp.16-22.</w:t>
      </w:r>
    </w:p>
    <w:p w14:paraId="4B2439EB"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Sari, M., Irfan, I., Jufrizen, J. and Deli, L., (2020). The Testing Model of Financial Management Ability of Small and Medium Enterprises (SMEs). Jurnal Reviu Akuntansi dan Keuangan, 10(3), pp.584-601.</w:t>
      </w:r>
    </w:p>
    <w:p w14:paraId="47CEDAF7" w14:textId="77777777" w:rsidR="00E82EF0" w:rsidRPr="00A6075C" w:rsidRDefault="004C4DF9">
      <w:pPr>
        <w:spacing w:line="360" w:lineRule="auto"/>
        <w:jc w:val="both"/>
        <w:rPr>
          <w:rFonts w:eastAsia="Times New Roman"/>
          <w:sz w:val="24"/>
          <w:szCs w:val="24"/>
        </w:rPr>
      </w:pPr>
      <w:r w:rsidRPr="00A6075C">
        <w:rPr>
          <w:rFonts w:eastAsia="Times New Roman"/>
          <w:sz w:val="24"/>
          <w:szCs w:val="24"/>
        </w:rPr>
        <w:t>Sutarno, S., Mesran, M., Supriyanto, S., Yuliana, Y. and Dewi, A., (2019), December. Implementation of Multi-Objective Optimazation on the Base of Ratio Analysis (MOORA) in Improving Support for Decision on Sales Location Determination. In Journal of Physics: Conference Series (Vol. 1424, No. 1, p. 012019). IOP Publishing.</w:t>
      </w:r>
    </w:p>
    <w:p w14:paraId="65B31377" w14:textId="77777777" w:rsidR="00E82EF0" w:rsidRPr="00A6075C" w:rsidRDefault="00E82EF0">
      <w:pPr>
        <w:spacing w:line="360" w:lineRule="auto"/>
        <w:jc w:val="both"/>
        <w:rPr>
          <w:rFonts w:eastAsia="Times New Roman"/>
          <w:sz w:val="24"/>
          <w:szCs w:val="24"/>
        </w:rPr>
      </w:pPr>
    </w:p>
    <w:p w14:paraId="21FE9EFD" w14:textId="77777777" w:rsidR="00E82EF0" w:rsidRPr="00A6075C" w:rsidRDefault="00E82EF0">
      <w:pPr>
        <w:spacing w:line="360" w:lineRule="auto"/>
        <w:jc w:val="both"/>
        <w:rPr>
          <w:rFonts w:eastAsia="Times New Roman"/>
          <w:sz w:val="24"/>
          <w:szCs w:val="24"/>
        </w:rPr>
      </w:pPr>
    </w:p>
    <w:sectPr w:rsidR="00E82EF0" w:rsidRPr="00A6075C" w:rsidSect="00760FCD">
      <w:footerReference w:type="default" r:id="rId15"/>
      <w:pgSz w:w="11909" w:h="16834"/>
      <w:pgMar w:top="720" w:right="720" w:bottom="720" w:left="720" w:header="720" w:footer="720" w:gutter="0"/>
      <w:pgBorders>
        <w:top w:val="single" w:sz="4" w:space="1" w:color="auto"/>
        <w:left w:val="single" w:sz="4" w:space="4" w:color="auto"/>
        <w:bottom w:val="single" w:sz="4" w:space="1" w:color="auto"/>
        <w:right w:val="single" w:sz="4" w:space="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FFBC7" w14:textId="77777777" w:rsidR="0086465D" w:rsidRDefault="0086465D">
      <w:pPr>
        <w:spacing w:line="240" w:lineRule="auto"/>
      </w:pPr>
      <w:r>
        <w:separator/>
      </w:r>
    </w:p>
  </w:endnote>
  <w:endnote w:type="continuationSeparator" w:id="0">
    <w:p w14:paraId="4F2190CA" w14:textId="77777777" w:rsidR="0086465D" w:rsidRDefault="008646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1D58B" w14:textId="77777777" w:rsidR="00E82EF0" w:rsidRDefault="004C4DF9">
    <w:pPr>
      <w:pStyle w:val="Footer"/>
    </w:pPr>
    <w:r>
      <w:rPr>
        <w:noProof/>
        <w:lang w:val="en-US"/>
      </w:rPr>
      <mc:AlternateContent>
        <mc:Choice Requires="wps">
          <w:drawing>
            <wp:anchor distT="0" distB="0" distL="114300" distR="114300" simplePos="0" relativeHeight="251659264" behindDoc="0" locked="0" layoutInCell="1" allowOverlap="1" wp14:anchorId="570F222B" wp14:editId="7A9EA0D0">
              <wp:simplePos x="0" y="0"/>
              <wp:positionH relativeFrom="margin">
                <wp:align>right</wp:align>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28C398F" w14:textId="77777777" w:rsidR="00E82EF0" w:rsidRDefault="004C4DF9">
                          <w:pPr>
                            <w:pStyle w:val="Footer"/>
                          </w:pPr>
                          <w:r>
                            <w:fldChar w:fldCharType="begin"/>
                          </w:r>
                          <w:r>
                            <w:instrText xml:space="preserve"> PAGE  \* MERGEFORMAT </w:instrText>
                          </w:r>
                          <w:r>
                            <w:fldChar w:fldCharType="separate"/>
                          </w:r>
                          <w:r w:rsidR="00760FCD">
                            <w:rPr>
                              <w:noProof/>
                            </w:rPr>
                            <w:t>12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70F222B" id="_x0000_t202" coordsize="21600,21600" o:spt="202" path="m,l,21600r21600,l21600,xe">
              <v:stroke joinstyle="miter"/>
              <v:path gradientshapeok="t" o:connecttype="rect"/>
            </v:shapetype>
            <v:shape id="Text Box 8"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328C398F" w14:textId="77777777" w:rsidR="00E82EF0" w:rsidRDefault="004C4DF9">
                    <w:pPr>
                      <w:pStyle w:val="Footer"/>
                    </w:pPr>
                    <w:r>
                      <w:fldChar w:fldCharType="begin"/>
                    </w:r>
                    <w:r>
                      <w:instrText xml:space="preserve"> PAGE  \* MERGEFORMAT </w:instrText>
                    </w:r>
                    <w:r>
                      <w:fldChar w:fldCharType="separate"/>
                    </w:r>
                    <w:r w:rsidR="00760FCD">
                      <w:rPr>
                        <w:noProof/>
                      </w:rPr>
                      <w:t>12</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FAB10" w14:textId="77777777" w:rsidR="0086465D" w:rsidRDefault="0086465D">
      <w:r>
        <w:separator/>
      </w:r>
    </w:p>
  </w:footnote>
  <w:footnote w:type="continuationSeparator" w:id="0">
    <w:p w14:paraId="016B47DC" w14:textId="77777777" w:rsidR="0086465D" w:rsidRDefault="0086465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EF0"/>
    <w:rsid w:val="00366816"/>
    <w:rsid w:val="004C4DF9"/>
    <w:rsid w:val="00665099"/>
    <w:rsid w:val="00760FCD"/>
    <w:rsid w:val="0086465D"/>
    <w:rsid w:val="00A35CC3"/>
    <w:rsid w:val="00A6075C"/>
    <w:rsid w:val="00E14323"/>
    <w:rsid w:val="00E82EF0"/>
    <w:rsid w:val="731340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D970C"/>
  <w15:docId w15:val="{D8AED68B-E3FC-462B-B7B9-53AB6113A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5"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rFonts w:eastAsia="Arial"/>
      <w:sz w:val="22"/>
      <w:szCs w:val="22"/>
      <w:lang w:val="zh-CN"/>
    </w:rPr>
  </w:style>
  <w:style w:type="paragraph" w:styleId="Heading1">
    <w:name w:val="heading 1"/>
    <w:basedOn w:val="Normal"/>
    <w:next w:val="Normal"/>
    <w:qFormat/>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1">
    <w:name w:val="Table Normal1"/>
    <w:qFormat/>
    <w:tblPr>
      <w:tblCellMar>
        <w:top w:w="0" w:type="dxa"/>
        <w:left w:w="0" w:type="dxa"/>
        <w:bottom w:w="0" w:type="dxa"/>
        <w:right w:w="0" w:type="dxa"/>
      </w:tblCellMar>
    </w:tblPr>
  </w:style>
  <w:style w:type="paragraph" w:customStyle="1" w:styleId="WPSOffice1">
    <w:name w:val="WPSOffice手动目录 1"/>
  </w:style>
  <w:style w:type="paragraph" w:customStyle="1" w:styleId="WPSOffice2">
    <w:name w:val="WPSOffice手动目录 2"/>
    <w:pPr>
      <w:ind w:leftChars="200" w:left="200"/>
    </w:pPr>
  </w:style>
  <w:style w:type="paragraph" w:styleId="TOCHeading">
    <w:name w:val="TOC Heading"/>
    <w:basedOn w:val="Heading1"/>
    <w:next w:val="Normal"/>
    <w:uiPriority w:val="39"/>
    <w:unhideWhenUsed/>
    <w:qFormat/>
    <w:rsid w:val="00760FC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rsid w:val="00760FCD"/>
    <w:pPr>
      <w:spacing w:after="100"/>
    </w:pPr>
  </w:style>
  <w:style w:type="paragraph" w:styleId="TOC2">
    <w:name w:val="toc 2"/>
    <w:basedOn w:val="Normal"/>
    <w:next w:val="Normal"/>
    <w:autoRedefine/>
    <w:uiPriority w:val="39"/>
    <w:rsid w:val="00760FCD"/>
    <w:pPr>
      <w:spacing w:after="100"/>
      <w:ind w:left="220"/>
    </w:pPr>
  </w:style>
  <w:style w:type="character" w:styleId="Hyperlink">
    <w:name w:val="Hyperlink"/>
    <w:basedOn w:val="DefaultParagraphFont"/>
    <w:uiPriority w:val="99"/>
    <w:unhideWhenUsed/>
    <w:rsid w:val="00760F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29940A7-51C1-438A-8DF5-870D5ED78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2683</Words>
  <Characters>15294</Characters>
  <Application>Microsoft Office Word</Application>
  <DocSecurity>0</DocSecurity>
  <Lines>127</Lines>
  <Paragraphs>35</Paragraphs>
  <ScaleCrop>false</ScaleCrop>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khush</dc:creator>
  <cp:lastModifiedBy>Liviu Simon (2025169)</cp:lastModifiedBy>
  <cp:revision>4</cp:revision>
  <dcterms:created xsi:type="dcterms:W3CDTF">2022-12-09T11:06:00Z</dcterms:created>
  <dcterms:modified xsi:type="dcterms:W3CDTF">2022-12-09T11:10:00Z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ABB4F2FA1D174E12A03277FCBA5D9CD1</vt:lpwstr>
  </property>
  <property fmtid="{D5CDD505-2E9C-101B-9397-08002B2CF9AE}" pid="4" name="GrammarlyDocumentId">
    <vt:lpwstr>680c6e6472883b4fbc79a23c7757c084a6fd973ce6765c0b5d946d58aefeee4a</vt:lpwstr>
  </property>
</Properties>
</file>